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中航信托•天启【2020】201号福州螺洲TOD项目</w:t>
      </w:r>
    </w:p>
    <w:p>
      <w:pPr>
        <w:spacing w:line="480" w:lineRule="auto"/>
        <w:jc w:val="center"/>
        <w:rPr>
          <w:rFonts w:ascii="Arial" w:hAnsi="Arial" w:cs="Arial"/>
          <w:b/>
          <w:sz w:val="36"/>
        </w:rPr>
      </w:pPr>
      <w:r>
        <w:rPr>
          <w:rFonts w:ascii="Arial" w:hAnsi="Arial" w:cs="Arial"/>
          <w:b/>
          <w:sz w:val="36"/>
        </w:rPr>
        <w:t>投资集合资金信托计划</w:t>
      </w:r>
    </w:p>
    <w:p>
      <w:pPr>
        <w:spacing w:line="480" w:lineRule="auto"/>
        <w:jc w:val="center"/>
        <w:rPr>
          <w:rFonts w:ascii="Arial" w:hAnsi="Arial" w:cs="Arial"/>
          <w:b/>
          <w:sz w:val="36"/>
        </w:rPr>
      </w:pPr>
      <w:r>
        <w:rPr>
          <w:rFonts w:ascii="Arial" w:hAnsi="Arial" w:cs="Arial"/>
          <w:b/>
          <w:sz w:val="36"/>
        </w:rPr>
        <w:t>2020年8月监管报告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Cs w:val="28"/>
        </w:rPr>
      </w:pPr>
      <w:r>
        <w:rPr>
          <w:rFonts w:ascii="Arial" w:hAnsi="Arial" w:cs="Arial"/>
          <w:b/>
          <w:color w:val="000000"/>
          <w:szCs w:val="28"/>
        </w:rPr>
        <w:t>项目名称：中航信托•天启【2020】201号福州螺洲TOD项目投资集合资金信托计划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ascii="Arial" w:hAnsi="Arial" w:cs="Arial"/>
          <w:b/>
          <w:color w:val="000000"/>
          <w:szCs w:val="28"/>
        </w:rPr>
      </w:pPr>
      <w:r>
        <w:rPr>
          <w:rFonts w:ascii="Arial" w:hAnsi="Arial" w:cs="Arial"/>
          <w:b/>
          <w:color w:val="000000"/>
          <w:szCs w:val="28"/>
        </w:rPr>
        <w:t>监管人员：王存丽</w:t>
      </w:r>
    </w:p>
    <w:p>
      <w:pPr>
        <w:spacing w:line="480" w:lineRule="auto"/>
        <w:jc w:val="left"/>
        <w:rPr>
          <w:rFonts w:ascii="Arial" w:hAnsi="Arial" w:cs="Arial"/>
          <w:b/>
          <w:color w:val="000000"/>
          <w:sz w:val="28"/>
          <w:szCs w:val="28"/>
        </w:rPr>
        <w:sectPr>
          <w:headerReference r:id="rId5" w:type="first"/>
          <w:headerReference r:id="rId3" w:type="default"/>
          <w:headerReference r:id="rId4" w:type="even"/>
          <w:footerReference r:id="rId6" w:type="even"/>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日期：2020年9月</w:t>
      </w:r>
      <w:r>
        <w:rPr>
          <w:rFonts w:hint="eastAsia" w:ascii="Arial" w:hAnsi="Arial" w:cs="Arial"/>
          <w:b/>
          <w:color w:val="000000"/>
          <w:szCs w:val="28"/>
          <w:lang w:val="en-US" w:eastAsia="zh-CN"/>
        </w:rPr>
        <w:t>14</w:t>
      </w:r>
      <w:r>
        <w:rPr>
          <w:rFonts w:ascii="Arial" w:hAnsi="Arial" w:cs="Arial"/>
          <w:b/>
          <w:color w:val="000000"/>
          <w:szCs w:val="28"/>
        </w:rPr>
        <w:t>日</w:t>
      </w:r>
    </w:p>
    <w:p>
      <w:pPr>
        <w:pStyle w:val="13"/>
        <w:widowControl w:val="0"/>
        <w:spacing w:after="0" w:line="240" w:lineRule="auto"/>
        <w:jc w:val="both"/>
        <w:rPr>
          <w:rFonts w:ascii="Arial" w:hAnsi="Arial" w:eastAsia="宋体" w:cs="Arial"/>
          <w:color w:val="000000"/>
          <w:kern w:val="0"/>
          <w:sz w:val="21"/>
          <w:szCs w:val="21"/>
          <w:lang w:val="en-US" w:eastAsia="zh-CN" w:bidi="ar-SA"/>
        </w:rPr>
      </w:pPr>
      <w:r>
        <w:rPr>
          <w:rFonts w:hint="eastAsia" w:ascii="Arial" w:hAnsi="Arial" w:cs="Arial"/>
          <w:b/>
          <w:bCs w:val="0"/>
          <w:color w:val="000000"/>
          <w:sz w:val="28"/>
          <w:szCs w:val="28"/>
          <w:lang w:val="en-US" w:eastAsia="zh-CN"/>
        </w:rPr>
        <w:t xml:space="preserve">                             </w:t>
      </w:r>
      <w:r>
        <w:rPr>
          <w:rFonts w:ascii="Arial" w:hAnsi="Arial" w:cs="Arial"/>
          <w:b/>
          <w:bCs w:val="0"/>
          <w:color w:val="000000"/>
          <w:sz w:val="28"/>
          <w:szCs w:val="28"/>
        </w:rPr>
        <w:t>目录</w:t>
      </w:r>
      <w:r>
        <w:rPr>
          <w:rFonts w:ascii="Arial" w:hAnsi="Arial" w:cs="Arial"/>
          <w:sz w:val="21"/>
          <w:szCs w:val="21"/>
        </w:rPr>
        <w:fldChar w:fldCharType="begin"/>
      </w:r>
      <w:r>
        <w:rPr>
          <w:rStyle w:val="25"/>
          <w:rFonts w:ascii="Arial" w:hAnsi="Arial" w:cs="Arial"/>
          <w:sz w:val="21"/>
          <w:szCs w:val="21"/>
        </w:rPr>
        <w:instrText xml:space="preserve"> TOC \o "1-3" \h \z \u </w:instrText>
      </w:r>
      <w:r>
        <w:rPr>
          <w:rFonts w:ascii="Arial" w:hAnsi="Arial" w:cs="Arial"/>
          <w:sz w:val="21"/>
          <w:szCs w:val="21"/>
        </w:rPr>
        <w:fldChar w:fldCharType="separate"/>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_Toc22451 </w:instrText>
      </w:r>
      <w:r>
        <w:rPr>
          <w:rFonts w:ascii="Arial" w:hAnsi="Arial" w:cs="Arial"/>
          <w:szCs w:val="21"/>
        </w:rPr>
        <w:fldChar w:fldCharType="separate"/>
      </w:r>
      <w:r>
        <w:rPr>
          <w:rFonts w:ascii="Arial" w:hAnsi="Arial" w:cs="Arial"/>
          <w:szCs w:val="24"/>
        </w:rPr>
        <w:t>1项目基本情况</w:t>
      </w:r>
      <w:r>
        <w:rPr>
          <w:rFonts w:ascii="Arial" w:hAnsi="Arial"/>
        </w:rPr>
        <w:tab/>
      </w:r>
      <w:r>
        <w:rPr>
          <w:rFonts w:ascii="Arial" w:hAnsi="Arial"/>
        </w:rPr>
        <w:fldChar w:fldCharType="begin"/>
      </w:r>
      <w:r>
        <w:rPr>
          <w:rFonts w:ascii="Arial" w:hAnsi="Arial"/>
        </w:rPr>
        <w:instrText xml:space="preserve"> PAGEREF _Toc22451 </w:instrText>
      </w:r>
      <w:r>
        <w:rPr>
          <w:rFonts w:ascii="Arial" w:hAnsi="Arial"/>
        </w:rPr>
        <w:fldChar w:fldCharType="separate"/>
      </w:r>
      <w:r>
        <w:rPr>
          <w:rFonts w:ascii="Arial" w:hAnsi="Arial"/>
        </w:rPr>
        <w:t>1</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_Toc19085 </w:instrText>
      </w:r>
      <w:r>
        <w:rPr>
          <w:rFonts w:ascii="Arial" w:hAnsi="Arial" w:cs="Arial"/>
          <w:szCs w:val="21"/>
        </w:rPr>
        <w:fldChar w:fldCharType="separate"/>
      </w:r>
      <w:r>
        <w:rPr>
          <w:rFonts w:hint="eastAsia" w:ascii="Arial" w:hAnsi="Arial" w:cs="Arial"/>
          <w:szCs w:val="24"/>
        </w:rPr>
        <w:t>1.1</w:t>
      </w:r>
      <w:r>
        <w:rPr>
          <w:rFonts w:ascii="Arial" w:hAnsi="Arial" w:cs="Arial"/>
          <w:szCs w:val="24"/>
        </w:rPr>
        <w:t>项目公司基本情况</w:t>
      </w:r>
      <w:r>
        <w:rPr>
          <w:rFonts w:ascii="Arial" w:hAnsi="Arial"/>
        </w:rPr>
        <w:tab/>
      </w:r>
      <w:r>
        <w:rPr>
          <w:rFonts w:ascii="Arial" w:hAnsi="Arial"/>
        </w:rPr>
        <w:fldChar w:fldCharType="begin"/>
      </w:r>
      <w:r>
        <w:rPr>
          <w:rFonts w:ascii="Arial" w:hAnsi="Arial"/>
        </w:rPr>
        <w:instrText xml:space="preserve"> PAGEREF _Toc19085 </w:instrText>
      </w:r>
      <w:r>
        <w:rPr>
          <w:rFonts w:ascii="Arial" w:hAnsi="Arial"/>
        </w:rPr>
        <w:fldChar w:fldCharType="separate"/>
      </w:r>
      <w:r>
        <w:rPr>
          <w:rFonts w:ascii="Arial" w:hAnsi="Arial"/>
        </w:rPr>
        <w:t>1</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_Toc1709 </w:instrText>
      </w:r>
      <w:r>
        <w:rPr>
          <w:rFonts w:ascii="Arial" w:hAnsi="Arial" w:cs="Arial"/>
          <w:szCs w:val="21"/>
        </w:rPr>
        <w:fldChar w:fldCharType="separate"/>
      </w:r>
      <w:r>
        <w:rPr>
          <w:rFonts w:hint="eastAsia" w:ascii="Arial" w:hAnsi="Arial" w:cs="Arial"/>
          <w:szCs w:val="24"/>
        </w:rPr>
        <w:t>1.</w:t>
      </w:r>
      <w:r>
        <w:rPr>
          <w:rFonts w:hint="eastAsia" w:ascii="Arial" w:hAnsi="Arial" w:cs="Arial"/>
          <w:szCs w:val="24"/>
          <w:lang w:val="en-US" w:eastAsia="zh-CN"/>
        </w:rPr>
        <w:t>2</w:t>
      </w:r>
      <w:r>
        <w:rPr>
          <w:rFonts w:ascii="Arial" w:hAnsi="Arial" w:cs="Arial"/>
          <w:szCs w:val="24"/>
        </w:rPr>
        <w:t>项目</w:t>
      </w:r>
      <w:r>
        <w:rPr>
          <w:rFonts w:hint="eastAsia" w:ascii="Arial" w:hAnsi="Arial" w:cs="Arial"/>
          <w:szCs w:val="24"/>
        </w:rPr>
        <w:t>概况</w:t>
      </w:r>
      <w:r>
        <w:rPr>
          <w:rFonts w:ascii="Arial" w:hAnsi="Arial"/>
        </w:rPr>
        <w:tab/>
      </w:r>
      <w:r>
        <w:rPr>
          <w:rFonts w:ascii="Arial" w:hAnsi="Arial"/>
        </w:rPr>
        <w:fldChar w:fldCharType="begin"/>
      </w:r>
      <w:r>
        <w:rPr>
          <w:rFonts w:ascii="Arial" w:hAnsi="Arial"/>
        </w:rPr>
        <w:instrText xml:space="preserve"> PAGEREF _Toc1709 </w:instrText>
      </w:r>
      <w:r>
        <w:rPr>
          <w:rFonts w:ascii="Arial" w:hAnsi="Arial"/>
        </w:rPr>
        <w:fldChar w:fldCharType="separate"/>
      </w:r>
      <w:r>
        <w:rPr>
          <w:rFonts w:ascii="Arial" w:hAnsi="Arial"/>
        </w:rPr>
        <w:t>2</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_Toc3446 </w:instrText>
      </w:r>
      <w:r>
        <w:rPr>
          <w:rFonts w:ascii="Arial" w:hAnsi="Arial" w:cs="Arial"/>
          <w:szCs w:val="21"/>
        </w:rPr>
        <w:fldChar w:fldCharType="separate"/>
      </w:r>
      <w:r>
        <w:rPr>
          <w:rFonts w:ascii="Arial" w:hAnsi="Arial" w:cs="Arial"/>
          <w:szCs w:val="24"/>
        </w:rPr>
        <w:t>2重大事件披露</w:t>
      </w:r>
      <w:r>
        <w:rPr>
          <w:rFonts w:ascii="Arial" w:hAnsi="Arial"/>
        </w:rPr>
        <w:tab/>
      </w:r>
      <w:r>
        <w:rPr>
          <w:rFonts w:ascii="Arial" w:hAnsi="Arial"/>
        </w:rPr>
        <w:fldChar w:fldCharType="begin"/>
      </w:r>
      <w:r>
        <w:rPr>
          <w:rFonts w:ascii="Arial" w:hAnsi="Arial"/>
        </w:rPr>
        <w:instrText xml:space="preserve"> PAGEREF _Toc3446 </w:instrText>
      </w:r>
      <w:r>
        <w:rPr>
          <w:rFonts w:ascii="Arial" w:hAnsi="Arial"/>
        </w:rPr>
        <w:fldChar w:fldCharType="separate"/>
      </w:r>
      <w:r>
        <w:rPr>
          <w:rFonts w:ascii="Arial" w:hAnsi="Arial"/>
        </w:rPr>
        <w:t>3</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_Toc7182 </w:instrText>
      </w:r>
      <w:r>
        <w:rPr>
          <w:rFonts w:ascii="Arial" w:hAnsi="Arial" w:cs="Arial"/>
          <w:szCs w:val="21"/>
        </w:rPr>
        <w:fldChar w:fldCharType="separate"/>
      </w:r>
      <w:r>
        <w:rPr>
          <w:rFonts w:ascii="Arial" w:hAnsi="Arial" w:cs="Arial"/>
          <w:szCs w:val="24"/>
        </w:rPr>
        <w:t>3项目五证办理及施工进度情况</w:t>
      </w:r>
      <w:r>
        <w:rPr>
          <w:rFonts w:ascii="Arial" w:hAnsi="Arial"/>
        </w:rPr>
        <w:tab/>
      </w:r>
      <w:r>
        <w:rPr>
          <w:rFonts w:ascii="Arial" w:hAnsi="Arial"/>
        </w:rPr>
        <w:fldChar w:fldCharType="begin"/>
      </w:r>
      <w:r>
        <w:rPr>
          <w:rFonts w:ascii="Arial" w:hAnsi="Arial"/>
        </w:rPr>
        <w:instrText xml:space="preserve"> PAGEREF _Toc7182 </w:instrText>
      </w:r>
      <w:r>
        <w:rPr>
          <w:rFonts w:ascii="Arial" w:hAnsi="Arial"/>
        </w:rPr>
        <w:fldChar w:fldCharType="separate"/>
      </w:r>
      <w:r>
        <w:rPr>
          <w:rFonts w:ascii="Arial" w:hAnsi="Arial"/>
        </w:rPr>
        <w:t>4</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_Toc18979 </w:instrText>
      </w:r>
      <w:r>
        <w:rPr>
          <w:rFonts w:ascii="Arial" w:hAnsi="Arial" w:cs="Arial"/>
          <w:szCs w:val="21"/>
        </w:rPr>
        <w:fldChar w:fldCharType="separate"/>
      </w:r>
      <w:r>
        <w:rPr>
          <w:rFonts w:ascii="Arial" w:hAnsi="Arial" w:eastAsia="宋体" w:cs="Arial"/>
        </w:rPr>
        <w:t>3.1项目五证办理情况说明</w:t>
      </w:r>
      <w:r>
        <w:rPr>
          <w:rFonts w:ascii="Arial" w:hAnsi="Arial"/>
        </w:rPr>
        <w:tab/>
      </w:r>
      <w:r>
        <w:rPr>
          <w:rFonts w:ascii="Arial" w:hAnsi="Arial"/>
        </w:rPr>
        <w:fldChar w:fldCharType="begin"/>
      </w:r>
      <w:r>
        <w:rPr>
          <w:rFonts w:ascii="Arial" w:hAnsi="Arial"/>
        </w:rPr>
        <w:instrText xml:space="preserve"> PAGEREF _Toc18979 </w:instrText>
      </w:r>
      <w:r>
        <w:rPr>
          <w:rFonts w:ascii="Arial" w:hAnsi="Arial"/>
        </w:rPr>
        <w:fldChar w:fldCharType="separate"/>
      </w:r>
      <w:r>
        <w:rPr>
          <w:rFonts w:ascii="Arial" w:hAnsi="Arial"/>
        </w:rPr>
        <w:t>4</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_Toc10811 </w:instrText>
      </w:r>
      <w:r>
        <w:rPr>
          <w:rFonts w:ascii="Arial" w:hAnsi="Arial" w:cs="Arial"/>
          <w:szCs w:val="21"/>
        </w:rPr>
        <w:fldChar w:fldCharType="separate"/>
      </w:r>
      <w:r>
        <w:rPr>
          <w:rFonts w:ascii="Arial" w:hAnsi="Arial" w:eastAsia="宋体" w:cs="Arial"/>
        </w:rPr>
        <w:t>3.2项目施工情况</w:t>
      </w:r>
      <w:r>
        <w:rPr>
          <w:rFonts w:ascii="Arial" w:hAnsi="Arial"/>
        </w:rPr>
        <w:tab/>
      </w:r>
      <w:r>
        <w:rPr>
          <w:rFonts w:ascii="Arial" w:hAnsi="Arial"/>
        </w:rPr>
        <w:fldChar w:fldCharType="begin"/>
      </w:r>
      <w:r>
        <w:rPr>
          <w:rFonts w:ascii="Arial" w:hAnsi="Arial"/>
        </w:rPr>
        <w:instrText xml:space="preserve"> PAGEREF _Toc10811 </w:instrText>
      </w:r>
      <w:r>
        <w:rPr>
          <w:rFonts w:ascii="Arial" w:hAnsi="Arial"/>
        </w:rPr>
        <w:fldChar w:fldCharType="separate"/>
      </w:r>
      <w:r>
        <w:rPr>
          <w:rFonts w:ascii="Arial" w:hAnsi="Arial"/>
        </w:rPr>
        <w:t>5</w:t>
      </w:r>
      <w:r>
        <w:rPr>
          <w:rFonts w:ascii="Arial" w:hAnsi="Arial"/>
        </w:rPr>
        <w:fldChar w:fldCharType="end"/>
      </w:r>
      <w:r>
        <w:rPr>
          <w:rFonts w:ascii="Arial" w:hAnsi="Arial" w:cs="Arial"/>
          <w:color w:val="000000"/>
          <w:szCs w:val="21"/>
        </w:rPr>
        <w:fldChar w:fldCharType="end"/>
      </w:r>
    </w:p>
    <w:p>
      <w:pPr>
        <w:pStyle w:val="8"/>
        <w:tabs>
          <w:tab w:val="right" w:leader="dot" w:pos="9298"/>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_Toc8985 </w:instrText>
      </w:r>
      <w:r>
        <w:rPr>
          <w:rFonts w:ascii="Arial" w:hAnsi="Arial" w:cs="Arial"/>
          <w:szCs w:val="21"/>
        </w:rPr>
        <w:fldChar w:fldCharType="separate"/>
      </w:r>
      <w:r>
        <w:rPr>
          <w:rFonts w:ascii="Arial" w:hAnsi="Arial" w:eastAsia="宋体" w:cs="Arial"/>
        </w:rPr>
        <w:t>3.2</w:t>
      </w:r>
      <w:r>
        <w:rPr>
          <w:rFonts w:hint="eastAsia" w:ascii="Arial" w:hAnsi="Arial" w:eastAsia="宋体" w:cs="Arial"/>
        </w:rPr>
        <w:t>.1</w:t>
      </w:r>
      <w:r>
        <w:rPr>
          <w:rFonts w:ascii="Arial" w:hAnsi="Arial" w:eastAsia="宋体" w:cs="Arial"/>
        </w:rPr>
        <w:t>项目2020年8月施工进度情况及9月施工计划</w:t>
      </w:r>
      <w:r>
        <w:rPr>
          <w:rFonts w:ascii="Arial" w:hAnsi="Arial"/>
        </w:rPr>
        <w:tab/>
      </w:r>
      <w:r>
        <w:rPr>
          <w:rFonts w:ascii="Arial" w:hAnsi="Arial"/>
        </w:rPr>
        <w:fldChar w:fldCharType="begin"/>
      </w:r>
      <w:r>
        <w:rPr>
          <w:rFonts w:ascii="Arial" w:hAnsi="Arial"/>
        </w:rPr>
        <w:instrText xml:space="preserve"> PAGEREF _Toc8985 </w:instrText>
      </w:r>
      <w:r>
        <w:rPr>
          <w:rFonts w:ascii="Arial" w:hAnsi="Arial"/>
        </w:rPr>
        <w:fldChar w:fldCharType="separate"/>
      </w:r>
      <w:r>
        <w:rPr>
          <w:rFonts w:ascii="Arial" w:hAnsi="Arial"/>
        </w:rPr>
        <w:t>5</w:t>
      </w:r>
      <w:r>
        <w:rPr>
          <w:rFonts w:ascii="Arial" w:hAnsi="Arial"/>
        </w:rPr>
        <w:fldChar w:fldCharType="end"/>
      </w:r>
      <w:r>
        <w:rPr>
          <w:rFonts w:ascii="Arial" w:hAnsi="Arial" w:cs="Arial"/>
          <w:color w:val="000000"/>
          <w:szCs w:val="21"/>
        </w:rPr>
        <w:fldChar w:fldCharType="end"/>
      </w:r>
    </w:p>
    <w:p>
      <w:pPr>
        <w:pStyle w:val="8"/>
        <w:tabs>
          <w:tab w:val="right" w:leader="dot" w:pos="9298"/>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_Toc9339 </w:instrText>
      </w:r>
      <w:r>
        <w:rPr>
          <w:rFonts w:ascii="Arial" w:hAnsi="Arial" w:cs="Arial"/>
          <w:szCs w:val="21"/>
        </w:rPr>
        <w:fldChar w:fldCharType="separate"/>
      </w:r>
      <w:r>
        <w:rPr>
          <w:rFonts w:ascii="Arial" w:hAnsi="Arial" w:eastAsia="宋体" w:cs="Arial"/>
        </w:rPr>
        <w:t>3.2</w:t>
      </w:r>
      <w:r>
        <w:rPr>
          <w:rFonts w:hint="eastAsia" w:ascii="Arial" w:hAnsi="Arial" w:eastAsia="宋体" w:cs="Arial"/>
        </w:rPr>
        <w:t>.</w:t>
      </w:r>
      <w:r>
        <w:rPr>
          <w:rFonts w:hint="eastAsia" w:ascii="Arial" w:hAnsi="Arial" w:eastAsia="宋体" w:cs="Arial"/>
          <w:lang w:val="en-US" w:eastAsia="zh-CN"/>
        </w:rPr>
        <w:t>2</w:t>
      </w:r>
      <w:r>
        <w:rPr>
          <w:rFonts w:ascii="Arial" w:hAnsi="Arial" w:eastAsia="宋体" w:cs="Arial"/>
        </w:rPr>
        <w:t>项目施工进度</w:t>
      </w:r>
      <w:r>
        <w:rPr>
          <w:rFonts w:hint="eastAsia" w:ascii="Arial" w:hAnsi="Arial" w:eastAsia="宋体" w:cs="Arial"/>
        </w:rPr>
        <w:t>分析</w:t>
      </w:r>
      <w:r>
        <w:rPr>
          <w:rFonts w:ascii="Arial" w:hAnsi="Arial"/>
        </w:rPr>
        <w:tab/>
      </w:r>
      <w:r>
        <w:rPr>
          <w:rFonts w:ascii="Arial" w:hAnsi="Arial"/>
        </w:rPr>
        <w:fldChar w:fldCharType="begin"/>
      </w:r>
      <w:r>
        <w:rPr>
          <w:rFonts w:ascii="Arial" w:hAnsi="Arial"/>
        </w:rPr>
        <w:instrText xml:space="preserve"> PAGEREF _Toc9339 </w:instrText>
      </w:r>
      <w:r>
        <w:rPr>
          <w:rFonts w:ascii="Arial" w:hAnsi="Arial"/>
        </w:rPr>
        <w:fldChar w:fldCharType="separate"/>
      </w:r>
      <w:r>
        <w:rPr>
          <w:rFonts w:ascii="Arial" w:hAnsi="Arial"/>
        </w:rPr>
        <w:t>5</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_Toc30229 </w:instrText>
      </w:r>
      <w:r>
        <w:rPr>
          <w:rFonts w:ascii="Arial" w:hAnsi="Arial" w:cs="Arial"/>
          <w:szCs w:val="21"/>
        </w:rPr>
        <w:fldChar w:fldCharType="separate"/>
      </w:r>
      <w:r>
        <w:rPr>
          <w:rFonts w:ascii="Arial" w:hAnsi="Arial" w:cs="Arial"/>
          <w:szCs w:val="24"/>
        </w:rPr>
        <w:t>4印鉴使用情况</w:t>
      </w:r>
      <w:r>
        <w:rPr>
          <w:rFonts w:ascii="Arial" w:hAnsi="Arial"/>
        </w:rPr>
        <w:tab/>
      </w:r>
      <w:r>
        <w:rPr>
          <w:rFonts w:ascii="Arial" w:hAnsi="Arial"/>
        </w:rPr>
        <w:fldChar w:fldCharType="begin"/>
      </w:r>
      <w:r>
        <w:rPr>
          <w:rFonts w:ascii="Arial" w:hAnsi="Arial"/>
        </w:rPr>
        <w:instrText xml:space="preserve"> PAGEREF _Toc30229 </w:instrText>
      </w:r>
      <w:r>
        <w:rPr>
          <w:rFonts w:ascii="Arial" w:hAnsi="Arial"/>
        </w:rPr>
        <w:fldChar w:fldCharType="separate"/>
      </w:r>
      <w:r>
        <w:rPr>
          <w:rFonts w:ascii="Arial" w:hAnsi="Arial"/>
        </w:rPr>
        <w:t>7</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_Toc29432 </w:instrText>
      </w:r>
      <w:r>
        <w:rPr>
          <w:rFonts w:ascii="Arial" w:hAnsi="Arial" w:cs="Arial"/>
          <w:szCs w:val="21"/>
        </w:rPr>
        <w:fldChar w:fldCharType="separate"/>
      </w:r>
      <w:r>
        <w:rPr>
          <w:rFonts w:ascii="Arial" w:hAnsi="Arial" w:cs="Arial"/>
          <w:szCs w:val="24"/>
        </w:rPr>
        <w:t>5合同签订情况</w:t>
      </w:r>
      <w:r>
        <w:rPr>
          <w:rFonts w:ascii="Arial" w:hAnsi="Arial"/>
        </w:rPr>
        <w:tab/>
      </w:r>
      <w:r>
        <w:rPr>
          <w:rFonts w:ascii="Arial" w:hAnsi="Arial"/>
        </w:rPr>
        <w:fldChar w:fldCharType="begin"/>
      </w:r>
      <w:r>
        <w:rPr>
          <w:rFonts w:ascii="Arial" w:hAnsi="Arial"/>
        </w:rPr>
        <w:instrText xml:space="preserve"> PAGEREF _Toc29432 </w:instrText>
      </w:r>
      <w:r>
        <w:rPr>
          <w:rFonts w:ascii="Arial" w:hAnsi="Arial"/>
        </w:rPr>
        <w:fldChar w:fldCharType="separate"/>
      </w:r>
      <w:r>
        <w:rPr>
          <w:rFonts w:ascii="Arial" w:hAnsi="Arial"/>
        </w:rPr>
        <w:t>8</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_Toc3695 </w:instrText>
      </w:r>
      <w:r>
        <w:rPr>
          <w:rFonts w:ascii="Arial" w:hAnsi="Arial" w:cs="Arial"/>
          <w:szCs w:val="21"/>
        </w:rPr>
        <w:fldChar w:fldCharType="separate"/>
      </w:r>
      <w:r>
        <w:rPr>
          <w:rFonts w:hint="eastAsia" w:ascii="Arial" w:hAnsi="Arial" w:eastAsia="宋体" w:cs="Arial"/>
        </w:rPr>
        <w:t>5</w:t>
      </w:r>
      <w:r>
        <w:rPr>
          <w:rFonts w:ascii="Arial" w:hAnsi="Arial" w:eastAsia="宋体" w:cs="Arial"/>
        </w:rPr>
        <w:t>.1</w:t>
      </w:r>
      <w:r>
        <w:rPr>
          <w:rFonts w:hint="eastAsia" w:ascii="Arial" w:hAnsi="Arial" w:eastAsia="宋体" w:cs="Arial"/>
        </w:rPr>
        <w:t>新签订合同</w:t>
      </w:r>
      <w:r>
        <w:rPr>
          <w:rFonts w:ascii="Arial" w:hAnsi="Arial" w:eastAsia="宋体" w:cs="Arial"/>
        </w:rPr>
        <w:t>情况</w:t>
      </w:r>
      <w:r>
        <w:rPr>
          <w:rFonts w:ascii="Arial" w:hAnsi="Arial"/>
        </w:rPr>
        <w:tab/>
      </w:r>
      <w:r>
        <w:rPr>
          <w:rFonts w:ascii="Arial" w:hAnsi="Arial"/>
        </w:rPr>
        <w:fldChar w:fldCharType="begin"/>
      </w:r>
      <w:r>
        <w:rPr>
          <w:rFonts w:ascii="Arial" w:hAnsi="Arial"/>
        </w:rPr>
        <w:instrText xml:space="preserve"> PAGEREF _Toc3695 </w:instrText>
      </w:r>
      <w:r>
        <w:rPr>
          <w:rFonts w:ascii="Arial" w:hAnsi="Arial"/>
        </w:rPr>
        <w:fldChar w:fldCharType="separate"/>
      </w:r>
      <w:r>
        <w:rPr>
          <w:rFonts w:ascii="Arial" w:hAnsi="Arial"/>
        </w:rPr>
        <w:t>8</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_Toc4122 </w:instrText>
      </w:r>
      <w:r>
        <w:rPr>
          <w:rFonts w:ascii="Arial" w:hAnsi="Arial" w:cs="Arial"/>
          <w:szCs w:val="21"/>
        </w:rPr>
        <w:fldChar w:fldCharType="separate"/>
      </w:r>
      <w:r>
        <w:rPr>
          <w:rFonts w:hint="eastAsia" w:ascii="Arial" w:hAnsi="Arial" w:eastAsia="宋体" w:cs="Arial"/>
        </w:rPr>
        <w:t>5</w:t>
      </w:r>
      <w:r>
        <w:rPr>
          <w:rFonts w:ascii="Arial" w:hAnsi="Arial" w:eastAsia="宋体" w:cs="Arial"/>
        </w:rPr>
        <w:t>.</w:t>
      </w:r>
      <w:r>
        <w:rPr>
          <w:rFonts w:hint="eastAsia" w:ascii="Arial" w:hAnsi="Arial" w:eastAsia="宋体" w:cs="Arial"/>
        </w:rPr>
        <w:t>2</w:t>
      </w:r>
      <w:r>
        <w:rPr>
          <w:rFonts w:hint="eastAsia" w:ascii="Arial" w:hAnsi="Arial" w:eastAsia="宋体" w:cs="Arial"/>
          <w:lang w:eastAsia="zh-CN"/>
        </w:rPr>
        <w:t>项目</w:t>
      </w:r>
      <w:r>
        <w:rPr>
          <w:rFonts w:hint="eastAsia" w:ascii="Arial" w:hAnsi="Arial" w:eastAsia="宋体" w:cs="Arial"/>
        </w:rPr>
        <w:t>合同支付</w:t>
      </w:r>
      <w:r>
        <w:rPr>
          <w:rFonts w:ascii="Arial" w:hAnsi="Arial" w:eastAsia="宋体" w:cs="Arial"/>
        </w:rPr>
        <w:t>情况</w:t>
      </w:r>
      <w:r>
        <w:rPr>
          <w:rFonts w:ascii="Arial" w:hAnsi="Arial"/>
        </w:rPr>
        <w:tab/>
      </w:r>
      <w:r>
        <w:rPr>
          <w:rFonts w:ascii="Arial" w:hAnsi="Arial"/>
        </w:rPr>
        <w:fldChar w:fldCharType="begin"/>
      </w:r>
      <w:r>
        <w:rPr>
          <w:rFonts w:ascii="Arial" w:hAnsi="Arial"/>
        </w:rPr>
        <w:instrText xml:space="preserve"> PAGEREF _Toc4122 </w:instrText>
      </w:r>
      <w:r>
        <w:rPr>
          <w:rFonts w:ascii="Arial" w:hAnsi="Arial"/>
        </w:rPr>
        <w:fldChar w:fldCharType="separate"/>
      </w:r>
      <w:r>
        <w:rPr>
          <w:rFonts w:ascii="Arial" w:hAnsi="Arial"/>
        </w:rPr>
        <w:t>9</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_Toc12183 </w:instrText>
      </w:r>
      <w:r>
        <w:rPr>
          <w:rFonts w:ascii="Arial" w:hAnsi="Arial" w:cs="Arial"/>
          <w:szCs w:val="21"/>
        </w:rPr>
        <w:fldChar w:fldCharType="separate"/>
      </w:r>
      <w:r>
        <w:rPr>
          <w:rFonts w:ascii="Arial" w:hAnsi="Arial" w:cs="Arial"/>
          <w:szCs w:val="24"/>
        </w:rPr>
        <w:t>6资金情况</w:t>
      </w:r>
      <w:r>
        <w:rPr>
          <w:rFonts w:ascii="Arial" w:hAnsi="Arial"/>
        </w:rPr>
        <w:tab/>
      </w:r>
      <w:r>
        <w:rPr>
          <w:rFonts w:ascii="Arial" w:hAnsi="Arial"/>
        </w:rPr>
        <w:fldChar w:fldCharType="begin"/>
      </w:r>
      <w:r>
        <w:rPr>
          <w:rFonts w:ascii="Arial" w:hAnsi="Arial"/>
        </w:rPr>
        <w:instrText xml:space="preserve"> PAGEREF _Toc12183 </w:instrText>
      </w:r>
      <w:r>
        <w:rPr>
          <w:rFonts w:ascii="Arial" w:hAnsi="Arial"/>
        </w:rPr>
        <w:fldChar w:fldCharType="separate"/>
      </w:r>
      <w:r>
        <w:rPr>
          <w:rFonts w:ascii="Arial" w:hAnsi="Arial"/>
        </w:rPr>
        <w:t>11</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_Toc16788 </w:instrText>
      </w:r>
      <w:r>
        <w:rPr>
          <w:rFonts w:ascii="Arial" w:hAnsi="Arial" w:cs="Arial"/>
          <w:szCs w:val="21"/>
        </w:rPr>
        <w:fldChar w:fldCharType="separate"/>
      </w:r>
      <w:r>
        <w:rPr>
          <w:rFonts w:ascii="Arial" w:hAnsi="Arial" w:eastAsia="宋体" w:cs="Arial"/>
        </w:rPr>
        <w:t>6.1资金流出情况</w:t>
      </w:r>
      <w:r>
        <w:rPr>
          <w:rFonts w:ascii="Arial" w:hAnsi="Arial"/>
        </w:rPr>
        <w:tab/>
      </w:r>
      <w:r>
        <w:rPr>
          <w:rFonts w:ascii="Arial" w:hAnsi="Arial"/>
        </w:rPr>
        <w:fldChar w:fldCharType="begin"/>
      </w:r>
      <w:r>
        <w:rPr>
          <w:rFonts w:ascii="Arial" w:hAnsi="Arial"/>
        </w:rPr>
        <w:instrText xml:space="preserve"> PAGEREF _Toc16788 </w:instrText>
      </w:r>
      <w:r>
        <w:rPr>
          <w:rFonts w:ascii="Arial" w:hAnsi="Arial"/>
        </w:rPr>
        <w:fldChar w:fldCharType="separate"/>
      </w:r>
      <w:r>
        <w:rPr>
          <w:rFonts w:ascii="Arial" w:hAnsi="Arial"/>
        </w:rPr>
        <w:t>11</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_Toc24690 </w:instrText>
      </w:r>
      <w:r>
        <w:rPr>
          <w:rFonts w:ascii="Arial" w:hAnsi="Arial" w:cs="Arial"/>
          <w:szCs w:val="21"/>
        </w:rPr>
        <w:fldChar w:fldCharType="separate"/>
      </w:r>
      <w:r>
        <w:rPr>
          <w:rFonts w:ascii="Arial" w:hAnsi="Arial" w:eastAsia="宋体" w:cs="Arial"/>
        </w:rPr>
        <w:t>6.</w:t>
      </w:r>
      <w:r>
        <w:rPr>
          <w:rFonts w:hint="eastAsia" w:ascii="Arial" w:hAnsi="Arial" w:eastAsia="宋体" w:cs="Arial"/>
        </w:rPr>
        <w:t>2</w:t>
      </w:r>
      <w:r>
        <w:rPr>
          <w:rFonts w:ascii="Arial" w:hAnsi="Arial" w:eastAsia="宋体" w:cs="Arial"/>
        </w:rPr>
        <w:t>资金流入情况</w:t>
      </w:r>
      <w:r>
        <w:rPr>
          <w:rFonts w:ascii="Arial" w:hAnsi="Arial"/>
        </w:rPr>
        <w:tab/>
      </w:r>
      <w:r>
        <w:rPr>
          <w:rFonts w:ascii="Arial" w:hAnsi="Arial"/>
        </w:rPr>
        <w:fldChar w:fldCharType="begin"/>
      </w:r>
      <w:r>
        <w:rPr>
          <w:rFonts w:ascii="Arial" w:hAnsi="Arial"/>
        </w:rPr>
        <w:instrText xml:space="preserve"> PAGEREF _Toc24690 </w:instrText>
      </w:r>
      <w:r>
        <w:rPr>
          <w:rFonts w:ascii="Arial" w:hAnsi="Arial"/>
        </w:rPr>
        <w:fldChar w:fldCharType="separate"/>
      </w:r>
      <w:r>
        <w:rPr>
          <w:rFonts w:ascii="Arial" w:hAnsi="Arial"/>
        </w:rPr>
        <w:t>14</w:t>
      </w:r>
      <w:r>
        <w:rPr>
          <w:rFonts w:ascii="Arial" w:hAnsi="Arial"/>
        </w:rPr>
        <w:fldChar w:fldCharType="end"/>
      </w:r>
      <w:r>
        <w:rPr>
          <w:rFonts w:ascii="Arial" w:hAnsi="Arial" w:cs="Arial"/>
          <w:color w:val="000000"/>
          <w:szCs w:val="21"/>
        </w:rPr>
        <w:fldChar w:fldCharType="end"/>
      </w:r>
    </w:p>
    <w:p>
      <w:pPr>
        <w:pStyle w:val="8"/>
        <w:tabs>
          <w:tab w:val="right" w:leader="dot" w:pos="9298"/>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_Toc21192 </w:instrText>
      </w:r>
      <w:r>
        <w:rPr>
          <w:rFonts w:ascii="Arial" w:hAnsi="Arial" w:cs="Arial"/>
          <w:szCs w:val="21"/>
        </w:rPr>
        <w:fldChar w:fldCharType="separate"/>
      </w:r>
      <w:r>
        <w:rPr>
          <w:rFonts w:hint="eastAsia" w:ascii="Arial" w:hAnsi="Arial"/>
          <w:lang w:val="en-US" w:eastAsia="zh-CN"/>
        </w:rPr>
        <w:t>6</w:t>
      </w:r>
      <w:r>
        <w:rPr>
          <w:rFonts w:hint="eastAsia" w:ascii="Arial" w:hAnsi="Arial"/>
        </w:rPr>
        <w:t>.2.1销售回款流入</w:t>
      </w:r>
      <w:r>
        <w:rPr>
          <w:rFonts w:ascii="Arial" w:hAnsi="Arial"/>
        </w:rPr>
        <w:tab/>
      </w:r>
      <w:r>
        <w:rPr>
          <w:rFonts w:ascii="Arial" w:hAnsi="Arial"/>
        </w:rPr>
        <w:fldChar w:fldCharType="begin"/>
      </w:r>
      <w:r>
        <w:rPr>
          <w:rFonts w:ascii="Arial" w:hAnsi="Arial"/>
        </w:rPr>
        <w:instrText xml:space="preserve"> PAGEREF _Toc21192 </w:instrText>
      </w:r>
      <w:r>
        <w:rPr>
          <w:rFonts w:ascii="Arial" w:hAnsi="Arial"/>
        </w:rPr>
        <w:fldChar w:fldCharType="separate"/>
      </w:r>
      <w:r>
        <w:rPr>
          <w:rFonts w:ascii="Arial" w:hAnsi="Arial"/>
        </w:rPr>
        <w:t>14</w:t>
      </w:r>
      <w:r>
        <w:rPr>
          <w:rFonts w:ascii="Arial" w:hAnsi="Arial"/>
        </w:rPr>
        <w:fldChar w:fldCharType="end"/>
      </w:r>
      <w:r>
        <w:rPr>
          <w:rFonts w:ascii="Arial" w:hAnsi="Arial" w:cs="Arial"/>
          <w:color w:val="000000"/>
          <w:szCs w:val="21"/>
        </w:rPr>
        <w:fldChar w:fldCharType="end"/>
      </w:r>
    </w:p>
    <w:p>
      <w:pPr>
        <w:pStyle w:val="8"/>
        <w:tabs>
          <w:tab w:val="right" w:leader="dot" w:pos="9298"/>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_Toc26273 </w:instrText>
      </w:r>
      <w:r>
        <w:rPr>
          <w:rFonts w:ascii="Arial" w:hAnsi="Arial" w:cs="Arial"/>
          <w:szCs w:val="21"/>
        </w:rPr>
        <w:fldChar w:fldCharType="separate"/>
      </w:r>
      <w:r>
        <w:rPr>
          <w:rFonts w:hint="eastAsia" w:ascii="Arial" w:hAnsi="Arial"/>
          <w:lang w:val="en-US" w:eastAsia="zh-CN"/>
        </w:rPr>
        <w:t>6</w:t>
      </w:r>
      <w:r>
        <w:rPr>
          <w:rFonts w:hint="eastAsia" w:ascii="Arial" w:hAnsi="Arial"/>
        </w:rPr>
        <w:t>.2.2其他资金流入</w:t>
      </w:r>
      <w:r>
        <w:rPr>
          <w:rFonts w:ascii="Arial" w:hAnsi="Arial"/>
        </w:rPr>
        <w:tab/>
      </w:r>
      <w:r>
        <w:rPr>
          <w:rFonts w:ascii="Arial" w:hAnsi="Arial"/>
        </w:rPr>
        <w:fldChar w:fldCharType="begin"/>
      </w:r>
      <w:r>
        <w:rPr>
          <w:rFonts w:ascii="Arial" w:hAnsi="Arial"/>
        </w:rPr>
        <w:instrText xml:space="preserve"> PAGEREF _Toc26273 </w:instrText>
      </w:r>
      <w:r>
        <w:rPr>
          <w:rFonts w:ascii="Arial" w:hAnsi="Arial"/>
        </w:rPr>
        <w:fldChar w:fldCharType="separate"/>
      </w:r>
      <w:r>
        <w:rPr>
          <w:rFonts w:ascii="Arial" w:hAnsi="Arial"/>
        </w:rPr>
        <w:t>14</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_Toc9082 </w:instrText>
      </w:r>
      <w:r>
        <w:rPr>
          <w:rFonts w:ascii="Arial" w:hAnsi="Arial" w:cs="Arial"/>
          <w:szCs w:val="21"/>
        </w:rPr>
        <w:fldChar w:fldCharType="separate"/>
      </w:r>
      <w:r>
        <w:rPr>
          <w:rFonts w:ascii="Arial" w:hAnsi="Arial" w:eastAsia="宋体" w:cs="Arial"/>
        </w:rPr>
        <w:t>6.</w:t>
      </w:r>
      <w:r>
        <w:rPr>
          <w:rFonts w:hint="eastAsia" w:ascii="Arial" w:hAnsi="Arial" w:eastAsia="宋体" w:cs="Arial"/>
          <w:lang w:val="en-US" w:eastAsia="zh-CN"/>
        </w:rPr>
        <w:t>3</w:t>
      </w:r>
      <w:r>
        <w:rPr>
          <w:rFonts w:hint="eastAsia" w:ascii="Arial" w:hAnsi="Arial" w:eastAsia="宋体" w:cs="Arial"/>
          <w:lang w:eastAsia="zh-CN"/>
        </w:rPr>
        <w:t>各类保证金</w:t>
      </w:r>
      <w:r>
        <w:rPr>
          <w:rFonts w:ascii="Arial" w:hAnsi="Arial" w:eastAsia="宋体" w:cs="Arial"/>
        </w:rPr>
        <w:t>情况</w:t>
      </w:r>
      <w:r>
        <w:rPr>
          <w:rFonts w:ascii="Arial" w:hAnsi="Arial"/>
        </w:rPr>
        <w:tab/>
      </w:r>
      <w:r>
        <w:rPr>
          <w:rFonts w:ascii="Arial" w:hAnsi="Arial"/>
        </w:rPr>
        <w:fldChar w:fldCharType="begin"/>
      </w:r>
      <w:r>
        <w:rPr>
          <w:rFonts w:ascii="Arial" w:hAnsi="Arial"/>
        </w:rPr>
        <w:instrText xml:space="preserve"> PAGEREF _Toc9082 </w:instrText>
      </w:r>
      <w:r>
        <w:rPr>
          <w:rFonts w:ascii="Arial" w:hAnsi="Arial"/>
        </w:rPr>
        <w:fldChar w:fldCharType="separate"/>
      </w:r>
      <w:r>
        <w:rPr>
          <w:rFonts w:ascii="Arial" w:hAnsi="Arial"/>
        </w:rPr>
        <w:t>14</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_Toc6388 </w:instrText>
      </w:r>
      <w:r>
        <w:rPr>
          <w:rFonts w:ascii="Arial" w:hAnsi="Arial" w:cs="Arial"/>
          <w:szCs w:val="21"/>
        </w:rPr>
        <w:fldChar w:fldCharType="separate"/>
      </w:r>
      <w:r>
        <w:rPr>
          <w:rFonts w:ascii="Arial" w:hAnsi="Arial" w:eastAsia="宋体" w:cs="Arial"/>
        </w:rPr>
        <w:t>6.</w:t>
      </w:r>
      <w:r>
        <w:rPr>
          <w:rFonts w:hint="eastAsia" w:ascii="Arial" w:hAnsi="Arial" w:eastAsia="宋体" w:cs="Arial"/>
          <w:lang w:val="en-US" w:eastAsia="zh-CN"/>
        </w:rPr>
        <w:t>4</w:t>
      </w:r>
      <w:r>
        <w:rPr>
          <w:rFonts w:ascii="Arial" w:hAnsi="Arial" w:eastAsia="宋体" w:cs="Arial"/>
        </w:rPr>
        <w:t>各银行账户余额</w:t>
      </w:r>
      <w:r>
        <w:rPr>
          <w:rFonts w:ascii="Arial" w:hAnsi="Arial"/>
        </w:rPr>
        <w:tab/>
      </w:r>
      <w:r>
        <w:rPr>
          <w:rFonts w:ascii="Arial" w:hAnsi="Arial"/>
        </w:rPr>
        <w:fldChar w:fldCharType="begin"/>
      </w:r>
      <w:r>
        <w:rPr>
          <w:rFonts w:ascii="Arial" w:hAnsi="Arial"/>
        </w:rPr>
        <w:instrText xml:space="preserve"> PAGEREF _Toc6388 </w:instrText>
      </w:r>
      <w:r>
        <w:rPr>
          <w:rFonts w:ascii="Arial" w:hAnsi="Arial"/>
        </w:rPr>
        <w:fldChar w:fldCharType="separate"/>
      </w:r>
      <w:r>
        <w:rPr>
          <w:rFonts w:ascii="Arial" w:hAnsi="Arial"/>
        </w:rPr>
        <w:t>14</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_Toc13542 </w:instrText>
      </w:r>
      <w:r>
        <w:rPr>
          <w:rFonts w:ascii="Arial" w:hAnsi="Arial" w:cs="Arial"/>
          <w:szCs w:val="21"/>
        </w:rPr>
        <w:fldChar w:fldCharType="separate"/>
      </w:r>
      <w:r>
        <w:rPr>
          <w:rFonts w:hint="eastAsia" w:ascii="Arial" w:hAnsi="Arial" w:cs="Arial"/>
          <w:szCs w:val="24"/>
        </w:rPr>
        <w:t>7项目成本统计</w:t>
      </w:r>
      <w:r>
        <w:rPr>
          <w:rFonts w:ascii="Arial" w:hAnsi="Arial"/>
        </w:rPr>
        <w:tab/>
      </w:r>
      <w:r>
        <w:rPr>
          <w:rFonts w:ascii="Arial" w:hAnsi="Arial"/>
        </w:rPr>
        <w:fldChar w:fldCharType="begin"/>
      </w:r>
      <w:r>
        <w:rPr>
          <w:rFonts w:ascii="Arial" w:hAnsi="Arial"/>
        </w:rPr>
        <w:instrText xml:space="preserve"> PAGEREF _Toc13542 </w:instrText>
      </w:r>
      <w:r>
        <w:rPr>
          <w:rFonts w:ascii="Arial" w:hAnsi="Arial"/>
        </w:rPr>
        <w:fldChar w:fldCharType="separate"/>
      </w:r>
      <w:r>
        <w:rPr>
          <w:rFonts w:ascii="Arial" w:hAnsi="Arial"/>
        </w:rPr>
        <w:t>15</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_Toc10911 </w:instrText>
      </w:r>
      <w:r>
        <w:rPr>
          <w:rFonts w:ascii="Arial" w:hAnsi="Arial" w:cs="Arial"/>
          <w:szCs w:val="21"/>
        </w:rPr>
        <w:fldChar w:fldCharType="separate"/>
      </w:r>
      <w:r>
        <w:rPr>
          <w:rFonts w:hint="eastAsia" w:ascii="Arial" w:hAnsi="Arial" w:cs="Arial"/>
          <w:szCs w:val="24"/>
        </w:rPr>
        <w:t>7.1</w:t>
      </w:r>
      <w:r>
        <w:rPr>
          <w:rFonts w:ascii="Arial" w:hAnsi="Arial" w:eastAsia="宋体" w:cs="Arial"/>
        </w:rPr>
        <w:t>资金</w:t>
      </w:r>
      <w:r>
        <w:rPr>
          <w:rFonts w:hint="eastAsia" w:ascii="Arial" w:hAnsi="Arial" w:eastAsia="宋体" w:cs="Arial"/>
        </w:rPr>
        <w:t>使用</w:t>
      </w:r>
      <w:r>
        <w:rPr>
          <w:rFonts w:ascii="Arial" w:hAnsi="Arial" w:eastAsia="宋体" w:cs="Arial"/>
        </w:rPr>
        <w:t>情况</w:t>
      </w:r>
      <w:r>
        <w:rPr>
          <w:rFonts w:hint="eastAsia" w:ascii="Arial" w:hAnsi="Arial" w:eastAsia="宋体" w:cs="Arial"/>
        </w:rPr>
        <w:t>统计</w:t>
      </w:r>
      <w:r>
        <w:rPr>
          <w:rFonts w:ascii="Arial" w:hAnsi="Arial"/>
        </w:rPr>
        <w:tab/>
      </w:r>
      <w:r>
        <w:rPr>
          <w:rFonts w:ascii="Arial" w:hAnsi="Arial"/>
        </w:rPr>
        <w:fldChar w:fldCharType="begin"/>
      </w:r>
      <w:r>
        <w:rPr>
          <w:rFonts w:ascii="Arial" w:hAnsi="Arial"/>
        </w:rPr>
        <w:instrText xml:space="preserve"> PAGEREF _Toc10911 </w:instrText>
      </w:r>
      <w:r>
        <w:rPr>
          <w:rFonts w:ascii="Arial" w:hAnsi="Arial"/>
        </w:rPr>
        <w:fldChar w:fldCharType="separate"/>
      </w:r>
      <w:r>
        <w:rPr>
          <w:rFonts w:ascii="Arial" w:hAnsi="Arial"/>
        </w:rPr>
        <w:t>15</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_Toc23787 </w:instrText>
      </w:r>
      <w:r>
        <w:rPr>
          <w:rFonts w:ascii="Arial" w:hAnsi="Arial" w:cs="Arial"/>
          <w:szCs w:val="21"/>
        </w:rPr>
        <w:fldChar w:fldCharType="separate"/>
      </w:r>
      <w:r>
        <w:rPr>
          <w:rFonts w:hint="eastAsia" w:ascii="Arial" w:hAnsi="Arial" w:eastAsia="宋体" w:cs="Arial"/>
        </w:rPr>
        <w:t>7</w:t>
      </w:r>
      <w:r>
        <w:rPr>
          <w:rFonts w:ascii="Arial" w:hAnsi="Arial" w:eastAsia="宋体" w:cs="Arial"/>
        </w:rPr>
        <w:t>.</w:t>
      </w:r>
      <w:r>
        <w:rPr>
          <w:rFonts w:hint="eastAsia" w:ascii="Arial" w:hAnsi="Arial" w:eastAsia="宋体" w:cs="Arial"/>
        </w:rPr>
        <w:t>2合约成本统计</w:t>
      </w:r>
      <w:r>
        <w:rPr>
          <w:rFonts w:ascii="Arial" w:hAnsi="Arial"/>
        </w:rPr>
        <w:tab/>
      </w:r>
      <w:r>
        <w:rPr>
          <w:rFonts w:ascii="Arial" w:hAnsi="Arial"/>
        </w:rPr>
        <w:fldChar w:fldCharType="begin"/>
      </w:r>
      <w:r>
        <w:rPr>
          <w:rFonts w:ascii="Arial" w:hAnsi="Arial"/>
        </w:rPr>
        <w:instrText xml:space="preserve"> PAGEREF _Toc23787 </w:instrText>
      </w:r>
      <w:r>
        <w:rPr>
          <w:rFonts w:ascii="Arial" w:hAnsi="Arial"/>
        </w:rPr>
        <w:fldChar w:fldCharType="separate"/>
      </w:r>
      <w:r>
        <w:rPr>
          <w:rFonts w:ascii="Arial" w:hAnsi="Arial"/>
        </w:rPr>
        <w:t>16</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_Toc93 </w:instrText>
      </w:r>
      <w:r>
        <w:rPr>
          <w:rFonts w:ascii="Arial" w:hAnsi="Arial" w:cs="Arial"/>
          <w:szCs w:val="21"/>
        </w:rPr>
        <w:fldChar w:fldCharType="separate"/>
      </w:r>
      <w:r>
        <w:rPr>
          <w:rFonts w:hint="eastAsia" w:ascii="Arial" w:hAnsi="Arial" w:cs="Arial"/>
          <w:szCs w:val="24"/>
        </w:rPr>
        <w:t>8项目销售情况</w:t>
      </w:r>
      <w:r>
        <w:rPr>
          <w:rFonts w:ascii="Arial" w:hAnsi="Arial"/>
        </w:rPr>
        <w:tab/>
      </w:r>
      <w:r>
        <w:rPr>
          <w:rFonts w:ascii="Arial" w:hAnsi="Arial"/>
        </w:rPr>
        <w:fldChar w:fldCharType="begin"/>
      </w:r>
      <w:r>
        <w:rPr>
          <w:rFonts w:ascii="Arial" w:hAnsi="Arial"/>
        </w:rPr>
        <w:instrText xml:space="preserve"> PAGEREF _Toc93 </w:instrText>
      </w:r>
      <w:r>
        <w:rPr>
          <w:rFonts w:ascii="Arial" w:hAnsi="Arial"/>
        </w:rPr>
        <w:fldChar w:fldCharType="separate"/>
      </w:r>
      <w:r>
        <w:rPr>
          <w:rFonts w:ascii="Arial" w:hAnsi="Arial"/>
        </w:rPr>
        <w:t>17</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_Toc13163 </w:instrText>
      </w:r>
      <w:r>
        <w:rPr>
          <w:rFonts w:ascii="Arial" w:hAnsi="Arial" w:cs="Arial"/>
          <w:szCs w:val="21"/>
        </w:rPr>
        <w:fldChar w:fldCharType="separate"/>
      </w:r>
      <w:r>
        <w:rPr>
          <w:rFonts w:hint="eastAsia" w:ascii="Arial" w:hAnsi="Arial" w:eastAsia="宋体" w:cs="Arial"/>
        </w:rPr>
        <w:t>8</w:t>
      </w:r>
      <w:r>
        <w:rPr>
          <w:rFonts w:ascii="Arial" w:hAnsi="Arial" w:eastAsia="宋体" w:cs="Arial"/>
        </w:rPr>
        <w:t>.1</w:t>
      </w:r>
      <w:r>
        <w:rPr>
          <w:rFonts w:hint="eastAsia" w:ascii="Arial" w:hAnsi="Arial" w:eastAsia="宋体" w:cs="Arial"/>
          <w:kern w:val="44"/>
          <w:szCs w:val="24"/>
        </w:rPr>
        <w:t>当地销售政策（预售政策、限购限售、限价政策描述）</w:t>
      </w:r>
      <w:r>
        <w:rPr>
          <w:rFonts w:ascii="Arial" w:hAnsi="Arial"/>
        </w:rPr>
        <w:tab/>
      </w:r>
      <w:r>
        <w:rPr>
          <w:rFonts w:ascii="Arial" w:hAnsi="Arial"/>
        </w:rPr>
        <w:fldChar w:fldCharType="begin"/>
      </w:r>
      <w:r>
        <w:rPr>
          <w:rFonts w:ascii="Arial" w:hAnsi="Arial"/>
        </w:rPr>
        <w:instrText xml:space="preserve"> PAGEREF _Toc13163 </w:instrText>
      </w:r>
      <w:r>
        <w:rPr>
          <w:rFonts w:ascii="Arial" w:hAnsi="Arial"/>
        </w:rPr>
        <w:fldChar w:fldCharType="separate"/>
      </w:r>
      <w:r>
        <w:rPr>
          <w:rFonts w:ascii="Arial" w:hAnsi="Arial"/>
        </w:rPr>
        <w:t>17</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_Toc263 </w:instrText>
      </w:r>
      <w:r>
        <w:rPr>
          <w:rFonts w:ascii="Arial" w:hAnsi="Arial" w:cs="Arial"/>
          <w:szCs w:val="21"/>
        </w:rPr>
        <w:fldChar w:fldCharType="separate"/>
      </w:r>
      <w:r>
        <w:rPr>
          <w:rFonts w:hint="eastAsia" w:ascii="Arial" w:hAnsi="Arial" w:eastAsia="宋体" w:cs="Arial"/>
        </w:rPr>
        <w:t>8.2项目销售及营销推广计划</w:t>
      </w:r>
      <w:r>
        <w:rPr>
          <w:rFonts w:ascii="Arial" w:hAnsi="Arial"/>
        </w:rPr>
        <w:tab/>
      </w:r>
      <w:r>
        <w:rPr>
          <w:rFonts w:ascii="Arial" w:hAnsi="Arial"/>
        </w:rPr>
        <w:fldChar w:fldCharType="begin"/>
      </w:r>
      <w:r>
        <w:rPr>
          <w:rFonts w:ascii="Arial" w:hAnsi="Arial"/>
        </w:rPr>
        <w:instrText xml:space="preserve"> PAGEREF _Toc263 </w:instrText>
      </w:r>
      <w:r>
        <w:rPr>
          <w:rFonts w:ascii="Arial" w:hAnsi="Arial"/>
        </w:rPr>
        <w:fldChar w:fldCharType="separate"/>
      </w:r>
      <w:r>
        <w:rPr>
          <w:rFonts w:ascii="Arial" w:hAnsi="Arial"/>
        </w:rPr>
        <w:t>17</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_Toc26380 </w:instrText>
      </w:r>
      <w:r>
        <w:rPr>
          <w:rFonts w:ascii="Arial" w:hAnsi="Arial" w:cs="Arial"/>
          <w:szCs w:val="21"/>
        </w:rPr>
        <w:fldChar w:fldCharType="separate"/>
      </w:r>
      <w:r>
        <w:rPr>
          <w:rFonts w:hint="eastAsia" w:ascii="Arial" w:hAnsi="Arial" w:eastAsia="宋体" w:cs="Arial"/>
        </w:rPr>
        <w:t>8.3项目销售情况统计</w:t>
      </w:r>
      <w:r>
        <w:rPr>
          <w:rFonts w:ascii="Arial" w:hAnsi="Arial"/>
        </w:rPr>
        <w:tab/>
      </w:r>
      <w:r>
        <w:rPr>
          <w:rFonts w:ascii="Arial" w:hAnsi="Arial"/>
        </w:rPr>
        <w:fldChar w:fldCharType="begin"/>
      </w:r>
      <w:r>
        <w:rPr>
          <w:rFonts w:ascii="Arial" w:hAnsi="Arial"/>
        </w:rPr>
        <w:instrText xml:space="preserve"> PAGEREF _Toc26380 </w:instrText>
      </w:r>
      <w:r>
        <w:rPr>
          <w:rFonts w:ascii="Arial" w:hAnsi="Arial"/>
        </w:rPr>
        <w:fldChar w:fldCharType="separate"/>
      </w:r>
      <w:r>
        <w:rPr>
          <w:rFonts w:ascii="Arial" w:hAnsi="Arial"/>
        </w:rPr>
        <w:t>18</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_Toc32478 </w:instrText>
      </w:r>
      <w:r>
        <w:rPr>
          <w:rFonts w:ascii="Arial" w:hAnsi="Arial" w:cs="Arial"/>
          <w:szCs w:val="21"/>
        </w:rPr>
        <w:fldChar w:fldCharType="separate"/>
      </w:r>
      <w:r>
        <w:rPr>
          <w:rFonts w:hint="eastAsia" w:ascii="Arial" w:hAnsi="Arial" w:cs="Arial"/>
          <w:bCs/>
          <w:szCs w:val="24"/>
          <w:lang w:val="en-US" w:eastAsia="zh-CN"/>
        </w:rPr>
        <w:t>9</w:t>
      </w:r>
      <w:r>
        <w:rPr>
          <w:rFonts w:hint="eastAsia" w:ascii="Arial" w:hAnsi="Arial" w:cs="Arial"/>
          <w:szCs w:val="24"/>
          <w:lang w:val="en-US" w:eastAsia="zh-CN"/>
        </w:rPr>
        <w:t>下期关注重点</w:t>
      </w:r>
      <w:r>
        <w:rPr>
          <w:rFonts w:ascii="Arial" w:hAnsi="Arial"/>
        </w:rPr>
        <w:tab/>
      </w:r>
      <w:r>
        <w:rPr>
          <w:rFonts w:ascii="Arial" w:hAnsi="Arial"/>
        </w:rPr>
        <w:fldChar w:fldCharType="begin"/>
      </w:r>
      <w:r>
        <w:rPr>
          <w:rFonts w:ascii="Arial" w:hAnsi="Arial"/>
        </w:rPr>
        <w:instrText xml:space="preserve"> PAGEREF _Toc32478 </w:instrText>
      </w:r>
      <w:r>
        <w:rPr>
          <w:rFonts w:ascii="Arial" w:hAnsi="Arial"/>
        </w:rPr>
        <w:fldChar w:fldCharType="separate"/>
      </w:r>
      <w:r>
        <w:rPr>
          <w:rFonts w:ascii="Arial" w:hAnsi="Arial"/>
        </w:rPr>
        <w:t>19</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_Toc30328 </w:instrText>
      </w:r>
      <w:r>
        <w:rPr>
          <w:rFonts w:ascii="Arial" w:hAnsi="Arial" w:cs="Arial"/>
          <w:szCs w:val="21"/>
        </w:rPr>
        <w:fldChar w:fldCharType="separate"/>
      </w:r>
      <w:r>
        <w:rPr>
          <w:rFonts w:ascii="Arial" w:hAnsi="Arial" w:cs="Arial"/>
          <w:szCs w:val="24"/>
        </w:rPr>
        <w:t>附件</w:t>
      </w:r>
      <w:r>
        <w:rPr>
          <w:rFonts w:ascii="Arial" w:hAnsi="Arial"/>
        </w:rPr>
        <w:tab/>
      </w:r>
      <w:r>
        <w:rPr>
          <w:rFonts w:ascii="Arial" w:hAnsi="Arial"/>
        </w:rPr>
        <w:fldChar w:fldCharType="begin"/>
      </w:r>
      <w:r>
        <w:rPr>
          <w:rFonts w:ascii="Arial" w:hAnsi="Arial"/>
        </w:rPr>
        <w:instrText xml:space="preserve"> PAGEREF _Toc30328 </w:instrText>
      </w:r>
      <w:r>
        <w:rPr>
          <w:rFonts w:ascii="Arial" w:hAnsi="Arial"/>
        </w:rPr>
        <w:fldChar w:fldCharType="separate"/>
      </w:r>
      <w:r>
        <w:rPr>
          <w:rFonts w:ascii="Arial" w:hAnsi="Arial"/>
        </w:rPr>
        <w:t>20</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_Toc15462 </w:instrText>
      </w:r>
      <w:r>
        <w:rPr>
          <w:rFonts w:ascii="Arial" w:hAnsi="Arial" w:cs="Arial"/>
          <w:szCs w:val="21"/>
        </w:rPr>
        <w:fldChar w:fldCharType="separate"/>
      </w:r>
      <w:r>
        <w:rPr>
          <w:rFonts w:ascii="Arial" w:hAnsi="Arial" w:cs="Arial"/>
          <w:bCs/>
          <w:szCs w:val="32"/>
        </w:rPr>
        <w:t>附件</w:t>
      </w:r>
      <w:r>
        <w:rPr>
          <w:rFonts w:hint="eastAsia" w:ascii="Arial" w:hAnsi="Arial" w:cs="Arial"/>
          <w:bCs/>
          <w:szCs w:val="32"/>
          <w:lang w:eastAsia="zh-CN"/>
        </w:rPr>
        <w:t>一</w:t>
      </w:r>
      <w:r>
        <w:rPr>
          <w:rFonts w:ascii="Arial" w:hAnsi="Arial" w:cs="Arial"/>
          <w:bCs/>
          <w:szCs w:val="32"/>
        </w:rPr>
        <w:t xml:space="preserve"> 入场交接单</w:t>
      </w:r>
      <w:r>
        <w:rPr>
          <w:rFonts w:ascii="Arial" w:hAnsi="Arial"/>
        </w:rPr>
        <w:tab/>
      </w:r>
      <w:r>
        <w:rPr>
          <w:rFonts w:ascii="Arial" w:hAnsi="Arial"/>
        </w:rPr>
        <w:fldChar w:fldCharType="begin"/>
      </w:r>
      <w:r>
        <w:rPr>
          <w:rFonts w:ascii="Arial" w:hAnsi="Arial"/>
        </w:rPr>
        <w:instrText xml:space="preserve"> PAGEREF _Toc15462 </w:instrText>
      </w:r>
      <w:r>
        <w:rPr>
          <w:rFonts w:ascii="Arial" w:hAnsi="Arial"/>
        </w:rPr>
        <w:fldChar w:fldCharType="separate"/>
      </w:r>
      <w:r>
        <w:rPr>
          <w:rFonts w:ascii="Arial" w:hAnsi="Arial"/>
        </w:rPr>
        <w:t>20</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_Toc26267 </w:instrText>
      </w:r>
      <w:r>
        <w:rPr>
          <w:rFonts w:ascii="Arial" w:hAnsi="Arial" w:cs="Arial"/>
          <w:szCs w:val="21"/>
        </w:rPr>
        <w:fldChar w:fldCharType="separate"/>
      </w:r>
      <w:r>
        <w:rPr>
          <w:rFonts w:ascii="Arial" w:hAnsi="Arial" w:cs="Arial"/>
          <w:bCs/>
          <w:szCs w:val="32"/>
        </w:rPr>
        <w:t>附件</w:t>
      </w:r>
      <w:r>
        <w:rPr>
          <w:rFonts w:hint="eastAsia" w:ascii="Arial" w:hAnsi="Arial" w:cs="Arial"/>
          <w:bCs/>
          <w:szCs w:val="32"/>
          <w:lang w:eastAsia="zh-CN"/>
        </w:rPr>
        <w:t>二</w:t>
      </w:r>
      <w:r>
        <w:rPr>
          <w:rFonts w:ascii="Arial" w:hAnsi="Arial" w:cs="Arial"/>
          <w:bCs/>
          <w:szCs w:val="32"/>
        </w:rPr>
        <w:t xml:space="preserve"> 标的项目平面图</w:t>
      </w:r>
      <w:r>
        <w:rPr>
          <w:rFonts w:ascii="Arial" w:hAnsi="Arial"/>
        </w:rPr>
        <w:tab/>
      </w:r>
      <w:r>
        <w:rPr>
          <w:rFonts w:ascii="Arial" w:hAnsi="Arial"/>
        </w:rPr>
        <w:fldChar w:fldCharType="begin"/>
      </w:r>
      <w:r>
        <w:rPr>
          <w:rFonts w:ascii="Arial" w:hAnsi="Arial"/>
        </w:rPr>
        <w:instrText xml:space="preserve"> PAGEREF _Toc26267 </w:instrText>
      </w:r>
      <w:r>
        <w:rPr>
          <w:rFonts w:ascii="Arial" w:hAnsi="Arial"/>
        </w:rPr>
        <w:fldChar w:fldCharType="separate"/>
      </w:r>
      <w:r>
        <w:rPr>
          <w:rFonts w:ascii="Arial" w:hAnsi="Arial"/>
        </w:rPr>
        <w:t>23</w:t>
      </w:r>
      <w:r>
        <w:rPr>
          <w:rFonts w:ascii="Arial" w:hAnsi="Arial"/>
        </w:rPr>
        <w:fldChar w:fldCharType="end"/>
      </w:r>
      <w:r>
        <w:rPr>
          <w:rFonts w:ascii="Arial" w:hAnsi="Arial" w:cs="Arial"/>
          <w:color w:val="000000"/>
          <w:szCs w:val="21"/>
        </w:rPr>
        <w:fldChar w:fldCharType="end"/>
      </w:r>
    </w:p>
    <w:p>
      <w:pPr>
        <w:pStyle w:val="13"/>
        <w:widowControl w:val="0"/>
        <w:spacing w:after="0" w:line="240" w:lineRule="auto"/>
        <w:jc w:val="both"/>
        <w:rPr>
          <w:rFonts w:ascii="Arial" w:hAnsi="Arial" w:cs="Arial"/>
          <w:color w:val="000000"/>
          <w:sz w:val="21"/>
          <w:szCs w:val="21"/>
        </w:rPr>
      </w:pPr>
      <w:r>
        <w:rPr>
          <w:rFonts w:ascii="Arial" w:hAnsi="Arial" w:cs="Arial"/>
          <w:color w:val="000000"/>
          <w:sz w:val="21"/>
          <w:szCs w:val="21"/>
        </w:rPr>
        <w:fldChar w:fldCharType="end"/>
      </w:r>
      <w:bookmarkStart w:id="0" w:name="_Toc535508633"/>
      <w:bookmarkStart w:id="1" w:name="_Toc535570745"/>
      <w:bookmarkStart w:id="2" w:name="_Toc45217873"/>
      <w:bookmarkStart w:id="3" w:name="_Toc532281654"/>
      <w:bookmarkStart w:id="4" w:name="_Toc535580018"/>
      <w:bookmarkStart w:id="5" w:name="_Toc535580086"/>
      <w:bookmarkStart w:id="6" w:name="_Toc373309848"/>
    </w:p>
    <w:p>
      <w:pPr>
        <w:pStyle w:val="13"/>
        <w:jc w:val="both"/>
        <w:rPr>
          <w:rFonts w:ascii="Arial" w:hAnsi="Arial" w:cs="Arial"/>
          <w:bCs/>
          <w:kern w:val="44"/>
          <w:szCs w:val="21"/>
        </w:rPr>
        <w:sectPr>
          <w:footerReference r:id="rId7" w:type="default"/>
          <w:pgSz w:w="11906" w:h="16838"/>
          <w:pgMar w:top="1843" w:right="1134" w:bottom="1134" w:left="1134" w:header="851" w:footer="992" w:gutter="340"/>
          <w:pgNumType w:start="1"/>
          <w:cols w:space="0" w:num="1"/>
          <w:docGrid w:linePitch="312" w:charSpace="0"/>
        </w:sectPr>
      </w:pPr>
    </w:p>
    <w:p>
      <w:pPr>
        <w:pStyle w:val="13"/>
        <w:jc w:val="both"/>
        <w:rPr>
          <w:rFonts w:ascii="Arial" w:hAnsi="Arial" w:cs="Arial"/>
          <w:bCs/>
          <w:kern w:val="44"/>
          <w:szCs w:val="21"/>
        </w:rPr>
      </w:pPr>
      <w:r>
        <w:rPr>
          <w:rFonts w:ascii="Arial" w:hAnsi="Arial" w:cs="Arial"/>
          <w:bCs/>
          <w:kern w:val="44"/>
          <w:szCs w:val="21"/>
        </w:rPr>
        <w:t>为了方便阅读之目的，本报告中将部分名称简写为：</w:t>
      </w:r>
    </w:p>
    <w:p>
      <w:pPr>
        <w:spacing w:line="360" w:lineRule="auto"/>
        <w:ind w:firstLine="420" w:firstLineChars="200"/>
        <w:jc w:val="left"/>
        <w:rPr>
          <w:rFonts w:ascii="Arial" w:hAnsi="Arial" w:cs="Arial"/>
          <w:bCs/>
          <w:kern w:val="44"/>
          <w:szCs w:val="21"/>
        </w:rPr>
      </w:pPr>
      <w:r>
        <w:rPr>
          <w:rFonts w:ascii="Arial" w:hAnsi="Arial" w:cs="Arial"/>
          <w:bCs/>
          <w:kern w:val="44"/>
          <w:szCs w:val="21"/>
        </w:rPr>
        <w:t>·SPV公司：宁德融熙置业有限公司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·项目公司：福州首融房地产开发有限公司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7" w:name="_Toc30922"/>
      <w:bookmarkStart w:id="8" w:name="_Toc688"/>
      <w:bookmarkStart w:id="9" w:name="_Toc239"/>
      <w:bookmarkStart w:id="10" w:name="_Toc4224"/>
      <w:bookmarkStart w:id="11" w:name="_Toc32746"/>
      <w:bookmarkStart w:id="12" w:name="_Toc14889"/>
      <w:bookmarkStart w:id="13" w:name="_Toc12540"/>
      <w:bookmarkStart w:id="14" w:name="_Toc4304"/>
      <w:bookmarkStart w:id="15" w:name="_Toc14395"/>
      <w:bookmarkStart w:id="16" w:name="_Toc2847"/>
      <w:bookmarkStart w:id="17" w:name="_Toc10225"/>
      <w:bookmarkStart w:id="18" w:name="_Toc6331"/>
      <w:bookmarkStart w:id="19" w:name="_Toc30168"/>
      <w:bookmarkStart w:id="20" w:name="_Toc4250"/>
      <w:bookmarkStart w:id="21" w:name="_Toc29335"/>
      <w:bookmarkStart w:id="22" w:name="_Toc2029"/>
      <w:bookmarkStart w:id="23" w:name="_Toc16082"/>
      <w:bookmarkStart w:id="24" w:name="_Toc25771"/>
      <w:bookmarkStart w:id="25" w:name="_Toc15496"/>
      <w:bookmarkStart w:id="26" w:name="_Toc2729"/>
      <w:bookmarkStart w:id="27" w:name="_Toc22451"/>
      <w:r>
        <w:rPr>
          <w:rFonts w:ascii="Arial" w:hAnsi="Arial" w:cs="Arial"/>
          <w:color w:val="000000"/>
          <w:sz w:val="24"/>
          <w:szCs w:val="24"/>
        </w:rPr>
        <w:t>1项目基本情况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pPr>
        <w:pStyle w:val="3"/>
        <w:outlineLvl w:val="1"/>
        <w:rPr>
          <w:rFonts w:ascii="Arial" w:hAnsi="Arial" w:cs="Arial"/>
          <w:color w:val="000000"/>
          <w:sz w:val="24"/>
          <w:szCs w:val="24"/>
        </w:rPr>
      </w:pPr>
      <w:bookmarkStart w:id="28" w:name="_Toc11021"/>
      <w:bookmarkStart w:id="29" w:name="_Toc23886"/>
      <w:bookmarkStart w:id="30" w:name="_Toc4110"/>
      <w:bookmarkStart w:id="31" w:name="_Toc27553"/>
      <w:bookmarkStart w:id="32" w:name="_Toc7349"/>
      <w:bookmarkStart w:id="33" w:name="_Toc32113"/>
      <w:bookmarkStart w:id="34" w:name="_Toc15897"/>
      <w:bookmarkStart w:id="35" w:name="_Toc24356"/>
      <w:bookmarkStart w:id="36" w:name="_Toc24275"/>
      <w:bookmarkStart w:id="37" w:name="_Toc13384"/>
      <w:bookmarkStart w:id="38" w:name="_Toc13831"/>
      <w:bookmarkStart w:id="39" w:name="_Toc19085"/>
      <w:r>
        <w:rPr>
          <w:rFonts w:hint="eastAsia" w:ascii="Arial" w:hAnsi="Arial" w:cs="Arial"/>
          <w:color w:val="000000"/>
          <w:sz w:val="24"/>
          <w:szCs w:val="24"/>
        </w:rPr>
        <w:t>1.1</w:t>
      </w:r>
      <w:bookmarkEnd w:id="28"/>
      <w:bookmarkStart w:id="40" w:name="_Toc1132"/>
      <w:r>
        <w:rPr>
          <w:rFonts w:ascii="Arial" w:hAnsi="Arial" w:cs="Arial"/>
          <w:color w:val="000000"/>
          <w:sz w:val="24"/>
          <w:szCs w:val="24"/>
        </w:rPr>
        <w:t>项目公司基本情况</w:t>
      </w:r>
      <w:bookmarkEnd w:id="29"/>
      <w:bookmarkEnd w:id="30"/>
      <w:bookmarkEnd w:id="31"/>
      <w:bookmarkEnd w:id="32"/>
      <w:bookmarkEnd w:id="33"/>
      <w:bookmarkEnd w:id="34"/>
      <w:bookmarkEnd w:id="35"/>
      <w:bookmarkEnd w:id="36"/>
      <w:bookmarkEnd w:id="37"/>
      <w:bookmarkEnd w:id="38"/>
      <w:bookmarkEnd w:id="39"/>
      <w:bookmarkEnd w:id="40"/>
    </w:p>
    <w:p>
      <w:pPr>
        <w:spacing w:line="480" w:lineRule="auto"/>
        <w:ind w:firstLine="420" w:firstLineChars="200"/>
        <w:rPr>
          <w:rFonts w:ascii="Arial" w:hAnsi="Arial" w:cs="Arial"/>
          <w:szCs w:val="21"/>
        </w:rPr>
      </w:pPr>
      <w:bookmarkStart w:id="41" w:name="_Toc535580089"/>
      <w:bookmarkStart w:id="42" w:name="_Toc535508634"/>
      <w:bookmarkStart w:id="43" w:name="_Toc535570748"/>
      <w:bookmarkStart w:id="44" w:name="_Toc532281655"/>
      <w:bookmarkStart w:id="45" w:name="_Toc45217874"/>
      <w:bookmarkStart w:id="46" w:name="_Toc535580021"/>
      <w:r>
        <w:rPr>
          <w:rFonts w:ascii="Arial" w:hAnsi="Arial" w:cs="Arial"/>
          <w:szCs w:val="21"/>
        </w:rPr>
        <w:t>中航信托成立《中航信托•天启【2020】201号福州螺洲TOD项目投资集合资金信托计划》（以下简称“信托计划”），中航信托以99,000万元向SPV公司增资获取其49%股权并以资本公积形式对SPV公司进行投资。SPV公司最终将资金投入项目公司，用于福州螺洲TOD项目的开发建设。具体情况如下图所示：</w:t>
      </w:r>
    </w:p>
    <w:p>
      <w:pPr>
        <w:spacing w:line="480" w:lineRule="auto"/>
        <w:ind w:firstLine="420" w:firstLineChars="200"/>
        <w:jc w:val="center"/>
        <w:rPr>
          <w:rFonts w:ascii="Arial" w:hAnsi="Arial" w:cs="Arial"/>
          <w:szCs w:val="21"/>
        </w:rPr>
      </w:pPr>
      <w:r>
        <w:rPr>
          <w:rFonts w:ascii="Arial" w:hAnsi="Arial" w:cs="Arial"/>
          <w:szCs w:val="21"/>
        </w:rPr>
        <w:drawing>
          <wp:inline distT="0" distB="0" distL="114300" distR="114300">
            <wp:extent cx="4165600" cy="4540250"/>
            <wp:effectExtent l="0" t="0" r="6350" b="12700"/>
            <wp:docPr id="7"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图片1"/>
                    <pic:cNvPicPr>
                      <a:picLocks noChangeAspect="1"/>
                    </pic:cNvPicPr>
                  </pic:nvPicPr>
                  <pic:blipFill>
                    <a:blip r:embed="rId10"/>
                    <a:stretch>
                      <a:fillRect/>
                    </a:stretch>
                  </pic:blipFill>
                  <pic:spPr>
                    <a:xfrm>
                      <a:off x="0" y="0"/>
                      <a:ext cx="4165600" cy="4540250"/>
                    </a:xfrm>
                    <a:prstGeom prst="rect">
                      <a:avLst/>
                    </a:prstGeom>
                    <a:noFill/>
                    <a:ln>
                      <a:noFill/>
                    </a:ln>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图1 宁德融熙置业有限公司股权穿透图</w:t>
      </w:r>
    </w:p>
    <w:p>
      <w:pPr>
        <w:spacing w:line="480" w:lineRule="auto"/>
        <w:ind w:firstLine="420" w:firstLineChars="200"/>
        <w:rPr>
          <w:rFonts w:ascii="Arial" w:hAnsi="Arial" w:cs="Arial"/>
          <w:szCs w:val="21"/>
        </w:rPr>
      </w:pPr>
      <w:r>
        <w:rPr>
          <w:rFonts w:ascii="Arial" w:hAnsi="Arial" w:cs="Arial"/>
          <w:szCs w:val="21"/>
        </w:rPr>
        <w:t>福州螺洲TOD项目地块由福州首开福泰投资有限公司于2020年2月27日以底价获取，经融创与首开约定，后续将由项目公司通过签订土地出让补充合同来承接福州首开福泰投资有限公司对福州螺洲TOD项目地块的权益，同时融创通过SPV公司持股42%，福州首开福泰投资有限公司对项目公司持股58%，共同开发福州螺洲TOD项目地块。具体情况如下图：</w:t>
      </w:r>
    </w:p>
    <w:p>
      <w:pPr>
        <w:spacing w:line="480" w:lineRule="auto"/>
        <w:ind w:firstLine="360" w:firstLineChars="200"/>
        <w:jc w:val="center"/>
        <w:rPr>
          <w:rFonts w:ascii="Arial" w:hAnsi="Arial" w:cs="Arial"/>
          <w:sz w:val="18"/>
          <w:szCs w:val="18"/>
        </w:rPr>
      </w:pPr>
      <w:r>
        <w:rPr>
          <w:rFonts w:ascii="Arial" w:hAnsi="Arial" w:cs="Arial"/>
          <w:sz w:val="18"/>
          <w:szCs w:val="18"/>
        </w:rPr>
        <w:drawing>
          <wp:inline distT="0" distB="0" distL="114300" distR="114300">
            <wp:extent cx="5026660" cy="2523490"/>
            <wp:effectExtent l="0" t="0" r="2540" b="10160"/>
            <wp:docPr id="8"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图片2"/>
                    <pic:cNvPicPr>
                      <a:picLocks noChangeAspect="1"/>
                    </pic:cNvPicPr>
                  </pic:nvPicPr>
                  <pic:blipFill>
                    <a:blip r:embed="rId11"/>
                    <a:srcRect t="8306"/>
                    <a:stretch>
                      <a:fillRect/>
                    </a:stretch>
                  </pic:blipFill>
                  <pic:spPr>
                    <a:xfrm>
                      <a:off x="0" y="0"/>
                      <a:ext cx="5026660" cy="2523490"/>
                    </a:xfrm>
                    <a:prstGeom prst="rect">
                      <a:avLst/>
                    </a:prstGeom>
                    <a:noFill/>
                    <a:ln>
                      <a:noFill/>
                    </a:ln>
                  </pic:spPr>
                </pic:pic>
              </a:graphicData>
            </a:graphic>
          </wp:inline>
        </w:drawing>
      </w:r>
    </w:p>
    <w:p>
      <w:pPr>
        <w:spacing w:line="480" w:lineRule="auto"/>
        <w:ind w:firstLine="3600" w:firstLineChars="2000"/>
        <w:rPr>
          <w:rFonts w:ascii="Arial" w:hAnsi="Arial" w:cs="Arial" w:eastAsiaTheme="minorEastAsia"/>
          <w:sz w:val="18"/>
          <w:szCs w:val="18"/>
        </w:rPr>
      </w:pPr>
      <w:r>
        <w:rPr>
          <w:rFonts w:ascii="Arial" w:hAnsi="Arial" w:cs="Arial" w:eastAsiaTheme="minorEastAsia"/>
          <w:sz w:val="18"/>
          <w:szCs w:val="18"/>
        </w:rPr>
        <w:t>图2 项目公司股权穿透图</w:t>
      </w:r>
    </w:p>
    <w:p>
      <w:pPr>
        <w:pStyle w:val="3"/>
        <w:outlineLvl w:val="1"/>
      </w:pPr>
      <w:bookmarkStart w:id="47" w:name="_Toc4782"/>
      <w:bookmarkStart w:id="48" w:name="_Toc16918"/>
      <w:bookmarkStart w:id="49" w:name="_Toc15915"/>
      <w:bookmarkStart w:id="50" w:name="_Toc3212"/>
      <w:bookmarkStart w:id="51" w:name="_Toc4573"/>
      <w:bookmarkStart w:id="52" w:name="_Toc3568"/>
      <w:bookmarkStart w:id="53" w:name="_Toc7466"/>
      <w:bookmarkStart w:id="54" w:name="_Toc3400"/>
      <w:bookmarkStart w:id="55" w:name="_Toc25070"/>
      <w:bookmarkStart w:id="56" w:name="_Toc3152"/>
      <w:bookmarkStart w:id="57" w:name="_Toc15345"/>
      <w:bookmarkStart w:id="58" w:name="_Toc1709"/>
      <w:r>
        <w:rPr>
          <w:rFonts w:hint="eastAsia" w:ascii="Arial" w:hAnsi="Arial" w:cs="Arial"/>
          <w:color w:val="000000"/>
          <w:sz w:val="24"/>
          <w:szCs w:val="24"/>
        </w:rPr>
        <w:t>1.</w:t>
      </w:r>
      <w:r>
        <w:rPr>
          <w:rFonts w:hint="eastAsia" w:ascii="Arial" w:hAnsi="Arial" w:cs="Arial"/>
          <w:color w:val="000000"/>
          <w:sz w:val="24"/>
          <w:szCs w:val="24"/>
          <w:lang w:val="en-US" w:eastAsia="zh-CN"/>
        </w:rPr>
        <w:t>2</w:t>
      </w:r>
      <w:r>
        <w:rPr>
          <w:rFonts w:ascii="Arial" w:hAnsi="Arial" w:cs="Arial"/>
          <w:color w:val="000000"/>
          <w:sz w:val="24"/>
          <w:szCs w:val="24"/>
        </w:rPr>
        <w:t>项目</w:t>
      </w:r>
      <w:r>
        <w:rPr>
          <w:rFonts w:hint="eastAsia" w:ascii="Arial" w:hAnsi="Arial" w:cs="Arial"/>
          <w:color w:val="000000"/>
          <w:sz w:val="24"/>
          <w:szCs w:val="24"/>
        </w:rPr>
        <w:t>概况</w:t>
      </w:r>
      <w:bookmarkEnd w:id="47"/>
      <w:bookmarkEnd w:id="48"/>
      <w:bookmarkEnd w:id="49"/>
      <w:bookmarkEnd w:id="50"/>
      <w:bookmarkEnd w:id="51"/>
      <w:bookmarkEnd w:id="52"/>
      <w:bookmarkEnd w:id="53"/>
      <w:bookmarkEnd w:id="54"/>
      <w:bookmarkEnd w:id="55"/>
      <w:bookmarkEnd w:id="56"/>
      <w:bookmarkEnd w:id="57"/>
      <w:bookmarkEnd w:id="58"/>
    </w:p>
    <w:p>
      <w:pPr>
        <w:spacing w:line="480" w:lineRule="auto"/>
        <w:ind w:firstLine="420" w:firstLineChars="200"/>
        <w:rPr>
          <w:rFonts w:ascii="Arial" w:hAnsi="Arial" w:cs="Arial"/>
          <w:color w:val="222222"/>
          <w:shd w:val="clear" w:color="auto" w:fill="FFFFFF"/>
        </w:rPr>
      </w:pPr>
      <w:r>
        <w:rPr>
          <w:rFonts w:ascii="Arial" w:hAnsi="Arial" w:cs="Arial"/>
          <w:szCs w:val="21"/>
        </w:rPr>
        <w:t>2020年2月27日，福州首开福泰投资有限公司在福州市自然资源规划局的行政中心拍卖活动现场以底价29.59亿竞得福州宗地2020-08号，推广名为“云洲郡”，楼面地价10280元/</w:t>
      </w:r>
      <w:r>
        <w:rPr>
          <w:rFonts w:ascii="Arial" w:hAnsi="Arial" w:cs="Arial"/>
          <w:color w:val="222222"/>
          <w:shd w:val="clear" w:color="auto" w:fill="FFFFFF"/>
        </w:rPr>
        <w:t>㎡，并于2020年6月8日取得建设用地规划许可证，建设地点为福州市仓山区螺洲城峰路南侧，轨道交通4号线螺洲车辆段上盖及周边地块出让，总面积为191900㎡，用途为住宅、商业、商务用地，容积率上限为1.5，</w:t>
      </w:r>
      <w:r>
        <w:rPr>
          <w:rFonts w:hint="eastAsia" w:ascii="Arial" w:hAnsi="Arial" w:cs="Arial"/>
          <w:color w:val="222222"/>
          <w:shd w:val="clear" w:color="auto" w:fill="FFFFFF"/>
        </w:rPr>
        <w:t>绿地率30%，</w:t>
      </w:r>
      <w:r>
        <w:rPr>
          <w:rFonts w:ascii="Arial" w:hAnsi="Arial" w:cs="Arial"/>
          <w:color w:val="222222"/>
          <w:shd w:val="clear" w:color="auto" w:fill="FFFFFF"/>
        </w:rPr>
        <w:t>其中商业商务建筑面积≥9000㎡且≤15000㎡</w:t>
      </w:r>
      <w:r>
        <w:rPr>
          <w:rFonts w:hint="eastAsia" w:ascii="Arial" w:hAnsi="Arial" w:cs="Arial"/>
          <w:color w:val="222222"/>
          <w:shd w:val="clear" w:color="auto" w:fill="FFFFFF"/>
        </w:rPr>
        <w:t>，</w:t>
      </w:r>
      <w:r>
        <w:rPr>
          <w:rFonts w:ascii="Arial" w:hAnsi="Arial" w:cs="Arial"/>
          <w:color w:val="222222"/>
          <w:shd w:val="clear" w:color="auto" w:fill="FFFFFF"/>
        </w:rPr>
        <w:t>限高50米。该宗地须配建限价商品房4万方，可售面积约24.79万方，该项目由融创和福州首开联合开发，双方联合成立项目公司，由融创负责操盘，此外，该地块周边分布有海西佰悦城、螺洲历史风貌区、螺洲温泉小镇等商业休闲配套。</w:t>
      </w:r>
    </w:p>
    <w:p>
      <w:pPr>
        <w:spacing w:line="480" w:lineRule="auto"/>
        <w:ind w:firstLine="420" w:firstLineChars="200"/>
        <w:rPr>
          <w:rFonts w:ascii="Arial" w:hAnsi="Arial" w:cs="Arial"/>
          <w:szCs w:val="21"/>
        </w:rPr>
      </w:pPr>
      <w:r>
        <w:rPr>
          <w:rFonts w:hint="eastAsia" w:ascii="Arial" w:hAnsi="Arial" w:cs="Arial"/>
          <w:szCs w:val="21"/>
        </w:rPr>
        <w:t>根据</w:t>
      </w:r>
      <w:r>
        <w:rPr>
          <w:rFonts w:hint="eastAsia" w:ascii="Arial" w:hAnsi="Arial" w:cs="Arial"/>
          <w:szCs w:val="21"/>
          <w:lang w:eastAsia="zh-CN"/>
        </w:rPr>
        <w:t>信托尽调报告</w:t>
      </w:r>
      <w:r>
        <w:rPr>
          <w:rFonts w:hint="eastAsia" w:ascii="Arial" w:hAnsi="Arial" w:cs="Arial"/>
          <w:szCs w:val="21"/>
        </w:rPr>
        <w:t>，</w:t>
      </w:r>
      <w:r>
        <w:rPr>
          <w:rFonts w:ascii="Arial" w:hAnsi="Arial" w:cs="Arial"/>
          <w:szCs w:val="21"/>
        </w:rPr>
        <w:t>项目详细经济指标见下表：</w:t>
      </w:r>
    </w:p>
    <w:p>
      <w:pPr>
        <w:spacing w:line="480" w:lineRule="auto"/>
        <w:ind w:firstLine="420" w:firstLineChars="200"/>
        <w:rPr>
          <w:rFonts w:ascii="Arial" w:hAnsi="Arial" w:cs="Arial"/>
          <w:szCs w:val="21"/>
        </w:rPr>
      </w:pPr>
    </w:p>
    <w:tbl>
      <w:tblPr>
        <w:tblStyle w:val="18"/>
        <w:tblW w:w="5284" w:type="dxa"/>
        <w:jc w:val="center"/>
        <w:tblLayout w:type="autofit"/>
        <w:tblCellMar>
          <w:top w:w="0" w:type="dxa"/>
          <w:left w:w="0" w:type="dxa"/>
          <w:bottom w:w="0" w:type="dxa"/>
          <w:right w:w="0" w:type="dxa"/>
        </w:tblCellMar>
      </w:tblPr>
      <w:tblGrid>
        <w:gridCol w:w="491"/>
        <w:gridCol w:w="467"/>
        <w:gridCol w:w="477"/>
        <w:gridCol w:w="1167"/>
        <w:gridCol w:w="793"/>
        <w:gridCol w:w="1889"/>
      </w:tblGrid>
      <w:tr>
        <w:tblPrEx>
          <w:tblCellMar>
            <w:top w:w="0" w:type="dxa"/>
            <w:left w:w="0" w:type="dxa"/>
            <w:bottom w:w="0" w:type="dxa"/>
            <w:right w:w="0" w:type="dxa"/>
          </w:tblCellMar>
        </w:tblPrEx>
        <w:trPr>
          <w:trHeight w:val="306" w:hRule="atLeast"/>
          <w:jc w:val="center"/>
        </w:trPr>
        <w:tc>
          <w:tcPr>
            <w:tcW w:w="2602" w:type="dxa"/>
            <w:gridSpan w:val="4"/>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项目名称</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单位</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数值</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hint="default" w:ascii="Arial" w:hAnsi="Arial" w:cs="Arial"/>
                <w:b/>
                <w:bCs/>
                <w:kern w:val="24"/>
                <w:sz w:val="18"/>
                <w:szCs w:val="18"/>
              </w:rPr>
              <w:t>1</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hint="default" w:ascii="Arial" w:hAnsi="Arial" w:cs="Arial"/>
                <w:b/>
                <w:bCs/>
                <w:kern w:val="24"/>
                <w:sz w:val="18"/>
                <w:szCs w:val="18"/>
              </w:rPr>
              <w:t>建设用地面积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kern w:val="24"/>
                <w:sz w:val="18"/>
                <w:szCs w:val="18"/>
              </w:rPr>
            </w:pPr>
            <w:r>
              <w:rPr>
                <w:rFonts w:hint="default" w:ascii="Arial" w:hAnsi="Arial" w:cs="Arial"/>
                <w:kern w:val="24"/>
                <w:sz w:val="18"/>
                <w:szCs w:val="18"/>
              </w:rPr>
              <w:t>191,</w:t>
            </w:r>
            <w:r>
              <w:rPr>
                <w:rFonts w:hint="default" w:ascii="Arial" w:hAnsi="Arial" w:cs="Arial"/>
                <w:kern w:val="24"/>
                <w:sz w:val="18"/>
                <w:szCs w:val="18"/>
                <w:lang w:val="en-US"/>
              </w:rPr>
              <w:t>879</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auto"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hint="default" w:ascii="Arial" w:hAnsi="Arial" w:cs="Arial"/>
                <w:b/>
                <w:bCs/>
                <w:kern w:val="24"/>
                <w:sz w:val="18"/>
                <w:szCs w:val="18"/>
              </w:rPr>
              <w:t>2</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hint="default" w:ascii="Arial" w:hAnsi="Arial" w:cs="Arial"/>
                <w:b/>
                <w:bCs/>
                <w:kern w:val="24"/>
                <w:sz w:val="18"/>
                <w:szCs w:val="18"/>
              </w:rPr>
              <w:t>总建筑面积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426,943</w:t>
            </w:r>
          </w:p>
        </w:tc>
      </w:tr>
      <w:tr>
        <w:tblPrEx>
          <w:tblCellMar>
            <w:top w:w="0" w:type="dxa"/>
            <w:left w:w="0" w:type="dxa"/>
            <w:bottom w:w="0" w:type="dxa"/>
            <w:right w:w="0" w:type="dxa"/>
          </w:tblCellMar>
        </w:tblPrEx>
        <w:trPr>
          <w:trHeight w:val="306" w:hRule="atLeast"/>
          <w:jc w:val="center"/>
        </w:trPr>
        <w:tc>
          <w:tcPr>
            <w:tcW w:w="491" w:type="dxa"/>
            <w:vMerge w:val="restart"/>
            <w:tcBorders>
              <w:top w:val="single" w:color="auto" w:sz="4" w:space="0"/>
              <w:left w:val="single" w:color="auto" w:sz="4" w:space="0"/>
              <w:bottom w:val="single" w:color="auto" w:sz="4" w:space="0"/>
              <w:right w:val="single" w:color="auto"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其中</w:t>
            </w:r>
          </w:p>
        </w:tc>
        <w:tc>
          <w:tcPr>
            <w:tcW w:w="2111" w:type="dxa"/>
            <w:gridSpan w:val="3"/>
            <w:tcBorders>
              <w:top w:val="single" w:color="000000" w:sz="4" w:space="0"/>
              <w:left w:val="single" w:color="auto"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计容建筑面积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hint="default" w:ascii="Arial" w:hAnsi="Arial" w:cs="Arial"/>
                <w:kern w:val="24"/>
                <w:sz w:val="18"/>
                <w:szCs w:val="18"/>
              </w:rPr>
              <w:t>287,818</w:t>
            </w:r>
          </w:p>
        </w:tc>
      </w:tr>
      <w:tr>
        <w:tblPrEx>
          <w:tblCellMar>
            <w:top w:w="0" w:type="dxa"/>
            <w:left w:w="0" w:type="dxa"/>
            <w:bottom w:w="0" w:type="dxa"/>
            <w:right w:w="0" w:type="dxa"/>
          </w:tblCellMar>
        </w:tblPrEx>
        <w:trPr>
          <w:trHeight w:val="306" w:hRule="atLeast"/>
          <w:jc w:val="center"/>
        </w:trPr>
        <w:tc>
          <w:tcPr>
            <w:tcW w:w="49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restart"/>
            <w:tcBorders>
              <w:top w:val="single" w:color="000000" w:sz="4" w:space="0"/>
              <w:left w:val="single" w:color="auto"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其中</w:t>
            </w:r>
          </w:p>
        </w:tc>
        <w:tc>
          <w:tcPr>
            <w:tcW w:w="1644" w:type="dxa"/>
            <w:gridSpan w:val="2"/>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住宅建筑面积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260,160</w:t>
            </w:r>
          </w:p>
        </w:tc>
      </w:tr>
      <w:tr>
        <w:tblPrEx>
          <w:tblCellMar>
            <w:top w:w="0" w:type="dxa"/>
            <w:left w:w="0" w:type="dxa"/>
            <w:bottom w:w="0" w:type="dxa"/>
            <w:right w:w="0" w:type="dxa"/>
          </w:tblCellMar>
        </w:tblPrEx>
        <w:trPr>
          <w:trHeight w:val="306" w:hRule="atLeast"/>
          <w:jc w:val="center"/>
        </w:trPr>
        <w:tc>
          <w:tcPr>
            <w:tcW w:w="49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right w:val="single" w:color="000000" w:sz="4" w:space="0"/>
            </w:tcBorders>
            <w:vAlign w:val="center"/>
          </w:tcPr>
          <w:p>
            <w:pPr>
              <w:widowControl/>
              <w:jc w:val="center"/>
              <w:rPr>
                <w:rFonts w:ascii="Arial" w:hAnsi="Arial" w:cs="Arial"/>
                <w:b/>
                <w:bCs/>
                <w:kern w:val="0"/>
                <w:sz w:val="18"/>
                <w:szCs w:val="18"/>
              </w:rPr>
            </w:pPr>
          </w:p>
        </w:tc>
        <w:tc>
          <w:tcPr>
            <w:tcW w:w="477" w:type="dxa"/>
            <w:vMerge w:val="restart"/>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330" w:lineRule="atLeast"/>
              <w:jc w:val="center"/>
              <w:textAlignment w:val="center"/>
              <w:rPr>
                <w:rFonts w:ascii="Arial" w:hAnsi="Arial" w:cs="Arial"/>
                <w:b/>
                <w:bCs/>
                <w:kern w:val="0"/>
                <w:sz w:val="18"/>
                <w:szCs w:val="18"/>
              </w:rPr>
            </w:pPr>
            <w:r>
              <w:rPr>
                <w:rFonts w:hint="default" w:ascii="Arial" w:hAnsi="Arial" w:cs="Arial"/>
                <w:b/>
                <w:bCs/>
                <w:kern w:val="24"/>
                <w:sz w:val="18"/>
                <w:szCs w:val="18"/>
              </w:rPr>
              <w:t>其中</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330" w:lineRule="atLeast"/>
              <w:jc w:val="center"/>
              <w:textAlignment w:val="center"/>
              <w:rPr>
                <w:rFonts w:ascii="Arial" w:hAnsi="Arial" w:cs="Arial"/>
                <w:b/>
                <w:bCs/>
                <w:kern w:val="0"/>
                <w:sz w:val="18"/>
                <w:szCs w:val="18"/>
              </w:rPr>
            </w:pPr>
            <w:r>
              <w:rPr>
                <w:rFonts w:hint="default" w:ascii="Arial" w:hAnsi="Arial" w:cs="Arial"/>
                <w:b/>
                <w:bCs/>
                <w:kern w:val="24"/>
                <w:sz w:val="18"/>
                <w:szCs w:val="18"/>
              </w:rPr>
              <w:t>高层住宅</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330"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220,160</w:t>
            </w:r>
          </w:p>
        </w:tc>
      </w:tr>
      <w:tr>
        <w:tblPrEx>
          <w:tblCellMar>
            <w:top w:w="0" w:type="dxa"/>
            <w:left w:w="0" w:type="dxa"/>
            <w:bottom w:w="0" w:type="dxa"/>
            <w:right w:w="0" w:type="dxa"/>
          </w:tblCellMar>
        </w:tblPrEx>
        <w:trPr>
          <w:trHeight w:val="306" w:hRule="atLeast"/>
          <w:jc w:val="center"/>
        </w:trPr>
        <w:tc>
          <w:tcPr>
            <w:tcW w:w="49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right w:val="single" w:color="000000" w:sz="4" w:space="0"/>
            </w:tcBorders>
            <w:vAlign w:val="center"/>
          </w:tcPr>
          <w:p>
            <w:pPr>
              <w:widowControl/>
              <w:jc w:val="center"/>
              <w:rPr>
                <w:rFonts w:ascii="Arial" w:hAnsi="Arial" w:cs="Arial"/>
                <w:b/>
                <w:bCs/>
                <w:kern w:val="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
                <w:bCs/>
                <w:kern w:val="0"/>
                <w:sz w:val="18"/>
                <w:szCs w:val="18"/>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限价房</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40,000</w:t>
            </w:r>
          </w:p>
        </w:tc>
      </w:tr>
      <w:tr>
        <w:tblPrEx>
          <w:tblCellMar>
            <w:top w:w="0" w:type="dxa"/>
            <w:left w:w="0" w:type="dxa"/>
            <w:bottom w:w="0" w:type="dxa"/>
            <w:right w:w="0" w:type="dxa"/>
          </w:tblCellMar>
        </w:tblPrEx>
        <w:trPr>
          <w:trHeight w:val="306" w:hRule="atLeast"/>
          <w:jc w:val="center"/>
        </w:trPr>
        <w:tc>
          <w:tcPr>
            <w:tcW w:w="49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right w:val="single" w:color="000000" w:sz="4" w:space="0"/>
            </w:tcBorders>
            <w:vAlign w:val="center"/>
          </w:tcPr>
          <w:p>
            <w:pPr>
              <w:widowControl/>
              <w:jc w:val="center"/>
              <w:rPr>
                <w:rFonts w:ascii="Arial" w:hAnsi="Arial" w:cs="Arial"/>
                <w:b/>
                <w:bCs/>
                <w:kern w:val="0"/>
                <w:sz w:val="18"/>
                <w:szCs w:val="18"/>
              </w:rPr>
            </w:pPr>
          </w:p>
        </w:tc>
        <w:tc>
          <w:tcPr>
            <w:tcW w:w="1644" w:type="dxa"/>
            <w:gridSpan w:val="2"/>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商业建筑面积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hint="default" w:ascii="Arial" w:hAnsi="Arial" w:cs="Arial"/>
                <w:kern w:val="24"/>
                <w:sz w:val="18"/>
                <w:szCs w:val="18"/>
              </w:rPr>
              <w:t>9,000</w:t>
            </w:r>
          </w:p>
        </w:tc>
      </w:tr>
      <w:tr>
        <w:tblPrEx>
          <w:tblCellMar>
            <w:top w:w="0" w:type="dxa"/>
            <w:left w:w="0" w:type="dxa"/>
            <w:bottom w:w="0" w:type="dxa"/>
            <w:right w:w="0" w:type="dxa"/>
          </w:tblCellMar>
        </w:tblPrEx>
        <w:trPr>
          <w:trHeight w:val="306" w:hRule="atLeast"/>
          <w:jc w:val="center"/>
        </w:trPr>
        <w:tc>
          <w:tcPr>
            <w:tcW w:w="49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bottom w:val="single" w:color="000000" w:sz="4" w:space="0"/>
              <w:right w:val="single" w:color="000000" w:sz="4" w:space="0"/>
            </w:tcBorders>
            <w:vAlign w:val="center"/>
          </w:tcPr>
          <w:p>
            <w:pPr>
              <w:widowControl/>
              <w:jc w:val="center"/>
              <w:rPr>
                <w:rFonts w:ascii="Arial" w:hAnsi="Arial" w:cs="Arial"/>
                <w:b/>
                <w:bCs/>
                <w:kern w:val="0"/>
                <w:sz w:val="18"/>
                <w:szCs w:val="18"/>
              </w:rPr>
            </w:pPr>
          </w:p>
        </w:tc>
        <w:tc>
          <w:tcPr>
            <w:tcW w:w="1644" w:type="dxa"/>
            <w:gridSpan w:val="2"/>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24"/>
                <w:sz w:val="18"/>
                <w:szCs w:val="18"/>
              </w:rPr>
            </w:pPr>
            <w:r>
              <w:rPr>
                <w:rFonts w:hint="default" w:ascii="Arial" w:hAnsi="Arial" w:cs="Arial"/>
                <w:b/>
                <w:bCs/>
                <w:kern w:val="24"/>
                <w:sz w:val="18"/>
                <w:szCs w:val="18"/>
              </w:rPr>
              <w:t>社区配套面积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val="0"/>
                <w:bCs w:val="0"/>
                <w:kern w:val="24"/>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hint="default" w:ascii="Arial" w:hAnsi="Arial" w:cs="Arial"/>
                <w:kern w:val="24"/>
                <w:sz w:val="18"/>
                <w:szCs w:val="18"/>
              </w:rPr>
              <w:t>18,65</w:t>
            </w:r>
            <w:r>
              <w:rPr>
                <w:rFonts w:ascii="Arial" w:hAnsi="Arial" w:cs="Arial"/>
                <w:kern w:val="24"/>
                <w:sz w:val="18"/>
                <w:szCs w:val="18"/>
              </w:rPr>
              <w:t>9</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3</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建筑占地面积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24"/>
                <w:sz w:val="18"/>
                <w:szCs w:val="18"/>
              </w:rPr>
            </w:pPr>
            <w:r>
              <w:rPr>
                <w:rFonts w:hint="default" w:ascii="Arial" w:hAnsi="Arial" w:cs="Arial"/>
                <w:kern w:val="24"/>
                <w:sz w:val="18"/>
                <w:szCs w:val="18"/>
              </w:rPr>
              <w:t>39,670</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4</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绿地面积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rPr>
                <w:rFonts w:ascii="Arial" w:hAnsi="Arial" w:cs="Arial"/>
                <w:b w:val="0"/>
                <w:bCs w:val="0"/>
                <w:color w:val="000000"/>
                <w:sz w:val="18"/>
                <w:szCs w:val="18"/>
              </w:rPr>
            </w:pPr>
            <w:r>
              <w:rPr>
                <w:rFonts w:ascii="Arial" w:hAnsi="Arial" w:cs="Arial"/>
                <w:b w:val="0"/>
                <w:bCs w:val="0"/>
                <w:color w:val="000000"/>
                <w:sz w:val="18"/>
                <w:szCs w:val="18"/>
              </w:rPr>
              <w:t>163,723</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5</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总户数</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hint="default" w:ascii="Arial" w:hAnsi="Arial" w:cs="Arial"/>
                <w:b w:val="0"/>
                <w:bCs w:val="0"/>
                <w:kern w:val="24"/>
                <w:sz w:val="18"/>
                <w:szCs w:val="18"/>
              </w:rPr>
              <w:t>户</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24"/>
                <w:sz w:val="18"/>
                <w:szCs w:val="18"/>
              </w:rPr>
            </w:pPr>
            <w:r>
              <w:rPr>
                <w:rFonts w:hint="default" w:ascii="Arial" w:hAnsi="Arial" w:cs="Arial"/>
                <w:kern w:val="24"/>
                <w:sz w:val="18"/>
                <w:szCs w:val="18"/>
              </w:rPr>
              <w:t>3,25</w:t>
            </w:r>
            <w:r>
              <w:rPr>
                <w:rFonts w:ascii="Arial" w:hAnsi="Arial" w:cs="Arial"/>
                <w:kern w:val="24"/>
                <w:sz w:val="18"/>
                <w:szCs w:val="18"/>
              </w:rPr>
              <w:t>0</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6</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居住人口</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hint="default" w:ascii="Arial" w:hAnsi="Arial" w:cs="Arial"/>
                <w:b w:val="0"/>
                <w:bCs w:val="0"/>
                <w:kern w:val="24"/>
                <w:sz w:val="18"/>
                <w:szCs w:val="18"/>
              </w:rPr>
              <w:t>人</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24"/>
                <w:sz w:val="18"/>
                <w:szCs w:val="18"/>
              </w:rPr>
            </w:pPr>
            <w:r>
              <w:rPr>
                <w:rFonts w:hint="default" w:ascii="Arial" w:hAnsi="Arial" w:cs="Arial"/>
                <w:kern w:val="24"/>
                <w:sz w:val="18"/>
                <w:szCs w:val="18"/>
              </w:rPr>
              <w:t>11,389</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7</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可售机动车停车位</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hint="default" w:ascii="Arial" w:hAnsi="Arial" w:cs="Arial"/>
                <w:b w:val="0"/>
                <w:bCs w:val="0"/>
                <w:kern w:val="24"/>
                <w:sz w:val="18"/>
                <w:szCs w:val="18"/>
              </w:rPr>
              <w:t>辆</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kern w:val="24"/>
                <w:sz w:val="18"/>
                <w:szCs w:val="18"/>
              </w:rPr>
            </w:pPr>
            <w:r>
              <w:rPr>
                <w:rFonts w:hint="default" w:ascii="Arial" w:hAnsi="Arial" w:cs="Arial"/>
                <w:kern w:val="24"/>
                <w:sz w:val="18"/>
                <w:szCs w:val="18"/>
              </w:rPr>
              <w:t>3,</w:t>
            </w:r>
            <w:r>
              <w:rPr>
                <w:rFonts w:ascii="Arial" w:hAnsi="Arial" w:cs="Arial"/>
                <w:kern w:val="24"/>
                <w:sz w:val="18"/>
                <w:szCs w:val="18"/>
              </w:rPr>
              <w:t>109</w:t>
            </w:r>
          </w:p>
        </w:tc>
      </w:tr>
    </w:tbl>
    <w:p>
      <w:pPr>
        <w:pStyle w:val="2"/>
        <w:keepNext w:val="0"/>
        <w:keepLines w:val="0"/>
        <w:spacing w:before="300" w:after="300" w:line="360" w:lineRule="exact"/>
        <w:jc w:val="left"/>
        <w:rPr>
          <w:rFonts w:ascii="Arial" w:hAnsi="Arial" w:cs="Arial"/>
          <w:color w:val="000000"/>
          <w:sz w:val="24"/>
          <w:szCs w:val="24"/>
        </w:rPr>
      </w:pPr>
      <w:bookmarkStart w:id="59" w:name="_Toc979"/>
      <w:bookmarkStart w:id="60" w:name="_Toc11151"/>
      <w:bookmarkStart w:id="61" w:name="_Toc7203"/>
      <w:bookmarkStart w:id="62" w:name="_Toc3398"/>
      <w:bookmarkStart w:id="63" w:name="_Toc5072"/>
      <w:bookmarkStart w:id="64" w:name="_Toc4962"/>
      <w:bookmarkStart w:id="65" w:name="_Toc2018"/>
      <w:bookmarkStart w:id="66" w:name="_Toc6921"/>
      <w:bookmarkStart w:id="67" w:name="_Toc11933"/>
      <w:bookmarkStart w:id="68" w:name="_Toc20465"/>
      <w:bookmarkStart w:id="69" w:name="_Toc4721"/>
      <w:bookmarkStart w:id="70" w:name="_Toc32706"/>
      <w:bookmarkStart w:id="71" w:name="_Toc7811"/>
      <w:bookmarkStart w:id="72" w:name="_Toc29264"/>
      <w:bookmarkStart w:id="73" w:name="_Toc23582"/>
      <w:bookmarkStart w:id="74" w:name="_Toc6245"/>
      <w:bookmarkStart w:id="75" w:name="_Toc18822"/>
      <w:bookmarkStart w:id="76" w:name="_Toc24078"/>
      <w:bookmarkStart w:id="77" w:name="_Toc7734"/>
      <w:bookmarkStart w:id="78" w:name="_Toc30806"/>
      <w:bookmarkStart w:id="79" w:name="_Toc3446"/>
      <w:r>
        <w:rPr>
          <w:rFonts w:ascii="Arial" w:hAnsi="Arial" w:cs="Arial"/>
          <w:color w:val="000000"/>
          <w:sz w:val="24"/>
          <w:szCs w:val="24"/>
        </w:rPr>
        <w:t>2重大事件披露</w:t>
      </w:r>
      <w:bookmarkEnd w:id="41"/>
      <w:bookmarkEnd w:id="42"/>
      <w:bookmarkEnd w:id="43"/>
      <w:bookmarkEnd w:id="44"/>
      <w:bookmarkEnd w:id="45"/>
      <w:bookmarkEnd w:id="4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bookmarkEnd w:id="6"/>
    <w:p>
      <w:pPr>
        <w:numPr>
          <w:ilvl w:val="0"/>
          <w:numId w:val="1"/>
        </w:numPr>
        <w:spacing w:line="480" w:lineRule="auto"/>
        <w:ind w:left="845"/>
        <w:rPr>
          <w:rFonts w:ascii="Arial" w:hAnsi="Arial" w:cs="Arial"/>
          <w:szCs w:val="21"/>
        </w:rPr>
      </w:pPr>
      <w:bookmarkStart w:id="80" w:name="_Toc11536"/>
      <w:bookmarkStart w:id="81" w:name="_Toc532281656"/>
      <w:bookmarkStart w:id="82" w:name="_Toc535580090"/>
      <w:bookmarkStart w:id="83" w:name="_Toc45217875"/>
      <w:bookmarkStart w:id="84" w:name="_Toc535570749"/>
      <w:bookmarkStart w:id="85" w:name="_Toc535508635"/>
      <w:bookmarkStart w:id="86" w:name="_Toc535580022"/>
      <w:r>
        <w:rPr>
          <w:rFonts w:ascii="Arial" w:hAnsi="Arial" w:cs="Arial"/>
          <w:szCs w:val="21"/>
        </w:rPr>
        <w:t>2020年8月6日康信资管驻场人员在中航信托王立里见证下，与融创融资部郭恬对SPV公司共管资料进行交接，交接单详见附件三。本次监管采用驻场形式，主要监管内容包括：SPV公司及项目公司的董事会议案咨询、印章证照监管、账户监管、合同监管、资金支出监管、销售及回款监管、项目工程及销售进度管控、工程及手续监管、退出清算。</w:t>
      </w:r>
    </w:p>
    <w:p>
      <w:pPr>
        <w:numPr>
          <w:ilvl w:val="0"/>
          <w:numId w:val="1"/>
        </w:numPr>
        <w:spacing w:line="480" w:lineRule="auto"/>
        <w:ind w:left="845"/>
        <w:rPr>
          <w:rFonts w:ascii="Arial" w:hAnsi="Arial" w:cs="Arial"/>
          <w:szCs w:val="21"/>
        </w:rPr>
      </w:pPr>
      <w:r>
        <w:rPr>
          <w:rFonts w:ascii="Arial" w:hAnsi="Arial" w:cs="Arial"/>
          <w:szCs w:val="21"/>
        </w:rPr>
        <w:t>SPV公司于2020年8月20日更换了项目公司的共管保险柜，新的保险柜两把主钥匙由康信资管和SPV公司共同保管于SPV公司的保险柜中，两把副钥匙由福州首开福泰投资有限公司行政保管，保险柜需主钥匙及副钥匙共同操作才可开启，不设置密码。</w:t>
      </w:r>
      <w:bookmarkEnd w:id="80"/>
    </w:p>
    <w:p>
      <w:pPr>
        <w:numPr>
          <w:ilvl w:val="0"/>
          <w:numId w:val="1"/>
        </w:numPr>
        <w:spacing w:line="480" w:lineRule="auto"/>
        <w:ind w:left="845"/>
        <w:rPr>
          <w:rFonts w:ascii="Arial" w:hAnsi="Arial" w:cs="Arial"/>
          <w:szCs w:val="21"/>
        </w:rPr>
      </w:pPr>
      <w:r>
        <w:rPr>
          <w:rFonts w:ascii="Arial" w:hAnsi="Arial" w:cs="Arial"/>
          <w:szCs w:val="21"/>
        </w:rPr>
        <w:t>SPV公司于2020年8月19日收到中航信托两笔投资款475,200,000.00元和90,800,000.00元，</w:t>
      </w:r>
      <w:r>
        <w:rPr>
          <w:rFonts w:hint="eastAsia" w:ascii="Arial" w:hAnsi="Arial" w:cs="Arial"/>
          <w:szCs w:val="21"/>
        </w:rPr>
        <w:t>其中560</w:t>
      </w:r>
      <w:r>
        <w:rPr>
          <w:rFonts w:ascii="Arial" w:hAnsi="Arial" w:cs="Arial"/>
          <w:szCs w:val="21"/>
        </w:rPr>
        <w:t>,</w:t>
      </w:r>
      <w:r>
        <w:rPr>
          <w:rFonts w:hint="eastAsia" w:ascii="Arial" w:hAnsi="Arial" w:cs="Arial"/>
          <w:szCs w:val="21"/>
        </w:rPr>
        <w:t>000</w:t>
      </w:r>
      <w:r>
        <w:rPr>
          <w:rFonts w:ascii="Arial" w:hAnsi="Arial" w:cs="Arial"/>
          <w:szCs w:val="21"/>
        </w:rPr>
        <w:t>,</w:t>
      </w:r>
      <w:r>
        <w:rPr>
          <w:rFonts w:hint="eastAsia" w:ascii="Arial" w:hAnsi="Arial" w:cs="Arial"/>
          <w:szCs w:val="21"/>
        </w:rPr>
        <w:t>000</w:t>
      </w:r>
      <w:r>
        <w:rPr>
          <w:rFonts w:ascii="Arial" w:hAnsi="Arial" w:cs="Arial"/>
          <w:szCs w:val="21"/>
        </w:rPr>
        <w:t>.00</w:t>
      </w:r>
      <w:r>
        <w:rPr>
          <w:rFonts w:hint="eastAsia" w:ascii="Arial" w:hAnsi="Arial" w:cs="Arial"/>
          <w:szCs w:val="21"/>
        </w:rPr>
        <w:t>元进行实缴出资，6</w:t>
      </w:r>
      <w:r>
        <w:rPr>
          <w:rFonts w:ascii="Arial" w:hAnsi="Arial" w:cs="Arial"/>
          <w:szCs w:val="21"/>
        </w:rPr>
        <w:t>,</w:t>
      </w:r>
      <w:r>
        <w:rPr>
          <w:rFonts w:hint="eastAsia" w:ascii="Arial" w:hAnsi="Arial" w:cs="Arial"/>
          <w:szCs w:val="21"/>
        </w:rPr>
        <w:t>00</w:t>
      </w:r>
      <w:r>
        <w:rPr>
          <w:rFonts w:ascii="Arial" w:hAnsi="Arial" w:cs="Arial"/>
          <w:szCs w:val="21"/>
        </w:rPr>
        <w:t>0,000.00</w:t>
      </w:r>
      <w:r>
        <w:rPr>
          <w:rFonts w:hint="eastAsia" w:ascii="Arial" w:hAnsi="Arial" w:cs="Arial"/>
          <w:szCs w:val="21"/>
        </w:rPr>
        <w:t>元计入资本公积；信托计划资金按交易文件约定，5</w:t>
      </w:r>
      <w:r>
        <w:rPr>
          <w:rFonts w:ascii="Arial" w:hAnsi="Arial" w:cs="Arial"/>
          <w:szCs w:val="21"/>
        </w:rPr>
        <w:t>,</w:t>
      </w:r>
      <w:r>
        <w:rPr>
          <w:rFonts w:hint="eastAsia" w:ascii="Arial" w:hAnsi="Arial" w:cs="Arial"/>
          <w:szCs w:val="21"/>
        </w:rPr>
        <w:t>660</w:t>
      </w:r>
      <w:r>
        <w:rPr>
          <w:rFonts w:ascii="Arial" w:hAnsi="Arial" w:cs="Arial"/>
          <w:szCs w:val="21"/>
        </w:rPr>
        <w:t>,</w:t>
      </w:r>
      <w:r>
        <w:rPr>
          <w:rFonts w:hint="eastAsia" w:ascii="Arial" w:hAnsi="Arial" w:cs="Arial"/>
          <w:szCs w:val="21"/>
        </w:rPr>
        <w:t>000.00元用于向</w:t>
      </w:r>
      <w:r>
        <w:rPr>
          <w:rFonts w:hint="eastAsia" w:ascii="Arial" w:hAnsi="Arial" w:cs="Arial"/>
          <w:szCs w:val="21"/>
          <w:lang w:val="en-US" w:eastAsia="zh-CN"/>
        </w:rPr>
        <w:t>中航信托</w:t>
      </w:r>
      <w:r>
        <w:rPr>
          <w:rFonts w:hint="eastAsia" w:ascii="Arial" w:hAnsi="Arial" w:cs="Arial"/>
          <w:szCs w:val="21"/>
        </w:rPr>
        <w:t>缴纳信保基金，560,324,600.00元用于偿还福州衡越的前期投入，其余资金</w:t>
      </w:r>
      <w:r>
        <w:rPr>
          <w:rFonts w:hint="eastAsia" w:ascii="Arial" w:hAnsi="Arial" w:cs="Arial"/>
          <w:szCs w:val="21"/>
          <w:lang w:val="en-US" w:eastAsia="zh-CN"/>
        </w:rPr>
        <w:t>15,400.00</w:t>
      </w:r>
      <w:r>
        <w:rPr>
          <w:rFonts w:hint="eastAsia" w:ascii="Arial" w:hAnsi="Arial" w:cs="Arial"/>
          <w:szCs w:val="21"/>
        </w:rPr>
        <w:t>存留</w:t>
      </w:r>
      <w:r>
        <w:rPr>
          <w:rFonts w:hint="eastAsia" w:ascii="Arial" w:hAnsi="Arial" w:cs="Arial"/>
          <w:szCs w:val="21"/>
          <w:lang w:val="en-US" w:eastAsia="zh-CN"/>
        </w:rPr>
        <w:t>SPV公司账</w:t>
      </w:r>
      <w:r>
        <w:rPr>
          <w:rFonts w:hint="eastAsia" w:ascii="Arial" w:hAnsi="Arial" w:cs="Arial"/>
          <w:szCs w:val="21"/>
        </w:rPr>
        <w:t>上</w:t>
      </w:r>
      <w:r>
        <w:rPr>
          <w:rFonts w:ascii="Arial" w:hAnsi="Arial" w:cs="Arial"/>
          <w:szCs w:val="21"/>
        </w:rPr>
        <w:t>。</w:t>
      </w:r>
    </w:p>
    <w:p>
      <w:pPr>
        <w:numPr>
          <w:ilvl w:val="0"/>
          <w:numId w:val="1"/>
        </w:numPr>
        <w:spacing w:line="480" w:lineRule="auto"/>
        <w:ind w:left="845"/>
        <w:rPr>
          <w:rFonts w:ascii="Arial" w:hAnsi="Arial" w:cs="Arial"/>
          <w:szCs w:val="21"/>
        </w:rPr>
      </w:pPr>
      <w:r>
        <w:rPr>
          <w:rFonts w:ascii="Arial" w:hAnsi="Arial" w:cs="Arial"/>
          <w:szCs w:val="21"/>
        </w:rPr>
        <w:t>项目公司于2020年8月19日对展示区施工《安全生产协议书》用印，</w:t>
      </w:r>
      <w:r>
        <w:rPr>
          <w:rFonts w:hint="eastAsia" w:ascii="Arial" w:hAnsi="Arial" w:cs="Arial"/>
          <w:szCs w:val="21"/>
        </w:rPr>
        <w:t>并提交中铁方面用印，</w:t>
      </w:r>
      <w:r>
        <w:rPr>
          <w:rFonts w:ascii="Arial" w:hAnsi="Arial" w:cs="Arial"/>
          <w:szCs w:val="21"/>
        </w:rPr>
        <w:t>展示区部分临时设施已经入场，计划于9月份开始施工。</w:t>
      </w:r>
    </w:p>
    <w:p>
      <w:pPr>
        <w:numPr>
          <w:ilvl w:val="0"/>
          <w:numId w:val="1"/>
        </w:numPr>
        <w:spacing w:line="480" w:lineRule="auto"/>
        <w:ind w:left="845"/>
        <w:rPr>
          <w:rFonts w:ascii="Arial" w:hAnsi="Arial" w:cs="Arial"/>
          <w:szCs w:val="21"/>
        </w:rPr>
      </w:pPr>
      <w:r>
        <w:rPr>
          <w:rFonts w:hint="eastAsia" w:ascii="Arial" w:hAnsi="Arial" w:cs="Arial"/>
          <w:szCs w:val="21"/>
        </w:rPr>
        <w:t>项目公司</w:t>
      </w:r>
      <w:r>
        <w:rPr>
          <w:rFonts w:hint="eastAsia" w:ascii="Arial" w:hAnsi="Arial" w:cs="Arial"/>
          <w:szCs w:val="21"/>
          <w:lang w:eastAsia="zh-CN"/>
        </w:rPr>
        <w:t>于</w:t>
      </w:r>
      <w:r>
        <w:rPr>
          <w:rFonts w:hint="eastAsia" w:ascii="Arial" w:hAnsi="Arial" w:cs="Arial"/>
          <w:szCs w:val="21"/>
          <w:lang w:val="en-US" w:eastAsia="zh-CN"/>
        </w:rPr>
        <w:t>2020年8月26日提交了申请</w:t>
      </w:r>
      <w:r>
        <w:rPr>
          <w:rFonts w:hint="eastAsia" w:ascii="Arial" w:hAnsi="Arial" w:cs="Arial"/>
          <w:szCs w:val="21"/>
        </w:rPr>
        <w:t>暂定开发资质</w:t>
      </w:r>
      <w:r>
        <w:rPr>
          <w:rFonts w:hint="eastAsia" w:ascii="Arial" w:hAnsi="Arial" w:cs="Arial"/>
          <w:szCs w:val="21"/>
          <w:lang w:eastAsia="zh-CN"/>
        </w:rPr>
        <w:t>的资料，截至</w:t>
      </w:r>
      <w:r>
        <w:rPr>
          <w:rFonts w:hint="eastAsia" w:ascii="Arial" w:hAnsi="Arial" w:cs="Arial"/>
          <w:szCs w:val="21"/>
          <w:lang w:val="en-US" w:eastAsia="zh-CN"/>
        </w:rPr>
        <w:t>2020年8月31日</w:t>
      </w:r>
      <w:r>
        <w:rPr>
          <w:rFonts w:hint="eastAsia" w:ascii="Arial" w:hAnsi="Arial" w:cs="Arial"/>
          <w:szCs w:val="21"/>
          <w:lang w:eastAsia="zh-CN"/>
        </w:rPr>
        <w:t>开发资质证书尚在办理</w:t>
      </w:r>
      <w:r>
        <w:rPr>
          <w:rFonts w:hint="eastAsia" w:ascii="Arial" w:hAnsi="Arial" w:cs="Arial"/>
          <w:szCs w:val="21"/>
        </w:rPr>
        <w:t>中。</w:t>
      </w:r>
    </w:p>
    <w:p>
      <w:pPr>
        <w:pStyle w:val="2"/>
        <w:keepNext w:val="0"/>
        <w:keepLines w:val="0"/>
        <w:spacing w:before="300" w:after="300" w:line="360" w:lineRule="exact"/>
        <w:jc w:val="left"/>
        <w:rPr>
          <w:rFonts w:ascii="Arial" w:hAnsi="Arial" w:cs="Arial"/>
          <w:color w:val="000000"/>
          <w:sz w:val="24"/>
          <w:szCs w:val="24"/>
        </w:rPr>
      </w:pPr>
      <w:bookmarkStart w:id="87" w:name="_Toc9691"/>
      <w:bookmarkStart w:id="88" w:name="_Toc23455"/>
      <w:bookmarkStart w:id="89" w:name="_Toc29796"/>
      <w:bookmarkStart w:id="90" w:name="_Toc20290"/>
      <w:bookmarkStart w:id="91" w:name="_Toc22188"/>
      <w:bookmarkStart w:id="92" w:name="_Toc5634"/>
      <w:bookmarkStart w:id="93" w:name="_Toc17407"/>
      <w:bookmarkStart w:id="94" w:name="_Toc13618"/>
      <w:bookmarkStart w:id="95" w:name="_Toc2846"/>
      <w:bookmarkStart w:id="96" w:name="_Toc27344"/>
      <w:bookmarkStart w:id="97" w:name="_Toc10835"/>
      <w:bookmarkStart w:id="98" w:name="_Toc12527"/>
      <w:bookmarkStart w:id="99" w:name="_Toc15531"/>
      <w:bookmarkStart w:id="100" w:name="_Toc6615"/>
      <w:bookmarkStart w:id="101" w:name="_Toc25504"/>
      <w:bookmarkStart w:id="102" w:name="_Toc7713"/>
      <w:bookmarkStart w:id="103" w:name="_Toc27206"/>
      <w:bookmarkStart w:id="104" w:name="_Toc31624"/>
      <w:bookmarkStart w:id="105" w:name="_Toc27120"/>
      <w:bookmarkStart w:id="106" w:name="_Toc26154"/>
      <w:bookmarkStart w:id="107" w:name="_Toc7182"/>
      <w:r>
        <w:rPr>
          <w:rFonts w:ascii="Arial" w:hAnsi="Arial" w:cs="Arial"/>
          <w:color w:val="000000"/>
          <w:sz w:val="24"/>
          <w:szCs w:val="24"/>
        </w:rPr>
        <w:t>3项目五证办理及施工进度情况</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pPr>
        <w:pStyle w:val="3"/>
        <w:keepNext w:val="0"/>
        <w:keepLines w:val="0"/>
        <w:spacing w:before="300" w:after="300" w:line="360" w:lineRule="exact"/>
        <w:jc w:val="left"/>
        <w:rPr>
          <w:rFonts w:eastAsia="宋体" w:cs="Arial"/>
          <w:sz w:val="24"/>
        </w:rPr>
      </w:pPr>
      <w:bookmarkStart w:id="108" w:name="_Toc2085"/>
      <w:bookmarkStart w:id="109" w:name="_Toc532281657"/>
      <w:bookmarkStart w:id="110" w:name="_Toc4361"/>
      <w:bookmarkStart w:id="111" w:name="_Toc17332"/>
      <w:bookmarkStart w:id="112" w:name="_Toc19287"/>
      <w:bookmarkStart w:id="113" w:name="_Toc18979"/>
      <w:bookmarkStart w:id="114" w:name="_Toc8286"/>
      <w:bookmarkStart w:id="115" w:name="_Toc26816"/>
      <w:bookmarkStart w:id="116" w:name="_Toc14609"/>
      <w:bookmarkStart w:id="117" w:name="_Toc25865"/>
      <w:bookmarkStart w:id="118" w:name="_Toc23092"/>
      <w:bookmarkStart w:id="119" w:name="_Toc535580023"/>
      <w:bookmarkStart w:id="120" w:name="_Toc19011"/>
      <w:bookmarkStart w:id="121" w:name="_Toc45217876"/>
      <w:bookmarkStart w:id="122" w:name="_Toc10147"/>
      <w:bookmarkStart w:id="123" w:name="_Toc2173"/>
      <w:bookmarkStart w:id="124" w:name="_Toc5455"/>
      <w:bookmarkStart w:id="125" w:name="_Toc16110"/>
      <w:bookmarkStart w:id="126" w:name="_Toc15959"/>
      <w:bookmarkStart w:id="127" w:name="_Toc535508636"/>
      <w:bookmarkStart w:id="128" w:name="_Toc32146"/>
      <w:bookmarkStart w:id="129" w:name="_Toc10109"/>
      <w:bookmarkStart w:id="130" w:name="_Toc8591"/>
      <w:bookmarkStart w:id="131" w:name="_Toc535580091"/>
      <w:bookmarkStart w:id="132" w:name="_Toc535570750"/>
      <w:bookmarkStart w:id="133" w:name="_Toc7484"/>
      <w:bookmarkStart w:id="134" w:name="_Toc21233"/>
      <w:r>
        <w:rPr>
          <w:rFonts w:eastAsia="宋体" w:cs="Arial"/>
          <w:sz w:val="24"/>
        </w:rPr>
        <w:t>3.1项目五证办理情况说明</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spacing w:line="480" w:lineRule="auto"/>
        <w:ind w:firstLine="420" w:firstLineChars="200"/>
        <w:rPr>
          <w:rFonts w:ascii="Arial" w:hAnsi="Arial" w:cs="Arial"/>
          <w:szCs w:val="21"/>
        </w:rPr>
      </w:pPr>
      <w:r>
        <w:rPr>
          <w:rFonts w:ascii="Arial" w:hAnsi="Arial" w:cs="Arial"/>
          <w:szCs w:val="21"/>
        </w:rPr>
        <w:t>截止到2020年08月31日，项目已经取得了建设用地规划许可证，具体证照办理进度情况如下表：</w:t>
      </w:r>
    </w:p>
    <w:p>
      <w:pPr>
        <w:spacing w:before="240" w:beforeLines="100"/>
        <w:jc w:val="center"/>
        <w:rPr>
          <w:rFonts w:ascii="Arial" w:hAnsi="Arial" w:cs="Arial"/>
          <w:b/>
          <w:bCs/>
          <w:kern w:val="44"/>
          <w:sz w:val="24"/>
          <w:szCs w:val="44"/>
        </w:rPr>
      </w:pPr>
      <w:r>
        <w:rPr>
          <w:rFonts w:ascii="Arial" w:hAnsi="Arial" w:cs="Arial"/>
          <w:b/>
          <w:bCs/>
          <w:kern w:val="44"/>
          <w:sz w:val="24"/>
          <w:szCs w:val="44"/>
        </w:rPr>
        <w:t>项目五证办理进度情况表</w:t>
      </w:r>
    </w:p>
    <w:tbl>
      <w:tblPr>
        <w:tblStyle w:val="18"/>
        <w:tblW w:w="9398" w:type="dxa"/>
        <w:tblInd w:w="-338" w:type="dxa"/>
        <w:tblLayout w:type="fixed"/>
        <w:tblCellMar>
          <w:top w:w="0" w:type="dxa"/>
          <w:left w:w="0" w:type="dxa"/>
          <w:bottom w:w="0" w:type="dxa"/>
          <w:right w:w="0" w:type="dxa"/>
        </w:tblCellMar>
      </w:tblPr>
      <w:tblGrid>
        <w:gridCol w:w="480"/>
        <w:gridCol w:w="972"/>
        <w:gridCol w:w="3780"/>
        <w:gridCol w:w="840"/>
        <w:gridCol w:w="1104"/>
        <w:gridCol w:w="2222"/>
      </w:tblGrid>
      <w:tr>
        <w:tblPrEx>
          <w:tblCellMar>
            <w:top w:w="0" w:type="dxa"/>
            <w:left w:w="0" w:type="dxa"/>
            <w:bottom w:w="0" w:type="dxa"/>
            <w:right w:w="0" w:type="dxa"/>
          </w:tblCellMar>
        </w:tblPrEx>
        <w:trPr>
          <w:cantSplit/>
          <w:trHeight w:val="562" w:hRule="atLeast"/>
          <w:tblHeader/>
        </w:trPr>
        <w:tc>
          <w:tcPr>
            <w:tcW w:w="4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7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8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预计取证日期</w:t>
            </w:r>
          </w:p>
        </w:tc>
        <w:tc>
          <w:tcPr>
            <w:tcW w:w="11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222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675"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7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hint="eastAsia" w:ascii="Arial Unicode MS" w:hAnsi="Arial Unicode MS" w:cs="宋体"/>
                <w:color w:val="000000"/>
                <w:kern w:val="0"/>
                <w:sz w:val="18"/>
                <w:szCs w:val="20"/>
                <w:lang w:eastAsia="zh-CN"/>
              </w:rPr>
            </w:pPr>
            <w:r>
              <w:rPr>
                <w:rFonts w:hint="eastAsia" w:ascii="Arial Unicode MS" w:hAnsi="Arial Unicode MS" w:cs="宋体"/>
                <w:color w:val="000000"/>
                <w:kern w:val="0"/>
                <w:sz w:val="18"/>
                <w:szCs w:val="20"/>
                <w:lang w:val="en-US" w:eastAsia="zh-CN"/>
              </w:rPr>
              <w:t>应该提供</w:t>
            </w:r>
            <w:r>
              <w:rPr>
                <w:rFonts w:hint="eastAsia" w:ascii="Arial Unicode MS" w:hAnsi="Arial Unicode MS" w:cs="宋体"/>
                <w:color w:val="000000"/>
                <w:kern w:val="0"/>
                <w:sz w:val="18"/>
                <w:szCs w:val="20"/>
              </w:rPr>
              <w:t>申请表及申请人身份证明</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国有建设用地使用权出让合同(含用地红线图）、出让金票据</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一般缴款书</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权籍调查成果确认单</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宗地图</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测量报告</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完税凭证</w:t>
            </w:r>
            <w:r>
              <w:rPr>
                <w:rFonts w:hint="eastAsia" w:ascii="Arial Unicode MS" w:hAnsi="Arial Unicode MS" w:cs="宋体"/>
                <w:color w:val="000000"/>
                <w:kern w:val="0"/>
                <w:sz w:val="18"/>
                <w:szCs w:val="20"/>
                <w:lang w:eastAsia="zh-CN"/>
              </w:rPr>
              <w:t>；</w:t>
            </w:r>
          </w:p>
          <w:p>
            <w:pPr>
              <w:widowControl/>
              <w:numPr>
                <w:ilvl w:val="0"/>
                <w:numId w:val="2"/>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lang w:val="en-US" w:eastAsia="zh-CN"/>
              </w:rPr>
              <w:t>依据不动产登记办法办理。</w:t>
            </w:r>
          </w:p>
        </w:tc>
        <w:tc>
          <w:tcPr>
            <w:tcW w:w="8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2021年1月</w:t>
            </w:r>
          </w:p>
        </w:tc>
        <w:tc>
          <w:tcPr>
            <w:tcW w:w="11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222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因土地出让金未交清、地铁施工未完成等原因，项目地块尚未交地，《不动产权证书》尚未取得。</w:t>
            </w:r>
          </w:p>
        </w:tc>
      </w:tr>
      <w:tr>
        <w:tblPrEx>
          <w:tblCellMar>
            <w:top w:w="0" w:type="dxa"/>
            <w:left w:w="0" w:type="dxa"/>
            <w:bottom w:w="0" w:type="dxa"/>
            <w:right w:w="0" w:type="dxa"/>
          </w:tblCellMar>
        </w:tblPrEx>
        <w:trPr>
          <w:cantSplit/>
          <w:trHeight w:val="480"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7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8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2021年2月</w:t>
            </w:r>
          </w:p>
        </w:tc>
        <w:tc>
          <w:tcPr>
            <w:tcW w:w="11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2020年6月8日</w:t>
            </w:r>
          </w:p>
        </w:tc>
        <w:tc>
          <w:tcPr>
            <w:tcW w:w="222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由首开方保管，未纳入共管。</w:t>
            </w:r>
          </w:p>
        </w:tc>
      </w:tr>
      <w:tr>
        <w:tblPrEx>
          <w:tblCellMar>
            <w:top w:w="0" w:type="dxa"/>
            <w:left w:w="0" w:type="dxa"/>
            <w:bottom w:w="0" w:type="dxa"/>
            <w:right w:w="0" w:type="dxa"/>
          </w:tblCellMar>
        </w:tblPrEx>
        <w:trPr>
          <w:cantSplit/>
          <w:trHeight w:val="285"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7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1、应当提交使用土地的有关证明文件、建设工程设计方案等材料；</w:t>
            </w:r>
          </w:p>
          <w:p>
            <w:pPr>
              <w:widowControl/>
              <w:jc w:val="center"/>
              <w:textAlignment w:val="center"/>
              <w:rPr>
                <w:rFonts w:ascii="Arial" w:hAnsi="Arial" w:cs="Arial"/>
                <w:color w:val="000000"/>
                <w:sz w:val="18"/>
                <w:szCs w:val="18"/>
              </w:rPr>
            </w:pPr>
            <w:r>
              <w:rPr>
                <w:rFonts w:ascii="Arial" w:hAnsi="Arial" w:cs="Arial"/>
                <w:color w:val="000000"/>
                <w:sz w:val="18"/>
                <w:szCs w:val="18"/>
              </w:rPr>
              <w:t>2、需要建设单位编制修建性详细规划的建设项目，还应当提交修建性详细规划；</w:t>
            </w:r>
          </w:p>
          <w:p>
            <w:pPr>
              <w:widowControl/>
              <w:jc w:val="center"/>
              <w:textAlignment w:val="center"/>
              <w:rPr>
                <w:rFonts w:ascii="Arial" w:hAnsi="Arial" w:cs="Arial"/>
                <w:color w:val="000000"/>
                <w:sz w:val="18"/>
                <w:szCs w:val="18"/>
              </w:rPr>
            </w:pPr>
            <w:r>
              <w:rPr>
                <w:rFonts w:ascii="Arial" w:hAnsi="Arial" w:cs="Arial"/>
                <w:color w:val="000000"/>
                <w:sz w:val="18"/>
                <w:szCs w:val="18"/>
              </w:rPr>
              <w:t>3、对符合控制性详细规划和规划条件的，由城市、县人民政府城乡规划主管部门或者省、自治区、直辖市人民政府确定的镇人民政府核发建设工程规划许可证。</w:t>
            </w:r>
          </w:p>
        </w:tc>
        <w:tc>
          <w:tcPr>
            <w:tcW w:w="8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ascii="Arial" w:hAnsi="Arial" w:cs="Arial"/>
                <w:color w:val="000000"/>
                <w:kern w:val="0"/>
                <w:sz w:val="18"/>
                <w:szCs w:val="18"/>
                <w:lang w:bidi="ar"/>
              </w:rPr>
              <w:t>2020年</w:t>
            </w:r>
            <w:r>
              <w:rPr>
                <w:rFonts w:hint="eastAsia" w:ascii="Arial" w:hAnsi="Arial" w:cs="Arial"/>
                <w:color w:val="000000"/>
                <w:kern w:val="0"/>
                <w:sz w:val="18"/>
                <w:szCs w:val="18"/>
                <w:lang w:val="en-US" w:eastAsia="zh-CN" w:bidi="ar"/>
              </w:rPr>
              <w:t>11</w:t>
            </w:r>
            <w:r>
              <w:rPr>
                <w:rFonts w:ascii="Arial" w:hAnsi="Arial" w:cs="Arial"/>
                <w:color w:val="000000"/>
                <w:kern w:val="0"/>
                <w:sz w:val="18"/>
                <w:szCs w:val="18"/>
                <w:lang w:bidi="ar"/>
              </w:rPr>
              <w:t>月</w:t>
            </w:r>
            <w:r>
              <w:rPr>
                <w:rFonts w:hint="eastAsia" w:ascii="Arial" w:hAnsi="Arial" w:cs="Arial"/>
                <w:color w:val="000000"/>
                <w:kern w:val="0"/>
                <w:sz w:val="18"/>
                <w:szCs w:val="18"/>
                <w:lang w:val="en-US" w:eastAsia="zh-CN" w:bidi="ar"/>
              </w:rPr>
              <w:t>14日</w:t>
            </w:r>
          </w:p>
        </w:tc>
        <w:tc>
          <w:tcPr>
            <w:tcW w:w="11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222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项目公司新排布的专项计划为2020年11月取得，目前按计划推进。</w:t>
            </w:r>
          </w:p>
        </w:tc>
      </w:tr>
      <w:tr>
        <w:tblPrEx>
          <w:tblCellMar>
            <w:top w:w="0" w:type="dxa"/>
            <w:left w:w="0" w:type="dxa"/>
            <w:bottom w:w="0" w:type="dxa"/>
            <w:right w:w="0" w:type="dxa"/>
          </w:tblCellMar>
        </w:tblPrEx>
        <w:trPr>
          <w:cantSplit/>
          <w:trHeight w:val="270"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7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1、已经办理该建筑工程用地批准手续。 </w:t>
            </w:r>
          </w:p>
          <w:p>
            <w:pPr>
              <w:widowControl/>
              <w:jc w:val="center"/>
              <w:textAlignment w:val="center"/>
              <w:rPr>
                <w:rFonts w:ascii="Arial" w:hAnsi="Arial" w:cs="Arial"/>
                <w:color w:val="000000"/>
                <w:sz w:val="18"/>
                <w:szCs w:val="18"/>
              </w:rPr>
            </w:pPr>
            <w:r>
              <w:rPr>
                <w:rFonts w:ascii="Arial" w:hAnsi="Arial" w:cs="Arial"/>
                <w:color w:val="000000"/>
                <w:sz w:val="18"/>
                <w:szCs w:val="18"/>
              </w:rPr>
              <w:t>2、已经取得建设工程规划许可证。</w:t>
            </w:r>
          </w:p>
          <w:p>
            <w:pPr>
              <w:widowControl/>
              <w:jc w:val="center"/>
              <w:textAlignment w:val="center"/>
              <w:rPr>
                <w:rFonts w:ascii="Arial" w:hAnsi="Arial" w:cs="Arial"/>
                <w:color w:val="000000"/>
                <w:sz w:val="18"/>
                <w:szCs w:val="18"/>
              </w:rPr>
            </w:pPr>
            <w:r>
              <w:rPr>
                <w:rFonts w:ascii="Arial" w:hAnsi="Arial" w:cs="Arial"/>
                <w:color w:val="000000"/>
                <w:sz w:val="18"/>
                <w:szCs w:val="18"/>
              </w:rPr>
              <w:t>3、施工场地已经基本具备施工条件，需要拆迁的，其拆迁进度符合施工要求。</w:t>
            </w:r>
          </w:p>
          <w:p>
            <w:pPr>
              <w:widowControl/>
              <w:jc w:val="center"/>
              <w:textAlignment w:val="center"/>
              <w:rPr>
                <w:rFonts w:ascii="Arial" w:hAnsi="Arial" w:cs="Arial"/>
                <w:color w:val="000000"/>
                <w:sz w:val="18"/>
                <w:szCs w:val="18"/>
              </w:rPr>
            </w:pPr>
            <w:r>
              <w:rPr>
                <w:rFonts w:ascii="Arial" w:hAnsi="Arial" w:cs="Arial"/>
                <w:color w:val="000000"/>
                <w:sz w:val="18"/>
                <w:szCs w:val="18"/>
              </w:rPr>
              <w:t>4、已经确定施工企业。</w:t>
            </w:r>
          </w:p>
          <w:p>
            <w:pPr>
              <w:widowControl/>
              <w:jc w:val="center"/>
              <w:textAlignment w:val="center"/>
              <w:rPr>
                <w:rFonts w:ascii="Arial" w:hAnsi="Arial" w:cs="Arial"/>
                <w:color w:val="000000"/>
                <w:sz w:val="18"/>
                <w:szCs w:val="18"/>
              </w:rPr>
            </w:pPr>
            <w:r>
              <w:rPr>
                <w:rFonts w:ascii="Arial" w:hAnsi="Arial" w:cs="Arial"/>
                <w:color w:val="000000"/>
                <w:sz w:val="18"/>
                <w:szCs w:val="18"/>
              </w:rPr>
              <w:t xml:space="preserve">5、已满足施工需要的施工图纸及技术资料，施工图设计文件已按规定进行了审查。 </w:t>
            </w:r>
          </w:p>
          <w:p>
            <w:pPr>
              <w:widowControl/>
              <w:jc w:val="center"/>
              <w:textAlignment w:val="center"/>
              <w:rPr>
                <w:rFonts w:ascii="Arial" w:hAnsi="Arial" w:cs="Arial"/>
                <w:color w:val="000000"/>
                <w:sz w:val="18"/>
                <w:szCs w:val="18"/>
              </w:rPr>
            </w:pPr>
            <w:r>
              <w:rPr>
                <w:rFonts w:ascii="Arial" w:hAnsi="Arial" w:cs="Arial"/>
                <w:color w:val="000000"/>
                <w:sz w:val="18"/>
                <w:szCs w:val="18"/>
              </w:rPr>
              <w:t>6、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pPr>
              <w:widowControl/>
              <w:jc w:val="center"/>
              <w:textAlignment w:val="center"/>
              <w:rPr>
                <w:rFonts w:ascii="Arial" w:hAnsi="Arial" w:cs="Arial"/>
                <w:color w:val="000000"/>
                <w:sz w:val="18"/>
                <w:szCs w:val="18"/>
              </w:rPr>
            </w:pPr>
            <w:r>
              <w:rPr>
                <w:rFonts w:ascii="Arial" w:hAnsi="Arial" w:cs="Arial"/>
                <w:color w:val="000000"/>
                <w:sz w:val="18"/>
                <w:szCs w:val="18"/>
              </w:rPr>
              <w:t>7、按照规定应该委托监理的工程已委托监理。</w:t>
            </w:r>
          </w:p>
          <w:p>
            <w:pPr>
              <w:widowControl/>
              <w:jc w:val="center"/>
              <w:textAlignment w:val="center"/>
              <w:rPr>
                <w:rFonts w:ascii="Arial" w:hAnsi="Arial" w:cs="Arial"/>
                <w:color w:val="000000"/>
                <w:sz w:val="18"/>
                <w:szCs w:val="18"/>
              </w:rPr>
            </w:pPr>
            <w:r>
              <w:rPr>
                <w:rFonts w:ascii="Arial" w:hAnsi="Arial" w:cs="Arial"/>
                <w:color w:val="000000"/>
                <w:sz w:val="18"/>
                <w:szCs w:val="18"/>
              </w:rPr>
              <w:t>8、建设资金已经落实。</w:t>
            </w:r>
          </w:p>
        </w:tc>
        <w:tc>
          <w:tcPr>
            <w:tcW w:w="8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2020年9月</w:t>
            </w:r>
          </w:p>
        </w:tc>
        <w:tc>
          <w:tcPr>
            <w:tcW w:w="11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222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项目公司新排布的专项计划为2021年3月取得，预计2020年10月30日完成施工图审查手续，目前按计划推进。</w:t>
            </w:r>
          </w:p>
        </w:tc>
      </w:tr>
      <w:tr>
        <w:tblPrEx>
          <w:tblCellMar>
            <w:top w:w="0" w:type="dxa"/>
            <w:left w:w="0" w:type="dxa"/>
            <w:bottom w:w="0" w:type="dxa"/>
            <w:right w:w="0" w:type="dxa"/>
          </w:tblCellMar>
        </w:tblPrEx>
        <w:trPr>
          <w:cantSplit/>
          <w:trHeight w:val="2383"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3"/>
                <w:rFonts w:hint="default" w:ascii="Arial" w:hAnsi="Arial" w:cs="Arial"/>
                <w:lang w:bidi="ar"/>
              </w:rPr>
              <w:t>商品房预售许可证</w:t>
            </w:r>
          </w:p>
        </w:tc>
        <w:tc>
          <w:tcPr>
            <w:tcW w:w="3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lang w:val="en-US" w:eastAsia="zh-CN"/>
              </w:rPr>
              <w:t>1、</w:t>
            </w:r>
            <w:r>
              <w:rPr>
                <w:rFonts w:hint="eastAsia" w:ascii="Arial Unicode MS" w:hAnsi="Arial Unicode MS" w:eastAsia="宋体" w:cs="宋体"/>
                <w:color w:val="000000"/>
                <w:kern w:val="0"/>
                <w:sz w:val="18"/>
                <w:szCs w:val="20"/>
              </w:rPr>
              <w:t>预售方案及申请、土地使用权证、用地规划许可证、工程规划许可证、施工许可证等证照、工程建设情况说明（投入开发建设资金达到工程建设总投资</w:t>
            </w:r>
            <w:r>
              <w:rPr>
                <w:rFonts w:hint="eastAsia" w:ascii="Arial Unicode MS" w:hAnsi="Arial Unicode MS" w:cs="宋体"/>
                <w:color w:val="000000"/>
                <w:kern w:val="0"/>
                <w:sz w:val="18"/>
                <w:szCs w:val="20"/>
                <w:lang w:val="en-US" w:eastAsia="zh-CN"/>
              </w:rPr>
              <w:t>25%</w:t>
            </w:r>
            <w:r>
              <w:rPr>
                <w:rFonts w:hint="eastAsia" w:ascii="Arial Unicode MS" w:hAnsi="Arial Unicode MS" w:eastAsia="宋体" w:cs="宋体"/>
                <w:color w:val="000000"/>
                <w:kern w:val="0"/>
                <w:sz w:val="18"/>
                <w:szCs w:val="20"/>
              </w:rPr>
              <w:t>以上</w:t>
            </w:r>
            <w:r>
              <w:rPr>
                <w:rFonts w:hint="eastAsia" w:ascii="Arial Unicode MS" w:hAnsi="Arial Unicode MS" w:cs="宋体"/>
                <w:color w:val="000000"/>
                <w:kern w:val="0"/>
                <w:sz w:val="18"/>
                <w:szCs w:val="20"/>
                <w:lang w:eastAsia="zh-CN"/>
              </w:rPr>
              <w:t>；</w:t>
            </w:r>
            <w:r>
              <w:rPr>
                <w:rFonts w:hint="eastAsia" w:ascii="Arial Unicode MS" w:hAnsi="Arial Unicode MS" w:cs="宋体"/>
                <w:color w:val="000000"/>
                <w:kern w:val="0"/>
                <w:sz w:val="18"/>
                <w:szCs w:val="20"/>
                <w:lang w:val="en-US" w:eastAsia="zh-CN"/>
              </w:rPr>
              <w:t>2、</w:t>
            </w:r>
            <w:r>
              <w:rPr>
                <w:rFonts w:hint="eastAsia" w:ascii="Arial Unicode MS" w:hAnsi="Arial Unicode MS" w:eastAsia="宋体" w:cs="宋体"/>
                <w:color w:val="000000"/>
                <w:kern w:val="0"/>
                <w:sz w:val="18"/>
                <w:szCs w:val="20"/>
              </w:rPr>
              <w:t>已确定施工商品房项目进度和竣工交付日期、项目建筑主体施工形象进度须达到总层数的三分之一）、已在项目所在地的银行设立商品房预售款监管专用账户、白蚁防治合同及备案表和楼盘表备案已取得。</w:t>
            </w:r>
          </w:p>
        </w:tc>
        <w:tc>
          <w:tcPr>
            <w:tcW w:w="8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2021年2月</w:t>
            </w:r>
          </w:p>
        </w:tc>
        <w:tc>
          <w:tcPr>
            <w:tcW w:w="11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222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未到办理节点</w:t>
            </w:r>
          </w:p>
        </w:tc>
      </w:tr>
    </w:tbl>
    <w:p>
      <w:pPr>
        <w:ind w:firstLine="360" w:firstLineChars="200"/>
        <w:rPr>
          <w:rFonts w:ascii="Arial" w:hAnsi="Arial" w:cs="Arial"/>
          <w:bCs/>
          <w:kern w:val="44"/>
          <w:sz w:val="18"/>
          <w:szCs w:val="18"/>
        </w:rPr>
      </w:pPr>
      <w:r>
        <w:rPr>
          <w:rFonts w:ascii="Arial" w:hAnsi="Arial" w:cs="Arial"/>
          <w:bCs/>
          <w:kern w:val="44"/>
          <w:sz w:val="18"/>
          <w:szCs w:val="18"/>
        </w:rPr>
        <w:t>注：以上表格中的五证计划取得时间数据</w:t>
      </w:r>
      <w:r>
        <w:rPr>
          <w:rFonts w:hint="eastAsia" w:ascii="Arial" w:hAnsi="Arial" w:cs="Arial"/>
          <w:bCs/>
          <w:kern w:val="44"/>
          <w:sz w:val="18"/>
          <w:szCs w:val="18"/>
          <w:lang w:eastAsia="zh-CN"/>
        </w:rPr>
        <w:t>依据信托尽调报告</w:t>
      </w:r>
      <w:r>
        <w:rPr>
          <w:rFonts w:ascii="Arial" w:hAnsi="Arial" w:cs="Arial"/>
          <w:bCs/>
          <w:kern w:val="44"/>
          <w:sz w:val="18"/>
          <w:szCs w:val="18"/>
        </w:rPr>
        <w:t>所填列，</w:t>
      </w:r>
      <w:r>
        <w:rPr>
          <w:rFonts w:hint="eastAsia" w:ascii="Arial" w:hAnsi="Arial" w:cs="Arial"/>
          <w:bCs/>
          <w:kern w:val="44"/>
          <w:sz w:val="18"/>
          <w:szCs w:val="18"/>
          <w:lang w:eastAsia="zh-CN"/>
        </w:rPr>
        <w:t>实际取得</w:t>
      </w:r>
      <w:r>
        <w:rPr>
          <w:rFonts w:ascii="Arial" w:hAnsi="Arial" w:cs="Arial"/>
          <w:bCs/>
          <w:kern w:val="44"/>
          <w:sz w:val="18"/>
          <w:szCs w:val="18"/>
        </w:rPr>
        <w:t>时间以实际情况为准。</w:t>
      </w:r>
    </w:p>
    <w:p>
      <w:pPr>
        <w:pStyle w:val="3"/>
        <w:keepNext w:val="0"/>
        <w:keepLines w:val="0"/>
        <w:spacing w:before="300" w:after="300" w:line="360" w:lineRule="exact"/>
        <w:jc w:val="left"/>
        <w:rPr>
          <w:rFonts w:eastAsia="宋体" w:cs="Arial"/>
          <w:sz w:val="24"/>
        </w:rPr>
      </w:pPr>
      <w:bookmarkStart w:id="135" w:name="_Toc9840"/>
      <w:bookmarkStart w:id="136" w:name="_Toc5783"/>
      <w:bookmarkStart w:id="137" w:name="_Toc29257"/>
      <w:bookmarkStart w:id="138" w:name="_Toc7898"/>
      <w:bookmarkStart w:id="139" w:name="_Toc21296"/>
      <w:bookmarkStart w:id="140" w:name="_Toc18163"/>
      <w:bookmarkStart w:id="141" w:name="_Toc11581"/>
      <w:bookmarkStart w:id="142" w:name="_Toc8552"/>
      <w:bookmarkStart w:id="143" w:name="_Toc24063"/>
      <w:bookmarkStart w:id="144" w:name="_Toc16295"/>
      <w:bookmarkStart w:id="145" w:name="_Toc2244"/>
      <w:bookmarkStart w:id="146" w:name="_Toc10811"/>
      <w:bookmarkStart w:id="147" w:name="_Toc14867"/>
      <w:bookmarkStart w:id="148" w:name="_Toc8131"/>
      <w:bookmarkStart w:id="149" w:name="_Toc535508637"/>
      <w:bookmarkStart w:id="150" w:name="_Toc45217877"/>
      <w:bookmarkStart w:id="151" w:name="_Toc25561"/>
      <w:bookmarkStart w:id="152" w:name="_Toc32321"/>
      <w:bookmarkStart w:id="153" w:name="_Toc3081"/>
      <w:bookmarkStart w:id="154" w:name="_Toc1778"/>
      <w:bookmarkStart w:id="155" w:name="_Toc535570751"/>
      <w:bookmarkStart w:id="156" w:name="_Toc26908"/>
      <w:bookmarkStart w:id="157" w:name="_Toc535580024"/>
      <w:bookmarkStart w:id="158" w:name="_Toc20083"/>
      <w:bookmarkStart w:id="159" w:name="_Toc532281658"/>
      <w:bookmarkStart w:id="160" w:name="_Toc535580092"/>
      <w:bookmarkStart w:id="161" w:name="_Toc10110"/>
      <w:r>
        <w:rPr>
          <w:rFonts w:eastAsia="宋体" w:cs="Arial"/>
          <w:sz w:val="24"/>
        </w:rPr>
        <w:t>3.2项目施工情况</w:t>
      </w:r>
      <w:bookmarkEnd w:id="135"/>
      <w:bookmarkEnd w:id="136"/>
      <w:bookmarkEnd w:id="137"/>
      <w:bookmarkEnd w:id="138"/>
      <w:bookmarkEnd w:id="139"/>
      <w:bookmarkEnd w:id="140"/>
      <w:bookmarkEnd w:id="141"/>
      <w:bookmarkEnd w:id="142"/>
      <w:bookmarkEnd w:id="143"/>
      <w:bookmarkEnd w:id="144"/>
      <w:bookmarkEnd w:id="145"/>
      <w:bookmarkEnd w:id="146"/>
    </w:p>
    <w:p>
      <w:pPr>
        <w:pStyle w:val="4"/>
        <w:outlineLvl w:val="2"/>
        <w:rPr>
          <w:rFonts w:eastAsia="宋体" w:cs="Arial"/>
          <w:sz w:val="24"/>
        </w:rPr>
      </w:pPr>
      <w:bookmarkStart w:id="162" w:name="_Toc11543"/>
      <w:bookmarkStart w:id="163" w:name="_Toc17539"/>
      <w:bookmarkStart w:id="164" w:name="_Toc15389"/>
      <w:bookmarkStart w:id="165" w:name="_Toc18918"/>
      <w:bookmarkStart w:id="166" w:name="_Toc24708"/>
      <w:bookmarkStart w:id="167" w:name="_Toc15612"/>
      <w:bookmarkStart w:id="168" w:name="_Toc2250"/>
      <w:bookmarkStart w:id="169" w:name="_Toc30283"/>
      <w:bookmarkStart w:id="170" w:name="_Toc8524"/>
      <w:bookmarkStart w:id="171" w:name="_Toc16700"/>
      <w:bookmarkStart w:id="172" w:name="_Toc24273"/>
      <w:bookmarkStart w:id="173" w:name="_Toc8985"/>
      <w:r>
        <w:rPr>
          <w:rFonts w:eastAsia="宋体" w:cs="Arial"/>
          <w:sz w:val="24"/>
        </w:rPr>
        <w:t>3.2</w:t>
      </w:r>
      <w:r>
        <w:rPr>
          <w:rFonts w:hint="eastAsia" w:eastAsia="宋体" w:cs="Arial"/>
          <w:sz w:val="24"/>
        </w:rPr>
        <w:t>.1</w:t>
      </w:r>
      <w:r>
        <w:rPr>
          <w:rFonts w:eastAsia="宋体" w:cs="Arial"/>
          <w:sz w:val="24"/>
        </w:rPr>
        <w:t>项目2020年8月施工进度情况</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rFonts w:eastAsia="宋体" w:cs="Arial"/>
          <w:sz w:val="24"/>
        </w:rPr>
        <w:t>及9月施工计划</w:t>
      </w:r>
      <w:bookmarkEnd w:id="161"/>
      <w:bookmarkEnd w:id="162"/>
      <w:bookmarkEnd w:id="163"/>
      <w:bookmarkEnd w:id="164"/>
      <w:bookmarkEnd w:id="165"/>
      <w:bookmarkEnd w:id="166"/>
      <w:bookmarkEnd w:id="167"/>
      <w:bookmarkEnd w:id="168"/>
      <w:bookmarkEnd w:id="169"/>
      <w:bookmarkEnd w:id="170"/>
      <w:bookmarkEnd w:id="171"/>
      <w:bookmarkEnd w:id="172"/>
      <w:bookmarkEnd w:id="173"/>
    </w:p>
    <w:p>
      <w:pPr>
        <w:spacing w:line="480" w:lineRule="auto"/>
        <w:ind w:firstLine="420" w:firstLineChars="200"/>
        <w:rPr>
          <w:rFonts w:ascii="Arial" w:hAnsi="Arial" w:cs="Arial"/>
          <w:szCs w:val="21"/>
        </w:rPr>
      </w:pPr>
      <w:r>
        <w:rPr>
          <w:rFonts w:ascii="Arial" w:hAnsi="Arial" w:cs="Arial"/>
          <w:szCs w:val="21"/>
        </w:rPr>
        <w:t xml:space="preserve">截至2020年8月31日，项目现场施工情况如下： </w:t>
      </w:r>
    </w:p>
    <w:p>
      <w:pPr>
        <w:spacing w:line="480" w:lineRule="auto"/>
        <w:ind w:firstLine="420" w:firstLineChars="200"/>
        <w:rPr>
          <w:rFonts w:ascii="Arial" w:hAnsi="Arial" w:cs="Arial"/>
          <w:szCs w:val="21"/>
        </w:rPr>
      </w:pPr>
      <w:r>
        <w:rPr>
          <w:rFonts w:ascii="Arial" w:hAnsi="Arial" w:cs="Arial"/>
          <w:szCs w:val="21"/>
        </w:rPr>
        <w:t>尚未交地，工地由地铁方施工并管理；展示区部分临时设施（集装箱）已进场并开始平整土地工作；</w:t>
      </w:r>
    </w:p>
    <w:p>
      <w:pPr>
        <w:spacing w:line="480" w:lineRule="auto"/>
        <w:ind w:firstLine="420" w:firstLineChars="200"/>
        <w:rPr>
          <w:rFonts w:ascii="Arial" w:hAnsi="Arial" w:cs="Arial"/>
          <w:szCs w:val="21"/>
        </w:rPr>
      </w:pPr>
      <w:r>
        <w:rPr>
          <w:rFonts w:ascii="Arial" w:hAnsi="Arial" w:cs="Arial"/>
          <w:szCs w:val="21"/>
        </w:rPr>
        <w:t>项目9月施工计划如下：</w:t>
      </w:r>
    </w:p>
    <w:p>
      <w:pPr>
        <w:spacing w:line="480" w:lineRule="auto"/>
        <w:ind w:firstLine="420" w:firstLineChars="200"/>
      </w:pPr>
      <w:r>
        <w:rPr>
          <w:rFonts w:ascii="Arial" w:hAnsi="Arial" w:cs="Arial"/>
          <w:szCs w:val="21"/>
        </w:rPr>
        <w:t>9月初旬展示区管桩进场施工，</w:t>
      </w:r>
      <w:r>
        <w:rPr>
          <w:rFonts w:hint="eastAsia" w:ascii="Arial" w:hAnsi="Arial" w:cs="Arial"/>
          <w:szCs w:val="21"/>
          <w:lang w:val="en-US" w:eastAsia="zh-CN"/>
        </w:rPr>
        <w:t>2020年</w:t>
      </w:r>
      <w:r>
        <w:rPr>
          <w:rFonts w:hint="eastAsia" w:ascii="Arial" w:hAnsi="Arial" w:cs="Arial"/>
          <w:szCs w:val="21"/>
        </w:rPr>
        <w:t>9</w:t>
      </w:r>
      <w:r>
        <w:rPr>
          <w:rFonts w:hint="eastAsia" w:ascii="Arial" w:hAnsi="Arial" w:cs="Arial"/>
          <w:szCs w:val="21"/>
          <w:lang w:val="en-US" w:eastAsia="zh-CN"/>
        </w:rPr>
        <w:t>月</w:t>
      </w:r>
      <w:r>
        <w:rPr>
          <w:rFonts w:hint="eastAsia" w:ascii="Arial" w:hAnsi="Arial" w:cs="Arial"/>
          <w:szCs w:val="21"/>
        </w:rPr>
        <w:t>10</w:t>
      </w:r>
      <w:r>
        <w:rPr>
          <w:rFonts w:hint="eastAsia" w:ascii="Arial" w:hAnsi="Arial" w:cs="Arial"/>
          <w:szCs w:val="21"/>
          <w:lang w:val="en-US" w:eastAsia="zh-CN"/>
        </w:rPr>
        <w:t>日</w:t>
      </w:r>
      <w:r>
        <w:rPr>
          <w:rFonts w:hint="eastAsia" w:ascii="Arial" w:hAnsi="Arial" w:cs="Arial"/>
          <w:szCs w:val="21"/>
        </w:rPr>
        <w:t>桩基计划试桩</w:t>
      </w:r>
      <w:r>
        <w:rPr>
          <w:rFonts w:hint="eastAsia" w:ascii="Arial" w:hAnsi="Arial" w:cs="Arial"/>
          <w:szCs w:val="21"/>
          <w:lang w:eastAsia="zh-CN"/>
        </w:rPr>
        <w:t>，</w:t>
      </w:r>
      <w:r>
        <w:rPr>
          <w:rFonts w:hint="eastAsia" w:ascii="Arial" w:hAnsi="Arial" w:cs="Arial"/>
          <w:szCs w:val="21"/>
          <w:lang w:val="en-US" w:eastAsia="zh-CN"/>
        </w:rPr>
        <w:t>计划</w:t>
      </w:r>
      <w:r>
        <w:rPr>
          <w:rFonts w:ascii="Arial" w:hAnsi="Arial" w:cs="Arial"/>
          <w:szCs w:val="21"/>
        </w:rPr>
        <w:t>展示区主体结构工期约40天封顶，期间穿插精装定版定样，砌体施工，景观施工等。</w:t>
      </w:r>
    </w:p>
    <w:p>
      <w:pPr>
        <w:pStyle w:val="4"/>
        <w:outlineLvl w:val="2"/>
      </w:pPr>
      <w:bookmarkStart w:id="174" w:name="_Toc32281"/>
      <w:bookmarkStart w:id="175" w:name="_Toc24281"/>
      <w:bookmarkStart w:id="176" w:name="_Toc971"/>
      <w:bookmarkStart w:id="177" w:name="_Toc26538"/>
      <w:bookmarkStart w:id="178" w:name="_Toc13880"/>
      <w:bookmarkStart w:id="179" w:name="_Toc16642"/>
      <w:bookmarkStart w:id="180" w:name="_Toc9226"/>
      <w:bookmarkStart w:id="181" w:name="_Toc26131"/>
      <w:bookmarkStart w:id="182" w:name="_Toc22717"/>
      <w:bookmarkStart w:id="183" w:name="_Toc30796"/>
      <w:bookmarkStart w:id="184" w:name="_Toc29210"/>
      <w:bookmarkStart w:id="185" w:name="_Toc9339"/>
      <w:r>
        <w:rPr>
          <w:rFonts w:eastAsia="宋体" w:cs="Arial"/>
          <w:sz w:val="24"/>
        </w:rPr>
        <w:t>3.2</w:t>
      </w:r>
      <w:r>
        <w:rPr>
          <w:rFonts w:hint="eastAsia" w:eastAsia="宋体" w:cs="Arial"/>
          <w:sz w:val="24"/>
        </w:rPr>
        <w:t>.</w:t>
      </w:r>
      <w:r>
        <w:rPr>
          <w:rFonts w:hint="eastAsia" w:eastAsia="宋体" w:cs="Arial"/>
          <w:sz w:val="24"/>
          <w:lang w:val="en-US" w:eastAsia="zh-CN"/>
        </w:rPr>
        <w:t>2</w:t>
      </w:r>
      <w:r>
        <w:rPr>
          <w:rFonts w:eastAsia="宋体" w:cs="Arial"/>
          <w:sz w:val="24"/>
        </w:rPr>
        <w:t>项目施工进度</w:t>
      </w:r>
      <w:r>
        <w:rPr>
          <w:rFonts w:hint="eastAsia" w:eastAsia="宋体" w:cs="Arial"/>
          <w:sz w:val="24"/>
        </w:rPr>
        <w:t>分析</w:t>
      </w:r>
      <w:bookmarkEnd w:id="174"/>
      <w:bookmarkEnd w:id="175"/>
      <w:bookmarkEnd w:id="176"/>
      <w:bookmarkEnd w:id="177"/>
      <w:bookmarkEnd w:id="178"/>
      <w:bookmarkEnd w:id="179"/>
      <w:bookmarkEnd w:id="180"/>
      <w:bookmarkEnd w:id="181"/>
      <w:bookmarkEnd w:id="182"/>
      <w:bookmarkEnd w:id="183"/>
      <w:bookmarkEnd w:id="184"/>
      <w:bookmarkEnd w:id="185"/>
    </w:p>
    <w:tbl>
      <w:tblPr>
        <w:tblStyle w:val="18"/>
        <w:tblW w:w="7124" w:type="dxa"/>
        <w:jc w:val="center"/>
        <w:tblLayout w:type="autofit"/>
        <w:tblCellMar>
          <w:top w:w="0" w:type="dxa"/>
          <w:left w:w="0" w:type="dxa"/>
          <w:bottom w:w="0" w:type="dxa"/>
          <w:right w:w="0" w:type="dxa"/>
        </w:tblCellMar>
      </w:tblPr>
      <w:tblGrid>
        <w:gridCol w:w="1940"/>
        <w:gridCol w:w="2499"/>
        <w:gridCol w:w="2685"/>
      </w:tblGrid>
      <w:tr>
        <w:tblPrEx>
          <w:tblCellMar>
            <w:top w:w="0" w:type="dxa"/>
            <w:left w:w="0" w:type="dxa"/>
            <w:bottom w:w="0" w:type="dxa"/>
            <w:right w:w="0" w:type="dxa"/>
          </w:tblCellMar>
        </w:tblPrEx>
        <w:trPr>
          <w:cantSplit/>
          <w:trHeight w:val="249" w:hRule="atLeast"/>
          <w:tblHeader/>
          <w:jc w:val="center"/>
        </w:trPr>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cs="宋体"/>
                <w:b/>
                <w:color w:val="000000"/>
                <w:sz w:val="18"/>
                <w:szCs w:val="18"/>
              </w:rPr>
            </w:pPr>
            <w:r>
              <w:rPr>
                <w:rFonts w:hint="eastAsia" w:ascii="宋体" w:hAnsi="宋体" w:cs="宋体"/>
                <w:b/>
                <w:color w:val="000000"/>
                <w:kern w:val="0"/>
                <w:sz w:val="18"/>
                <w:szCs w:val="18"/>
                <w:lang w:bidi="ar"/>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top"/>
              <w:rPr>
                <w:rFonts w:ascii="宋体" w:hAnsi="宋体" w:cs="宋体"/>
                <w:b/>
                <w:color w:val="000000"/>
                <w:sz w:val="18"/>
                <w:szCs w:val="18"/>
              </w:rPr>
            </w:pPr>
            <w:r>
              <w:rPr>
                <w:rFonts w:hint="eastAsia" w:ascii="宋体" w:hAnsi="宋体" w:cs="宋体"/>
                <w:b/>
                <w:color w:val="000000"/>
                <w:kern w:val="0"/>
                <w:sz w:val="18"/>
                <w:szCs w:val="18"/>
                <w:lang w:bidi="ar"/>
              </w:rPr>
              <w:t>计划完成时间</w:t>
            </w:r>
          </w:p>
        </w:tc>
        <w:tc>
          <w:tcPr>
            <w:tcW w:w="26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实际形象进度</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开工（落地区域）</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2020年9月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尚未开工，部分临时设施已进场</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开工（地铁上盖区域）</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2021年2月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首开区达到预售条件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2021年1月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首开区结构封顶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2021年7月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首开区竣工备案</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2022年6月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bl>
    <w:p>
      <w:pPr>
        <w:ind w:firstLine="360" w:firstLineChars="200"/>
        <w:jc w:val="center"/>
        <w:rPr>
          <w:rFonts w:ascii="Arial" w:hAnsi="Arial" w:cs="Arial"/>
          <w:bCs/>
          <w:kern w:val="44"/>
          <w:sz w:val="18"/>
          <w:szCs w:val="18"/>
        </w:rPr>
      </w:pPr>
      <w:r>
        <w:rPr>
          <w:rFonts w:ascii="Arial" w:hAnsi="Arial" w:cs="Arial"/>
          <w:bCs/>
          <w:kern w:val="44"/>
          <w:sz w:val="18"/>
          <w:szCs w:val="18"/>
        </w:rPr>
        <w:t>注：以上表格中的</w:t>
      </w:r>
      <w:r>
        <w:rPr>
          <w:rFonts w:hint="eastAsia" w:ascii="Arial" w:hAnsi="Arial" w:cs="Arial"/>
          <w:bCs/>
          <w:kern w:val="44"/>
          <w:sz w:val="18"/>
          <w:szCs w:val="18"/>
          <w:lang w:eastAsia="zh-CN"/>
        </w:rPr>
        <w:t>工程进度</w:t>
      </w:r>
      <w:r>
        <w:rPr>
          <w:rFonts w:ascii="Arial" w:hAnsi="Arial" w:cs="Arial"/>
          <w:bCs/>
          <w:kern w:val="44"/>
          <w:sz w:val="18"/>
          <w:szCs w:val="18"/>
        </w:rPr>
        <w:t>计划</w:t>
      </w:r>
      <w:r>
        <w:rPr>
          <w:rFonts w:hint="eastAsia" w:ascii="Arial" w:hAnsi="Arial" w:cs="Arial"/>
          <w:bCs/>
          <w:kern w:val="44"/>
          <w:sz w:val="18"/>
          <w:szCs w:val="18"/>
          <w:lang w:eastAsia="zh-CN"/>
        </w:rPr>
        <w:t>完成</w:t>
      </w:r>
      <w:r>
        <w:rPr>
          <w:rFonts w:ascii="Arial" w:hAnsi="Arial" w:cs="Arial"/>
          <w:bCs/>
          <w:kern w:val="44"/>
          <w:sz w:val="18"/>
          <w:szCs w:val="18"/>
        </w:rPr>
        <w:t>时间数据</w:t>
      </w:r>
      <w:r>
        <w:rPr>
          <w:rFonts w:hint="eastAsia" w:ascii="Arial" w:hAnsi="Arial" w:cs="Arial"/>
          <w:bCs/>
          <w:kern w:val="44"/>
          <w:sz w:val="18"/>
          <w:szCs w:val="18"/>
          <w:lang w:eastAsia="zh-CN"/>
        </w:rPr>
        <w:t>依据信托尽调报告</w:t>
      </w:r>
      <w:r>
        <w:rPr>
          <w:rFonts w:ascii="Arial" w:hAnsi="Arial" w:cs="Arial"/>
          <w:bCs/>
          <w:kern w:val="44"/>
          <w:sz w:val="18"/>
          <w:szCs w:val="18"/>
        </w:rPr>
        <w:t>所填列，</w:t>
      </w:r>
      <w:r>
        <w:rPr>
          <w:rFonts w:hint="eastAsia" w:ascii="Arial" w:hAnsi="Arial" w:cs="Arial"/>
          <w:bCs/>
          <w:kern w:val="44"/>
          <w:sz w:val="18"/>
          <w:szCs w:val="18"/>
          <w:lang w:eastAsia="zh-CN"/>
        </w:rPr>
        <w:t>实际形象进度</w:t>
      </w:r>
      <w:r>
        <w:rPr>
          <w:rFonts w:ascii="Arial" w:hAnsi="Arial" w:cs="Arial"/>
          <w:bCs/>
          <w:kern w:val="44"/>
          <w:sz w:val="18"/>
          <w:szCs w:val="18"/>
        </w:rPr>
        <w:t>以</w:t>
      </w:r>
      <w:r>
        <w:rPr>
          <w:rFonts w:hint="eastAsia" w:ascii="Arial" w:hAnsi="Arial" w:cs="Arial"/>
          <w:bCs/>
          <w:kern w:val="44"/>
          <w:sz w:val="18"/>
          <w:szCs w:val="18"/>
          <w:lang w:eastAsia="zh-CN"/>
        </w:rPr>
        <w:t>工程现场</w:t>
      </w:r>
      <w:r>
        <w:rPr>
          <w:rFonts w:ascii="Arial" w:hAnsi="Arial" w:cs="Arial"/>
          <w:bCs/>
          <w:kern w:val="44"/>
          <w:sz w:val="18"/>
          <w:szCs w:val="18"/>
        </w:rPr>
        <w:t>为准。</w:t>
      </w:r>
    </w:p>
    <w:p>
      <w:pPr>
        <w:ind w:firstLine="320" w:firstLineChars="200"/>
        <w:jc w:val="center"/>
        <w:rPr>
          <w:rFonts w:ascii="Arial" w:hAnsi="Arial" w:cs="Arial"/>
          <w:bCs/>
          <w:kern w:val="44"/>
          <w:sz w:val="16"/>
          <w:szCs w:val="16"/>
        </w:rPr>
      </w:pPr>
    </w:p>
    <w:p>
      <w:pPr>
        <w:pageBreakBefore w:val="0"/>
        <w:spacing w:line="480" w:lineRule="auto"/>
        <w:ind w:firstLine="420" w:firstLineChars="200"/>
        <w:rPr>
          <w:rFonts w:hint="eastAsia" w:ascii="Arial" w:hAnsi="Arial" w:cs="Arial"/>
          <w:szCs w:val="21"/>
          <w:lang w:eastAsia="zh-CN"/>
        </w:rPr>
      </w:pPr>
      <w:r>
        <w:rPr>
          <w:rFonts w:hint="eastAsia" w:ascii="Arial" w:hAnsi="Arial" w:cs="Arial"/>
          <w:szCs w:val="21"/>
        </w:rPr>
        <w:t>根据康信资管驻场人员对现场的勘查，截至2020年8月31日，项目公司尚未取得展示区工地管理权，工地仍由地铁方施工并管理，展示区部分临时设施已进场，形象进度与项目公司提交施工进度一致。工地现场情况详见现场照片</w:t>
      </w:r>
      <w:r>
        <w:rPr>
          <w:rFonts w:hint="eastAsia" w:ascii="Arial" w:hAnsi="Arial" w:cs="Arial"/>
          <w:szCs w:val="21"/>
          <w:lang w:eastAsia="zh-CN"/>
        </w:rPr>
        <w:t>。</w:t>
      </w:r>
    </w:p>
    <w:p>
      <w:pPr>
        <w:pageBreakBefore w:val="0"/>
        <w:spacing w:line="480" w:lineRule="auto"/>
        <w:ind w:firstLine="420" w:firstLineChars="200"/>
        <w:rPr>
          <w:rFonts w:hint="eastAsia" w:ascii="Arial" w:hAnsi="Arial" w:cs="Arial"/>
          <w:szCs w:val="21"/>
        </w:rPr>
      </w:pPr>
      <w:r>
        <w:rPr>
          <w:rFonts w:hint="eastAsia" w:ascii="Arial" w:hAnsi="Arial" w:cs="Arial"/>
          <w:szCs w:val="21"/>
          <w:lang w:val="en-US" w:eastAsia="zh-CN"/>
        </w:rPr>
        <w:t>根据项目公司提供的报建计划，项目公司无办理展示区施工证的计划，如展示区按项目公司计划时间开始施工，将违反《中华人民共和5261国建筑法》、《建筑工程施工许可管理办法》等法律法规，对此，项目公司表示已考虑接受处罚，支付最高工程施工合同金额的2%的罚款</w:t>
      </w:r>
      <w:r>
        <w:rPr>
          <w:rFonts w:hint="eastAsia" w:ascii="Arial" w:hAnsi="Arial" w:cs="Arial"/>
          <w:szCs w:val="21"/>
        </w:rPr>
        <w:t>。</w:t>
      </w:r>
    </w:p>
    <w:p>
      <w:pPr>
        <w:pageBreakBefore w:val="0"/>
        <w:spacing w:line="240" w:lineRule="auto"/>
        <w:ind w:firstLine="0" w:firstLineChars="0"/>
        <w:rPr>
          <w:rFonts w:hint="eastAsia" w:ascii="Arial" w:hAnsi="Arial" w:cs="Arial"/>
          <w:szCs w:val="21"/>
        </w:rPr>
      </w:pPr>
      <w:r>
        <w:rPr>
          <w:rFonts w:hint="eastAsia" w:ascii="Arial" w:hAnsi="Arial" w:cs="Arial"/>
          <w:szCs w:val="21"/>
        </w:rPr>
        <w:br w:type="page"/>
      </w:r>
    </w:p>
    <w:p>
      <w:pPr>
        <w:pageBreakBefore w:val="0"/>
        <w:spacing w:line="480" w:lineRule="auto"/>
        <w:ind w:firstLine="422" w:firstLineChars="200"/>
        <w:rPr>
          <w:rFonts w:ascii="Arial" w:hAnsi="Arial" w:cs="Arial"/>
          <w:b/>
          <w:bCs/>
          <w:kern w:val="44"/>
          <w:szCs w:val="21"/>
        </w:rPr>
      </w:pPr>
      <w:r>
        <w:rPr>
          <w:rFonts w:ascii="Arial" w:hAnsi="Arial" w:cs="Arial"/>
          <w:b/>
          <w:bCs/>
          <w:kern w:val="44"/>
          <w:szCs w:val="21"/>
        </w:rPr>
        <w:t>标的项目现场照片（2020年8月）</w:t>
      </w:r>
    </w:p>
    <w:p>
      <w:pPr>
        <w:jc w:val="left"/>
        <w:rPr>
          <w:rFonts w:ascii="Arial" w:hAnsi="Arial" w:cs="Arial"/>
          <w:color w:val="000000"/>
          <w:sz w:val="28"/>
          <w:szCs w:val="28"/>
        </w:rPr>
      </w:pPr>
      <w:r>
        <w:rPr>
          <w:rFonts w:ascii="Arial" w:hAnsi="Arial" w:cs="Arial"/>
          <w:color w:val="000000"/>
          <w:sz w:val="28"/>
          <w:szCs w:val="28"/>
        </w:rPr>
        <mc:AlternateContent>
          <mc:Choice Requires="wps">
            <w:drawing>
              <wp:anchor distT="0" distB="0" distL="114300" distR="114300" simplePos="0" relativeHeight="251652096" behindDoc="0" locked="0" layoutInCell="1" allowOverlap="1">
                <wp:simplePos x="0" y="0"/>
                <wp:positionH relativeFrom="column">
                  <wp:posOffset>-97790</wp:posOffset>
                </wp:positionH>
                <wp:positionV relativeFrom="paragraph">
                  <wp:posOffset>187960</wp:posOffset>
                </wp:positionV>
                <wp:extent cx="3109595" cy="2272665"/>
                <wp:effectExtent l="0" t="0" r="14605" b="13335"/>
                <wp:wrapNone/>
                <wp:docPr id="1" name="文本框 2"/>
                <wp:cNvGraphicFramePr/>
                <a:graphic xmlns:a="http://schemas.openxmlformats.org/drawingml/2006/main">
                  <a:graphicData uri="http://schemas.microsoft.com/office/word/2010/wordprocessingShape">
                    <wps:wsp>
                      <wps:cNvSpPr txBox="1"/>
                      <wps:spPr>
                        <a:xfrm>
                          <a:off x="0" y="0"/>
                          <a:ext cx="3109595" cy="2272665"/>
                        </a:xfrm>
                        <a:prstGeom prst="rect">
                          <a:avLst/>
                        </a:prstGeom>
                        <a:solidFill>
                          <a:srgbClr val="FFFFFF"/>
                        </a:solidFill>
                        <a:ln w="9525" cap="flat" cmpd="sng">
                          <a:noFill/>
                          <a:prstDash val="solid"/>
                          <a:miter/>
                          <a:headEnd type="none" w="med" len="med"/>
                          <a:tailEnd type="none" w="med" len="med"/>
                        </a:ln>
                      </wps:spPr>
                      <wps:txbx>
                        <w:txbxContent>
                          <w:p>
                            <w:r>
                              <w:rPr>
                                <w:rFonts w:hint="eastAsia"/>
                              </w:rPr>
                              <w:drawing>
                                <wp:inline distT="0" distB="0" distL="114300" distR="114300">
                                  <wp:extent cx="2883535" cy="2149475"/>
                                  <wp:effectExtent l="0" t="0" r="12065" b="14605"/>
                                  <wp:docPr id="18" name="图片 1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图片3"/>
                                          <pic:cNvPicPr>
                                            <a:picLocks noChangeAspect="1"/>
                                          </pic:cNvPicPr>
                                        </pic:nvPicPr>
                                        <pic:blipFill>
                                          <a:blip r:embed="rId12"/>
                                          <a:stretch>
                                            <a:fillRect/>
                                          </a:stretch>
                                        </pic:blipFill>
                                        <pic:spPr>
                                          <a:xfrm>
                                            <a:off x="0" y="0"/>
                                            <a:ext cx="2883535" cy="2149475"/>
                                          </a:xfrm>
                                          <a:prstGeom prst="rect">
                                            <a:avLst/>
                                          </a:prstGeom>
                                          <a:noFill/>
                                          <a:ln>
                                            <a:noFill/>
                                          </a:ln>
                                        </pic:spPr>
                                      </pic:pic>
                                    </a:graphicData>
                                  </a:graphic>
                                </wp:inline>
                              </w:drawing>
                            </w:r>
                          </w:p>
                        </w:txbxContent>
                      </wps:txbx>
                      <wps:bodyPr wrap="square" upright="1"/>
                    </wps:wsp>
                  </a:graphicData>
                </a:graphic>
              </wp:anchor>
            </w:drawing>
          </mc:Choice>
          <mc:Fallback>
            <w:pict>
              <v:shape id="文本框 2" o:spid="_x0000_s1026" o:spt="202" type="#_x0000_t202" style="position:absolute;left:0pt;margin-left:-7.7pt;margin-top:14.8pt;height:178.95pt;width:244.85pt;z-index:251652096;mso-width-relative:page;mso-height-relative:page;" fillcolor="#FFFFFF" filled="t" stroked="f" coordsize="21600,21600" o:gfxdata="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0/Km9kAAAAKAQAADwAAAAAAAAABACAAAAAiAAAAZHJzL2Rvd25yZXYueG1sUEsB&#10;AhQAFAAAAAgAh07iQAXnsk70AQAAzgMAAA4AAAAAAAAAAQAgAAAAKAEAAGRycy9lMm9Eb2MueG1s&#10;UEsFBgAAAAAGAAYAWQEAAI4FAAAAAA==&#10;">
                <v:fill on="t" focussize="0,0"/>
                <v:stroke on="f" joinstyle="miter"/>
                <v:imagedata o:title=""/>
                <o:lock v:ext="edit" aspectratio="f"/>
                <v:textbox>
                  <w:txbxContent>
                    <w:p>
                      <w:r>
                        <w:rPr>
                          <w:rFonts w:hint="eastAsia"/>
                        </w:rPr>
                        <w:drawing>
                          <wp:inline distT="0" distB="0" distL="114300" distR="114300">
                            <wp:extent cx="2883535" cy="2149475"/>
                            <wp:effectExtent l="0" t="0" r="12065" b="14605"/>
                            <wp:docPr id="18" name="图片 1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图片3"/>
                                    <pic:cNvPicPr>
                                      <a:picLocks noChangeAspect="1"/>
                                    </pic:cNvPicPr>
                                  </pic:nvPicPr>
                                  <pic:blipFill>
                                    <a:blip r:embed="rId12"/>
                                    <a:stretch>
                                      <a:fillRect/>
                                    </a:stretch>
                                  </pic:blipFill>
                                  <pic:spPr>
                                    <a:xfrm>
                                      <a:off x="0" y="0"/>
                                      <a:ext cx="2883535" cy="2149475"/>
                                    </a:xfrm>
                                    <a:prstGeom prst="rect">
                                      <a:avLst/>
                                    </a:prstGeom>
                                    <a:noFill/>
                                    <a:ln>
                                      <a:noFill/>
                                    </a:ln>
                                  </pic:spPr>
                                </pic:pic>
                              </a:graphicData>
                            </a:graphic>
                          </wp:inline>
                        </w:drawing>
                      </w:r>
                    </w:p>
                  </w:txbxContent>
                </v:textbox>
              </v:shape>
            </w:pict>
          </mc:Fallback>
        </mc:AlternateContent>
      </w:r>
      <w:r>
        <w:rPr>
          <w:rFonts w:ascii="Arial" w:hAnsi="Arial" w:cs="Arial"/>
          <w:color w:val="000000"/>
          <w:sz w:val="28"/>
          <w:szCs w:val="28"/>
        </w:rPr>
        <mc:AlternateContent>
          <mc:Choice Requires="wps">
            <w:drawing>
              <wp:anchor distT="0" distB="0" distL="114300" distR="114300" simplePos="0" relativeHeight="251654144" behindDoc="0" locked="0" layoutInCell="1" allowOverlap="1">
                <wp:simplePos x="0" y="0"/>
                <wp:positionH relativeFrom="column">
                  <wp:posOffset>2971800</wp:posOffset>
                </wp:positionH>
                <wp:positionV relativeFrom="paragraph">
                  <wp:posOffset>187960</wp:posOffset>
                </wp:positionV>
                <wp:extent cx="2902585" cy="2275840"/>
                <wp:effectExtent l="0" t="0" r="8255" b="10160"/>
                <wp:wrapNone/>
                <wp:docPr id="2" name="文本框 3"/>
                <wp:cNvGraphicFramePr/>
                <a:graphic xmlns:a="http://schemas.openxmlformats.org/drawingml/2006/main">
                  <a:graphicData uri="http://schemas.microsoft.com/office/word/2010/wordprocessingShape">
                    <wps:wsp>
                      <wps:cNvSpPr txBox="1"/>
                      <wps:spPr>
                        <a:xfrm>
                          <a:off x="0" y="0"/>
                          <a:ext cx="2902585" cy="2275840"/>
                        </a:xfrm>
                        <a:prstGeom prst="rect">
                          <a:avLst/>
                        </a:prstGeom>
                        <a:solidFill>
                          <a:srgbClr val="FFFFFF"/>
                        </a:solidFill>
                        <a:ln w="9525" cap="flat" cmpd="sng">
                          <a:noFill/>
                          <a:prstDash val="solid"/>
                          <a:miter/>
                          <a:headEnd type="none" w="med" len="med"/>
                          <a:tailEnd type="none" w="med" len="med"/>
                        </a:ln>
                      </wps:spPr>
                      <wps:txbx>
                        <w:txbxContent>
                          <w:p>
                            <w:r>
                              <w:rPr>
                                <w:rFonts w:hint="eastAsia"/>
                              </w:rPr>
                              <w:drawing>
                                <wp:inline distT="0" distB="0" distL="114300" distR="114300">
                                  <wp:extent cx="2808605" cy="2182495"/>
                                  <wp:effectExtent l="0" t="0" r="10795" b="12065"/>
                                  <wp:docPr id="9" name="图片 2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图片4"/>
                                          <pic:cNvPicPr>
                                            <a:picLocks noChangeAspect="1"/>
                                          </pic:cNvPicPr>
                                        </pic:nvPicPr>
                                        <pic:blipFill>
                                          <a:blip r:embed="rId13"/>
                                          <a:stretch>
                                            <a:fillRect/>
                                          </a:stretch>
                                        </pic:blipFill>
                                        <pic:spPr>
                                          <a:xfrm>
                                            <a:off x="0" y="0"/>
                                            <a:ext cx="2808605" cy="2182495"/>
                                          </a:xfrm>
                                          <a:prstGeom prst="rect">
                                            <a:avLst/>
                                          </a:prstGeom>
                                          <a:noFill/>
                                          <a:ln>
                                            <a:noFill/>
                                          </a:ln>
                                        </pic:spPr>
                                      </pic:pic>
                                    </a:graphicData>
                                  </a:graphic>
                                </wp:inline>
                              </w:drawing>
                            </w:r>
                          </w:p>
                        </w:txbxContent>
                      </wps:txbx>
                      <wps:bodyPr vert="horz" wrap="none" anchor="t" upright="1"/>
                    </wps:wsp>
                  </a:graphicData>
                </a:graphic>
              </wp:anchor>
            </w:drawing>
          </mc:Choice>
          <mc:Fallback>
            <w:pict>
              <v:shape id="文本框 3" o:spid="_x0000_s1026" o:spt="202" type="#_x0000_t202" style="position:absolute;left:0pt;margin-left:234pt;margin-top:14.8pt;height:179.2pt;width:228.55pt;mso-wrap-style:none;z-index:251654144;mso-width-relative:page;mso-height-relative:page;" fillcolor="#FFFFFF" filled="t" stroked="f" coordsize="21600,21600" o:gfxdata="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kQob2AAAAAoBAAAPAAAAAAAAAAEAIAAAACIAAABkcnMvZG93&#10;bnJldi54bWxQSwECFAAUAAAACACHTuJA3vX0QQACAADjAwAADgAAAAAAAAABACAAAAAnAQAAZHJz&#10;L2Uyb0RvYy54bWxQSwUGAAAAAAYABgBZAQAAmQUAAAAA&#10;">
                <v:fill on="t" focussize="0,0"/>
                <v:stroke on="f" joinstyle="miter"/>
                <v:imagedata o:title=""/>
                <o:lock v:ext="edit" aspectratio="f"/>
                <v:textbox>
                  <w:txbxContent>
                    <w:p>
                      <w:r>
                        <w:rPr>
                          <w:rFonts w:hint="eastAsia"/>
                        </w:rPr>
                        <w:drawing>
                          <wp:inline distT="0" distB="0" distL="114300" distR="114300">
                            <wp:extent cx="2808605" cy="2182495"/>
                            <wp:effectExtent l="0" t="0" r="10795" b="12065"/>
                            <wp:docPr id="9" name="图片 2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图片4"/>
                                    <pic:cNvPicPr>
                                      <a:picLocks noChangeAspect="1"/>
                                    </pic:cNvPicPr>
                                  </pic:nvPicPr>
                                  <pic:blipFill>
                                    <a:blip r:embed="rId13"/>
                                    <a:stretch>
                                      <a:fillRect/>
                                    </a:stretch>
                                  </pic:blipFill>
                                  <pic:spPr>
                                    <a:xfrm>
                                      <a:off x="0" y="0"/>
                                      <a:ext cx="2808605" cy="2182495"/>
                                    </a:xfrm>
                                    <a:prstGeom prst="rect">
                                      <a:avLst/>
                                    </a:prstGeom>
                                    <a:noFill/>
                                    <a:ln>
                                      <a:noFill/>
                                    </a:ln>
                                  </pic:spPr>
                                </pic:pic>
                              </a:graphicData>
                            </a:graphic>
                          </wp:inline>
                        </w:drawing>
                      </w:r>
                    </w:p>
                  </w:txbxContent>
                </v:textbox>
              </v:shape>
            </w:pict>
          </mc:Fallback>
        </mc:AlternateContent>
      </w: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ind w:right="-506" w:rightChars="-241"/>
        <w:rPr>
          <w:rFonts w:ascii="Arial" w:hAnsi="Arial" w:cs="Arial"/>
          <w:color w:val="000000"/>
          <w:sz w:val="15"/>
          <w:szCs w:val="15"/>
        </w:rPr>
      </w:pPr>
      <w:r>
        <w:rPr>
          <w:rFonts w:ascii="Arial" w:hAnsi="Arial" w:cs="Arial" w:eastAsiaTheme="minorEastAsia"/>
          <w:color w:val="000000"/>
          <w:szCs w:val="21"/>
        </w:rPr>
        <w:t>1、项目地块大门（地铁方管理）</w:t>
      </w:r>
      <w:r>
        <w:rPr>
          <w:rFonts w:ascii="Arial" w:hAnsi="Arial" w:cs="Arial"/>
          <w:color w:val="000000"/>
          <w:sz w:val="15"/>
          <w:szCs w:val="15"/>
        </w:rPr>
        <w:t xml:space="preserve">                    </w:t>
      </w:r>
      <w:r>
        <w:rPr>
          <w:rFonts w:ascii="Arial" w:hAnsi="Arial" w:cs="Arial" w:eastAsiaTheme="minorEastAsia"/>
          <w:color w:val="000000"/>
          <w:szCs w:val="21"/>
        </w:rPr>
        <w:t xml:space="preserve">   2、地铁施工地块，项目北侧</w:t>
      </w:r>
    </w:p>
    <w:p>
      <w:pPr>
        <w:ind w:right="-506" w:rightChars="-241"/>
        <w:rPr>
          <w:rFonts w:ascii="Arial" w:hAnsi="Arial" w:cs="Arial"/>
          <w:color w:val="000000"/>
          <w:sz w:val="15"/>
          <w:szCs w:val="15"/>
        </w:rPr>
      </w:pPr>
      <w:r>
        <w:rPr>
          <w:rFonts w:ascii="Arial" w:hAnsi="Arial" w:cs="Arial"/>
          <w:color w:val="000000"/>
          <w:sz w:val="18"/>
          <w:szCs w:val="28"/>
        </w:rPr>
        <mc:AlternateContent>
          <mc:Choice Requires="wps">
            <w:drawing>
              <wp:anchor distT="0" distB="0" distL="114300" distR="114300" simplePos="0" relativeHeight="251656192" behindDoc="0" locked="0" layoutInCell="1" allowOverlap="1">
                <wp:simplePos x="0" y="0"/>
                <wp:positionH relativeFrom="column">
                  <wp:posOffset>-98425</wp:posOffset>
                </wp:positionH>
                <wp:positionV relativeFrom="paragraph">
                  <wp:posOffset>71120</wp:posOffset>
                </wp:positionV>
                <wp:extent cx="3231515" cy="2293620"/>
                <wp:effectExtent l="0" t="0" r="14605" b="7620"/>
                <wp:wrapNone/>
                <wp:docPr id="3" name="文本框 4"/>
                <wp:cNvGraphicFramePr/>
                <a:graphic xmlns:a="http://schemas.openxmlformats.org/drawingml/2006/main">
                  <a:graphicData uri="http://schemas.microsoft.com/office/word/2010/wordprocessingShape">
                    <wps:wsp>
                      <wps:cNvSpPr txBox="1"/>
                      <wps:spPr>
                        <a:xfrm>
                          <a:off x="0" y="0"/>
                          <a:ext cx="3231515" cy="2293620"/>
                        </a:xfrm>
                        <a:prstGeom prst="rect">
                          <a:avLst/>
                        </a:prstGeom>
                        <a:solidFill>
                          <a:srgbClr val="FFFFFF"/>
                        </a:solidFill>
                        <a:ln w="9525" cap="flat" cmpd="sng">
                          <a:noFill/>
                          <a:prstDash val="solid"/>
                          <a:miter/>
                          <a:headEnd type="none" w="med" len="med"/>
                          <a:tailEnd type="none" w="med" len="med"/>
                        </a:ln>
                      </wps:spPr>
                      <wps:txbx>
                        <w:txbxContent>
                          <w:p>
                            <w:r>
                              <w:rPr>
                                <w:rFonts w:hint="eastAsia"/>
                              </w:rPr>
                              <w:drawing>
                                <wp:inline distT="0" distB="0" distL="114300" distR="114300">
                                  <wp:extent cx="2863850" cy="2173605"/>
                                  <wp:effectExtent l="0" t="0" r="1270" b="5715"/>
                                  <wp:docPr id="12" name="图片 2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图片5"/>
                                          <pic:cNvPicPr>
                                            <a:picLocks noChangeAspect="1"/>
                                          </pic:cNvPicPr>
                                        </pic:nvPicPr>
                                        <pic:blipFill>
                                          <a:blip r:embed="rId14"/>
                                          <a:stretch>
                                            <a:fillRect/>
                                          </a:stretch>
                                        </pic:blipFill>
                                        <pic:spPr>
                                          <a:xfrm>
                                            <a:off x="0" y="0"/>
                                            <a:ext cx="2863850" cy="2173605"/>
                                          </a:xfrm>
                                          <a:prstGeom prst="rect">
                                            <a:avLst/>
                                          </a:prstGeom>
                                          <a:noFill/>
                                          <a:ln>
                                            <a:noFill/>
                                          </a:ln>
                                        </pic:spPr>
                                      </pic:pic>
                                    </a:graphicData>
                                  </a:graphic>
                                </wp:inline>
                              </w:drawing>
                            </w:r>
                          </w:p>
                          <w:p/>
                        </w:txbxContent>
                      </wps:txbx>
                      <wps:bodyPr vert="horz" wrap="square" anchor="t" upright="1"/>
                    </wps:wsp>
                  </a:graphicData>
                </a:graphic>
              </wp:anchor>
            </w:drawing>
          </mc:Choice>
          <mc:Fallback>
            <w:pict>
              <v:shape id="文本框 4" o:spid="_x0000_s1026" o:spt="202" type="#_x0000_t202" style="position:absolute;left:0pt;margin-left:-7.75pt;margin-top:5.6pt;height:180.6pt;width:254.45pt;z-index:251656192;mso-width-relative:page;mso-height-relative:page;" fillcolor="#FFFFFF" filled="t" stroked="f" coordsize="21600,21600" o:gfxdata="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um08XYAAAACgEAAA8AAAAAAAAAAQAgAAAAIgAAAGRy&#10;cy9kb3ducmV2LnhtbFBLAQIUABQAAAAIAIdO4kCKfNGWBQIAAOUDAAAOAAAAAAAAAAEAIAAAACcB&#10;AABkcnMvZTJvRG9jLnhtbFBLBQYAAAAABgAGAFkBAACeBQAAAAA=&#10;">
                <v:fill on="t" focussize="0,0"/>
                <v:stroke on="f" joinstyle="miter"/>
                <v:imagedata o:title=""/>
                <o:lock v:ext="edit" aspectratio="f"/>
                <v:textbox>
                  <w:txbxContent>
                    <w:p>
                      <w:r>
                        <w:rPr>
                          <w:rFonts w:hint="eastAsia"/>
                        </w:rPr>
                        <w:drawing>
                          <wp:inline distT="0" distB="0" distL="114300" distR="114300">
                            <wp:extent cx="2863850" cy="2173605"/>
                            <wp:effectExtent l="0" t="0" r="1270" b="5715"/>
                            <wp:docPr id="12" name="图片 2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图片5"/>
                                    <pic:cNvPicPr>
                                      <a:picLocks noChangeAspect="1"/>
                                    </pic:cNvPicPr>
                                  </pic:nvPicPr>
                                  <pic:blipFill>
                                    <a:blip r:embed="rId14"/>
                                    <a:stretch>
                                      <a:fillRect/>
                                    </a:stretch>
                                  </pic:blipFill>
                                  <pic:spPr>
                                    <a:xfrm>
                                      <a:off x="0" y="0"/>
                                      <a:ext cx="2863850" cy="2173605"/>
                                    </a:xfrm>
                                    <a:prstGeom prst="rect">
                                      <a:avLst/>
                                    </a:prstGeom>
                                    <a:noFill/>
                                    <a:ln>
                                      <a:noFill/>
                                    </a:ln>
                                  </pic:spPr>
                                </pic:pic>
                              </a:graphicData>
                            </a:graphic>
                          </wp:inline>
                        </w:drawing>
                      </w:r>
                    </w:p>
                    <w:p/>
                  </w:txbxContent>
                </v:textbox>
              </v:shape>
            </w:pict>
          </mc:Fallback>
        </mc:AlternateContent>
      </w:r>
      <w:r>
        <w:rPr>
          <w:rFonts w:ascii="Arial" w:hAnsi="Arial" w:cs="Arial"/>
          <w:color w:val="000000"/>
          <w:sz w:val="18"/>
          <w:szCs w:val="28"/>
        </w:rPr>
        <mc:AlternateContent>
          <mc:Choice Requires="wps">
            <w:drawing>
              <wp:anchor distT="0" distB="0" distL="114300" distR="114300" simplePos="0" relativeHeight="251658240" behindDoc="0" locked="0" layoutInCell="1" allowOverlap="1">
                <wp:simplePos x="0" y="0"/>
                <wp:positionH relativeFrom="column">
                  <wp:posOffset>2994660</wp:posOffset>
                </wp:positionH>
                <wp:positionV relativeFrom="paragraph">
                  <wp:posOffset>71120</wp:posOffset>
                </wp:positionV>
                <wp:extent cx="2990850" cy="2285365"/>
                <wp:effectExtent l="0" t="0" r="11430" b="635"/>
                <wp:wrapNone/>
                <wp:docPr id="4" name="文本框 5"/>
                <wp:cNvGraphicFramePr/>
                <a:graphic xmlns:a="http://schemas.openxmlformats.org/drawingml/2006/main">
                  <a:graphicData uri="http://schemas.microsoft.com/office/word/2010/wordprocessingShape">
                    <wps:wsp>
                      <wps:cNvSpPr txBox="1"/>
                      <wps:spPr>
                        <a:xfrm>
                          <a:off x="0" y="0"/>
                          <a:ext cx="2990850" cy="2285365"/>
                        </a:xfrm>
                        <a:prstGeom prst="rect">
                          <a:avLst/>
                        </a:prstGeom>
                        <a:solidFill>
                          <a:srgbClr val="FFFFFF"/>
                        </a:solidFill>
                        <a:ln w="9525" cap="flat" cmpd="sng">
                          <a:noFill/>
                          <a:prstDash val="solid"/>
                          <a:miter/>
                          <a:headEnd type="none" w="med" len="med"/>
                          <a:tailEnd type="none" w="med" len="med"/>
                        </a:ln>
                      </wps:spPr>
                      <wps:txbx>
                        <w:txbxContent>
                          <w:p>
                            <w:r>
                              <w:rPr>
                                <w:rFonts w:hint="eastAsia"/>
                              </w:rPr>
                              <w:drawing>
                                <wp:inline distT="0" distB="0" distL="114300" distR="114300">
                                  <wp:extent cx="2797175" cy="2152650"/>
                                  <wp:effectExtent l="0" t="0" r="6985" b="11430"/>
                                  <wp:docPr id="11" name="图片 2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descr="图片6"/>
                                          <pic:cNvPicPr>
                                            <a:picLocks noChangeAspect="1"/>
                                          </pic:cNvPicPr>
                                        </pic:nvPicPr>
                                        <pic:blipFill>
                                          <a:blip r:embed="rId15"/>
                                          <a:stretch>
                                            <a:fillRect/>
                                          </a:stretch>
                                        </pic:blipFill>
                                        <pic:spPr>
                                          <a:xfrm>
                                            <a:off x="0" y="0"/>
                                            <a:ext cx="2797175" cy="2152650"/>
                                          </a:xfrm>
                                          <a:prstGeom prst="rect">
                                            <a:avLst/>
                                          </a:prstGeom>
                                          <a:noFill/>
                                          <a:ln>
                                            <a:noFill/>
                                          </a:ln>
                                        </pic:spPr>
                                      </pic:pic>
                                    </a:graphicData>
                                  </a:graphic>
                                </wp:inline>
                              </w:drawing>
                            </w:r>
                          </w:p>
                        </w:txbxContent>
                      </wps:txbx>
                      <wps:bodyPr vert="horz" wrap="square" anchor="t" upright="1"/>
                    </wps:wsp>
                  </a:graphicData>
                </a:graphic>
              </wp:anchor>
            </w:drawing>
          </mc:Choice>
          <mc:Fallback>
            <w:pict>
              <v:shape id="文本框 5" o:spid="_x0000_s1026" o:spt="202" type="#_x0000_t202" style="position:absolute;left:0pt;margin-left:235.8pt;margin-top:5.6pt;height:179.95pt;width:235.5pt;z-index:251658240;mso-width-relative:page;mso-height-relative:page;" fillcolor="#FFFFFF" filled="t" stroked="f" coordsize="21600,21600" o:gfxdata="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XwZS1wAAAAoBAAAPAAAAAAAAAAEAIAAAACIAAABkcnMv&#10;ZG93bnJldi54bWxQSwECFAAUAAAACACHTuJA9aqALwQCAADlAwAADgAAAAAAAAABACAAAAAmAQAA&#10;ZHJzL2Uyb0RvYy54bWxQSwUGAAAAAAYABgBZAQAAnAUAAAAA&#10;">
                <v:fill on="t" focussize="0,0"/>
                <v:stroke on="f" joinstyle="miter"/>
                <v:imagedata o:title=""/>
                <o:lock v:ext="edit" aspectratio="f"/>
                <v:textbox>
                  <w:txbxContent>
                    <w:p>
                      <w:r>
                        <w:rPr>
                          <w:rFonts w:hint="eastAsia"/>
                        </w:rPr>
                        <w:drawing>
                          <wp:inline distT="0" distB="0" distL="114300" distR="114300">
                            <wp:extent cx="2797175" cy="2152650"/>
                            <wp:effectExtent l="0" t="0" r="6985" b="11430"/>
                            <wp:docPr id="11" name="图片 2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descr="图片6"/>
                                    <pic:cNvPicPr>
                                      <a:picLocks noChangeAspect="1"/>
                                    </pic:cNvPicPr>
                                  </pic:nvPicPr>
                                  <pic:blipFill>
                                    <a:blip r:embed="rId15"/>
                                    <a:stretch>
                                      <a:fillRect/>
                                    </a:stretch>
                                  </pic:blipFill>
                                  <pic:spPr>
                                    <a:xfrm>
                                      <a:off x="0" y="0"/>
                                      <a:ext cx="2797175" cy="2152650"/>
                                    </a:xfrm>
                                    <a:prstGeom prst="rect">
                                      <a:avLst/>
                                    </a:prstGeom>
                                    <a:noFill/>
                                    <a:ln>
                                      <a:noFill/>
                                    </a:ln>
                                  </pic:spPr>
                                </pic:pic>
                              </a:graphicData>
                            </a:graphic>
                          </wp:inline>
                        </w:drawing>
                      </w:r>
                    </w:p>
                  </w:txbxContent>
                </v:textbox>
              </v:shape>
            </w:pict>
          </mc:Fallback>
        </mc:AlternateContent>
      </w:r>
    </w:p>
    <w:p>
      <w:pPr>
        <w:ind w:right="-506" w:rightChars="-241"/>
        <w:rPr>
          <w:rFonts w:ascii="Arial" w:hAnsi="Arial" w:cs="Arial"/>
          <w:color w:val="000000"/>
          <w:sz w:val="15"/>
          <w:szCs w:val="15"/>
        </w:rPr>
      </w:pPr>
    </w:p>
    <w:p>
      <w:pPr>
        <w:ind w:right="-506" w:rightChars="-241"/>
        <w:rPr>
          <w:rFonts w:ascii="Arial" w:hAnsi="Arial" w:cs="Arial"/>
          <w:color w:val="000000"/>
          <w:sz w:val="15"/>
          <w:szCs w:val="15"/>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jc w:val="left"/>
        <w:rPr>
          <w:rFonts w:ascii="Arial" w:hAnsi="Arial" w:cs="Arial"/>
          <w:color w:val="000000"/>
          <w:sz w:val="18"/>
          <w:szCs w:val="28"/>
        </w:rPr>
      </w:pPr>
    </w:p>
    <w:p>
      <w:pPr>
        <w:rPr>
          <w:rFonts w:ascii="Arial" w:hAnsi="Arial" w:cs="Arial"/>
          <w:color w:val="000000"/>
          <w:sz w:val="28"/>
          <w:szCs w:val="28"/>
        </w:rPr>
      </w:pPr>
    </w:p>
    <w:p>
      <w:pPr>
        <w:outlineLvl w:val="9"/>
        <w:rPr>
          <w:rFonts w:ascii="Arial" w:hAnsi="Arial" w:cs="Arial"/>
          <w:color w:val="000000"/>
          <w:sz w:val="24"/>
          <w:szCs w:val="24"/>
        </w:rPr>
      </w:pPr>
      <w:bookmarkStart w:id="186" w:name="_Toc45217878"/>
      <w:bookmarkStart w:id="187" w:name="_Toc535508639"/>
      <w:bookmarkStart w:id="188" w:name="_Toc535570753"/>
      <w:bookmarkStart w:id="189" w:name="_Toc535580094"/>
      <w:bookmarkStart w:id="190" w:name="_Toc535580026"/>
      <w:bookmarkStart w:id="191" w:name="_Toc532281660"/>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 w:val="15"/>
          <w:szCs w:val="15"/>
        </w:rPr>
      </w:pPr>
      <w:bookmarkStart w:id="192" w:name="_Toc24195"/>
      <w:r>
        <w:rPr>
          <w:rFonts w:ascii="Arial" w:hAnsi="Arial" w:cs="Arial" w:eastAsiaTheme="minorEastAsia"/>
          <w:color w:val="000000"/>
          <w:sz w:val="15"/>
          <w:szCs w:val="15"/>
        </w:rPr>
        <mc:AlternateContent>
          <mc:Choice Requires="wps">
            <w:drawing>
              <wp:anchor distT="0" distB="0" distL="114300" distR="114300" simplePos="0" relativeHeight="251660288" behindDoc="0" locked="0" layoutInCell="1" allowOverlap="1">
                <wp:simplePos x="0" y="0"/>
                <wp:positionH relativeFrom="column">
                  <wp:posOffset>-106680</wp:posOffset>
                </wp:positionH>
                <wp:positionV relativeFrom="paragraph">
                  <wp:posOffset>251460</wp:posOffset>
                </wp:positionV>
                <wp:extent cx="2969895" cy="2287270"/>
                <wp:effectExtent l="0" t="0" r="1905" b="13970"/>
                <wp:wrapNone/>
                <wp:docPr id="5" name="文本框 6"/>
                <wp:cNvGraphicFramePr/>
                <a:graphic xmlns:a="http://schemas.openxmlformats.org/drawingml/2006/main">
                  <a:graphicData uri="http://schemas.microsoft.com/office/word/2010/wordprocessingShape">
                    <wps:wsp>
                      <wps:cNvSpPr txBox="1"/>
                      <wps:spPr>
                        <a:xfrm>
                          <a:off x="0" y="0"/>
                          <a:ext cx="2969895" cy="2287270"/>
                        </a:xfrm>
                        <a:prstGeom prst="rect">
                          <a:avLst/>
                        </a:prstGeom>
                        <a:solidFill>
                          <a:srgbClr val="FFFFFF"/>
                        </a:solidFill>
                        <a:ln w="9525" cap="flat" cmpd="sng">
                          <a:noFill/>
                          <a:prstDash val="solid"/>
                          <a:miter/>
                          <a:headEnd type="none" w="med" len="med"/>
                          <a:tailEnd type="none" w="med" len="med"/>
                        </a:ln>
                      </wps:spPr>
                      <wps:txbx>
                        <w:txbxContent>
                          <w:p>
                            <w:r>
                              <w:rPr>
                                <w:rFonts w:hint="eastAsia"/>
                              </w:rPr>
                              <w:drawing>
                                <wp:inline distT="0" distB="0" distL="114300" distR="114300">
                                  <wp:extent cx="2981325" cy="2160270"/>
                                  <wp:effectExtent l="0" t="0" r="5715" b="3810"/>
                                  <wp:docPr id="14" name="图片 2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图片7"/>
                                          <pic:cNvPicPr>
                                            <a:picLocks noChangeAspect="1"/>
                                          </pic:cNvPicPr>
                                        </pic:nvPicPr>
                                        <pic:blipFill>
                                          <a:blip r:embed="rId16"/>
                                          <a:stretch>
                                            <a:fillRect/>
                                          </a:stretch>
                                        </pic:blipFill>
                                        <pic:spPr>
                                          <a:xfrm>
                                            <a:off x="0" y="0"/>
                                            <a:ext cx="2981325" cy="2160270"/>
                                          </a:xfrm>
                                          <a:prstGeom prst="rect">
                                            <a:avLst/>
                                          </a:prstGeom>
                                          <a:noFill/>
                                          <a:ln>
                                            <a:noFill/>
                                          </a:ln>
                                        </pic:spPr>
                                      </pic:pic>
                                    </a:graphicData>
                                  </a:graphic>
                                </wp:inline>
                              </w:drawing>
                            </w:r>
                          </w:p>
                        </w:txbxContent>
                      </wps:txbx>
                      <wps:bodyPr vert="horz" wrap="square" anchor="t" upright="1"/>
                    </wps:wsp>
                  </a:graphicData>
                </a:graphic>
              </wp:anchor>
            </w:drawing>
          </mc:Choice>
          <mc:Fallback>
            <w:pict>
              <v:shape id="文本框 6" o:spid="_x0000_s1026" o:spt="202" type="#_x0000_t202" style="position:absolute;left:0pt;margin-left:-8.4pt;margin-top:19.8pt;height:180.1pt;width:233.85pt;z-index:251660288;mso-width-relative:page;mso-height-relative:page;" fillcolor="#FFFFFF" filled="t" stroked="f" coordsize="21600,21600" o:gfxdata="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xWOtgAAAAKAQAADwAAAAAAAAABACAAAAAiAAAAZHJz&#10;L2Rvd25yZXYueG1sUEsBAhQAFAAAAAgAh07iQLxVdzgEAgAA5QMAAA4AAAAAAAAAAQAgAAAAJwEA&#10;AGRycy9lMm9Eb2MueG1sUEsFBgAAAAAGAAYAWQEAAJ0FAAAAAA==&#10;">
                <v:fill on="t" focussize="0,0"/>
                <v:stroke on="f" joinstyle="miter"/>
                <v:imagedata o:title=""/>
                <o:lock v:ext="edit" aspectratio="f"/>
                <v:textbox>
                  <w:txbxContent>
                    <w:p>
                      <w:r>
                        <w:rPr>
                          <w:rFonts w:hint="eastAsia"/>
                        </w:rPr>
                        <w:drawing>
                          <wp:inline distT="0" distB="0" distL="114300" distR="114300">
                            <wp:extent cx="2981325" cy="2160270"/>
                            <wp:effectExtent l="0" t="0" r="5715" b="3810"/>
                            <wp:docPr id="14" name="图片 2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图片7"/>
                                    <pic:cNvPicPr>
                                      <a:picLocks noChangeAspect="1"/>
                                    </pic:cNvPicPr>
                                  </pic:nvPicPr>
                                  <pic:blipFill>
                                    <a:blip r:embed="rId16"/>
                                    <a:stretch>
                                      <a:fillRect/>
                                    </a:stretch>
                                  </pic:blipFill>
                                  <pic:spPr>
                                    <a:xfrm>
                                      <a:off x="0" y="0"/>
                                      <a:ext cx="2981325" cy="2160270"/>
                                    </a:xfrm>
                                    <a:prstGeom prst="rect">
                                      <a:avLst/>
                                    </a:prstGeom>
                                    <a:noFill/>
                                    <a:ln>
                                      <a:noFill/>
                                    </a:ln>
                                  </pic:spPr>
                                </pic:pic>
                              </a:graphicData>
                            </a:graphic>
                          </wp:inline>
                        </w:drawing>
                      </w:r>
                    </w:p>
                  </w:txbxContent>
                </v:textbox>
              </v:shape>
            </w:pict>
          </mc:Fallback>
        </mc:AlternateContent>
      </w:r>
      <w:r>
        <w:rPr>
          <w:rFonts w:ascii="Arial" w:hAnsi="Arial" w:cs="Arial" w:eastAsiaTheme="minorEastAsia"/>
          <w:color w:val="000000"/>
          <w:sz w:val="15"/>
          <w:szCs w:val="15"/>
        </w:rPr>
        <mc:AlternateContent>
          <mc:Choice Requires="wps">
            <w:drawing>
              <wp:anchor distT="0" distB="0" distL="114300" distR="114300" simplePos="0" relativeHeight="251662336" behindDoc="0" locked="0" layoutInCell="1" allowOverlap="1">
                <wp:simplePos x="0" y="0"/>
                <wp:positionH relativeFrom="column">
                  <wp:posOffset>2994660</wp:posOffset>
                </wp:positionH>
                <wp:positionV relativeFrom="paragraph">
                  <wp:posOffset>251460</wp:posOffset>
                </wp:positionV>
                <wp:extent cx="2899410" cy="2272665"/>
                <wp:effectExtent l="0" t="0" r="11430" b="13335"/>
                <wp:wrapNone/>
                <wp:docPr id="6" name="文本框 7"/>
                <wp:cNvGraphicFramePr/>
                <a:graphic xmlns:a="http://schemas.openxmlformats.org/drawingml/2006/main">
                  <a:graphicData uri="http://schemas.microsoft.com/office/word/2010/wordprocessingShape">
                    <wps:wsp>
                      <wps:cNvSpPr txBox="1"/>
                      <wps:spPr>
                        <a:xfrm>
                          <a:off x="0" y="0"/>
                          <a:ext cx="2899410" cy="2272665"/>
                        </a:xfrm>
                        <a:prstGeom prst="rect">
                          <a:avLst/>
                        </a:prstGeom>
                        <a:solidFill>
                          <a:srgbClr val="FFFFFF"/>
                        </a:solidFill>
                        <a:ln w="9525" cap="flat" cmpd="sng">
                          <a:noFill/>
                          <a:prstDash val="solid"/>
                          <a:miter/>
                          <a:headEnd type="none" w="med" len="med"/>
                          <a:tailEnd type="none" w="med" len="med"/>
                        </a:ln>
                      </wps:spPr>
                      <wps:txbx>
                        <w:txbxContent>
                          <w:p>
                            <w:r>
                              <w:rPr>
                                <w:rFonts w:hint="eastAsia"/>
                              </w:rPr>
                              <w:drawing>
                                <wp:inline distT="0" distB="0" distL="114300" distR="114300">
                                  <wp:extent cx="2825750" cy="2174240"/>
                                  <wp:effectExtent l="0" t="0" r="8890" b="5080"/>
                                  <wp:docPr id="13" name="图片 24"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图片8"/>
                                          <pic:cNvPicPr>
                                            <a:picLocks noChangeAspect="1"/>
                                          </pic:cNvPicPr>
                                        </pic:nvPicPr>
                                        <pic:blipFill>
                                          <a:blip r:embed="rId17"/>
                                          <a:stretch>
                                            <a:fillRect/>
                                          </a:stretch>
                                        </pic:blipFill>
                                        <pic:spPr>
                                          <a:xfrm>
                                            <a:off x="0" y="0"/>
                                            <a:ext cx="2825750" cy="2174240"/>
                                          </a:xfrm>
                                          <a:prstGeom prst="rect">
                                            <a:avLst/>
                                          </a:prstGeom>
                                          <a:noFill/>
                                          <a:ln>
                                            <a:noFill/>
                                          </a:ln>
                                        </pic:spPr>
                                      </pic:pic>
                                    </a:graphicData>
                                  </a:graphic>
                                </wp:inline>
                              </w:drawing>
                            </w:r>
                          </w:p>
                        </w:txbxContent>
                      </wps:txbx>
                      <wps:bodyPr vert="horz" wrap="none" anchor="t" upright="1"/>
                    </wps:wsp>
                  </a:graphicData>
                </a:graphic>
              </wp:anchor>
            </w:drawing>
          </mc:Choice>
          <mc:Fallback>
            <w:pict>
              <v:shape id="文本框 7" o:spid="_x0000_s1026" o:spt="202" type="#_x0000_t202" style="position:absolute;left:0pt;margin-left:235.8pt;margin-top:19.8pt;height:178.95pt;width:228.3pt;mso-wrap-style:none;z-index:251662336;mso-width-relative:page;mso-height-relative:page;" fillcolor="#FFFFFF" filled="t" stroked="f" coordsize="21600,21600" o:gfxdata="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iCvMdgAAAAKAQAADwAAAAAAAAABACAAAAAiAAAAZHJzL2Rvd25y&#10;ZXYueG1sUEsBAhQAFAAAAAgAh07iQAU+BID+AQAA4wMAAA4AAAAAAAAAAQAgAAAAJwEAAGRycy9l&#10;Mm9Eb2MueG1sUEsFBgAAAAAGAAYAWQEAAJcFAAAAAA==&#10;">
                <v:fill on="t" focussize="0,0"/>
                <v:stroke on="f" joinstyle="miter"/>
                <v:imagedata o:title=""/>
                <o:lock v:ext="edit" aspectratio="f"/>
                <v:textbox>
                  <w:txbxContent>
                    <w:p>
                      <w:r>
                        <w:rPr>
                          <w:rFonts w:hint="eastAsia"/>
                        </w:rPr>
                        <w:drawing>
                          <wp:inline distT="0" distB="0" distL="114300" distR="114300">
                            <wp:extent cx="2825750" cy="2174240"/>
                            <wp:effectExtent l="0" t="0" r="8890" b="5080"/>
                            <wp:docPr id="13" name="图片 24"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图片8"/>
                                    <pic:cNvPicPr>
                                      <a:picLocks noChangeAspect="1"/>
                                    </pic:cNvPicPr>
                                  </pic:nvPicPr>
                                  <pic:blipFill>
                                    <a:blip r:embed="rId17"/>
                                    <a:stretch>
                                      <a:fillRect/>
                                    </a:stretch>
                                  </pic:blipFill>
                                  <pic:spPr>
                                    <a:xfrm>
                                      <a:off x="0" y="0"/>
                                      <a:ext cx="2825750" cy="2174240"/>
                                    </a:xfrm>
                                    <a:prstGeom prst="rect">
                                      <a:avLst/>
                                    </a:prstGeom>
                                    <a:noFill/>
                                    <a:ln>
                                      <a:noFill/>
                                    </a:ln>
                                  </pic:spPr>
                                </pic:pic>
                              </a:graphicData>
                            </a:graphic>
                          </wp:inline>
                        </w:drawing>
                      </w:r>
                    </w:p>
                  </w:txbxContent>
                </v:textbox>
              </v:shape>
            </w:pict>
          </mc:Fallback>
        </mc:AlternateContent>
      </w:r>
      <w:r>
        <w:rPr>
          <w:rFonts w:ascii="Arial" w:hAnsi="Arial" w:cs="Arial" w:eastAsiaTheme="minorEastAsia"/>
          <w:color w:val="000000"/>
          <w:szCs w:val="21"/>
        </w:rPr>
        <w:t xml:space="preserve">3、地铁施工地块，项目东侧 </w:t>
      </w:r>
      <w:r>
        <w:rPr>
          <w:rFonts w:ascii="Arial" w:hAnsi="Arial" w:cs="Arial"/>
          <w:color w:val="000000"/>
          <w:szCs w:val="21"/>
        </w:rPr>
        <w:t xml:space="preserve"> </w:t>
      </w:r>
      <w:r>
        <w:rPr>
          <w:rFonts w:ascii="Arial" w:hAnsi="Arial" w:cs="Arial"/>
          <w:color w:val="000000"/>
          <w:sz w:val="24"/>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4、展示区施工地块</w:t>
      </w:r>
      <w:bookmarkEnd w:id="192"/>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Cs w:val="21"/>
        </w:rPr>
      </w:pPr>
      <w:bookmarkStart w:id="193" w:name="_Toc20259"/>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 w:val="15"/>
          <w:szCs w:val="15"/>
        </w:rPr>
      </w:pPr>
      <w:r>
        <w:rPr>
          <w:rFonts w:ascii="Arial" w:hAnsi="Arial" w:cs="Arial" w:eastAsiaTheme="minorEastAsia"/>
          <w:color w:val="000000"/>
          <w:szCs w:val="21"/>
        </w:rPr>
        <w:t xml:space="preserve">5、展示区东侧    </w:t>
      </w:r>
      <w:r>
        <w:rPr>
          <w:rFonts w:ascii="Arial" w:hAnsi="Arial" w:cs="Arial" w:eastAsiaTheme="minorEastAsia"/>
          <w:color w:val="000000"/>
          <w:sz w:val="15"/>
          <w:szCs w:val="15"/>
        </w:rPr>
        <w:t xml:space="preserve">                                         </w:t>
      </w:r>
      <w:r>
        <w:rPr>
          <w:rFonts w:ascii="Arial" w:hAnsi="Arial" w:cs="Arial" w:eastAsiaTheme="minorEastAsia"/>
          <w:color w:val="000000"/>
          <w:szCs w:val="21"/>
        </w:rPr>
        <w:t>6、项目地块航拍图</w:t>
      </w:r>
      <w:bookmarkEnd w:id="193"/>
    </w:p>
    <w:p>
      <w:pPr>
        <w:outlineLvl w:val="9"/>
        <w:rPr>
          <w:rFonts w:ascii="Arial" w:hAnsi="Arial" w:cs="Arial"/>
          <w:color w:val="000000"/>
          <w:sz w:val="24"/>
          <w:szCs w:val="24"/>
        </w:rPr>
      </w:pPr>
      <w:bookmarkStart w:id="194" w:name="_Toc12319"/>
      <w:bookmarkStart w:id="195" w:name="_Toc10395"/>
      <w:bookmarkStart w:id="196" w:name="_Toc31324"/>
      <w:bookmarkStart w:id="197" w:name="_Toc2209"/>
      <w:bookmarkStart w:id="198" w:name="_Toc570"/>
      <w:bookmarkStart w:id="199" w:name="_Toc4252"/>
      <w:bookmarkStart w:id="200" w:name="_Toc29435"/>
      <w:bookmarkStart w:id="201" w:name="_Toc24581"/>
      <w:bookmarkStart w:id="202" w:name="_Toc506"/>
      <w:bookmarkStart w:id="203" w:name="_Toc21728"/>
      <w:bookmarkStart w:id="204" w:name="_Toc14941"/>
      <w:bookmarkStart w:id="205" w:name="_Toc10003"/>
      <w:bookmarkStart w:id="206" w:name="_Toc28272"/>
      <w:bookmarkStart w:id="207" w:name="_Toc14446"/>
    </w:p>
    <w:p>
      <w:pPr>
        <w:outlineLvl w:val="9"/>
        <w:rPr>
          <w:rFonts w:ascii="Arial" w:hAnsi="Arial" w:cs="Arial"/>
          <w:color w:val="000000"/>
          <w:sz w:val="24"/>
          <w:szCs w:val="24"/>
        </w:rPr>
      </w:pPr>
    </w:p>
    <w:p>
      <w:pPr>
        <w:outlineLvl w:val="0"/>
        <w:rPr>
          <w:rFonts w:ascii="Arial" w:hAnsi="Arial" w:cs="Arial"/>
          <w:color w:val="000000"/>
          <w:sz w:val="24"/>
          <w:szCs w:val="24"/>
        </w:rPr>
      </w:pPr>
      <w:bookmarkStart w:id="208" w:name="_Toc3744"/>
      <w:bookmarkStart w:id="209" w:name="_Toc29074"/>
      <w:bookmarkStart w:id="210" w:name="_Toc21756"/>
      <w:bookmarkStart w:id="211" w:name="_Toc3178"/>
      <w:bookmarkStart w:id="212" w:name="_Toc30367"/>
      <w:bookmarkStart w:id="213" w:name="_Toc30229"/>
      <w:r>
        <w:rPr>
          <w:rFonts w:ascii="Arial" w:hAnsi="Arial" w:cs="Arial"/>
          <w:color w:val="000000"/>
          <w:sz w:val="24"/>
          <w:szCs w:val="24"/>
        </w:rPr>
        <w:t>4印鉴使用情况</w:t>
      </w:r>
      <w:bookmarkEnd w:id="186"/>
      <w:bookmarkEnd w:id="187"/>
      <w:bookmarkEnd w:id="188"/>
      <w:bookmarkEnd w:id="189"/>
      <w:bookmarkEnd w:id="190"/>
      <w:bookmarkEnd w:id="19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pPr>
        <w:spacing w:line="480" w:lineRule="auto"/>
        <w:ind w:firstLine="420" w:firstLineChars="200"/>
        <w:rPr>
          <w:rFonts w:ascii="Arial" w:hAnsi="Arial" w:cs="Arial"/>
          <w:bCs/>
          <w:kern w:val="44"/>
          <w:szCs w:val="21"/>
        </w:rPr>
      </w:pPr>
      <w:r>
        <w:rPr>
          <w:rFonts w:hint="eastAsia" w:ascii="Arial" w:hAnsi="Arial" w:cs="Arial"/>
          <w:bCs/>
          <w:kern w:val="44"/>
          <w:szCs w:val="21"/>
        </w:rPr>
        <w:t>根据根据监管协议的约定，康信资管人员与SPV公司共管的印鉴为：公章、法定代表人人名章、财务专用章、发票专用章；与项目公司共管的印鉴为：公章、法定代表人人名章、财务专用章。</w:t>
      </w:r>
      <w:r>
        <w:rPr>
          <w:rFonts w:ascii="Arial" w:hAnsi="Arial" w:cs="Arial"/>
          <w:bCs/>
          <w:kern w:val="44"/>
          <w:szCs w:val="21"/>
        </w:rPr>
        <w:t>对于印章的使用，项目公司人员按照中航信托的要求，履行印章使用流程，康信资管监管人员了解用印事由，通过微信书面和发送邮件的方式向中航信托领导提交用印申请，待中航信托领导批复后方给予盖章。SPV公司和项目公司</w:t>
      </w:r>
      <w:r>
        <w:rPr>
          <w:rFonts w:hint="eastAsia" w:ascii="Arial" w:hAnsi="Arial" w:cs="Arial"/>
          <w:bCs/>
          <w:kern w:val="44"/>
          <w:szCs w:val="21"/>
        </w:rPr>
        <w:t>印鉴</w:t>
      </w:r>
      <w:r>
        <w:rPr>
          <w:rFonts w:ascii="Arial" w:hAnsi="Arial" w:cs="Arial"/>
          <w:bCs/>
          <w:kern w:val="44"/>
          <w:szCs w:val="21"/>
        </w:rPr>
        <w:t>使用情况详见下表：</w:t>
      </w:r>
    </w:p>
    <w:tbl>
      <w:tblPr>
        <w:tblStyle w:val="18"/>
        <w:tblW w:w="9360" w:type="dxa"/>
        <w:jc w:val="center"/>
        <w:tblLayout w:type="fixed"/>
        <w:tblCellMar>
          <w:top w:w="15" w:type="dxa"/>
          <w:left w:w="15" w:type="dxa"/>
          <w:bottom w:w="15" w:type="dxa"/>
          <w:right w:w="15" w:type="dxa"/>
        </w:tblCellMar>
      </w:tblPr>
      <w:tblGrid>
        <w:gridCol w:w="2683"/>
        <w:gridCol w:w="1067"/>
        <w:gridCol w:w="1725"/>
        <w:gridCol w:w="1475"/>
        <w:gridCol w:w="1509"/>
        <w:gridCol w:w="901"/>
      </w:tblGrid>
      <w:tr>
        <w:tblPrEx>
          <w:tblCellMar>
            <w:top w:w="15" w:type="dxa"/>
            <w:left w:w="15" w:type="dxa"/>
            <w:bottom w:w="15" w:type="dxa"/>
            <w:right w:w="15" w:type="dxa"/>
          </w:tblCellMar>
        </w:tblPrEx>
        <w:trPr>
          <w:trHeight w:val="533"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w:t>
            </w:r>
            <w:r>
              <w:rPr>
                <w:rFonts w:hint="eastAsia" w:ascii="Arial" w:hAnsi="Arial" w:cs="Arial"/>
                <w:b/>
                <w:bCs/>
                <w:color w:val="000000" w:themeColor="text1"/>
                <w:sz w:val="18"/>
                <w:szCs w:val="18"/>
                <w:lang w:eastAsia="zh-CN"/>
                <w14:textFill>
                  <w14:solidFill>
                    <w14:schemeClr w14:val="tx1"/>
                  </w14:solidFill>
                </w14:textFill>
              </w:rPr>
              <w:t>人</w:t>
            </w:r>
            <w:r>
              <w:rPr>
                <w:rFonts w:ascii="Arial" w:hAnsi="Arial" w:cs="Arial"/>
                <w:b/>
                <w:bCs/>
                <w:color w:val="000000" w:themeColor="text1"/>
                <w:sz w:val="18"/>
                <w:szCs w:val="18"/>
                <w14:textFill>
                  <w14:solidFill>
                    <w14:schemeClr w14:val="tx1"/>
                  </w14:solidFill>
                </w14:textFill>
              </w:rPr>
              <w:t>名章（份）</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w:t>
            </w:r>
            <w:r>
              <w:rPr>
                <w:rFonts w:hint="eastAsia" w:ascii="Arial" w:hAnsi="Arial" w:cs="Arial"/>
                <w:b/>
                <w:bCs/>
                <w:color w:val="000000" w:themeColor="text1"/>
                <w:sz w:val="18"/>
                <w:szCs w:val="18"/>
                <w14:textFill>
                  <w14:solidFill>
                    <w14:schemeClr w14:val="tx1"/>
                  </w14:solidFill>
                </w14:textFill>
              </w:rPr>
              <w:t>专用章</w:t>
            </w:r>
            <w:r>
              <w:rPr>
                <w:rFonts w:ascii="Arial" w:hAnsi="Arial" w:cs="Arial"/>
                <w:b/>
                <w:bCs/>
                <w:color w:val="000000" w:themeColor="text1"/>
                <w:sz w:val="18"/>
                <w:szCs w:val="18"/>
                <w14:textFill>
                  <w14:solidFill>
                    <w14:schemeClr w14:val="tx1"/>
                  </w14:solidFill>
                </w14:textFill>
              </w:rPr>
              <w:t>（份）</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hint="eastAsia" w:ascii="Arial" w:hAnsi="Arial" w:cs="Arial"/>
                <w:b/>
                <w:bCs/>
                <w:color w:val="000000" w:themeColor="text1"/>
                <w:sz w:val="18"/>
                <w:szCs w:val="18"/>
                <w14:textFill>
                  <w14:solidFill>
                    <w14:schemeClr w14:val="tx1"/>
                  </w14:solidFill>
                </w14:textFill>
              </w:rPr>
              <w:t>发票专用</w:t>
            </w:r>
            <w:r>
              <w:rPr>
                <w:rFonts w:ascii="Arial" w:hAnsi="Arial" w:cs="Arial"/>
                <w:b/>
                <w:bCs/>
                <w:color w:val="000000" w:themeColor="text1"/>
                <w:sz w:val="18"/>
                <w:szCs w:val="18"/>
                <w14:textFill>
                  <w14:solidFill>
                    <w14:schemeClr w14:val="tx1"/>
                  </w14:solidFill>
                </w14:textFill>
              </w:rPr>
              <w:t>章（份）</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宁德融熙置业有限公司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16</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福州首融房地产开发有限公司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66</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无</w:t>
            </w:r>
          </w:p>
        </w:tc>
        <w:tc>
          <w:tcPr>
            <w:tcW w:w="901"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bl>
    <w:p>
      <w:pPr>
        <w:spacing w:before="240" w:beforeLines="100"/>
        <w:jc w:val="center"/>
        <w:rPr>
          <w:rFonts w:ascii="Arial" w:hAnsi="Arial" w:cs="Arial"/>
          <w:b/>
          <w:color w:val="000000"/>
          <w:sz w:val="24"/>
          <w:szCs w:val="28"/>
        </w:rPr>
      </w:pPr>
      <w:r>
        <w:rPr>
          <w:rFonts w:ascii="Arial" w:hAnsi="Arial" w:cs="Arial"/>
          <w:b/>
          <w:color w:val="000000"/>
          <w:sz w:val="24"/>
          <w:szCs w:val="28"/>
        </w:rPr>
        <w:t>SPV公司2020年8月印章使用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2020-08-07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福州首融房地产开发有限公司股东会决议增补李明洁为公司董事的文件用印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福州首融房地产开发有限公司股东会决议增补李明洁为公司董事的文件</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郭恬</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王存丽、庄小玲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2020-08-07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公章（3）</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办理SPV公司公章、财务章及法人章的印章核验事宜用印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SPV公司营业执照复印件、介绍信、经办人身份证复印件</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郭恬</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王存丽、庄小玲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招商银行零售银行代销产品费用告知函的用印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招商银行零售银行代销产品费用告知函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p>
            <w:pPr>
              <w:widowControl/>
              <w:jc w:val="center"/>
              <w:textAlignment w:val="center"/>
              <w:rPr>
                <w:rFonts w:ascii="Arial" w:hAnsi="Arial" w:cs="Arial"/>
                <w:color w:val="000000"/>
                <w:kern w:val="0"/>
                <w:sz w:val="18"/>
                <w:szCs w:val="18"/>
                <w:lang w:bidi="ar"/>
              </w:rPr>
            </w:pP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郭恬</w:t>
            </w:r>
          </w:p>
          <w:p>
            <w:pPr>
              <w:widowControl/>
              <w:jc w:val="center"/>
              <w:textAlignment w:val="center"/>
              <w:rPr>
                <w:rFonts w:ascii="Arial" w:hAnsi="Arial" w:cs="Arial"/>
                <w:color w:val="000000"/>
                <w:kern w:val="0"/>
                <w:sz w:val="18"/>
                <w:szCs w:val="18"/>
                <w:lang w:bidi="ar"/>
              </w:rPr>
            </w:pP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sz w:val="20"/>
                <w:szCs w:val="20"/>
              </w:rPr>
              <w:t>2020-08-13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宁德融熙有限公司股东出资证明的用印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宁德融熙有限公司股东出资证明（2份）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郭恬</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关于螺洲TOD项目对中航信托出资通知书的用印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宁德融熙置业有限公司出资通知书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郭恬</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2020-08-19</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val="en-US" w:eastAsia="zh-CN"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关于螺洲TOD项目SPV公司债权债务确认协议的用印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债权债务确认协议</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郭恬</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p>
            <w:pPr>
              <w:widowControl/>
              <w:jc w:val="center"/>
              <w:textAlignment w:val="center"/>
              <w:rPr>
                <w:rFonts w:ascii="Arial" w:hAnsi="Arial" w:cs="Arial"/>
                <w:color w:val="000000"/>
                <w:kern w:val="0"/>
                <w:sz w:val="18"/>
                <w:szCs w:val="18"/>
                <w:lang w:bidi="ar"/>
              </w:rPr>
            </w:pPr>
          </w:p>
        </w:tc>
      </w:tr>
    </w:tbl>
    <w:p>
      <w:pPr>
        <w:spacing w:before="240" w:beforeLines="100"/>
        <w:jc w:val="center"/>
        <w:rPr>
          <w:rFonts w:ascii="Arial" w:hAnsi="Arial" w:cs="Arial"/>
          <w:b/>
          <w:color w:val="000000"/>
          <w:sz w:val="24"/>
          <w:szCs w:val="28"/>
        </w:rPr>
      </w:pPr>
      <w:r>
        <w:rPr>
          <w:rFonts w:ascii="Arial" w:hAnsi="Arial" w:cs="Arial"/>
          <w:b/>
          <w:color w:val="000000"/>
          <w:sz w:val="24"/>
          <w:szCs w:val="28"/>
        </w:rPr>
        <w:t>项目公司2020年8月印章使用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福州市建设工程规划建筑红线放线桩位现场移交报告用印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福州市建设工程规划建筑红线放线桩位现场移交报告</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林国周</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与上海良晓信息科技有限公司签订有关售楼部多媒体展厅包装展示合作意向书</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合作意向书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林艺红</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公章（10）</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关于提交2020-08号地块设计文件报告的用印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关于提交2020-08号地块设计文件报告、云洲郡图纸目录</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郑敬明</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公章（3）</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关于申请云洲郡用地内杆线迁移报告的用印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关于申请云洲郡用地内杆线迁移的报告、高压客户用电申请表、授权委托书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林国周</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公章（5）</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关于办理固定电话及电话费宽带费银行托收业务的用印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委托书、确认回执、营业执照复印件、开具增值税专用发票申请表、委托收款协议书（5份）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2020-8-14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公章（12）</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云洲郡项目临电工程中标通知书、全过程造价咨询工程中标通知书和示范区总承包工程中标通知书的用印申请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临电工程中标通知书（3份）、造价咨询工程中标通知书（3份）和进场通知书（3份）、展示区总承包工程中标通知书（3份）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毛云宁</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kern w:val="0"/>
                <w:sz w:val="18"/>
                <w:szCs w:val="18"/>
                <w:lang w:bidi="ar"/>
              </w:rPr>
              <w:t>2020-08-17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公章（3）</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售楼部多媒体展厅包装设计制作招标中标通知书和参标感谢函的用印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中标通知书、参标感谢函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林艺红</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kern w:val="0"/>
                <w:sz w:val="18"/>
                <w:szCs w:val="18"/>
                <w:lang w:bidi="ar"/>
              </w:rPr>
              <w:t>2020-08-17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开发资质申请资料的用印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营业执照副本、委托人</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公章（7）</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临水合同用印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用户安装工程施工合同书、小区给水设计方案审批表、设计合同书、供用水合同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毛云宁</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2020-08-19</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公章（5）</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展示区施工安全协议的用印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安全生产协议书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毛云宁</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2020-08-20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公章（3）</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跟麦德龙洽谈日常采购事宜，后续通过麦德龙采购日常用品等物料无需垫款，对公支付，商品采购协议的用印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商品采购协议</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庄小玲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kern w:val="0"/>
                <w:sz w:val="18"/>
                <w:szCs w:val="18"/>
                <w:lang w:bidi="ar"/>
              </w:rPr>
              <w:t>2020-08-24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委托杭州捷群广告有限公司提供螺洲TOD项目2020年度广告服务和意向函的用印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广告服务合同、意向确认函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黄超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kern w:val="0"/>
                <w:sz w:val="18"/>
                <w:szCs w:val="18"/>
                <w:lang w:bidi="ar"/>
              </w:rPr>
              <w:t>2020-08-25</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公章（4）</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云洲郡项目电力迁改的用印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福州供电公司供电方案说明书、电力项目建设申请委托单</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2020-08-26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暂定开发资质证书替换人员盖章</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申请资料</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2020-08-26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开发资质申请表用印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开发资质申请表</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bl>
    <w:p>
      <w:pPr>
        <w:spacing w:line="480" w:lineRule="auto"/>
        <w:ind w:firstLine="420" w:firstLineChars="200"/>
        <w:rPr>
          <w:rFonts w:ascii="Arial" w:hAnsi="Arial" w:cs="Arial"/>
        </w:rPr>
      </w:pPr>
    </w:p>
    <w:p>
      <w:pPr>
        <w:spacing w:line="480" w:lineRule="auto"/>
        <w:ind w:firstLine="420" w:firstLineChars="200"/>
        <w:rPr>
          <w:rFonts w:ascii="Arial" w:hAnsi="Arial" w:cs="Arial"/>
        </w:rPr>
      </w:pPr>
      <w:r>
        <w:rPr>
          <w:rFonts w:ascii="Arial" w:hAnsi="Arial" w:cs="Arial"/>
        </w:rPr>
        <w:t>2020年8月7日至2020年8月31日，SPV公司和项目公司均无证照、印鉴外出使用情况。</w:t>
      </w:r>
    </w:p>
    <w:p>
      <w:pPr>
        <w:pStyle w:val="2"/>
        <w:keepNext w:val="0"/>
        <w:keepLines w:val="0"/>
        <w:spacing w:before="300" w:after="300" w:line="360" w:lineRule="exact"/>
        <w:jc w:val="left"/>
        <w:rPr>
          <w:rFonts w:ascii="Arial" w:hAnsi="Arial" w:cs="Arial"/>
          <w:color w:val="000000"/>
          <w:sz w:val="24"/>
          <w:szCs w:val="24"/>
        </w:rPr>
      </w:pPr>
      <w:bookmarkStart w:id="214" w:name="_Toc29153"/>
      <w:bookmarkStart w:id="215" w:name="_Toc29432"/>
      <w:bookmarkStart w:id="216" w:name="_Toc19745"/>
      <w:bookmarkStart w:id="217" w:name="_Toc2357"/>
      <w:bookmarkStart w:id="218" w:name="_Toc4509"/>
      <w:bookmarkStart w:id="219" w:name="_Toc31469"/>
      <w:bookmarkStart w:id="220" w:name="_Toc24099"/>
      <w:bookmarkStart w:id="221" w:name="_Toc24908"/>
      <w:bookmarkStart w:id="222" w:name="_Toc14939"/>
      <w:bookmarkStart w:id="223" w:name="_Toc18025"/>
      <w:bookmarkStart w:id="224" w:name="_Toc4419"/>
      <w:bookmarkStart w:id="225" w:name="_Toc27585"/>
      <w:bookmarkStart w:id="226" w:name="_Toc31393"/>
      <w:r>
        <w:rPr>
          <w:rFonts w:ascii="Arial" w:hAnsi="Arial" w:cs="Arial"/>
          <w:color w:val="000000"/>
          <w:sz w:val="24"/>
          <w:szCs w:val="24"/>
        </w:rPr>
        <w:t>5</w:t>
      </w:r>
      <w:r>
        <w:rPr>
          <w:rFonts w:cs="Arial"/>
          <w:color w:val="000000"/>
          <w:sz w:val="24"/>
          <w:szCs w:val="24"/>
        </w:rPr>
        <w:t>合同签订情况</w:t>
      </w:r>
      <w:bookmarkEnd w:id="214"/>
      <w:bookmarkEnd w:id="215"/>
      <w:bookmarkEnd w:id="216"/>
      <w:bookmarkEnd w:id="217"/>
      <w:bookmarkEnd w:id="218"/>
      <w:bookmarkEnd w:id="219"/>
      <w:bookmarkEnd w:id="220"/>
      <w:bookmarkEnd w:id="221"/>
      <w:bookmarkEnd w:id="222"/>
      <w:bookmarkEnd w:id="223"/>
      <w:bookmarkEnd w:id="224"/>
      <w:bookmarkEnd w:id="225"/>
      <w:bookmarkEnd w:id="226"/>
    </w:p>
    <w:p>
      <w:pPr>
        <w:pStyle w:val="3"/>
        <w:keepNext w:val="0"/>
        <w:keepLines w:val="0"/>
        <w:spacing w:before="300" w:after="300" w:line="360" w:lineRule="exact"/>
        <w:jc w:val="left"/>
        <w:rPr>
          <w:rFonts w:eastAsia="宋体" w:cs="Arial"/>
          <w:sz w:val="24"/>
        </w:rPr>
      </w:pPr>
      <w:bookmarkStart w:id="227" w:name="_Toc3695"/>
      <w:bookmarkStart w:id="228" w:name="_Toc23005"/>
      <w:bookmarkStart w:id="229" w:name="_Toc29354"/>
      <w:bookmarkStart w:id="230" w:name="_Toc29375"/>
      <w:bookmarkStart w:id="231" w:name="_Toc4193"/>
      <w:bookmarkStart w:id="232" w:name="_Toc3599"/>
      <w:bookmarkStart w:id="233" w:name="_Toc8355"/>
      <w:bookmarkStart w:id="234" w:name="_Toc3075"/>
      <w:bookmarkStart w:id="235" w:name="_Toc29466"/>
      <w:bookmarkStart w:id="236" w:name="_Toc30558"/>
      <w:bookmarkStart w:id="237" w:name="_Toc14284"/>
      <w:bookmarkStart w:id="238" w:name="_Toc7987"/>
      <w:bookmarkStart w:id="239" w:name="_Toc14182"/>
      <w:r>
        <w:rPr>
          <w:rFonts w:hint="eastAsia" w:eastAsia="宋体" w:cs="Arial"/>
          <w:sz w:val="24"/>
        </w:rPr>
        <w:t>5</w:t>
      </w:r>
      <w:r>
        <w:rPr>
          <w:rFonts w:eastAsia="宋体" w:cs="Arial"/>
          <w:sz w:val="24"/>
        </w:rPr>
        <w:t>.1</w:t>
      </w:r>
      <w:r>
        <w:rPr>
          <w:rFonts w:hint="eastAsia" w:eastAsia="宋体" w:cs="Arial"/>
          <w:sz w:val="24"/>
        </w:rPr>
        <w:t>新签订合同</w:t>
      </w:r>
      <w:r>
        <w:rPr>
          <w:rFonts w:eastAsia="宋体" w:cs="Arial"/>
          <w:sz w:val="24"/>
        </w:rPr>
        <w:t>情况</w:t>
      </w:r>
      <w:bookmarkEnd w:id="227"/>
      <w:bookmarkEnd w:id="228"/>
      <w:bookmarkEnd w:id="229"/>
      <w:bookmarkEnd w:id="230"/>
      <w:bookmarkEnd w:id="231"/>
      <w:bookmarkEnd w:id="232"/>
      <w:bookmarkEnd w:id="233"/>
      <w:bookmarkEnd w:id="234"/>
      <w:bookmarkEnd w:id="235"/>
      <w:bookmarkEnd w:id="236"/>
      <w:bookmarkEnd w:id="237"/>
      <w:bookmarkEnd w:id="238"/>
      <w:bookmarkEnd w:id="239"/>
    </w:p>
    <w:p>
      <w:pPr>
        <w:spacing w:line="360" w:lineRule="auto"/>
        <w:ind w:firstLine="420" w:firstLineChars="200"/>
        <w:rPr>
          <w:rFonts w:hint="eastAsia" w:ascii="Arial" w:hAnsi="Arial" w:cs="Arial"/>
          <w:bCs/>
          <w:kern w:val="44"/>
          <w:szCs w:val="21"/>
        </w:rPr>
      </w:pPr>
      <w:r>
        <w:rPr>
          <w:rFonts w:hint="eastAsia" w:ascii="Arial" w:hAnsi="Arial" w:cs="Arial"/>
          <w:bCs/>
          <w:kern w:val="44"/>
          <w:szCs w:val="21"/>
          <w:lang w:val="en-US" w:eastAsia="zh-CN"/>
        </w:rPr>
        <w:t>2020年8月7日入场后至</w:t>
      </w:r>
      <w:r>
        <w:rPr>
          <w:rFonts w:hint="eastAsia" w:ascii="Arial" w:hAnsi="Arial" w:cs="Arial"/>
          <w:bCs/>
          <w:kern w:val="44"/>
          <w:szCs w:val="21"/>
        </w:rPr>
        <w:t>2020年8月31日，SPV公司无新签订的合同。</w:t>
      </w:r>
    </w:p>
    <w:p>
      <w:pPr>
        <w:spacing w:line="360" w:lineRule="auto"/>
        <w:ind w:firstLine="420" w:firstLineChars="200"/>
        <w:rPr>
          <w:rFonts w:hint="eastAsia" w:ascii="Arial" w:hAnsi="Arial" w:cs="Arial"/>
          <w:bCs/>
          <w:kern w:val="44"/>
          <w:szCs w:val="21"/>
        </w:rPr>
      </w:pPr>
      <w:r>
        <w:rPr>
          <w:rFonts w:hint="eastAsia" w:ascii="Arial" w:hAnsi="Arial" w:cs="Arial"/>
          <w:bCs/>
          <w:kern w:val="44"/>
          <w:szCs w:val="21"/>
          <w:lang w:val="en-US" w:eastAsia="zh-CN"/>
        </w:rPr>
        <w:t>2020年8月7日入场后</w:t>
      </w:r>
      <w:r>
        <w:rPr>
          <w:rFonts w:hint="eastAsia" w:ascii="Arial" w:hAnsi="Arial" w:cs="Arial"/>
          <w:bCs/>
          <w:kern w:val="44"/>
          <w:szCs w:val="21"/>
        </w:rPr>
        <w:t>至2020年8月31日，</w:t>
      </w:r>
      <w:r>
        <w:rPr>
          <w:rFonts w:ascii="Arial" w:hAnsi="Arial" w:cs="Arial"/>
          <w:bCs/>
          <w:kern w:val="44"/>
          <w:szCs w:val="21"/>
        </w:rPr>
        <w:t>项目公司共计签订合同</w:t>
      </w:r>
      <w:r>
        <w:rPr>
          <w:rFonts w:hint="eastAsia" w:ascii="Arial" w:hAnsi="Arial" w:cs="Arial"/>
          <w:bCs/>
          <w:kern w:val="44"/>
          <w:szCs w:val="21"/>
          <w:lang w:val="en-US" w:eastAsia="zh-CN"/>
        </w:rPr>
        <w:t>4</w:t>
      </w:r>
      <w:r>
        <w:rPr>
          <w:rFonts w:ascii="Arial" w:hAnsi="Arial" w:cs="Arial"/>
          <w:bCs/>
          <w:kern w:val="44"/>
          <w:szCs w:val="21"/>
        </w:rPr>
        <w:t>份</w:t>
      </w:r>
      <w:r>
        <w:rPr>
          <w:rFonts w:hint="eastAsia" w:ascii="Arial" w:hAnsi="Arial" w:cs="Arial"/>
          <w:bCs/>
          <w:kern w:val="44"/>
          <w:szCs w:val="21"/>
        </w:rPr>
        <w:t>，合同总价714,321.00 元。</w:t>
      </w:r>
      <w:r>
        <w:rPr>
          <w:rFonts w:hint="eastAsia" w:ascii="Arial" w:hAnsi="Arial" w:cs="Arial"/>
          <w:bCs/>
          <w:kern w:val="44"/>
          <w:szCs w:val="21"/>
          <w:lang w:val="en-US" w:eastAsia="zh-CN"/>
        </w:rPr>
        <w:t>本月新签定合同金额</w:t>
      </w:r>
      <w:r>
        <w:rPr>
          <w:rFonts w:hint="eastAsia" w:ascii="Arial" w:hAnsi="Arial" w:cs="Arial"/>
          <w:bCs/>
          <w:kern w:val="44"/>
          <w:szCs w:val="21"/>
        </w:rPr>
        <w:t>714,321.00</w:t>
      </w:r>
      <w:r>
        <w:rPr>
          <w:rFonts w:hint="eastAsia" w:ascii="Arial" w:hAnsi="Arial" w:cs="Arial"/>
          <w:bCs/>
          <w:kern w:val="44"/>
          <w:szCs w:val="21"/>
          <w:lang w:val="en-US" w:eastAsia="zh-CN"/>
        </w:rPr>
        <w:t>元，本月无完成结算手续的合同</w:t>
      </w:r>
      <w:r>
        <w:rPr>
          <w:rFonts w:hint="eastAsia" w:ascii="Arial" w:hAnsi="Arial" w:cs="Arial"/>
          <w:szCs w:val="21"/>
          <w:lang w:val="en-US" w:eastAsia="zh-CN"/>
        </w:rPr>
        <w:t>，</w:t>
      </w:r>
      <w:r>
        <w:rPr>
          <w:rFonts w:hint="eastAsia" w:ascii="Arial" w:hAnsi="Arial" w:cs="Arial"/>
          <w:bCs/>
          <w:kern w:val="44"/>
          <w:szCs w:val="21"/>
        </w:rPr>
        <w:t>2020年8月新签订合同情况如下表：</w:t>
      </w:r>
    </w:p>
    <w:p>
      <w:pPr>
        <w:spacing w:line="360" w:lineRule="auto"/>
        <w:jc w:val="both"/>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b w:val="0"/>
          <w:bCs/>
          <w:color w:val="000000"/>
          <w:sz w:val="21"/>
          <w:szCs w:val="21"/>
          <w:lang w:val="en-US" w:eastAsia="zh-CN"/>
        </w:rPr>
        <w:t>(转下页)</w:t>
      </w:r>
    </w:p>
    <w:p>
      <w:pPr>
        <w:spacing w:line="360" w:lineRule="auto"/>
        <w:jc w:val="center"/>
        <w:rPr>
          <w:rFonts w:ascii="Arial" w:hAnsi="Arial" w:cs="Arial"/>
          <w:b/>
          <w:color w:val="000000"/>
          <w:sz w:val="24"/>
        </w:rPr>
      </w:pPr>
    </w:p>
    <w:p>
      <w:pPr>
        <w:spacing w:line="360" w:lineRule="auto"/>
        <w:jc w:val="center"/>
        <w:rPr>
          <w:rFonts w:ascii="Arial" w:hAnsi="Arial" w:cs="Arial"/>
          <w:b/>
          <w:color w:val="000000"/>
          <w:sz w:val="24"/>
        </w:rPr>
      </w:pPr>
    </w:p>
    <w:p>
      <w:pPr>
        <w:spacing w:line="360" w:lineRule="auto"/>
        <w:jc w:val="center"/>
        <w:rPr>
          <w:rFonts w:ascii="Arial" w:hAnsi="Arial" w:cs="Arial"/>
          <w:b/>
          <w:color w:val="000000"/>
          <w:sz w:val="24"/>
        </w:rPr>
      </w:pPr>
    </w:p>
    <w:p>
      <w:pPr>
        <w:spacing w:line="360" w:lineRule="auto"/>
        <w:jc w:val="center"/>
        <w:rPr>
          <w:rFonts w:ascii="Arial" w:hAnsi="Arial" w:cs="Arial"/>
          <w:b/>
          <w:color w:val="000000"/>
          <w:sz w:val="24"/>
        </w:rPr>
      </w:pPr>
    </w:p>
    <w:p>
      <w:pPr>
        <w:spacing w:line="360" w:lineRule="auto"/>
        <w:jc w:val="center"/>
        <w:rPr>
          <w:rFonts w:ascii="Arial" w:hAnsi="Arial" w:cs="Arial"/>
          <w:b/>
          <w:color w:val="000000"/>
          <w:sz w:val="24"/>
        </w:rPr>
      </w:pPr>
      <w:r>
        <w:rPr>
          <w:rFonts w:ascii="Arial" w:hAnsi="Arial" w:cs="Arial"/>
          <w:b/>
          <w:color w:val="000000"/>
          <w:sz w:val="24"/>
        </w:rPr>
        <w:t>2020年08月</w:t>
      </w:r>
      <w:r>
        <w:rPr>
          <w:rFonts w:hint="eastAsia" w:ascii="Arial" w:hAnsi="Arial" w:cs="Arial"/>
          <w:b/>
          <w:color w:val="000000"/>
          <w:sz w:val="24"/>
        </w:rPr>
        <w:t>项目公司</w:t>
      </w:r>
      <w:r>
        <w:rPr>
          <w:rFonts w:ascii="Arial" w:hAnsi="Arial" w:cs="Arial"/>
          <w:b/>
          <w:color w:val="000000"/>
          <w:sz w:val="24"/>
        </w:rPr>
        <w:t>合同签订情况表</w:t>
      </w:r>
    </w:p>
    <w:tbl>
      <w:tblPr>
        <w:tblStyle w:val="18"/>
        <w:tblW w:w="8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776"/>
        <w:gridCol w:w="1704"/>
        <w:gridCol w:w="2556"/>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776"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704" w:type="dxa"/>
            <w:shd w:val="clear" w:color="auto" w:fill="auto"/>
            <w:vAlign w:val="center"/>
          </w:tcPr>
          <w:p>
            <w:pPr>
              <w:jc w:val="center"/>
              <w:rPr>
                <w:rFonts w:ascii="Arial" w:hAnsi="Arial" w:cs="Arial"/>
                <w:b/>
                <w:bCs/>
                <w:sz w:val="18"/>
                <w:szCs w:val="18"/>
              </w:rPr>
            </w:pPr>
            <w:r>
              <w:rPr>
                <w:rFonts w:ascii="Arial" w:hAnsi="Arial" w:cs="Arial"/>
                <w:b/>
                <w:bCs/>
                <w:sz w:val="18"/>
                <w:szCs w:val="18"/>
              </w:rPr>
              <w:t>合同文件名称</w:t>
            </w:r>
          </w:p>
        </w:tc>
        <w:tc>
          <w:tcPr>
            <w:tcW w:w="2556"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353" w:type="dxa"/>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sz w:val="18"/>
                <w:szCs w:val="18"/>
              </w:rPr>
            </w:pPr>
            <w:r>
              <w:rPr>
                <w:rFonts w:ascii="Arial" w:hAnsi="Arial" w:cs="Arial"/>
                <w:sz w:val="18"/>
                <w:szCs w:val="18"/>
              </w:rPr>
              <w:t>2020-08-10</w:t>
            </w:r>
          </w:p>
        </w:tc>
        <w:tc>
          <w:tcPr>
            <w:tcW w:w="1776" w:type="dxa"/>
            <w:shd w:val="clear" w:color="auto" w:fill="auto"/>
            <w:vAlign w:val="center"/>
          </w:tcPr>
          <w:p>
            <w:pPr>
              <w:jc w:val="center"/>
              <w:rPr>
                <w:rFonts w:ascii="Arial" w:hAnsi="Arial" w:cs="Arial"/>
                <w:sz w:val="18"/>
                <w:szCs w:val="18"/>
              </w:rPr>
            </w:pPr>
            <w:r>
              <w:rPr>
                <w:rFonts w:ascii="Arial" w:hAnsi="Arial" w:cs="Arial"/>
                <w:sz w:val="18"/>
                <w:szCs w:val="18"/>
              </w:rPr>
              <w:t>上海良晓信息科技有限公司</w:t>
            </w:r>
          </w:p>
        </w:tc>
        <w:tc>
          <w:tcPr>
            <w:tcW w:w="1704" w:type="dxa"/>
            <w:shd w:val="clear" w:color="auto" w:fill="auto"/>
            <w:vAlign w:val="center"/>
          </w:tcPr>
          <w:p>
            <w:pPr>
              <w:jc w:val="center"/>
              <w:rPr>
                <w:rFonts w:ascii="Arial" w:hAnsi="Arial" w:cs="Arial"/>
                <w:sz w:val="18"/>
                <w:szCs w:val="18"/>
              </w:rPr>
            </w:pPr>
            <w:r>
              <w:rPr>
                <w:rFonts w:ascii="Arial" w:hAnsi="Arial" w:cs="Arial"/>
                <w:sz w:val="18"/>
                <w:szCs w:val="18"/>
              </w:rPr>
              <w:t>合作意向书</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对于项目公司展示厅一体化设计入围单位中，和上海良晓信息科技有限公司约定合作意向方案制作费</w:t>
            </w:r>
          </w:p>
        </w:tc>
        <w:tc>
          <w:tcPr>
            <w:tcW w:w="1353"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sz w:val="18"/>
                <w:szCs w:val="18"/>
              </w:rPr>
            </w:pPr>
            <w:r>
              <w:rPr>
                <w:rFonts w:ascii="Arial" w:hAnsi="Arial" w:cs="Arial"/>
                <w:sz w:val="18"/>
                <w:szCs w:val="18"/>
              </w:rPr>
              <w:t>2020-08-18</w:t>
            </w:r>
          </w:p>
        </w:tc>
        <w:tc>
          <w:tcPr>
            <w:tcW w:w="177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福州市自来水有限公司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用户安装工程施工合同书</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云洲郡基建用水给水管道工程</w:t>
            </w:r>
          </w:p>
        </w:tc>
        <w:tc>
          <w:tcPr>
            <w:tcW w:w="1353"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130,292.00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sz w:val="18"/>
                <w:szCs w:val="18"/>
              </w:rPr>
            </w:pPr>
            <w:r>
              <w:rPr>
                <w:rFonts w:ascii="Arial" w:hAnsi="Arial" w:cs="Arial"/>
                <w:sz w:val="18"/>
                <w:szCs w:val="18"/>
              </w:rPr>
              <w:t>2020-08-18</w:t>
            </w:r>
          </w:p>
        </w:tc>
        <w:tc>
          <w:tcPr>
            <w:tcW w:w="177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福州城建设计研究院有限公司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设计合同书</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对云洲郡基建用水给水管道工程DN100~DN200长约42米进行设计</w:t>
            </w:r>
          </w:p>
        </w:tc>
        <w:tc>
          <w:tcPr>
            <w:tcW w:w="1353"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sz w:val="18"/>
                <w:szCs w:val="18"/>
              </w:rPr>
            </w:pPr>
            <w:r>
              <w:rPr>
                <w:rFonts w:ascii="Arial" w:hAnsi="Arial" w:cs="Arial"/>
                <w:sz w:val="18"/>
                <w:szCs w:val="18"/>
              </w:rPr>
              <w:t>2020-08-24</w:t>
            </w:r>
          </w:p>
        </w:tc>
        <w:tc>
          <w:tcPr>
            <w:tcW w:w="177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杭州捷群广告有限公司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螺洲TOD项目2020年度广告服务合同</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委托杭州捷群广告有限公司负责螺洲TOD项目2020年度广告服务</w:t>
            </w:r>
          </w:p>
        </w:tc>
        <w:tc>
          <w:tcPr>
            <w:tcW w:w="1353"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550,000.00</w:t>
            </w:r>
          </w:p>
        </w:tc>
      </w:tr>
    </w:tbl>
    <w:p>
      <w:pPr>
        <w:pStyle w:val="3"/>
        <w:keepNext w:val="0"/>
        <w:keepLines w:val="0"/>
        <w:spacing w:before="300" w:after="300" w:line="360" w:lineRule="exact"/>
        <w:jc w:val="left"/>
        <w:rPr>
          <w:rFonts w:eastAsia="宋体" w:cs="Arial"/>
          <w:sz w:val="24"/>
        </w:rPr>
      </w:pPr>
      <w:bookmarkStart w:id="240" w:name="_Toc7756"/>
      <w:bookmarkStart w:id="241" w:name="_Toc4356"/>
      <w:bookmarkStart w:id="242" w:name="_Toc28483"/>
      <w:bookmarkStart w:id="243" w:name="_Toc32286"/>
      <w:bookmarkStart w:id="244" w:name="_Toc7407"/>
      <w:bookmarkStart w:id="245" w:name="_Toc10219"/>
      <w:bookmarkStart w:id="246" w:name="_Toc799"/>
      <w:bookmarkStart w:id="247" w:name="_Toc10873"/>
      <w:bookmarkStart w:id="248" w:name="_Toc3819"/>
      <w:bookmarkStart w:id="249" w:name="_Toc9630"/>
      <w:bookmarkStart w:id="250" w:name="_Toc4141"/>
      <w:bookmarkStart w:id="251" w:name="_Toc30738"/>
      <w:bookmarkStart w:id="252" w:name="_Toc4122"/>
      <w:r>
        <w:rPr>
          <w:rFonts w:hint="eastAsia" w:eastAsia="宋体" w:cs="Arial"/>
          <w:sz w:val="24"/>
        </w:rPr>
        <w:t>5</w:t>
      </w:r>
      <w:r>
        <w:rPr>
          <w:rFonts w:eastAsia="宋体" w:cs="Arial"/>
          <w:sz w:val="24"/>
        </w:rPr>
        <w:t>.</w:t>
      </w:r>
      <w:r>
        <w:rPr>
          <w:rFonts w:hint="eastAsia" w:eastAsia="宋体" w:cs="Arial"/>
          <w:sz w:val="24"/>
        </w:rPr>
        <w:t>2</w:t>
      </w:r>
      <w:r>
        <w:rPr>
          <w:rFonts w:hint="eastAsia" w:eastAsia="宋体" w:cs="Arial"/>
          <w:sz w:val="24"/>
          <w:lang w:eastAsia="zh-CN"/>
        </w:rPr>
        <w:t>项目</w:t>
      </w:r>
      <w:r>
        <w:rPr>
          <w:rFonts w:hint="eastAsia" w:eastAsia="宋体" w:cs="Arial"/>
          <w:sz w:val="24"/>
        </w:rPr>
        <w:t>合同支付</w:t>
      </w:r>
      <w:r>
        <w:rPr>
          <w:rFonts w:eastAsia="宋体" w:cs="Arial"/>
          <w:sz w:val="24"/>
        </w:rPr>
        <w:t>情况</w:t>
      </w:r>
      <w:bookmarkEnd w:id="240"/>
      <w:bookmarkEnd w:id="241"/>
      <w:bookmarkEnd w:id="242"/>
      <w:bookmarkEnd w:id="243"/>
      <w:bookmarkEnd w:id="244"/>
      <w:bookmarkEnd w:id="245"/>
      <w:bookmarkEnd w:id="246"/>
      <w:bookmarkEnd w:id="247"/>
      <w:bookmarkEnd w:id="248"/>
      <w:bookmarkEnd w:id="249"/>
      <w:bookmarkEnd w:id="250"/>
      <w:bookmarkEnd w:id="251"/>
      <w:bookmarkEnd w:id="252"/>
    </w:p>
    <w:p>
      <w:pPr>
        <w:spacing w:line="480" w:lineRule="auto"/>
        <w:ind w:firstLine="420" w:firstLineChars="200"/>
        <w:rPr>
          <w:rFonts w:hint="eastAsia" w:ascii="Arial" w:hAnsi="Arial" w:cs="Arial"/>
          <w:szCs w:val="21"/>
        </w:rPr>
      </w:pPr>
      <w:r>
        <w:rPr>
          <w:rFonts w:hint="eastAsia" w:ascii="Arial" w:hAnsi="Arial" w:cs="Arial"/>
          <w:szCs w:val="21"/>
          <w:lang w:eastAsia="zh-CN"/>
        </w:rPr>
        <w:t>依据项目公司提供的合同台账，</w:t>
      </w:r>
      <w:r>
        <w:rPr>
          <w:rFonts w:hint="eastAsia" w:ascii="Arial" w:hAnsi="Arial" w:cs="Arial"/>
          <w:szCs w:val="21"/>
        </w:rPr>
        <w:t>截至2020年8月31日，项目公司</w:t>
      </w:r>
      <w:r>
        <w:rPr>
          <w:rFonts w:hint="eastAsia" w:ascii="Arial" w:hAnsi="Arial" w:cs="Arial"/>
          <w:szCs w:val="21"/>
          <w:lang w:eastAsia="zh-CN"/>
        </w:rPr>
        <w:t>共签订合同（含补充协议）</w:t>
      </w:r>
      <w:r>
        <w:rPr>
          <w:rFonts w:hint="eastAsia" w:ascii="Arial" w:hAnsi="Arial" w:cs="Arial"/>
          <w:szCs w:val="21"/>
          <w:lang w:val="en-US" w:eastAsia="zh-CN"/>
        </w:rPr>
        <w:t>6份，合同</w:t>
      </w:r>
      <w:r>
        <w:rPr>
          <w:rFonts w:hint="eastAsia" w:ascii="Arial" w:hAnsi="Arial" w:cs="Arial"/>
          <w:szCs w:val="21"/>
        </w:rPr>
        <w:t>金额</w:t>
      </w:r>
      <w:r>
        <w:rPr>
          <w:rFonts w:hint="eastAsia" w:ascii="Arial" w:hAnsi="Arial" w:cs="Arial"/>
          <w:szCs w:val="21"/>
          <w:lang w:eastAsia="zh-CN"/>
        </w:rPr>
        <w:t>共计</w:t>
      </w:r>
      <w:r>
        <w:rPr>
          <w:rFonts w:hint="eastAsia" w:ascii="Arial" w:hAnsi="Arial" w:cs="Arial"/>
          <w:szCs w:val="21"/>
          <w:lang w:val="en-US" w:eastAsia="zh-CN"/>
        </w:rPr>
        <w:t>2,963,314,321.00</w:t>
      </w:r>
      <w:r>
        <w:rPr>
          <w:rFonts w:hint="eastAsia" w:ascii="Arial" w:hAnsi="Arial" w:cs="Arial"/>
          <w:szCs w:val="21"/>
        </w:rPr>
        <w:t>元，</w:t>
      </w:r>
      <w:r>
        <w:rPr>
          <w:rFonts w:hint="eastAsia" w:ascii="Arial" w:hAnsi="Arial" w:cs="Arial"/>
          <w:szCs w:val="21"/>
          <w:lang w:eastAsia="zh-CN"/>
        </w:rPr>
        <w:t>依据合同支付</w:t>
      </w:r>
      <w:r>
        <w:rPr>
          <w:rFonts w:hint="eastAsia" w:ascii="Arial" w:hAnsi="Arial" w:cs="Arial"/>
          <w:szCs w:val="21"/>
          <w:lang w:val="en-US" w:eastAsia="zh-CN"/>
        </w:rPr>
        <w:t>1,480,714,321.00元，</w:t>
      </w:r>
      <w:r>
        <w:rPr>
          <w:rFonts w:hint="eastAsia" w:ascii="Arial" w:hAnsi="Arial" w:cs="Arial"/>
          <w:szCs w:val="21"/>
        </w:rPr>
        <w:t>其中2020年8月支</w:t>
      </w:r>
      <w:r>
        <w:rPr>
          <w:rFonts w:ascii="Arial" w:hAnsi="Arial" w:cs="Arial"/>
          <w:szCs w:val="21"/>
        </w:rPr>
        <w:t>付</w:t>
      </w:r>
      <w:r>
        <w:rPr>
          <w:rFonts w:hint="eastAsia" w:ascii="Arial" w:hAnsi="Arial" w:cs="Arial"/>
          <w:szCs w:val="21"/>
        </w:rPr>
        <w:t>134,321.00元，待支付合同金额</w:t>
      </w:r>
      <w:r>
        <w:rPr>
          <w:rFonts w:hint="eastAsia" w:ascii="Arial" w:hAnsi="Arial" w:cs="Arial"/>
          <w:szCs w:val="21"/>
          <w:lang w:val="en-US" w:eastAsia="zh-CN"/>
        </w:rPr>
        <w:t>1,482,600,000.00</w:t>
      </w:r>
      <w:r>
        <w:rPr>
          <w:rFonts w:hint="eastAsia" w:ascii="Arial" w:hAnsi="Arial" w:cs="Arial"/>
          <w:szCs w:val="21"/>
        </w:rPr>
        <w:t xml:space="preserve"> 元，合同支付情况详见下表：</w:t>
      </w:r>
    </w:p>
    <w:p>
      <w:pPr>
        <w:spacing w:line="480" w:lineRule="auto"/>
        <w:ind w:firstLine="420" w:firstLineChars="200"/>
        <w:rPr>
          <w:rFonts w:hint="eastAsia" w:ascii="Arial" w:hAnsi="Arial" w:cs="Arial"/>
          <w:szCs w:val="21"/>
        </w:rPr>
        <w:sectPr>
          <w:footerReference r:id="rId8" w:type="default"/>
          <w:pgSz w:w="11906" w:h="16838"/>
          <w:pgMar w:top="1843" w:right="1134" w:bottom="1134" w:left="1134" w:header="851" w:footer="992" w:gutter="340"/>
          <w:pgNumType w:start="1"/>
          <w:cols w:space="0" w:num="1"/>
          <w:docGrid w:linePitch="312" w:charSpace="0"/>
        </w:sectPr>
      </w:pPr>
    </w:p>
    <w:p>
      <w:pPr>
        <w:spacing w:line="480" w:lineRule="auto"/>
        <w:ind w:firstLine="420" w:firstLineChars="200"/>
        <w:rPr>
          <w:rFonts w:hint="eastAsia" w:ascii="Arial" w:hAnsi="Arial" w:cs="Arial"/>
          <w:szCs w:val="21"/>
        </w:rPr>
      </w:pPr>
    </w:p>
    <w:tbl>
      <w:tblPr>
        <w:tblStyle w:val="18"/>
        <w:tblW w:w="13534" w:type="dxa"/>
        <w:jc w:val="center"/>
        <w:shd w:val="clear" w:color="auto" w:fill="auto"/>
        <w:tblLayout w:type="fixed"/>
        <w:tblCellMar>
          <w:top w:w="0" w:type="dxa"/>
          <w:left w:w="0" w:type="dxa"/>
          <w:bottom w:w="0" w:type="dxa"/>
          <w:right w:w="0" w:type="dxa"/>
        </w:tblCellMar>
      </w:tblPr>
      <w:tblGrid>
        <w:gridCol w:w="982"/>
        <w:gridCol w:w="1421"/>
        <w:gridCol w:w="913"/>
        <w:gridCol w:w="2778"/>
        <w:gridCol w:w="2568"/>
        <w:gridCol w:w="1596"/>
        <w:gridCol w:w="1044"/>
        <w:gridCol w:w="1500"/>
        <w:gridCol w:w="732"/>
      </w:tblGrid>
      <w:tr>
        <w:tblPrEx>
          <w:shd w:val="clear" w:color="auto" w:fill="auto"/>
          <w:tblCellMar>
            <w:top w:w="0" w:type="dxa"/>
            <w:left w:w="0" w:type="dxa"/>
            <w:bottom w:w="0" w:type="dxa"/>
            <w:right w:w="0" w:type="dxa"/>
          </w:tblCellMar>
        </w:tblPrEx>
        <w:trPr>
          <w:trHeight w:val="306" w:hRule="atLeast"/>
          <w:jc w:val="center"/>
        </w:trPr>
        <w:tc>
          <w:tcPr>
            <w:tcW w:w="98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合同类型</w:t>
            </w:r>
          </w:p>
        </w:tc>
        <w:tc>
          <w:tcPr>
            <w:tcW w:w="1421"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合同编号</w:t>
            </w:r>
          </w:p>
        </w:tc>
        <w:tc>
          <w:tcPr>
            <w:tcW w:w="91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签订时间</w:t>
            </w:r>
          </w:p>
        </w:tc>
        <w:tc>
          <w:tcPr>
            <w:tcW w:w="277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对方单位</w:t>
            </w:r>
          </w:p>
        </w:tc>
        <w:tc>
          <w:tcPr>
            <w:tcW w:w="256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合同名称</w:t>
            </w:r>
          </w:p>
        </w:tc>
        <w:tc>
          <w:tcPr>
            <w:tcW w:w="159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合同金额</w:t>
            </w:r>
          </w:p>
        </w:tc>
        <w:tc>
          <w:tcPr>
            <w:tcW w:w="3276"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付款情况</w:t>
            </w:r>
          </w:p>
        </w:tc>
      </w:tr>
      <w:tr>
        <w:tblPrEx>
          <w:tblCellMar>
            <w:top w:w="0" w:type="dxa"/>
            <w:left w:w="0" w:type="dxa"/>
            <w:bottom w:w="0" w:type="dxa"/>
            <w:right w:w="0" w:type="dxa"/>
          </w:tblCellMar>
        </w:tblPrEx>
        <w:trPr>
          <w:trHeight w:val="306" w:hRule="atLeast"/>
          <w:jc w:val="center"/>
        </w:trPr>
        <w:tc>
          <w:tcPr>
            <w:tcW w:w="982"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421"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91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77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56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（元）</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本期支付（元）</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累计支付（元）</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累计支付比例</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土地合同</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350100202002270P019补1号—2020</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3</w:t>
            </w:r>
            <w:r>
              <w:rPr>
                <w:rFonts w:hint="default" w:ascii="Arial" w:hAnsi="Arial" w:eastAsia="宋体" w:cs="Arial"/>
                <w:i w:val="0"/>
                <w:color w:val="000000"/>
                <w:kern w:val="0"/>
                <w:sz w:val="18"/>
                <w:szCs w:val="18"/>
                <w:u w:val="none"/>
                <w:lang w:val="en-US" w:eastAsia="zh-CN" w:bidi="ar"/>
              </w:rPr>
              <w:t>/30</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福州市自然资源和规划局、福州首开福泰投资有限公司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国有建设用地使用权出让合同补充合同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2,959,0</w:t>
            </w:r>
            <w:r>
              <w:rPr>
                <w:rFonts w:hint="default" w:ascii="Arial" w:hAnsi="Arial" w:cs="Arial"/>
                <w:i w:val="0"/>
                <w:color w:val="000000"/>
                <w:kern w:val="0"/>
                <w:sz w:val="18"/>
                <w:szCs w:val="18"/>
                <w:u w:val="none"/>
                <w:lang w:val="en-US" w:eastAsia="zh-CN" w:bidi="ar"/>
              </w:rPr>
              <w:t>00,000.00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1,479,5</w:t>
            </w:r>
            <w:r>
              <w:rPr>
                <w:rFonts w:hint="default" w:ascii="Arial" w:hAnsi="Arial" w:cs="Arial"/>
                <w:i w:val="0"/>
                <w:color w:val="000000"/>
                <w:kern w:val="0"/>
                <w:sz w:val="18"/>
                <w:szCs w:val="18"/>
                <w:u w:val="none"/>
                <w:lang w:val="en-US" w:eastAsia="zh-CN" w:bidi="ar"/>
              </w:rPr>
              <w:t>00,000.00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50%</w:t>
            </w:r>
          </w:p>
        </w:tc>
      </w:tr>
      <w:tr>
        <w:tblPrEx>
          <w:tblCellMar>
            <w:top w:w="0" w:type="dxa"/>
            <w:left w:w="0" w:type="dxa"/>
            <w:bottom w:w="0" w:type="dxa"/>
            <w:right w:w="0" w:type="dxa"/>
          </w:tblCellMar>
        </w:tblPrEx>
        <w:trPr>
          <w:trHeight w:val="306"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eastAsia" w:ascii="Arial" w:hAnsi="Arial" w:cs="Arial"/>
                <w:b/>
                <w:bCs/>
                <w:i w:val="0"/>
                <w:color w:val="000000"/>
                <w:kern w:val="0"/>
                <w:sz w:val="18"/>
                <w:szCs w:val="18"/>
                <w:u w:val="none"/>
                <w:lang w:val="en-US" w:eastAsia="zh-CN" w:bidi="ar"/>
              </w:rPr>
              <w:t>土地合同合计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default" w:ascii="Arial" w:hAnsi="Arial" w:cs="Arial"/>
                <w:b/>
                <w:bCs/>
                <w:i w:val="0"/>
                <w:color w:val="000000"/>
                <w:kern w:val="0"/>
                <w:sz w:val="18"/>
                <w:szCs w:val="18"/>
                <w:u w:val="none"/>
                <w:lang w:val="en-US" w:eastAsia="zh-CN" w:bidi="ar"/>
              </w:rPr>
              <w:t>2,959,000,000.00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default" w:ascii="Arial" w:hAnsi="Arial" w:cs="Arial"/>
                <w:b/>
                <w:bCs/>
                <w:i w:val="0"/>
                <w:color w:val="000000"/>
                <w:kern w:val="0"/>
                <w:sz w:val="18"/>
                <w:szCs w:val="18"/>
                <w:u w:val="none"/>
                <w:lang w:val="en-US" w:eastAsia="zh-CN" w:bidi="ar"/>
              </w:rPr>
              <w:t>1,479,500,000.00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default" w:ascii="Arial" w:hAnsi="Arial" w:cs="Arial"/>
                <w:b/>
                <w:bCs/>
                <w:i w:val="0"/>
                <w:color w:val="000000"/>
                <w:kern w:val="0"/>
                <w:sz w:val="18"/>
                <w:szCs w:val="18"/>
                <w:u w:val="none"/>
                <w:lang w:val="en-US" w:eastAsia="zh-CN" w:bidi="ar"/>
              </w:rPr>
              <w:t>50%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2020/6/30</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广州地铁设计研究院股份有限公司、北京国科天创建筑设计院有限责任公司江西分公司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仓山宗地2020-08号地块上盖开发及白地基坑开挖对螺洲车辆段影响的安全评估技术咨询合同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3,600,000.00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1,080,000.00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FCCDRI-SF-XQ-202007-250</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2020/7/14</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福州城建设计研究院有限公司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设计合同书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4,029.00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4,029.00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4,029.00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sz w:val="18"/>
                <w:szCs w:val="18"/>
                <w:u w:val="none"/>
              </w:rPr>
              <w:t>2020062452002</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2020/8/3</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福州市自来水有限公司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用户安装工程施工合同书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130,292.00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130,292.00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130,292.00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trHeight w:val="306"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前期类合同</w:t>
            </w:r>
            <w:r>
              <w:rPr>
                <w:rFonts w:hint="eastAsia" w:ascii="Arial" w:hAnsi="Arial" w:cs="Arial"/>
                <w:b/>
                <w:bCs/>
                <w:i w:val="0"/>
                <w:color w:val="000000"/>
                <w:kern w:val="0"/>
                <w:sz w:val="18"/>
                <w:szCs w:val="18"/>
                <w:u w:val="none"/>
                <w:lang w:val="en-US" w:eastAsia="zh-CN" w:bidi="ar"/>
              </w:rPr>
              <w:t>合</w:t>
            </w:r>
            <w:r>
              <w:rPr>
                <w:rFonts w:hint="default" w:ascii="Arial" w:hAnsi="Arial" w:eastAsia="宋体" w:cs="Arial"/>
                <w:b/>
                <w:bCs/>
                <w:i w:val="0"/>
                <w:color w:val="000000"/>
                <w:kern w:val="0"/>
                <w:sz w:val="18"/>
                <w:szCs w:val="18"/>
                <w:u w:val="none"/>
                <w:lang w:val="en-US" w:eastAsia="zh-CN" w:bidi="ar"/>
              </w:rPr>
              <w:t>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3,734,321.00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134,321.00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1,214,321.00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32.52%</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2020/7/27</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杭州捷群广告有限公司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螺洲TOD</w:t>
            </w:r>
            <w:r>
              <w:rPr>
                <w:rStyle w:val="44"/>
                <w:rFonts w:hint="default" w:ascii="Arial" w:hAnsi="Arial" w:cs="Arial"/>
                <w:lang w:val="en-US" w:eastAsia="zh-CN" w:bidi="ar"/>
              </w:rPr>
              <w:t>项目</w:t>
            </w:r>
            <w:r>
              <w:rPr>
                <w:rStyle w:val="45"/>
                <w:rFonts w:eastAsia="宋体"/>
                <w:lang w:val="en-US" w:eastAsia="zh-CN" w:bidi="ar"/>
              </w:rPr>
              <w:t>2020</w:t>
            </w:r>
            <w:r>
              <w:rPr>
                <w:rStyle w:val="44"/>
                <w:rFonts w:hint="default" w:ascii="Arial" w:hAnsi="Arial" w:cs="Arial"/>
                <w:lang w:val="en-US" w:eastAsia="zh-CN" w:bidi="ar"/>
              </w:rPr>
              <w:t>年度广告服务合同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550,000.00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2020/8/10</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上海良晓信息科技有限公司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合作意向书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30,000.00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r>
      <w:tr>
        <w:tblPrEx>
          <w:tblCellMar>
            <w:top w:w="0" w:type="dxa"/>
            <w:left w:w="0" w:type="dxa"/>
            <w:bottom w:w="0" w:type="dxa"/>
            <w:right w:w="0" w:type="dxa"/>
          </w:tblCellMar>
        </w:tblPrEx>
        <w:trPr>
          <w:trHeight w:val="306"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营销类合同</w:t>
            </w:r>
            <w:r>
              <w:rPr>
                <w:rFonts w:hint="eastAsia" w:ascii="Arial" w:hAnsi="Arial" w:cs="Arial"/>
                <w:b/>
                <w:bCs/>
                <w:i w:val="0"/>
                <w:color w:val="000000"/>
                <w:kern w:val="0"/>
                <w:sz w:val="18"/>
                <w:szCs w:val="18"/>
                <w:u w:val="none"/>
                <w:lang w:val="en-US" w:eastAsia="zh-CN" w:bidi="ar"/>
              </w:rPr>
              <w:t>合</w:t>
            </w:r>
            <w:r>
              <w:rPr>
                <w:rFonts w:hint="default" w:ascii="Arial" w:hAnsi="Arial" w:eastAsia="宋体" w:cs="Arial"/>
                <w:b/>
                <w:bCs/>
                <w:i w:val="0"/>
                <w:color w:val="000000"/>
                <w:kern w:val="0"/>
                <w:sz w:val="18"/>
                <w:szCs w:val="18"/>
                <w:u w:val="none"/>
                <w:lang w:val="en-US" w:eastAsia="zh-CN" w:bidi="ar"/>
              </w:rPr>
              <w:t>计</w:t>
            </w:r>
          </w:p>
        </w:tc>
        <w:tc>
          <w:tcPr>
            <w:tcW w:w="159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580,000.00</w:t>
            </w:r>
          </w:p>
        </w:tc>
        <w:tc>
          <w:tcPr>
            <w:tcW w:w="1044"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r>
      <w:tr>
        <w:tblPrEx>
          <w:tblCellMar>
            <w:top w:w="0" w:type="dxa"/>
            <w:left w:w="0" w:type="dxa"/>
            <w:bottom w:w="0" w:type="dxa"/>
            <w:right w:w="0" w:type="dxa"/>
          </w:tblCellMar>
        </w:tblPrEx>
        <w:trPr>
          <w:trHeight w:val="306"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cs="Arial"/>
                <w:b/>
                <w:bCs/>
                <w:i w:val="0"/>
                <w:color w:val="000000"/>
                <w:kern w:val="0"/>
                <w:sz w:val="18"/>
                <w:szCs w:val="18"/>
                <w:u w:val="none"/>
                <w:lang w:val="en-US" w:eastAsia="zh-CN" w:bidi="ar"/>
              </w:rPr>
              <w:t>总计</w:t>
            </w:r>
          </w:p>
        </w:tc>
        <w:tc>
          <w:tcPr>
            <w:tcW w:w="1596"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2,963,314,321.00</w:t>
            </w:r>
          </w:p>
        </w:tc>
        <w:tc>
          <w:tcPr>
            <w:tcW w:w="1044"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134,321.00</w:t>
            </w:r>
          </w:p>
        </w:tc>
        <w:tc>
          <w:tcPr>
            <w:tcW w:w="1500"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1,</w:t>
            </w:r>
            <w:r>
              <w:rPr>
                <w:rFonts w:hint="eastAsia" w:ascii="Arial" w:hAnsi="Arial" w:cs="Arial"/>
                <w:b/>
                <w:bCs/>
                <w:i w:val="0"/>
                <w:color w:val="000000"/>
                <w:kern w:val="0"/>
                <w:sz w:val="18"/>
                <w:szCs w:val="18"/>
                <w:u w:val="none"/>
                <w:lang w:val="en-US" w:eastAsia="zh-CN" w:bidi="ar"/>
              </w:rPr>
              <w:t>480,7</w:t>
            </w:r>
            <w:r>
              <w:rPr>
                <w:rFonts w:hint="default" w:ascii="Arial" w:hAnsi="Arial" w:eastAsia="宋体" w:cs="Arial"/>
                <w:b/>
                <w:bCs/>
                <w:i w:val="0"/>
                <w:color w:val="000000"/>
                <w:kern w:val="0"/>
                <w:sz w:val="18"/>
                <w:szCs w:val="18"/>
                <w:u w:val="none"/>
                <w:lang w:val="en-US" w:eastAsia="zh-CN" w:bidi="ar"/>
              </w:rPr>
              <w:t>14,321.00</w:t>
            </w:r>
          </w:p>
        </w:tc>
        <w:tc>
          <w:tcPr>
            <w:tcW w:w="7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cs="Arial"/>
                <w:b/>
                <w:bCs/>
                <w:i w:val="0"/>
                <w:color w:val="000000"/>
                <w:kern w:val="0"/>
                <w:sz w:val="18"/>
                <w:szCs w:val="18"/>
                <w:u w:val="none"/>
                <w:lang w:val="en-US" w:eastAsia="zh-CN" w:bidi="ar"/>
              </w:rPr>
              <w:t>50%</w:t>
            </w:r>
          </w:p>
        </w:tc>
      </w:tr>
    </w:tbl>
    <w:p>
      <w:pPr>
        <w:spacing w:line="480" w:lineRule="auto"/>
        <w:ind w:firstLine="0" w:firstLineChars="0"/>
        <w:rPr>
          <w:rFonts w:hint="eastAsia" w:ascii="Arial" w:hAnsi="Arial" w:cs="Arial"/>
          <w:szCs w:val="21"/>
        </w:rPr>
        <w:sectPr>
          <w:pgSz w:w="16838" w:h="11905" w:orient="landscape"/>
          <w:pgMar w:top="1134" w:right="1843" w:bottom="1134" w:left="1134" w:header="851" w:footer="992" w:gutter="340"/>
          <w:cols w:space="0" w:num="1"/>
          <w:rtlGutter w:val="0"/>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53" w:name="_Toc373309851"/>
      <w:bookmarkStart w:id="254" w:name="_Toc532281663"/>
      <w:bookmarkStart w:id="255" w:name="_Toc411430359"/>
      <w:bookmarkStart w:id="256" w:name="_Toc12986"/>
      <w:bookmarkStart w:id="257" w:name="_Toc17836"/>
      <w:bookmarkStart w:id="258" w:name="_Toc19599"/>
      <w:bookmarkStart w:id="259" w:name="_Toc15439"/>
      <w:bookmarkStart w:id="260" w:name="_Toc23400"/>
      <w:bookmarkStart w:id="261" w:name="_Toc19240"/>
      <w:bookmarkStart w:id="262" w:name="_Toc3215"/>
      <w:bookmarkStart w:id="263" w:name="_Toc5971"/>
      <w:bookmarkStart w:id="264" w:name="_Toc15137"/>
      <w:bookmarkStart w:id="265" w:name="_Toc22501"/>
      <w:bookmarkStart w:id="266" w:name="_Toc535580097"/>
      <w:bookmarkStart w:id="267" w:name="_Toc11147"/>
      <w:bookmarkStart w:id="268" w:name="_Toc535508642"/>
      <w:bookmarkStart w:id="269" w:name="_Toc4153"/>
      <w:bookmarkStart w:id="270" w:name="_Toc24707"/>
      <w:bookmarkStart w:id="271" w:name="_Toc14038"/>
      <w:bookmarkStart w:id="272" w:name="_Toc535580029"/>
      <w:bookmarkStart w:id="273" w:name="_Toc23345"/>
      <w:bookmarkStart w:id="274" w:name="_Toc6474"/>
      <w:bookmarkStart w:id="275" w:name="_Toc45217880"/>
      <w:bookmarkStart w:id="276" w:name="_Toc18333"/>
      <w:bookmarkStart w:id="277" w:name="_Toc535570756"/>
      <w:bookmarkStart w:id="278" w:name="_Toc5206"/>
      <w:bookmarkStart w:id="279" w:name="_Toc30482"/>
      <w:bookmarkStart w:id="280" w:name="_Toc12454"/>
      <w:bookmarkStart w:id="281" w:name="_Toc12183"/>
      <w:r>
        <w:rPr>
          <w:rFonts w:ascii="Arial" w:hAnsi="Arial" w:cs="Arial"/>
          <w:color w:val="000000"/>
          <w:sz w:val="24"/>
          <w:szCs w:val="24"/>
        </w:rPr>
        <w:t>6资金</w:t>
      </w:r>
      <w:bookmarkEnd w:id="253"/>
      <w:bookmarkEnd w:id="254"/>
      <w:bookmarkEnd w:id="255"/>
      <w:r>
        <w:rPr>
          <w:rFonts w:ascii="Arial" w:hAnsi="Arial" w:cs="Arial"/>
          <w:color w:val="000000"/>
          <w:sz w:val="24"/>
          <w:szCs w:val="24"/>
        </w:rPr>
        <w:t>情况</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pPr>
        <w:pStyle w:val="3"/>
        <w:keepNext w:val="0"/>
        <w:keepLines w:val="0"/>
        <w:spacing w:before="300" w:after="300" w:line="360" w:lineRule="exact"/>
        <w:jc w:val="left"/>
        <w:rPr>
          <w:rFonts w:eastAsia="宋体" w:cs="Arial"/>
          <w:sz w:val="24"/>
        </w:rPr>
      </w:pPr>
      <w:bookmarkStart w:id="282" w:name="_Toc11232"/>
      <w:bookmarkStart w:id="283" w:name="_Toc10525"/>
      <w:bookmarkStart w:id="284" w:name="_Toc724"/>
      <w:bookmarkStart w:id="285" w:name="_Toc26270"/>
      <w:bookmarkStart w:id="286" w:name="_Toc13085"/>
      <w:bookmarkStart w:id="287" w:name="_Toc296"/>
      <w:bookmarkStart w:id="288" w:name="_Toc13970"/>
      <w:bookmarkStart w:id="289" w:name="_Toc4358"/>
      <w:bookmarkStart w:id="290" w:name="_Toc2689"/>
      <w:bookmarkStart w:id="291" w:name="_Toc535580030"/>
      <w:bookmarkStart w:id="292" w:name="_Toc535580098"/>
      <w:bookmarkStart w:id="293" w:name="_Toc16263"/>
      <w:bookmarkStart w:id="294" w:name="_Toc4446"/>
      <w:bookmarkStart w:id="295" w:name="_Toc535508643"/>
      <w:bookmarkStart w:id="296" w:name="_Toc9084"/>
      <w:bookmarkStart w:id="297" w:name="_Toc45217881"/>
      <w:bookmarkStart w:id="298" w:name="_Toc17229"/>
      <w:bookmarkStart w:id="299" w:name="_Toc15195"/>
      <w:bookmarkStart w:id="300" w:name="_Toc7253"/>
      <w:bookmarkStart w:id="301" w:name="_Toc5267"/>
      <w:bookmarkStart w:id="302" w:name="_Toc6281"/>
      <w:bookmarkStart w:id="303" w:name="_Toc31674"/>
      <w:bookmarkStart w:id="304" w:name="_Toc535570757"/>
      <w:bookmarkStart w:id="305" w:name="_Toc8487"/>
      <w:bookmarkStart w:id="306" w:name="_Toc19520"/>
      <w:bookmarkStart w:id="307" w:name="_Toc16788"/>
      <w:r>
        <w:rPr>
          <w:rFonts w:eastAsia="宋体" w:cs="Arial"/>
          <w:sz w:val="24"/>
        </w:rPr>
        <w:t>6.1资金流出情况</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pPr>
        <w:spacing w:line="480" w:lineRule="auto"/>
        <w:ind w:firstLine="420" w:firstLineChars="200"/>
        <w:rPr>
          <w:rFonts w:ascii="Arial" w:hAnsi="Arial" w:cs="Arial"/>
          <w:bCs/>
          <w:kern w:val="44"/>
          <w:szCs w:val="21"/>
        </w:rPr>
      </w:pPr>
      <w:r>
        <w:rPr>
          <w:rFonts w:ascii="Arial" w:hAnsi="Arial" w:cs="Arial"/>
          <w:bCs/>
          <w:kern w:val="44"/>
          <w:szCs w:val="21"/>
        </w:rPr>
        <w:t>2020年8月份，SPV公司计划支付56,000.00万元，实际支付565,98.46万元，</w:t>
      </w:r>
      <w:r>
        <w:rPr>
          <w:rFonts w:hint="eastAsia" w:ascii="Arial" w:hAnsi="Arial" w:cs="Arial"/>
          <w:bCs/>
          <w:kern w:val="44"/>
          <w:szCs w:val="21"/>
        </w:rPr>
        <w:t>资金计划执行情况见下表：</w:t>
      </w:r>
    </w:p>
    <w:tbl>
      <w:tblPr>
        <w:tblStyle w:val="18"/>
        <w:tblW w:w="9487" w:type="dxa"/>
        <w:jc w:val="center"/>
        <w:tblLayout w:type="fixed"/>
        <w:tblCellMar>
          <w:top w:w="0" w:type="dxa"/>
          <w:left w:w="108" w:type="dxa"/>
          <w:bottom w:w="0" w:type="dxa"/>
          <w:right w:w="108" w:type="dxa"/>
        </w:tblCellMar>
      </w:tblPr>
      <w:tblGrid>
        <w:gridCol w:w="1789"/>
        <w:gridCol w:w="1440"/>
        <w:gridCol w:w="1665"/>
        <w:gridCol w:w="1050"/>
        <w:gridCol w:w="3543"/>
      </w:tblGrid>
      <w:tr>
        <w:tblPrEx>
          <w:tblCellMar>
            <w:top w:w="0" w:type="dxa"/>
            <w:left w:w="108" w:type="dxa"/>
            <w:bottom w:w="0" w:type="dxa"/>
            <w:right w:w="108" w:type="dxa"/>
          </w:tblCellMar>
        </w:tblPrEx>
        <w:trPr>
          <w:cantSplit/>
          <w:trHeight w:val="573" w:hRule="atLeast"/>
          <w:tblHeader/>
          <w:jc w:val="center"/>
        </w:trPr>
        <w:tc>
          <w:tcPr>
            <w:tcW w:w="1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4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66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54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cantSplit/>
          <w:trHeight w:val="437"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其他净支出</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sz w:val="18"/>
                <w:szCs w:val="18"/>
                <w:highlight w:val="yellow"/>
              </w:rPr>
            </w:pPr>
            <w:r>
              <w:rPr>
                <w:rFonts w:ascii="Arial" w:hAnsi="Arial" w:cs="Arial"/>
                <w:color w:val="000000"/>
                <w:kern w:val="0"/>
                <w:sz w:val="18"/>
                <w:szCs w:val="18"/>
              </w:rPr>
              <w:t>56</w:t>
            </w:r>
            <w:r>
              <w:rPr>
                <w:rFonts w:hint="eastAsia" w:ascii="Arial" w:hAnsi="Arial" w:cs="Arial"/>
                <w:color w:val="000000"/>
                <w:kern w:val="0"/>
                <w:sz w:val="18"/>
                <w:szCs w:val="18"/>
                <w:lang w:val="en-US" w:eastAsia="zh-CN"/>
              </w:rPr>
              <w:t>0</w:t>
            </w:r>
            <w:r>
              <w:rPr>
                <w:rFonts w:ascii="Arial" w:hAnsi="Arial" w:cs="Arial"/>
                <w:color w:val="000000"/>
                <w:kern w:val="0"/>
                <w:sz w:val="18"/>
                <w:szCs w:val="18"/>
              </w:rPr>
              <w:t>.00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kern w:val="0"/>
                <w:sz w:val="18"/>
                <w:szCs w:val="18"/>
              </w:rPr>
              <w:t>56</w:t>
            </w:r>
            <w:r>
              <w:rPr>
                <w:rFonts w:hint="eastAsia" w:ascii="Arial" w:hAnsi="Arial" w:cs="Arial"/>
                <w:color w:val="000000"/>
                <w:kern w:val="0"/>
                <w:sz w:val="18"/>
                <w:szCs w:val="18"/>
                <w:lang w:val="en-US" w:eastAsia="zh-CN"/>
              </w:rPr>
              <w:t>6</w:t>
            </w:r>
            <w:r>
              <w:rPr>
                <w:rFonts w:ascii="Arial" w:hAnsi="Arial" w:cs="Arial"/>
                <w:color w:val="000000"/>
                <w:kern w:val="0"/>
                <w:sz w:val="18"/>
                <w:szCs w:val="18"/>
              </w:rPr>
              <w:t>.00</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sz w:val="18"/>
                <w:szCs w:val="18"/>
                <w:highlight w:val="none"/>
                <w:lang w:val="en-US" w:eastAsia="zh-CN"/>
              </w:rPr>
            </w:pPr>
            <w:r>
              <w:rPr>
                <w:rFonts w:hint="eastAsia" w:ascii="Arial" w:hAnsi="Arial" w:cs="Arial"/>
                <w:color w:val="000000"/>
                <w:sz w:val="18"/>
                <w:szCs w:val="18"/>
                <w:highlight w:val="none"/>
                <w:lang w:val="en-US" w:eastAsia="zh-CN"/>
              </w:rPr>
              <w:t>101.07%</w:t>
            </w:r>
          </w:p>
        </w:tc>
        <w:tc>
          <w:tcPr>
            <w:tcW w:w="3543" w:type="dxa"/>
            <w:tcBorders>
              <w:top w:val="nil"/>
              <w:left w:val="nil"/>
              <w:bottom w:val="single" w:color="auto" w:sz="4" w:space="0"/>
              <w:right w:val="single" w:color="auto" w:sz="4" w:space="0"/>
            </w:tcBorders>
            <w:shd w:val="clear" w:color="auto" w:fill="auto"/>
            <w:noWrap/>
            <w:vAlign w:val="center"/>
          </w:tcPr>
          <w:p>
            <w:pPr>
              <w:pStyle w:val="17"/>
              <w:ind w:firstLine="0" w:firstLineChars="0"/>
              <w:jc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支付给中航信托的信保基金</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区域公司内部往来</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sz w:val="18"/>
                <w:szCs w:val="18"/>
              </w:rPr>
            </w:pPr>
            <w:r>
              <w:rPr>
                <w:rFonts w:ascii="Arial" w:hAnsi="Arial" w:cs="Arial"/>
                <w:color w:val="000000"/>
                <w:kern w:val="0"/>
                <w:sz w:val="18"/>
                <w:szCs w:val="18"/>
              </w:rPr>
              <w:t>55,440.00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56,032.46</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highlight w:val="none"/>
              </w:rPr>
            </w:pPr>
            <w:r>
              <w:rPr>
                <w:rFonts w:hint="eastAsia" w:ascii="Arial" w:hAnsi="Arial" w:cs="Arial"/>
                <w:color w:val="000000"/>
                <w:sz w:val="18"/>
                <w:szCs w:val="18"/>
                <w:highlight w:val="none"/>
                <w:lang w:val="en-US" w:eastAsia="zh-CN"/>
              </w:rPr>
              <w:t>101.07%</w:t>
            </w:r>
          </w:p>
        </w:tc>
        <w:tc>
          <w:tcPr>
            <w:tcW w:w="3543"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根据债权债务协议规定偿还给福州衡越置业有限公司的款项</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b/>
                <w:bCs/>
                <w:sz w:val="18"/>
                <w:szCs w:val="18"/>
              </w:rPr>
              <w:t>合计</w:t>
            </w:r>
          </w:p>
        </w:tc>
        <w:tc>
          <w:tcPr>
            <w:tcW w:w="144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b/>
                <w:bCs/>
                <w:color w:val="000000"/>
                <w:kern w:val="0"/>
                <w:sz w:val="18"/>
                <w:szCs w:val="18"/>
              </w:rPr>
              <w:t>56,000.00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b/>
                <w:bCs/>
                <w:color w:val="000000"/>
                <w:kern w:val="0"/>
                <w:sz w:val="18"/>
                <w:szCs w:val="18"/>
              </w:rPr>
              <w:t>56</w:t>
            </w:r>
            <w:r>
              <w:rPr>
                <w:rFonts w:hint="eastAsia" w:ascii="Arial" w:hAnsi="Arial" w:cs="Arial"/>
                <w:b/>
                <w:bCs/>
                <w:color w:val="000000"/>
                <w:kern w:val="0"/>
                <w:sz w:val="18"/>
                <w:szCs w:val="18"/>
                <w:lang w:val="en-US" w:eastAsia="zh-CN"/>
              </w:rPr>
              <w:t>,</w:t>
            </w:r>
            <w:r>
              <w:rPr>
                <w:rFonts w:ascii="Arial" w:hAnsi="Arial" w:cs="Arial"/>
                <w:b/>
                <w:bCs/>
                <w:color w:val="000000"/>
                <w:kern w:val="0"/>
                <w:sz w:val="18"/>
                <w:szCs w:val="18"/>
              </w:rPr>
              <w:t>598.46</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highlight w:val="none"/>
              </w:rPr>
            </w:pPr>
            <w:r>
              <w:rPr>
                <w:rFonts w:hint="eastAsia" w:ascii="Arial" w:hAnsi="Arial" w:cs="Arial"/>
                <w:b/>
                <w:bCs/>
                <w:color w:val="000000"/>
                <w:sz w:val="18"/>
                <w:szCs w:val="18"/>
                <w:highlight w:val="none"/>
                <w:lang w:val="en-US" w:eastAsia="zh-CN"/>
              </w:rPr>
              <w:t>101.07%</w:t>
            </w:r>
          </w:p>
        </w:tc>
        <w:tc>
          <w:tcPr>
            <w:tcW w:w="3543" w:type="dxa"/>
            <w:tcBorders>
              <w:top w:val="nil"/>
              <w:left w:val="nil"/>
              <w:bottom w:val="single" w:color="auto" w:sz="4" w:space="0"/>
              <w:right w:val="single" w:color="auto" w:sz="4" w:space="0"/>
            </w:tcBorders>
            <w:shd w:val="clear" w:color="auto" w:fill="auto"/>
            <w:noWrap/>
            <w:vAlign w:val="center"/>
          </w:tcPr>
          <w:p>
            <w:pPr>
              <w:pStyle w:val="17"/>
              <w:ind w:firstLine="0" w:firstLineChars="0"/>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信托实际投资金额大于SPV公司计划收到资金，导致信保基金、归还借款金额同比增加。</w:t>
            </w:r>
          </w:p>
        </w:tc>
      </w:tr>
    </w:tbl>
    <w:p>
      <w:pPr>
        <w:spacing w:line="480" w:lineRule="auto"/>
        <w:rPr>
          <w:rFonts w:ascii="Arial" w:hAnsi="Arial" w:cs="Arial"/>
          <w:bCs/>
          <w:kern w:val="44"/>
          <w:sz w:val="18"/>
          <w:szCs w:val="18"/>
        </w:rPr>
      </w:pPr>
      <w:r>
        <w:rPr>
          <w:rFonts w:hint="eastAsia" w:ascii="Arial" w:hAnsi="Arial" w:cs="Arial"/>
          <w:sz w:val="18"/>
          <w:szCs w:val="18"/>
        </w:rPr>
        <w:t>注：</w:t>
      </w:r>
      <w:r>
        <w:rPr>
          <w:rFonts w:ascii="Arial" w:hAnsi="Arial" w:cs="Arial"/>
          <w:sz w:val="18"/>
          <w:szCs w:val="18"/>
        </w:rPr>
        <w:t>2020年8月</w:t>
      </w:r>
      <w:r>
        <w:rPr>
          <w:rFonts w:hint="eastAsia" w:ascii="Arial" w:hAnsi="Arial" w:cs="Arial"/>
          <w:sz w:val="18"/>
          <w:szCs w:val="18"/>
        </w:rPr>
        <w:t>另</w:t>
      </w:r>
      <w:r>
        <w:rPr>
          <w:rFonts w:ascii="Arial" w:hAnsi="Arial" w:cs="Arial"/>
          <w:sz w:val="18"/>
          <w:szCs w:val="18"/>
        </w:rPr>
        <w:t>发生银行扣手续费和服务费</w:t>
      </w:r>
      <w:r>
        <w:rPr>
          <w:rFonts w:hint="eastAsia" w:ascii="Arial" w:hAnsi="Arial" w:cs="Arial"/>
          <w:sz w:val="18"/>
          <w:szCs w:val="18"/>
        </w:rPr>
        <w:t>30</w:t>
      </w:r>
      <w:r>
        <w:rPr>
          <w:rFonts w:ascii="Arial" w:hAnsi="Arial" w:cs="Arial"/>
          <w:sz w:val="18"/>
          <w:szCs w:val="18"/>
        </w:rPr>
        <w:t>元</w:t>
      </w:r>
      <w:r>
        <w:rPr>
          <w:rFonts w:hint="eastAsia" w:ascii="Arial" w:hAnsi="Arial" w:cs="Arial"/>
          <w:sz w:val="18"/>
          <w:szCs w:val="18"/>
        </w:rPr>
        <w:t>，</w:t>
      </w:r>
      <w:r>
        <w:rPr>
          <w:rFonts w:ascii="Arial" w:hAnsi="Arial" w:cs="Arial"/>
          <w:sz w:val="18"/>
          <w:szCs w:val="18"/>
        </w:rPr>
        <w:t>在8月资金计划中未单独列示</w:t>
      </w:r>
      <w:r>
        <w:rPr>
          <w:rFonts w:hint="eastAsia" w:ascii="Arial" w:hAnsi="Arial" w:cs="Arial"/>
          <w:sz w:val="18"/>
          <w:szCs w:val="18"/>
        </w:rPr>
        <w:t>。</w:t>
      </w:r>
    </w:p>
    <w:p>
      <w:pPr>
        <w:spacing w:line="480" w:lineRule="auto"/>
        <w:ind w:firstLine="420" w:firstLineChars="200"/>
        <w:rPr>
          <w:rFonts w:ascii="Arial" w:hAnsi="Arial" w:cs="Arial"/>
          <w:bCs/>
          <w:kern w:val="44"/>
          <w:szCs w:val="21"/>
        </w:rPr>
      </w:pPr>
      <w:r>
        <w:rPr>
          <w:rFonts w:ascii="Arial" w:hAnsi="Arial" w:cs="Arial"/>
          <w:bCs/>
          <w:kern w:val="44"/>
          <w:szCs w:val="21"/>
        </w:rPr>
        <w:t>2020年8月份，</w:t>
      </w:r>
      <w:r>
        <w:rPr>
          <w:rFonts w:hint="eastAsia" w:ascii="Arial" w:hAnsi="Arial" w:cs="Arial"/>
          <w:bCs/>
          <w:kern w:val="44"/>
          <w:szCs w:val="21"/>
        </w:rPr>
        <w:t>项目</w:t>
      </w:r>
      <w:r>
        <w:rPr>
          <w:rFonts w:ascii="Arial" w:hAnsi="Arial" w:cs="Arial"/>
          <w:bCs/>
          <w:kern w:val="44"/>
          <w:szCs w:val="21"/>
        </w:rPr>
        <w:t>公司计划支付328.16万元，实际支付</w:t>
      </w:r>
      <w:r>
        <w:rPr>
          <w:rFonts w:hint="eastAsia" w:ascii="Arial" w:hAnsi="Arial" w:cs="Arial"/>
          <w:bCs/>
          <w:kern w:val="44"/>
          <w:szCs w:val="21"/>
          <w:lang w:val="en-US" w:eastAsia="zh-CN"/>
        </w:rPr>
        <w:t>144</w:t>
      </w:r>
      <w:r>
        <w:rPr>
          <w:rFonts w:hint="eastAsia" w:ascii="Arial" w:hAnsi="Arial" w:cs="Arial"/>
          <w:bCs/>
          <w:kern w:val="44"/>
          <w:szCs w:val="21"/>
        </w:rPr>
        <w:t>.</w:t>
      </w:r>
      <w:r>
        <w:rPr>
          <w:rFonts w:hint="eastAsia" w:ascii="Arial" w:hAnsi="Arial" w:cs="Arial"/>
          <w:bCs/>
          <w:kern w:val="44"/>
          <w:szCs w:val="21"/>
          <w:lang w:val="en-US" w:eastAsia="zh-CN"/>
        </w:rPr>
        <w:t>89</w:t>
      </w:r>
      <w:r>
        <w:rPr>
          <w:rFonts w:ascii="Arial" w:hAnsi="Arial" w:cs="Arial"/>
          <w:bCs/>
          <w:kern w:val="44"/>
          <w:szCs w:val="21"/>
        </w:rPr>
        <w:t xml:space="preserve"> 万元，</w:t>
      </w:r>
      <w:r>
        <w:rPr>
          <w:rFonts w:hint="eastAsia" w:ascii="Arial" w:hAnsi="Arial" w:cs="Arial"/>
          <w:bCs/>
          <w:kern w:val="44"/>
          <w:szCs w:val="21"/>
        </w:rPr>
        <w:t>资金计划执行情况见下表：</w:t>
      </w:r>
    </w:p>
    <w:tbl>
      <w:tblPr>
        <w:tblStyle w:val="18"/>
        <w:tblW w:w="9435" w:type="dxa"/>
        <w:jc w:val="center"/>
        <w:tblLayout w:type="fixed"/>
        <w:tblCellMar>
          <w:top w:w="0" w:type="dxa"/>
          <w:left w:w="108" w:type="dxa"/>
          <w:bottom w:w="0" w:type="dxa"/>
          <w:right w:w="108" w:type="dxa"/>
        </w:tblCellMar>
      </w:tblPr>
      <w:tblGrid>
        <w:gridCol w:w="1215"/>
        <w:gridCol w:w="1248"/>
        <w:gridCol w:w="1404"/>
        <w:gridCol w:w="1848"/>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2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40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8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 工程款支出 </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301.91 </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136</w:t>
            </w:r>
            <w:r>
              <w:rPr>
                <w:rFonts w:hint="eastAsia" w:ascii="Arial" w:hAnsi="Arial" w:cs="Arial"/>
                <w:color w:val="000000"/>
                <w:kern w:val="0"/>
                <w:sz w:val="18"/>
                <w:szCs w:val="18"/>
                <w:lang w:bidi="ar"/>
              </w:rPr>
              <w:t>.43</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45%</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资金计划包含设计费、搬迁工程款和临水合同的开口工程费，其中两笔设计费用均未发生，故实际付款金额少于计划付款金额</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 销售费用 </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15.00 </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0.00</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项目未开展销售活动，故2020年8月未产生销售费用</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 管理费用 </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11.25 </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8</w:t>
            </w:r>
            <w:r>
              <w:rPr>
                <w:rFonts w:hint="eastAsia" w:ascii="Arial" w:hAnsi="Arial" w:cs="Arial"/>
                <w:color w:val="000000"/>
                <w:kern w:val="0"/>
                <w:sz w:val="18"/>
                <w:szCs w:val="18"/>
                <w:lang w:bidi="ar"/>
              </w:rPr>
              <w:t>.</w:t>
            </w:r>
            <w:r>
              <w:rPr>
                <w:rFonts w:hint="eastAsia" w:ascii="Arial" w:hAnsi="Arial" w:cs="Arial"/>
                <w:color w:val="000000"/>
                <w:kern w:val="0"/>
                <w:sz w:val="18"/>
                <w:szCs w:val="18"/>
                <w:lang w:val="en-US" w:eastAsia="zh-CN" w:bidi="ar"/>
              </w:rPr>
              <w:t>4</w:t>
            </w:r>
            <w:r>
              <w:rPr>
                <w:rFonts w:hint="eastAsia" w:ascii="Arial" w:hAnsi="Arial" w:cs="Arial"/>
                <w:color w:val="000000"/>
                <w:kern w:val="0"/>
                <w:sz w:val="18"/>
                <w:szCs w:val="18"/>
                <w:lang w:bidi="ar"/>
              </w:rPr>
              <w:t>6</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75%</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资金计划中所列招待费未发生，故实际付款金额少于计划金额</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合计</w:t>
            </w:r>
          </w:p>
        </w:tc>
        <w:tc>
          <w:tcPr>
            <w:tcW w:w="124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hint="eastAsia" w:ascii="Arial" w:hAnsi="Arial" w:cs="Arial"/>
                <w:b/>
                <w:bCs/>
                <w:sz w:val="18"/>
                <w:szCs w:val="18"/>
              </w:rPr>
              <w:t>328.16</w:t>
            </w:r>
          </w:p>
        </w:tc>
        <w:tc>
          <w:tcPr>
            <w:tcW w:w="1404"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b/>
                <w:bCs/>
                <w:sz w:val="18"/>
                <w:szCs w:val="18"/>
                <w:lang w:val="en-US" w:eastAsia="zh-CN"/>
              </w:rPr>
            </w:pPr>
            <w:r>
              <w:rPr>
                <w:rFonts w:hint="eastAsia" w:ascii="Arial" w:hAnsi="Arial" w:cs="Arial"/>
                <w:b/>
                <w:bCs/>
                <w:sz w:val="18"/>
                <w:szCs w:val="18"/>
                <w:lang w:val="en-US" w:eastAsia="zh-CN"/>
              </w:rPr>
              <w:t>144</w:t>
            </w:r>
            <w:r>
              <w:rPr>
                <w:rFonts w:hint="eastAsia" w:ascii="Arial" w:hAnsi="Arial" w:cs="Arial"/>
                <w:b/>
                <w:bCs/>
                <w:sz w:val="18"/>
                <w:szCs w:val="18"/>
              </w:rPr>
              <w:t>.</w:t>
            </w:r>
            <w:r>
              <w:rPr>
                <w:rFonts w:hint="eastAsia" w:ascii="Arial" w:hAnsi="Arial" w:cs="Arial"/>
                <w:b/>
                <w:bCs/>
                <w:sz w:val="18"/>
                <w:szCs w:val="18"/>
                <w:lang w:val="en-US" w:eastAsia="zh-CN"/>
              </w:rPr>
              <w:t>89</w:t>
            </w:r>
          </w:p>
        </w:tc>
        <w:tc>
          <w:tcPr>
            <w:tcW w:w="1848"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b/>
                <w:bCs/>
                <w:sz w:val="18"/>
                <w:szCs w:val="18"/>
                <w:lang w:val="en-US" w:eastAsia="zh-CN"/>
              </w:rPr>
            </w:pPr>
            <w:r>
              <w:rPr>
                <w:rFonts w:hint="eastAsia" w:ascii="Arial" w:hAnsi="Arial" w:cs="Arial"/>
                <w:b/>
                <w:bCs/>
                <w:sz w:val="18"/>
                <w:szCs w:val="18"/>
                <w:lang w:val="en-US" w:eastAsia="zh-CN"/>
              </w:rPr>
              <w:t>44.15%</w:t>
            </w:r>
          </w:p>
        </w:tc>
        <w:tc>
          <w:tcPr>
            <w:tcW w:w="37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p>
        </w:tc>
      </w:tr>
    </w:tbl>
    <w:p>
      <w:pPr>
        <w:spacing w:line="480" w:lineRule="auto"/>
        <w:rPr>
          <w:rFonts w:ascii="Arial" w:hAnsi="Arial" w:cs="Arial"/>
          <w:sz w:val="18"/>
          <w:szCs w:val="18"/>
        </w:rPr>
      </w:pPr>
      <w:r>
        <w:rPr>
          <w:rFonts w:hint="eastAsia" w:ascii="Arial" w:hAnsi="Arial" w:cs="Arial"/>
          <w:sz w:val="18"/>
          <w:szCs w:val="18"/>
        </w:rPr>
        <w:t>注：</w:t>
      </w:r>
      <w:r>
        <w:rPr>
          <w:rFonts w:ascii="Arial" w:hAnsi="Arial" w:cs="Arial"/>
          <w:sz w:val="18"/>
          <w:szCs w:val="18"/>
        </w:rPr>
        <w:t>2020年8月</w:t>
      </w:r>
      <w:r>
        <w:rPr>
          <w:rFonts w:hint="eastAsia" w:ascii="Arial" w:hAnsi="Arial" w:cs="Arial"/>
          <w:sz w:val="18"/>
          <w:szCs w:val="18"/>
        </w:rPr>
        <w:t>另</w:t>
      </w:r>
      <w:r>
        <w:rPr>
          <w:rFonts w:ascii="Arial" w:hAnsi="Arial" w:cs="Arial"/>
          <w:sz w:val="18"/>
          <w:szCs w:val="18"/>
        </w:rPr>
        <w:t>发生银行扣手续费和服务费</w:t>
      </w:r>
      <w:r>
        <w:rPr>
          <w:rFonts w:hint="eastAsia" w:ascii="Arial" w:hAnsi="Arial" w:cs="Arial"/>
          <w:sz w:val="18"/>
          <w:szCs w:val="18"/>
        </w:rPr>
        <w:t>92.8</w:t>
      </w:r>
      <w:r>
        <w:rPr>
          <w:rFonts w:ascii="Arial" w:hAnsi="Arial" w:cs="Arial"/>
          <w:sz w:val="18"/>
          <w:szCs w:val="18"/>
        </w:rPr>
        <w:t>元</w:t>
      </w:r>
      <w:r>
        <w:rPr>
          <w:rFonts w:hint="eastAsia" w:ascii="Arial" w:hAnsi="Arial" w:cs="Arial"/>
          <w:sz w:val="18"/>
          <w:szCs w:val="18"/>
        </w:rPr>
        <w:t>，</w:t>
      </w:r>
      <w:r>
        <w:rPr>
          <w:rFonts w:ascii="Arial" w:hAnsi="Arial" w:cs="Arial"/>
          <w:sz w:val="18"/>
          <w:szCs w:val="18"/>
        </w:rPr>
        <w:t>在8月资金计划中未单独列示</w:t>
      </w:r>
      <w:r>
        <w:rPr>
          <w:rFonts w:hint="eastAsia" w:ascii="Arial" w:hAnsi="Arial" w:cs="Arial"/>
          <w:sz w:val="18"/>
          <w:szCs w:val="18"/>
        </w:rPr>
        <w:t>。</w:t>
      </w:r>
    </w:p>
    <w:p>
      <w:pPr>
        <w:spacing w:line="480" w:lineRule="auto"/>
        <w:ind w:firstLine="420" w:firstLineChars="200"/>
        <w:rPr>
          <w:rFonts w:hint="eastAsia" w:ascii="Arial" w:hAnsi="Arial" w:cs="Arial"/>
          <w:bCs/>
          <w:kern w:val="44"/>
          <w:szCs w:val="21"/>
          <w:lang w:eastAsia="zh-CN"/>
        </w:rPr>
      </w:pPr>
      <w:r>
        <w:rPr>
          <w:rFonts w:ascii="Arial" w:hAnsi="Arial" w:cs="Arial"/>
          <w:bCs/>
          <w:kern w:val="44"/>
          <w:szCs w:val="21"/>
        </w:rPr>
        <w:t>2020年8月份，SPV公司</w:t>
      </w:r>
      <w:r>
        <w:rPr>
          <w:rFonts w:hint="eastAsia" w:ascii="Arial" w:hAnsi="Arial" w:cs="Arial"/>
          <w:bCs/>
          <w:kern w:val="44"/>
          <w:szCs w:val="21"/>
          <w:lang w:eastAsia="zh-CN"/>
        </w:rPr>
        <w:t>及项目公司资金使用情况详见下表：</w:t>
      </w:r>
    </w:p>
    <w:p>
      <w:pPr>
        <w:spacing w:line="480" w:lineRule="auto"/>
        <w:ind w:firstLine="420" w:firstLineChars="200"/>
        <w:rPr>
          <w:rFonts w:hint="eastAsia" w:ascii="Arial" w:hAnsi="Arial" w:cs="Arial"/>
          <w:bCs/>
          <w:kern w:val="44"/>
          <w:szCs w:val="21"/>
        </w:rPr>
        <w:sectPr>
          <w:pgSz w:w="11905" w:h="16838"/>
          <w:pgMar w:top="1843" w:right="1134" w:bottom="1134" w:left="1134" w:header="851" w:footer="992" w:gutter="340"/>
          <w:cols w:space="0" w:num="1"/>
          <w:rtlGutter w:val="0"/>
          <w:docGrid w:linePitch="312" w:charSpace="0"/>
        </w:sectPr>
      </w:pPr>
      <w:r>
        <w:rPr>
          <w:rFonts w:hint="eastAsia" w:ascii="Arial" w:hAnsi="Arial" w:cs="Arial"/>
          <w:bCs/>
          <w:kern w:val="44"/>
          <w:szCs w:val="21"/>
        </w:rPr>
        <w:t>（转下页）</w:t>
      </w:r>
    </w:p>
    <w:p>
      <w:pPr>
        <w:spacing w:before="240" w:beforeLines="100"/>
        <w:jc w:val="center"/>
        <w:rPr>
          <w:rFonts w:ascii="Arial" w:hAnsi="Arial" w:cs="Arial"/>
          <w:b/>
          <w:color w:val="000000"/>
          <w:sz w:val="24"/>
          <w:szCs w:val="28"/>
        </w:rPr>
      </w:pPr>
      <w:bookmarkStart w:id="308" w:name="_Toc535570758"/>
      <w:bookmarkStart w:id="309" w:name="_Toc535508644"/>
      <w:bookmarkStart w:id="310" w:name="_Toc535580099"/>
      <w:bookmarkStart w:id="311" w:name="_Toc535580031"/>
      <w:r>
        <w:rPr>
          <w:rFonts w:ascii="Arial" w:hAnsi="Arial" w:cs="Arial"/>
          <w:b/>
          <w:color w:val="000000"/>
          <w:sz w:val="24"/>
          <w:szCs w:val="28"/>
        </w:rPr>
        <w:t>SPV公司资金流出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2502"/>
        <w:gridCol w:w="1980"/>
        <w:gridCol w:w="1620"/>
        <w:gridCol w:w="1170"/>
        <w:gridCol w:w="1590"/>
        <w:gridCol w:w="1230"/>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386"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502"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1980"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620"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170"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1590"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230"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2835"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rPr>
                <w:rFonts w:ascii="Arial" w:hAnsi="Arial" w:cs="Arial"/>
                <w:kern w:val="0"/>
                <w:sz w:val="18"/>
                <w:szCs w:val="18"/>
              </w:rPr>
            </w:pPr>
            <w:r>
              <w:rPr>
                <w:rFonts w:ascii="Arial" w:hAnsi="Arial" w:cs="Arial"/>
                <w:kern w:val="0"/>
                <w:sz w:val="18"/>
                <w:szCs w:val="18"/>
              </w:rPr>
              <w:t>1</w:t>
            </w:r>
          </w:p>
        </w:tc>
        <w:tc>
          <w:tcPr>
            <w:tcW w:w="2502"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中国建设银行</w:t>
            </w:r>
          </w:p>
        </w:tc>
        <w:tc>
          <w:tcPr>
            <w:tcW w:w="198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对公自助服务-自助设备使用费</w:t>
            </w:r>
          </w:p>
        </w:tc>
        <w:tc>
          <w:tcPr>
            <w:tcW w:w="162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30.00</w:t>
            </w:r>
          </w:p>
        </w:tc>
        <w:tc>
          <w:tcPr>
            <w:tcW w:w="117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2020-08-14</w:t>
            </w:r>
          </w:p>
        </w:tc>
        <w:tc>
          <w:tcPr>
            <w:tcW w:w="159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建设银行（1328）</w:t>
            </w:r>
          </w:p>
        </w:tc>
        <w:tc>
          <w:tcPr>
            <w:tcW w:w="12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283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rPr>
                <w:rFonts w:ascii="Arial" w:hAnsi="Arial" w:cs="Arial"/>
                <w:kern w:val="0"/>
                <w:sz w:val="18"/>
                <w:szCs w:val="18"/>
              </w:rPr>
            </w:pPr>
            <w:r>
              <w:rPr>
                <w:rFonts w:ascii="Arial" w:hAnsi="Arial" w:cs="Arial"/>
                <w:kern w:val="0"/>
                <w:sz w:val="18"/>
                <w:szCs w:val="18"/>
              </w:rPr>
              <w:t>2</w:t>
            </w:r>
          </w:p>
        </w:tc>
        <w:tc>
          <w:tcPr>
            <w:tcW w:w="2502"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福州衡越置业有限公司</w:t>
            </w:r>
          </w:p>
        </w:tc>
        <w:tc>
          <w:tcPr>
            <w:tcW w:w="198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62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494,524,600.00</w:t>
            </w:r>
          </w:p>
        </w:tc>
        <w:tc>
          <w:tcPr>
            <w:tcW w:w="1170"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2020-08-19</w:t>
            </w:r>
          </w:p>
        </w:tc>
        <w:tc>
          <w:tcPr>
            <w:tcW w:w="159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建设银行（1328）</w:t>
            </w:r>
          </w:p>
        </w:tc>
        <w:tc>
          <w:tcPr>
            <w:tcW w:w="12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283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rPr>
                <w:rFonts w:ascii="Arial" w:hAnsi="Arial" w:cs="Arial"/>
                <w:kern w:val="0"/>
                <w:sz w:val="18"/>
                <w:szCs w:val="18"/>
              </w:rPr>
            </w:pPr>
            <w:r>
              <w:rPr>
                <w:rFonts w:ascii="Arial" w:hAnsi="Arial" w:cs="Arial"/>
                <w:kern w:val="0"/>
                <w:sz w:val="18"/>
                <w:szCs w:val="18"/>
              </w:rPr>
              <w:t>3</w:t>
            </w:r>
          </w:p>
        </w:tc>
        <w:tc>
          <w:tcPr>
            <w:tcW w:w="250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中航信托股份有限公司</w:t>
            </w:r>
          </w:p>
        </w:tc>
        <w:tc>
          <w:tcPr>
            <w:tcW w:w="198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信保金</w:t>
            </w:r>
          </w:p>
        </w:tc>
        <w:tc>
          <w:tcPr>
            <w:tcW w:w="162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5,660,000.00</w:t>
            </w:r>
          </w:p>
        </w:tc>
        <w:tc>
          <w:tcPr>
            <w:tcW w:w="1170"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2020-08-19</w:t>
            </w:r>
          </w:p>
        </w:tc>
        <w:tc>
          <w:tcPr>
            <w:tcW w:w="159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12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283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rPr>
                <w:rFonts w:ascii="Arial" w:hAnsi="Arial" w:cs="Arial"/>
                <w:kern w:val="0"/>
                <w:sz w:val="18"/>
                <w:szCs w:val="18"/>
              </w:rPr>
            </w:pPr>
            <w:r>
              <w:rPr>
                <w:rFonts w:ascii="Arial" w:hAnsi="Arial" w:cs="Arial"/>
                <w:kern w:val="0"/>
                <w:sz w:val="18"/>
                <w:szCs w:val="18"/>
              </w:rPr>
              <w:t>4</w:t>
            </w:r>
          </w:p>
        </w:tc>
        <w:tc>
          <w:tcPr>
            <w:tcW w:w="2502"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福州衡越置业有限公司</w:t>
            </w:r>
          </w:p>
        </w:tc>
        <w:tc>
          <w:tcPr>
            <w:tcW w:w="198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62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65,800,000.00</w:t>
            </w:r>
          </w:p>
        </w:tc>
        <w:tc>
          <w:tcPr>
            <w:tcW w:w="1170"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2020-08-24</w:t>
            </w:r>
          </w:p>
        </w:tc>
        <w:tc>
          <w:tcPr>
            <w:tcW w:w="159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建设银行（1328）</w:t>
            </w:r>
          </w:p>
        </w:tc>
        <w:tc>
          <w:tcPr>
            <w:tcW w:w="12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283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68" w:type="dxa"/>
            <w:gridSpan w:val="3"/>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合计</w:t>
            </w:r>
          </w:p>
        </w:tc>
        <w:tc>
          <w:tcPr>
            <w:tcW w:w="8445" w:type="dxa"/>
            <w:gridSpan w:val="5"/>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 xml:space="preserve">565,984,630.00 </w:t>
            </w:r>
          </w:p>
        </w:tc>
      </w:tr>
    </w:tbl>
    <w:p>
      <w:pPr>
        <w:spacing w:before="240" w:beforeLines="100"/>
        <w:jc w:val="center"/>
        <w:rPr>
          <w:rFonts w:ascii="Arial" w:hAnsi="Arial" w:cs="Arial"/>
          <w:b/>
          <w:color w:val="000000"/>
          <w:sz w:val="24"/>
          <w:szCs w:val="28"/>
        </w:rPr>
      </w:pPr>
      <w:bookmarkStart w:id="312" w:name="_Toc45217882"/>
      <w:r>
        <w:rPr>
          <w:rFonts w:ascii="Arial" w:hAnsi="Arial" w:cs="Arial"/>
          <w:b/>
          <w:color w:val="000000"/>
          <w:sz w:val="24"/>
          <w:szCs w:val="28"/>
        </w:rPr>
        <w:t>项目公司资金流出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281"/>
        <w:gridCol w:w="2496"/>
        <w:gridCol w:w="1308"/>
        <w:gridCol w:w="1297"/>
        <w:gridCol w:w="2310"/>
        <w:gridCol w:w="133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01"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281"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496"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308"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297"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310"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35"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815"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w:t>
            </w:r>
          </w:p>
        </w:tc>
        <w:tc>
          <w:tcPr>
            <w:tcW w:w="2281"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中国建设银行</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对公自助服务-自助设备使用费</w:t>
            </w:r>
          </w:p>
        </w:tc>
        <w:tc>
          <w:tcPr>
            <w:tcW w:w="1308"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30.00</w:t>
            </w:r>
          </w:p>
        </w:tc>
        <w:tc>
          <w:tcPr>
            <w:tcW w:w="1297"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2020-08-14</w:t>
            </w:r>
          </w:p>
        </w:tc>
        <w:tc>
          <w:tcPr>
            <w:tcW w:w="231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交通费</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497.40</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2020-08-14</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福州台江区中科办公设备商行</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打印机押金</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2,000.00</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2020-08-14</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赵玲</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购置冰箱</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1,282.78</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2020-08-14</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福建省安德摩尔物业服务有限公司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物业费、水电公摊</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3,974.58</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2020-08-14</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w:t>
            </w:r>
          </w:p>
        </w:tc>
        <w:tc>
          <w:tcPr>
            <w:tcW w:w="2281"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福建榕桓建设有限公司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搬迁工程款</w:t>
            </w:r>
          </w:p>
        </w:tc>
        <w:tc>
          <w:tcPr>
            <w:tcW w:w="1308"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150,000.00</w:t>
            </w:r>
          </w:p>
        </w:tc>
        <w:tc>
          <w:tcPr>
            <w:tcW w:w="1297"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2020-08-17</w:t>
            </w:r>
          </w:p>
        </w:tc>
        <w:tc>
          <w:tcPr>
            <w:tcW w:w="231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吴凌悦</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差旅费</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294.00</w:t>
            </w:r>
          </w:p>
        </w:tc>
        <w:tc>
          <w:tcPr>
            <w:tcW w:w="1297"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2020-08-17</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8</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福建城建设计研究院有限公司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设计费</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4,029.00</w:t>
            </w:r>
          </w:p>
        </w:tc>
        <w:tc>
          <w:tcPr>
            <w:tcW w:w="1297"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2020-08-17</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9</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福州市水务工程有限责任公司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开口工程费</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130,292.00</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2020-08-17</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10</w:t>
            </w:r>
          </w:p>
        </w:tc>
        <w:tc>
          <w:tcPr>
            <w:tcW w:w="2281" w:type="dxa"/>
            <w:vAlign w:val="center"/>
          </w:tcPr>
          <w:p>
            <w:pPr>
              <w:widowControl/>
              <w:jc w:val="center"/>
              <w:rPr>
                <w:rFonts w:ascii="Arial" w:hAnsi="Arial" w:cs="Arial"/>
                <w:color w:val="000000"/>
                <w:kern w:val="0"/>
                <w:sz w:val="18"/>
                <w:szCs w:val="18"/>
                <w:lang w:bidi="ar"/>
              </w:rPr>
            </w:pPr>
            <w:r>
              <w:rPr>
                <w:rFonts w:ascii="Arial" w:hAnsi="Arial" w:cs="Arial"/>
                <w:sz w:val="18"/>
                <w:szCs w:val="18"/>
              </w:rPr>
              <w:t>福州电信</w:t>
            </w:r>
          </w:p>
        </w:tc>
        <w:tc>
          <w:tcPr>
            <w:tcW w:w="2496"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福州电信固定电话缴费过渡户</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w:t>
            </w:r>
          </w:p>
        </w:tc>
        <w:tc>
          <w:tcPr>
            <w:tcW w:w="1297"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2020-08-18</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管理</w:t>
            </w:r>
            <w:r>
              <w:rPr>
                <w:rFonts w:ascii="Arial" w:hAnsi="Arial" w:cs="Arial"/>
                <w:color w:val="000000"/>
                <w:kern w:val="0"/>
                <w:sz w:val="18"/>
                <w:szCs w:val="18"/>
                <w:lang w:bidi="ar"/>
              </w:rPr>
              <w:t>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11</w:t>
            </w:r>
          </w:p>
        </w:tc>
        <w:tc>
          <w:tcPr>
            <w:tcW w:w="2281"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中国建设银行</w:t>
            </w:r>
          </w:p>
        </w:tc>
        <w:tc>
          <w:tcPr>
            <w:tcW w:w="2496" w:type="dxa"/>
            <w:vAlign w:val="center"/>
          </w:tcPr>
          <w:p>
            <w:pPr>
              <w:widowControl/>
              <w:jc w:val="center"/>
              <w:rPr>
                <w:rFonts w:ascii="Arial" w:hAnsi="Arial" w:cs="Arial"/>
                <w:color w:val="000000"/>
                <w:kern w:val="0"/>
                <w:sz w:val="18"/>
                <w:szCs w:val="18"/>
                <w:lang w:bidi="ar"/>
              </w:rPr>
            </w:pPr>
            <w:r>
              <w:rPr>
                <w:rFonts w:ascii="Arial" w:hAnsi="Arial" w:cs="Arial"/>
                <w:sz w:val="18"/>
                <w:szCs w:val="18"/>
              </w:rPr>
              <w:t>对公资金划转本行异地</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20.00</w:t>
            </w:r>
          </w:p>
        </w:tc>
        <w:tc>
          <w:tcPr>
            <w:tcW w:w="1297"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2020-08-19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12</w:t>
            </w:r>
          </w:p>
        </w:tc>
        <w:tc>
          <w:tcPr>
            <w:tcW w:w="2281"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中国建设银行</w:t>
            </w:r>
          </w:p>
        </w:tc>
        <w:tc>
          <w:tcPr>
            <w:tcW w:w="2496" w:type="dxa"/>
            <w:vAlign w:val="center"/>
          </w:tcPr>
          <w:p>
            <w:pPr>
              <w:widowControl/>
              <w:jc w:val="center"/>
              <w:rPr>
                <w:rFonts w:ascii="Arial" w:hAnsi="Arial" w:cs="Arial"/>
                <w:color w:val="000000"/>
                <w:kern w:val="0"/>
                <w:sz w:val="18"/>
                <w:szCs w:val="18"/>
                <w:lang w:bidi="ar"/>
              </w:rPr>
            </w:pPr>
            <w:r>
              <w:rPr>
                <w:rFonts w:ascii="Arial" w:hAnsi="Arial" w:cs="Arial"/>
                <w:sz w:val="18"/>
                <w:szCs w:val="18"/>
              </w:rPr>
              <w:t>对公资金划转本行异地</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43.00</w:t>
            </w:r>
          </w:p>
        </w:tc>
        <w:tc>
          <w:tcPr>
            <w:tcW w:w="1297"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2020-08-19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13</w:t>
            </w:r>
          </w:p>
        </w:tc>
        <w:tc>
          <w:tcPr>
            <w:tcW w:w="2281"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中国建设银行</w:t>
            </w:r>
          </w:p>
        </w:tc>
        <w:tc>
          <w:tcPr>
            <w:tcW w:w="2496" w:type="dxa"/>
            <w:vAlign w:val="center"/>
          </w:tcPr>
          <w:p>
            <w:pPr>
              <w:widowControl/>
              <w:jc w:val="center"/>
              <w:rPr>
                <w:rFonts w:ascii="Arial" w:hAnsi="Arial" w:cs="Arial"/>
                <w:color w:val="000000"/>
                <w:kern w:val="0"/>
                <w:sz w:val="18"/>
                <w:szCs w:val="18"/>
                <w:lang w:bidi="ar"/>
              </w:rPr>
            </w:pPr>
            <w:r>
              <w:rPr>
                <w:rFonts w:ascii="Arial" w:hAnsi="Arial" w:cs="Arial"/>
                <w:sz w:val="18"/>
                <w:szCs w:val="18"/>
              </w:rPr>
              <w:t>对公资金划转本行异地</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4.80</w:t>
            </w:r>
          </w:p>
        </w:tc>
        <w:tc>
          <w:tcPr>
            <w:tcW w:w="1297"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2020-08-19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14</w:t>
            </w:r>
          </w:p>
        </w:tc>
        <w:tc>
          <w:tcPr>
            <w:tcW w:w="2281"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中国建设银行</w:t>
            </w:r>
          </w:p>
        </w:tc>
        <w:tc>
          <w:tcPr>
            <w:tcW w:w="2496" w:type="dxa"/>
            <w:vAlign w:val="center"/>
          </w:tcPr>
          <w:p>
            <w:pPr>
              <w:widowControl/>
              <w:jc w:val="center"/>
              <w:rPr>
                <w:rFonts w:ascii="Arial" w:hAnsi="Arial" w:cs="Arial"/>
                <w:color w:val="000000"/>
                <w:kern w:val="0"/>
                <w:sz w:val="18"/>
                <w:szCs w:val="18"/>
                <w:lang w:bidi="ar"/>
              </w:rPr>
            </w:pPr>
            <w:r>
              <w:rPr>
                <w:rFonts w:ascii="Arial" w:hAnsi="Arial" w:cs="Arial"/>
                <w:sz w:val="18"/>
                <w:szCs w:val="18"/>
              </w:rPr>
              <w:t>对公资金划转本行异地</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25.00</w:t>
            </w:r>
          </w:p>
        </w:tc>
        <w:tc>
          <w:tcPr>
            <w:tcW w:w="1297"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2020-08-19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15</w:t>
            </w:r>
          </w:p>
        </w:tc>
        <w:tc>
          <w:tcPr>
            <w:tcW w:w="2281"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中国电信股份有限公司福州分公司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福州电信固定电话缴费过户</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100.00</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管理</w:t>
            </w:r>
            <w:r>
              <w:rPr>
                <w:rFonts w:ascii="Arial" w:hAnsi="Arial" w:cs="Arial"/>
                <w:color w:val="000000"/>
                <w:kern w:val="0"/>
                <w:sz w:val="18"/>
                <w:szCs w:val="18"/>
                <w:lang w:bidi="ar"/>
              </w:rPr>
              <w:t>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16</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920.00 </w:t>
            </w:r>
          </w:p>
        </w:tc>
        <w:tc>
          <w:tcPr>
            <w:tcW w:w="1297"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17</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1,469.00 </w:t>
            </w:r>
          </w:p>
        </w:tc>
        <w:tc>
          <w:tcPr>
            <w:tcW w:w="1297"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18</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1,460.00 </w:t>
            </w:r>
          </w:p>
        </w:tc>
        <w:tc>
          <w:tcPr>
            <w:tcW w:w="1297"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19</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1,435.00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20</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1,430.00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21</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1,020.00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22</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958.00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23</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1,428.00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24</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1,468.00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25</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1,485.00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26</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667.00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27</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1,430.00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28</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822.00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29</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1,350.00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30</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1,489.00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31</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1,380.00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32</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794.00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33</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1,485.00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34</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1,458.00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35</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1,495.00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36</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1,468.00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37</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1,467.00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278" w:type="dxa"/>
            <w:gridSpan w:val="3"/>
            <w:vAlign w:val="center"/>
          </w:tcPr>
          <w:p>
            <w:pPr>
              <w:widowControl/>
              <w:tabs>
                <w:tab w:val="left" w:pos="911"/>
              </w:tabs>
              <w:jc w:val="center"/>
              <w:textAlignment w:val="center"/>
              <w:rPr>
                <w:rFonts w:ascii="Arial" w:hAnsi="Arial" w:cs="Arial"/>
                <w:b/>
                <w:bCs/>
                <w:color w:val="000000"/>
                <w:kern w:val="0"/>
                <w:sz w:val="20"/>
                <w:szCs w:val="20"/>
                <w:lang w:bidi="ar"/>
              </w:rPr>
            </w:pPr>
            <w:r>
              <w:rPr>
                <w:rFonts w:ascii="Arial" w:hAnsi="Arial" w:cs="Arial"/>
                <w:b/>
                <w:bCs/>
                <w:color w:val="000000"/>
                <w:kern w:val="0"/>
                <w:sz w:val="20"/>
                <w:szCs w:val="20"/>
                <w:lang w:bidi="ar"/>
              </w:rPr>
              <w:t>合计</w:t>
            </w:r>
          </w:p>
        </w:tc>
        <w:tc>
          <w:tcPr>
            <w:tcW w:w="8065" w:type="dxa"/>
            <w:gridSpan w:val="5"/>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321,020.56</w:t>
            </w:r>
            <w:r>
              <w:rPr>
                <w:rFonts w:ascii="Arial" w:hAnsi="Arial" w:cs="Arial"/>
                <w:b/>
                <w:bCs/>
                <w:color w:val="000000"/>
                <w:kern w:val="0"/>
                <w:sz w:val="20"/>
                <w:szCs w:val="20"/>
                <w:lang w:bidi="ar"/>
              </w:rPr>
              <w:t xml:space="preserve"> </w:t>
            </w:r>
          </w:p>
        </w:tc>
      </w:tr>
    </w:tbl>
    <w:p>
      <w:pPr>
        <w:spacing w:line="480" w:lineRule="auto"/>
        <w:ind w:firstLine="420" w:firstLineChars="200"/>
        <w:jc w:val="left"/>
        <w:rPr>
          <w:rFonts w:ascii="Arial" w:hAnsi="Arial" w:cs="Arial"/>
          <w:bCs/>
          <w:kern w:val="44"/>
          <w:sz w:val="21"/>
          <w:szCs w:val="21"/>
        </w:rPr>
        <w:sectPr>
          <w:pgSz w:w="16838" w:h="11905" w:orient="landscape"/>
          <w:pgMar w:top="1134" w:right="1843" w:bottom="1134" w:left="1134" w:header="851" w:footer="992" w:gutter="340"/>
          <w:cols w:space="0" w:num="1"/>
          <w:rtlGutter w:val="0"/>
          <w:docGrid w:linePitch="312" w:charSpace="0"/>
        </w:sectPr>
      </w:pPr>
      <w:bookmarkStart w:id="313" w:name="_Toc10235"/>
      <w:bookmarkStart w:id="314" w:name="_Toc15931"/>
      <w:bookmarkStart w:id="315" w:name="_Toc14835"/>
      <w:bookmarkStart w:id="316" w:name="_Toc28402"/>
      <w:bookmarkStart w:id="317" w:name="_Toc5289"/>
      <w:bookmarkStart w:id="318" w:name="_Toc21001"/>
      <w:bookmarkStart w:id="319" w:name="_Toc7687"/>
      <w:bookmarkStart w:id="320" w:name="_Toc27392"/>
      <w:r>
        <w:rPr>
          <w:rFonts w:ascii="Arial" w:hAnsi="Arial" w:cs="Arial"/>
          <w:bCs/>
          <w:kern w:val="44"/>
          <w:sz w:val="21"/>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pPr>
        <w:pStyle w:val="3"/>
        <w:keepNext w:val="0"/>
        <w:keepLines w:val="0"/>
        <w:spacing w:before="300" w:after="300" w:line="360" w:lineRule="exact"/>
        <w:jc w:val="left"/>
        <w:rPr>
          <w:rFonts w:eastAsia="宋体" w:cs="Arial"/>
          <w:sz w:val="24"/>
        </w:rPr>
      </w:pPr>
      <w:bookmarkStart w:id="321" w:name="_Toc10418"/>
      <w:bookmarkStart w:id="322" w:name="_Toc24690"/>
      <w:bookmarkStart w:id="323" w:name="_Toc27806"/>
      <w:bookmarkStart w:id="324" w:name="_Toc12848"/>
      <w:bookmarkStart w:id="325" w:name="_Toc2906"/>
      <w:bookmarkStart w:id="326" w:name="_Toc8109"/>
      <w:bookmarkStart w:id="327" w:name="_Toc2854"/>
      <w:bookmarkStart w:id="328" w:name="_Toc23589"/>
      <w:bookmarkStart w:id="329" w:name="_Toc18885"/>
      <w:bookmarkStart w:id="330" w:name="_Toc19143"/>
      <w:bookmarkStart w:id="331" w:name="_Toc13805"/>
      <w:bookmarkStart w:id="332" w:name="_Toc26469"/>
      <w:bookmarkStart w:id="333" w:name="_Toc24762"/>
      <w:r>
        <w:rPr>
          <w:rFonts w:eastAsia="宋体" w:cs="Arial"/>
          <w:sz w:val="24"/>
        </w:rPr>
        <w:t>6.</w:t>
      </w:r>
      <w:r>
        <w:rPr>
          <w:rFonts w:hint="eastAsia" w:eastAsia="宋体" w:cs="Arial"/>
          <w:sz w:val="24"/>
        </w:rPr>
        <w:t>2</w:t>
      </w:r>
      <w:r>
        <w:rPr>
          <w:rFonts w:eastAsia="宋体" w:cs="Arial"/>
          <w:sz w:val="24"/>
        </w:rPr>
        <w:t>资金流入情况</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pPr>
        <w:spacing w:before="300" w:after="300" w:line="360" w:lineRule="exact"/>
        <w:outlineLvl w:val="2"/>
        <w:rPr>
          <w:rFonts w:ascii="Arial" w:hAnsi="Arial"/>
          <w:b/>
          <w:sz w:val="24"/>
        </w:rPr>
      </w:pPr>
      <w:bookmarkStart w:id="334" w:name="_Toc741"/>
      <w:bookmarkStart w:id="335" w:name="_Toc10356"/>
      <w:bookmarkStart w:id="336" w:name="_Toc21192"/>
      <w:r>
        <w:rPr>
          <w:rFonts w:hint="eastAsia" w:ascii="Arial" w:hAnsi="Arial"/>
          <w:b/>
          <w:sz w:val="24"/>
          <w:lang w:val="en-US" w:eastAsia="zh-CN"/>
        </w:rPr>
        <w:t>6</w:t>
      </w:r>
      <w:r>
        <w:rPr>
          <w:rFonts w:hint="eastAsia" w:ascii="Arial" w:hAnsi="Arial"/>
          <w:b/>
          <w:sz w:val="24"/>
        </w:rPr>
        <w:t>.2.1销售回款流入</w:t>
      </w:r>
      <w:bookmarkEnd w:id="334"/>
      <w:bookmarkEnd w:id="335"/>
      <w:bookmarkEnd w:id="336"/>
    </w:p>
    <w:p>
      <w:pPr>
        <w:spacing w:line="480" w:lineRule="auto"/>
        <w:ind w:firstLine="420" w:firstLineChars="200"/>
        <w:rPr>
          <w:rFonts w:ascii="Arial" w:hAnsi="Arial" w:cs="Arial"/>
          <w:bCs/>
          <w:kern w:val="44"/>
          <w:szCs w:val="21"/>
        </w:rPr>
      </w:pPr>
      <w:r>
        <w:rPr>
          <w:rFonts w:hint="eastAsia" w:ascii="Arial" w:hAnsi="Arial" w:cs="Arial"/>
          <w:bCs/>
          <w:kern w:val="44"/>
          <w:szCs w:val="21"/>
        </w:rPr>
        <w:t>尚未开始销售，暂无销售回款资金流入。</w:t>
      </w:r>
    </w:p>
    <w:p>
      <w:pPr>
        <w:spacing w:line="480" w:lineRule="auto"/>
        <w:outlineLvl w:val="2"/>
        <w:rPr>
          <w:rFonts w:ascii="Arial" w:hAnsi="Arial" w:cs="Arial"/>
          <w:bCs/>
          <w:kern w:val="44"/>
          <w:szCs w:val="21"/>
        </w:rPr>
      </w:pPr>
      <w:bookmarkStart w:id="337" w:name="_Toc13746"/>
      <w:bookmarkStart w:id="338" w:name="_Toc26273"/>
      <w:bookmarkStart w:id="339" w:name="_Toc31443"/>
      <w:r>
        <w:rPr>
          <w:rFonts w:hint="eastAsia" w:ascii="Arial" w:hAnsi="Arial"/>
          <w:b/>
          <w:sz w:val="24"/>
          <w:lang w:val="en-US" w:eastAsia="zh-CN"/>
        </w:rPr>
        <w:t>6</w:t>
      </w:r>
      <w:r>
        <w:rPr>
          <w:rFonts w:hint="eastAsia" w:ascii="Arial" w:hAnsi="Arial"/>
          <w:b/>
          <w:sz w:val="24"/>
        </w:rPr>
        <w:t>.2.2其他资金流入</w:t>
      </w:r>
      <w:bookmarkEnd w:id="337"/>
      <w:bookmarkEnd w:id="338"/>
      <w:bookmarkEnd w:id="339"/>
    </w:p>
    <w:p/>
    <w:p>
      <w:pPr>
        <w:ind w:firstLine="420" w:firstLineChars="200"/>
        <w:rPr>
          <w:rFonts w:ascii="Arial" w:hAnsi="Arial" w:cs="Arial"/>
          <w:bCs/>
          <w:kern w:val="44"/>
          <w:szCs w:val="21"/>
        </w:rPr>
      </w:pPr>
      <w:r>
        <w:rPr>
          <w:rFonts w:ascii="Arial" w:hAnsi="Arial" w:cs="Arial"/>
        </w:rPr>
        <w:t>2020年8月份，项目公司无资金流入，</w:t>
      </w:r>
      <w:r>
        <w:rPr>
          <w:rFonts w:ascii="Arial" w:hAnsi="Arial" w:cs="Arial"/>
          <w:bCs/>
          <w:kern w:val="44"/>
          <w:szCs w:val="21"/>
        </w:rPr>
        <w:t>SPV公司资金流入情况见下表：</w:t>
      </w:r>
    </w:p>
    <w:p>
      <w:pPr>
        <w:spacing w:before="240" w:beforeLines="100"/>
        <w:jc w:val="center"/>
        <w:rPr>
          <w:rFonts w:ascii="Arial" w:hAnsi="Arial" w:cs="Arial"/>
          <w:bCs/>
          <w:kern w:val="44"/>
          <w:szCs w:val="21"/>
        </w:rPr>
      </w:pPr>
      <w:r>
        <w:rPr>
          <w:rFonts w:ascii="Arial" w:hAnsi="Arial" w:cs="Arial"/>
          <w:b/>
          <w:color w:val="000000"/>
          <w:sz w:val="24"/>
          <w:szCs w:val="28"/>
        </w:rPr>
        <w:t>SPV公司资金流入情况表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170"/>
        <w:gridCol w:w="2055"/>
        <w:gridCol w:w="2640"/>
        <w:gridCol w:w="1470"/>
        <w:gridCol w:w="1035"/>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170" w:type="dxa"/>
            <w:vAlign w:val="center"/>
          </w:tcPr>
          <w:p>
            <w:pPr>
              <w:jc w:val="center"/>
              <w:rPr>
                <w:rFonts w:ascii="Arial" w:hAnsi="Arial" w:cs="Arial"/>
                <w:b/>
                <w:sz w:val="20"/>
                <w:szCs w:val="22"/>
              </w:rPr>
            </w:pPr>
            <w:r>
              <w:rPr>
                <w:rFonts w:ascii="Arial" w:hAnsi="Arial" w:cs="Arial"/>
                <w:b/>
                <w:sz w:val="20"/>
                <w:szCs w:val="22"/>
              </w:rPr>
              <w:t>收款时间</w:t>
            </w:r>
          </w:p>
        </w:tc>
        <w:tc>
          <w:tcPr>
            <w:tcW w:w="2055" w:type="dxa"/>
            <w:vAlign w:val="center"/>
          </w:tcPr>
          <w:p>
            <w:pPr>
              <w:jc w:val="center"/>
              <w:rPr>
                <w:rFonts w:ascii="Arial" w:hAnsi="Arial" w:cs="Arial"/>
                <w:b/>
                <w:sz w:val="20"/>
                <w:szCs w:val="22"/>
              </w:rPr>
            </w:pPr>
            <w:r>
              <w:rPr>
                <w:rFonts w:ascii="Arial" w:hAnsi="Arial" w:cs="Arial"/>
                <w:b/>
                <w:sz w:val="20"/>
                <w:szCs w:val="22"/>
              </w:rPr>
              <w:t>付款方</w:t>
            </w:r>
          </w:p>
        </w:tc>
        <w:tc>
          <w:tcPr>
            <w:tcW w:w="2640" w:type="dxa"/>
            <w:vAlign w:val="center"/>
          </w:tcPr>
          <w:p>
            <w:pPr>
              <w:jc w:val="center"/>
              <w:rPr>
                <w:rFonts w:ascii="Arial" w:hAnsi="Arial" w:cs="Arial"/>
                <w:b/>
                <w:sz w:val="20"/>
                <w:szCs w:val="22"/>
              </w:rPr>
            </w:pPr>
            <w:r>
              <w:rPr>
                <w:rFonts w:ascii="Arial" w:hAnsi="Arial" w:cs="Arial"/>
                <w:b/>
                <w:sz w:val="20"/>
                <w:szCs w:val="22"/>
              </w:rPr>
              <w:t>资金用途</w:t>
            </w:r>
          </w:p>
        </w:tc>
        <w:tc>
          <w:tcPr>
            <w:tcW w:w="1470" w:type="dxa"/>
            <w:vAlign w:val="center"/>
          </w:tcPr>
          <w:p>
            <w:pPr>
              <w:jc w:val="center"/>
              <w:rPr>
                <w:rFonts w:ascii="Arial" w:hAnsi="Arial" w:cs="Arial"/>
                <w:b/>
                <w:sz w:val="20"/>
                <w:szCs w:val="22"/>
              </w:rPr>
            </w:pPr>
            <w:r>
              <w:rPr>
                <w:rFonts w:ascii="Arial" w:hAnsi="Arial" w:cs="Arial"/>
                <w:b/>
                <w:sz w:val="20"/>
                <w:szCs w:val="22"/>
              </w:rPr>
              <w:t>金额（元）</w:t>
            </w:r>
          </w:p>
        </w:tc>
        <w:tc>
          <w:tcPr>
            <w:tcW w:w="1035" w:type="dxa"/>
            <w:vAlign w:val="center"/>
          </w:tcPr>
          <w:p>
            <w:pPr>
              <w:jc w:val="center"/>
              <w:rPr>
                <w:rFonts w:ascii="Arial" w:hAnsi="Arial" w:cs="Arial"/>
                <w:b/>
                <w:sz w:val="20"/>
                <w:szCs w:val="22"/>
              </w:rPr>
            </w:pPr>
            <w:r>
              <w:rPr>
                <w:rFonts w:ascii="Arial" w:hAnsi="Arial" w:cs="Arial"/>
                <w:b/>
                <w:sz w:val="20"/>
                <w:szCs w:val="22"/>
              </w:rPr>
              <w:t>收款行</w:t>
            </w:r>
          </w:p>
        </w:tc>
        <w:tc>
          <w:tcPr>
            <w:tcW w:w="749"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70" w:type="dxa"/>
            <w:vAlign w:val="center"/>
          </w:tcPr>
          <w:p>
            <w:pPr>
              <w:jc w:val="center"/>
              <w:rPr>
                <w:rFonts w:ascii="Arial" w:hAnsi="Arial" w:cs="Arial"/>
              </w:rPr>
            </w:pPr>
            <w:r>
              <w:rPr>
                <w:rFonts w:ascii="Arial" w:hAnsi="Arial" w:cs="Arial"/>
                <w:color w:val="000000"/>
                <w:kern w:val="0"/>
                <w:sz w:val="18"/>
                <w:szCs w:val="18"/>
                <w:lang w:bidi="ar"/>
              </w:rPr>
              <w:t>2020-08-19</w:t>
            </w:r>
          </w:p>
        </w:tc>
        <w:tc>
          <w:tcPr>
            <w:tcW w:w="205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中航信托股份有限公司</w:t>
            </w:r>
          </w:p>
        </w:tc>
        <w:tc>
          <w:tcPr>
            <w:tcW w:w="2640" w:type="dxa"/>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天启【2020】201号股权投资</w:t>
            </w:r>
          </w:p>
        </w:tc>
        <w:tc>
          <w:tcPr>
            <w:tcW w:w="1470"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475,200,000.00</w:t>
            </w:r>
          </w:p>
        </w:tc>
        <w:tc>
          <w:tcPr>
            <w:tcW w:w="1035" w:type="dxa"/>
            <w:vAlign w:val="center"/>
          </w:tcPr>
          <w:p>
            <w:pPr>
              <w:jc w:val="center"/>
              <w:rPr>
                <w:rFonts w:ascii="Arial" w:hAnsi="Arial" w:cs="Arial"/>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170"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2020-08-19</w:t>
            </w:r>
          </w:p>
        </w:tc>
        <w:tc>
          <w:tcPr>
            <w:tcW w:w="205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中航信托股份有限公司</w:t>
            </w:r>
          </w:p>
        </w:tc>
        <w:tc>
          <w:tcPr>
            <w:tcW w:w="2640" w:type="dxa"/>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天启【2020】201号股权投资</w:t>
            </w:r>
          </w:p>
        </w:tc>
        <w:tc>
          <w:tcPr>
            <w:tcW w:w="1470" w:type="dxa"/>
            <w:vAlign w:val="center"/>
          </w:tcPr>
          <w:p>
            <w:pPr>
              <w:widowControl/>
              <w:jc w:val="center"/>
              <w:rPr>
                <w:rFonts w:ascii="Arial" w:hAnsi="Arial" w:cs="Arial"/>
                <w:color w:val="000000"/>
                <w:kern w:val="0"/>
                <w:sz w:val="18"/>
                <w:szCs w:val="18"/>
                <w:lang w:bidi="ar"/>
              </w:rPr>
            </w:pPr>
          </w:p>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90,800,000.00</w:t>
            </w:r>
          </w:p>
          <w:p>
            <w:pPr>
              <w:jc w:val="center"/>
              <w:rPr>
                <w:rFonts w:ascii="Arial" w:hAnsi="Arial" w:cs="Arial"/>
              </w:rPr>
            </w:pPr>
          </w:p>
        </w:tc>
        <w:tc>
          <w:tcPr>
            <w:tcW w:w="1035" w:type="dxa"/>
            <w:vAlign w:val="center"/>
          </w:tcPr>
          <w:p>
            <w:pPr>
              <w:jc w:val="center"/>
              <w:rPr>
                <w:rFonts w:ascii="Arial" w:hAnsi="Arial" w:cs="Arial"/>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283"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254" w:type="dxa"/>
            <w:gridSpan w:val="3"/>
            <w:vAlign w:val="center"/>
          </w:tcPr>
          <w:p>
            <w:pPr>
              <w:jc w:val="center"/>
              <w:rPr>
                <w:rFonts w:ascii="Arial" w:hAnsi="Arial" w:cs="Arial"/>
              </w:rPr>
            </w:pPr>
            <w:r>
              <w:rPr>
                <w:rFonts w:ascii="Arial" w:hAnsi="Arial" w:cs="Arial"/>
                <w:b/>
                <w:bCs/>
                <w:sz w:val="18"/>
                <w:szCs w:val="18"/>
              </w:rPr>
              <w:t>566,000,000.00</w:t>
            </w:r>
          </w:p>
        </w:tc>
      </w:tr>
    </w:tbl>
    <w:p>
      <w:pPr>
        <w:rPr>
          <w:rFonts w:eastAsia="宋体" w:cs="Arial"/>
          <w:sz w:val="24"/>
        </w:rPr>
      </w:pPr>
      <w:bookmarkStart w:id="340" w:name="_Toc20088"/>
      <w:bookmarkStart w:id="341" w:name="_Toc15854"/>
      <w:bookmarkStart w:id="342" w:name="_Toc29613"/>
      <w:bookmarkStart w:id="343" w:name="_Toc8940"/>
      <w:bookmarkStart w:id="344" w:name="_Toc798"/>
      <w:bookmarkStart w:id="345" w:name="_Toc253"/>
      <w:bookmarkStart w:id="346" w:name="_Toc24345"/>
      <w:bookmarkStart w:id="347" w:name="_Toc14659"/>
      <w:bookmarkStart w:id="348" w:name="_Toc5640"/>
      <w:bookmarkStart w:id="349" w:name="_Toc6152"/>
      <w:bookmarkStart w:id="350" w:name="_Toc535580033"/>
      <w:bookmarkStart w:id="351" w:name="_Toc535570760"/>
      <w:bookmarkStart w:id="352" w:name="_Toc535580101"/>
      <w:bookmarkStart w:id="353" w:name="_Toc45217883"/>
      <w:bookmarkStart w:id="354" w:name="_Toc535508646"/>
      <w:bookmarkStart w:id="355" w:name="_Toc532281664"/>
    </w:p>
    <w:p>
      <w:pPr>
        <w:pStyle w:val="3"/>
        <w:keepNext w:val="0"/>
        <w:keepLines w:val="0"/>
        <w:spacing w:before="300" w:after="300" w:line="360" w:lineRule="exact"/>
        <w:jc w:val="left"/>
        <w:rPr>
          <w:rFonts w:eastAsia="宋体" w:cs="Arial"/>
          <w:sz w:val="24"/>
        </w:rPr>
      </w:pPr>
      <w:bookmarkStart w:id="356" w:name="_Toc7169"/>
      <w:bookmarkStart w:id="357" w:name="_Toc9082"/>
      <w:bookmarkStart w:id="358" w:name="_Toc17010"/>
      <w:r>
        <w:rPr>
          <w:rFonts w:eastAsia="宋体" w:cs="Arial"/>
          <w:sz w:val="24"/>
        </w:rPr>
        <w:t>6.</w:t>
      </w:r>
      <w:r>
        <w:rPr>
          <w:rFonts w:hint="eastAsia" w:eastAsia="宋体" w:cs="Arial"/>
          <w:sz w:val="24"/>
          <w:lang w:val="en-US" w:eastAsia="zh-CN"/>
        </w:rPr>
        <w:t>3</w:t>
      </w:r>
      <w:r>
        <w:rPr>
          <w:rFonts w:hint="eastAsia" w:eastAsia="宋体" w:cs="Arial"/>
          <w:sz w:val="24"/>
          <w:lang w:eastAsia="zh-CN"/>
        </w:rPr>
        <w:t>各类保证金</w:t>
      </w:r>
      <w:r>
        <w:rPr>
          <w:rFonts w:eastAsia="宋体" w:cs="Arial"/>
          <w:sz w:val="24"/>
        </w:rPr>
        <w:t>情况</w:t>
      </w:r>
      <w:bookmarkEnd w:id="356"/>
      <w:bookmarkEnd w:id="357"/>
      <w:bookmarkEnd w:id="358"/>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项目公司</w:t>
      </w:r>
      <w:r>
        <w:rPr>
          <w:rFonts w:hint="default" w:ascii="Arial" w:hAnsi="Arial" w:cs="Arial" w:eastAsiaTheme="minorEastAsia"/>
          <w:sz w:val="21"/>
          <w:szCs w:val="21"/>
          <w:lang w:val="en-US" w:eastAsia="zh-CN"/>
        </w:rPr>
        <w:t>2020</w:t>
      </w:r>
      <w:r>
        <w:rPr>
          <w:rFonts w:hint="eastAsia" w:asciiTheme="minorEastAsia" w:hAnsiTheme="minorEastAsia" w:eastAsiaTheme="minorEastAsia" w:cstheme="minorEastAsia"/>
          <w:sz w:val="21"/>
          <w:szCs w:val="21"/>
          <w:lang w:val="en-US" w:eastAsia="zh-CN"/>
        </w:rPr>
        <w:t>年</w:t>
      </w:r>
      <w:r>
        <w:rPr>
          <w:rFonts w:hint="eastAsia" w:ascii="Arial" w:hAnsi="Arial" w:cs="Arial" w:eastAsiaTheme="minorEastAsia"/>
          <w:sz w:val="21"/>
          <w:szCs w:val="21"/>
          <w:lang w:val="en-US" w:eastAsia="zh-CN"/>
        </w:rPr>
        <w:t>8月无保证金收支</w:t>
      </w:r>
      <w:r>
        <w:rPr>
          <w:rFonts w:hint="eastAsia" w:asciiTheme="minorEastAsia" w:hAnsiTheme="minorEastAsia" w:eastAsiaTheme="minorEastAsia" w:cstheme="minorEastAsia"/>
          <w:sz w:val="21"/>
          <w:szCs w:val="21"/>
          <w:lang w:val="en-US" w:eastAsia="zh-CN"/>
        </w:rPr>
        <w:t>，截止到</w:t>
      </w:r>
      <w:r>
        <w:rPr>
          <w:rFonts w:hint="default" w:ascii="Arial" w:hAnsi="Arial" w:cs="Arial" w:eastAsiaTheme="minorEastAsia"/>
          <w:sz w:val="21"/>
          <w:szCs w:val="21"/>
          <w:lang w:val="en-US" w:eastAsia="zh-CN"/>
        </w:rPr>
        <w:t>2020</w:t>
      </w:r>
      <w:r>
        <w:rPr>
          <w:rFonts w:hint="eastAsia" w:asciiTheme="minorEastAsia" w:hAnsiTheme="minorEastAsia" w:eastAsiaTheme="minorEastAsia" w:cstheme="minorEastAsia"/>
          <w:sz w:val="21"/>
          <w:szCs w:val="21"/>
          <w:lang w:val="en-US" w:eastAsia="zh-CN"/>
        </w:rPr>
        <w:t>年</w:t>
      </w:r>
      <w:r>
        <w:rPr>
          <w:rFonts w:hint="default" w:ascii="Arial" w:hAnsi="Arial" w:cs="Arial" w:eastAsiaTheme="minorEastAsia"/>
          <w:sz w:val="21"/>
          <w:szCs w:val="21"/>
          <w:lang w:val="en-US" w:eastAsia="zh-CN"/>
        </w:rPr>
        <w:t>8</w:t>
      </w:r>
      <w:r>
        <w:rPr>
          <w:rFonts w:hint="eastAsia" w:asciiTheme="minorEastAsia" w:hAnsiTheme="minorEastAsia" w:eastAsiaTheme="minorEastAsia" w:cstheme="minorEastAsia"/>
          <w:sz w:val="21"/>
          <w:szCs w:val="21"/>
          <w:lang w:val="en-US" w:eastAsia="zh-CN"/>
        </w:rPr>
        <w:t>月</w:t>
      </w:r>
      <w:r>
        <w:rPr>
          <w:rFonts w:hint="default" w:ascii="Arial" w:hAnsi="Arial" w:cs="Arial" w:eastAsiaTheme="minorEastAsia"/>
          <w:sz w:val="21"/>
          <w:szCs w:val="21"/>
          <w:lang w:val="en-US" w:eastAsia="zh-CN"/>
        </w:rPr>
        <w:t>31</w:t>
      </w:r>
      <w:r>
        <w:rPr>
          <w:rFonts w:hint="eastAsia" w:asciiTheme="minorEastAsia" w:hAnsiTheme="minorEastAsia" w:eastAsiaTheme="minorEastAsia" w:cstheme="minorEastAsia"/>
          <w:sz w:val="21"/>
          <w:szCs w:val="21"/>
          <w:lang w:val="en-US" w:eastAsia="zh-CN"/>
        </w:rPr>
        <w:t>日，项目公司共收取保证金</w:t>
      </w:r>
      <w:r>
        <w:rPr>
          <w:rFonts w:hint="default" w:ascii="Arial" w:hAnsi="Arial" w:cs="Arial" w:eastAsiaTheme="minorEastAsia"/>
          <w:sz w:val="21"/>
          <w:szCs w:val="21"/>
          <w:lang w:val="en-US" w:eastAsia="zh-CN"/>
        </w:rPr>
        <w:t>280,000.00</w:t>
      </w:r>
      <w:r>
        <w:rPr>
          <w:rFonts w:hint="eastAsia" w:asciiTheme="minorEastAsia" w:hAnsiTheme="minorEastAsia" w:eastAsiaTheme="minorEastAsia" w:cstheme="minorEastAsia"/>
          <w:sz w:val="21"/>
          <w:szCs w:val="21"/>
          <w:lang w:val="en-US" w:eastAsia="zh-CN"/>
        </w:rPr>
        <w:t>元,无退还。该资金的具体情况如下：</w:t>
      </w:r>
    </w:p>
    <w:p>
      <w:pPr>
        <w:rPr>
          <w:rFonts w:hint="default" w:eastAsia="宋体" w:cs="Arial"/>
          <w:sz w:val="24"/>
          <w:lang w:val="en-US"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1937"/>
        <w:gridCol w:w="1745"/>
        <w:gridCol w:w="1405"/>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3077" w:type="dxa"/>
            <w:vAlign w:val="center"/>
          </w:tcPr>
          <w:p>
            <w:pPr>
              <w:jc w:val="center"/>
              <w:rPr>
                <w:rFonts w:hint="default" w:eastAsia="宋体" w:cs="Arial"/>
                <w:b/>
                <w:bCs/>
                <w:sz w:val="18"/>
                <w:szCs w:val="18"/>
                <w:vertAlign w:val="baseline"/>
                <w:lang w:val="en-US" w:eastAsia="zh-CN"/>
              </w:rPr>
            </w:pPr>
            <w:r>
              <w:rPr>
                <w:rFonts w:hint="eastAsia" w:cs="Arial"/>
                <w:b/>
                <w:bCs/>
                <w:sz w:val="18"/>
                <w:szCs w:val="18"/>
                <w:vertAlign w:val="baseline"/>
                <w:lang w:val="en-US" w:eastAsia="zh-CN"/>
              </w:rPr>
              <w:t>保证金明细</w:t>
            </w:r>
          </w:p>
        </w:tc>
        <w:tc>
          <w:tcPr>
            <w:tcW w:w="1937" w:type="dxa"/>
            <w:vAlign w:val="center"/>
          </w:tcPr>
          <w:p>
            <w:pPr>
              <w:jc w:val="center"/>
              <w:rPr>
                <w:rFonts w:hint="default" w:eastAsia="宋体" w:cs="Arial"/>
                <w:b/>
                <w:bCs/>
                <w:sz w:val="18"/>
                <w:szCs w:val="18"/>
                <w:vertAlign w:val="baseline"/>
                <w:lang w:val="en-US" w:eastAsia="zh-CN"/>
              </w:rPr>
            </w:pPr>
            <w:r>
              <w:rPr>
                <w:rFonts w:hint="eastAsia" w:cs="Arial"/>
                <w:b/>
                <w:bCs/>
                <w:sz w:val="18"/>
                <w:szCs w:val="18"/>
                <w:vertAlign w:val="baseline"/>
                <w:lang w:val="en-US" w:eastAsia="zh-CN"/>
              </w:rPr>
              <w:t>收款金额（元）</w:t>
            </w:r>
          </w:p>
        </w:tc>
        <w:tc>
          <w:tcPr>
            <w:tcW w:w="1745" w:type="dxa"/>
            <w:vAlign w:val="center"/>
          </w:tcPr>
          <w:p>
            <w:pPr>
              <w:jc w:val="center"/>
              <w:rPr>
                <w:rFonts w:hint="default" w:eastAsia="宋体" w:cs="Arial"/>
                <w:b/>
                <w:bCs/>
                <w:sz w:val="18"/>
                <w:szCs w:val="18"/>
                <w:vertAlign w:val="baseline"/>
                <w:lang w:val="en-US" w:eastAsia="zh-CN"/>
              </w:rPr>
            </w:pPr>
            <w:r>
              <w:rPr>
                <w:rFonts w:hint="eastAsia" w:cs="Arial"/>
                <w:b/>
                <w:bCs/>
                <w:sz w:val="18"/>
                <w:szCs w:val="18"/>
                <w:vertAlign w:val="baseline"/>
                <w:lang w:val="en-US" w:eastAsia="zh-CN"/>
              </w:rPr>
              <w:t>退还金额（元）</w:t>
            </w:r>
          </w:p>
        </w:tc>
        <w:tc>
          <w:tcPr>
            <w:tcW w:w="1405" w:type="dxa"/>
            <w:vAlign w:val="center"/>
          </w:tcPr>
          <w:p>
            <w:pPr>
              <w:jc w:val="center"/>
              <w:rPr>
                <w:rFonts w:hint="default" w:eastAsia="宋体" w:cs="Arial"/>
                <w:b/>
                <w:bCs/>
                <w:sz w:val="18"/>
                <w:szCs w:val="18"/>
                <w:vertAlign w:val="baseline"/>
                <w:lang w:val="en-US" w:eastAsia="zh-CN"/>
              </w:rPr>
            </w:pPr>
            <w:r>
              <w:rPr>
                <w:rFonts w:hint="eastAsia" w:cs="Arial"/>
                <w:b/>
                <w:bCs/>
                <w:sz w:val="18"/>
                <w:szCs w:val="18"/>
                <w:vertAlign w:val="baseline"/>
                <w:lang w:val="en-US" w:eastAsia="zh-CN"/>
              </w:rPr>
              <w:t>入账日期</w:t>
            </w:r>
          </w:p>
        </w:tc>
        <w:tc>
          <w:tcPr>
            <w:tcW w:w="1349" w:type="dxa"/>
            <w:vAlign w:val="center"/>
          </w:tcPr>
          <w:p>
            <w:pPr>
              <w:jc w:val="center"/>
              <w:rPr>
                <w:rFonts w:hint="default" w:eastAsia="宋体" w:cs="Arial"/>
                <w:b/>
                <w:bCs/>
                <w:sz w:val="18"/>
                <w:szCs w:val="18"/>
                <w:vertAlign w:val="baseline"/>
                <w:lang w:val="en-US" w:eastAsia="zh-CN"/>
              </w:rPr>
            </w:pPr>
            <w:r>
              <w:rPr>
                <w:rFonts w:hint="eastAsia" w:cs="Arial"/>
                <w:b/>
                <w:bCs/>
                <w:sz w:val="18"/>
                <w:szCs w:val="18"/>
                <w:vertAlign w:val="baseline"/>
                <w:lang w:val="en-US" w:eastAsia="zh-CN"/>
              </w:rPr>
              <w:t>退还日期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福建睿晟电力工程投标保证金</w:t>
            </w:r>
          </w:p>
        </w:tc>
        <w:tc>
          <w:tcPr>
            <w:tcW w:w="1937" w:type="dxa"/>
            <w:vAlign w:val="center"/>
          </w:tcPr>
          <w:p>
            <w:pPr>
              <w:jc w:val="center"/>
              <w:rPr>
                <w:rFonts w:hint="default" w:ascii="Arial" w:hAnsi="Arial" w:eastAsia="宋体" w:cs="Arial"/>
                <w:sz w:val="18"/>
                <w:szCs w:val="18"/>
                <w:vertAlign w:val="baseline"/>
                <w:lang w:val="en-US" w:eastAsia="zh-CN"/>
              </w:rPr>
            </w:pPr>
            <w:r>
              <w:rPr>
                <w:rFonts w:hint="default" w:ascii="Arial" w:hAnsi="Arial" w:eastAsia="宋体" w:cs="Arial"/>
                <w:sz w:val="18"/>
                <w:szCs w:val="18"/>
                <w:vertAlign w:val="baseline"/>
              </w:rPr>
              <w:t>20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hint="default" w:eastAsia="宋体" w:cs="Arial"/>
                <w:sz w:val="24"/>
                <w:vertAlign w:val="baseline"/>
                <w:lang w:val="en-US" w:eastAsia="zh-CN"/>
              </w:rPr>
            </w:pPr>
            <w:r>
              <w:rPr>
                <w:rFonts w:ascii="Arial" w:hAnsi="Arial" w:cs="Arial" w:eastAsiaTheme="minorEastAsia"/>
                <w:color w:val="000000"/>
                <w:kern w:val="0"/>
                <w:sz w:val="18"/>
                <w:szCs w:val="18"/>
              </w:rPr>
              <w:t>——</w:t>
            </w:r>
          </w:p>
        </w:tc>
        <w:tc>
          <w:tcPr>
            <w:tcW w:w="140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default" w:ascii="Arial" w:hAnsi="Arial" w:eastAsia="宋体" w:cs="Arial"/>
                <w:i w:val="0"/>
                <w:color w:val="000000"/>
                <w:kern w:val="0"/>
                <w:sz w:val="18"/>
                <w:szCs w:val="18"/>
                <w:u w:val="none"/>
                <w:lang w:val="en-US" w:eastAsia="zh-CN" w:bidi="ar"/>
              </w:rPr>
              <w:t>6</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29</w:t>
            </w:r>
          </w:p>
        </w:tc>
        <w:tc>
          <w:tcPr>
            <w:tcW w:w="1349" w:type="dxa"/>
            <w:vAlign w:val="center"/>
          </w:tcPr>
          <w:p>
            <w:pPr>
              <w:jc w:val="center"/>
              <w:rPr>
                <w:rFonts w:hint="default" w:eastAsia="宋体" w:cs="Arial"/>
                <w:sz w:val="24"/>
                <w:vertAlign w:val="baseline"/>
                <w:lang w:val="en-US"/>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福建国瑞电力工程投标保证金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eastAsia="宋体" w:cs="Arial"/>
                <w:sz w:val="18"/>
                <w:szCs w:val="18"/>
                <w:vertAlign w:val="baseline"/>
              </w:rPr>
              <w:t>20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hint="default" w:ascii="Arial" w:hAnsi="Arial" w:eastAsia="宋体" w:cs="Arial"/>
                <w:sz w:val="18"/>
                <w:szCs w:val="18"/>
                <w:vertAlign w:val="baseline"/>
                <w:lang w:val="en-US"/>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default" w:ascii="Arial" w:hAnsi="Arial" w:eastAsia="宋体" w:cs="Arial"/>
                <w:i w:val="0"/>
                <w:color w:val="000000"/>
                <w:kern w:val="0"/>
                <w:sz w:val="18"/>
                <w:szCs w:val="18"/>
                <w:u w:val="none"/>
                <w:lang w:val="en-US" w:eastAsia="zh-CN" w:bidi="ar"/>
              </w:rPr>
              <w:t>6</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30</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福建榕普电力工程投标保证金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eastAsia="宋体" w:cs="Arial"/>
                <w:sz w:val="18"/>
                <w:szCs w:val="18"/>
                <w:vertAlign w:val="baseline"/>
              </w:rPr>
              <w:t>20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ascii="Arial" w:hAnsi="Arial" w:eastAsia="宋体" w:cs="Arial"/>
                <w:sz w:val="18"/>
                <w:szCs w:val="18"/>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default" w:ascii="Arial" w:hAnsi="Arial" w:eastAsia="宋体" w:cs="Arial"/>
                <w:i w:val="0"/>
                <w:color w:val="000000"/>
                <w:kern w:val="0"/>
                <w:sz w:val="18"/>
                <w:szCs w:val="18"/>
                <w:u w:val="none"/>
                <w:lang w:val="en-US" w:eastAsia="zh-CN" w:bidi="ar"/>
              </w:rPr>
              <w:t>6</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30</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华中建设开发电力工程投标保证金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eastAsia="宋体" w:cs="Arial"/>
                <w:sz w:val="18"/>
                <w:szCs w:val="18"/>
                <w:vertAlign w:val="baseline"/>
              </w:rPr>
              <w:t>20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ascii="Arial" w:hAnsi="Arial" w:eastAsia="宋体" w:cs="Arial"/>
                <w:sz w:val="18"/>
                <w:szCs w:val="18"/>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default" w:ascii="Arial" w:hAnsi="Arial" w:eastAsia="宋体" w:cs="Arial"/>
                <w:i w:val="0"/>
                <w:color w:val="000000"/>
                <w:kern w:val="0"/>
                <w:sz w:val="18"/>
                <w:szCs w:val="18"/>
                <w:u w:val="none"/>
                <w:lang w:val="en-US" w:eastAsia="zh-CN" w:bidi="ar"/>
              </w:rPr>
              <w:t>6</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30</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福州闽发示范区总承包工程（含机电）投标保证金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hint="default" w:ascii="Arial" w:hAnsi="Arial" w:eastAsia="宋体" w:cs="Arial"/>
                <w:sz w:val="18"/>
                <w:szCs w:val="18"/>
                <w:vertAlign w:val="baseline"/>
                <w:lang w:val="en-US"/>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07</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21</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福建璟榕示范区总承包工程（含机电）投标保证金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ascii="Arial" w:hAnsi="Arial" w:eastAsia="宋体" w:cs="Arial"/>
                <w:sz w:val="18"/>
                <w:szCs w:val="18"/>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07</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21</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舜元建设示范区总承包工程（含机电）投标保证金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ascii="Arial" w:hAnsi="Arial" w:eastAsia="宋体" w:cs="Arial"/>
                <w:sz w:val="18"/>
                <w:szCs w:val="18"/>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07</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22</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hint="eastAsia" w:eastAsia="宋体" w:cs="Arial"/>
                <w:sz w:val="18"/>
                <w:szCs w:val="18"/>
                <w:vertAlign w:val="baseline"/>
              </w:rPr>
            </w:pPr>
            <w:r>
              <w:rPr>
                <w:rFonts w:hint="eastAsia" w:eastAsia="宋体" w:cs="Arial"/>
                <w:sz w:val="18"/>
                <w:szCs w:val="18"/>
                <w:vertAlign w:val="baseline"/>
              </w:rPr>
              <w:t>中建二局示范区总承包工程（含机电）投标保证金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ascii="Arial" w:hAnsi="Arial" w:eastAsia="宋体" w:cs="Arial"/>
                <w:sz w:val="18"/>
                <w:szCs w:val="18"/>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07</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23</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hint="eastAsia" w:eastAsia="宋体" w:cs="Arial"/>
                <w:sz w:val="18"/>
                <w:szCs w:val="18"/>
                <w:vertAlign w:val="baseline"/>
                <w:lang w:val="en-US" w:eastAsia="zh-CN"/>
              </w:rPr>
            </w:pPr>
            <w:r>
              <w:rPr>
                <w:rFonts w:hint="eastAsia" w:cs="Arial"/>
                <w:sz w:val="18"/>
                <w:szCs w:val="18"/>
                <w:vertAlign w:val="baseline"/>
                <w:lang w:val="en-US" w:eastAsia="zh-CN"/>
              </w:rPr>
              <w:t>合计</w:t>
            </w:r>
          </w:p>
        </w:tc>
        <w:tc>
          <w:tcPr>
            <w:tcW w:w="1937" w:type="dxa"/>
            <w:vAlign w:val="center"/>
          </w:tcPr>
          <w:p>
            <w:pPr>
              <w:jc w:val="center"/>
              <w:rPr>
                <w:rFonts w:hint="default" w:ascii="Arial" w:hAnsi="Arial" w:cs="Arial"/>
                <w:sz w:val="18"/>
                <w:szCs w:val="18"/>
                <w:vertAlign w:val="baseline"/>
                <w:lang w:val="en-US" w:eastAsia="zh-CN"/>
              </w:rPr>
            </w:pPr>
            <w:r>
              <w:rPr>
                <w:rFonts w:hint="default" w:ascii="Arial" w:hAnsi="Arial" w:cs="Arial"/>
                <w:sz w:val="18"/>
                <w:szCs w:val="18"/>
                <w:lang w:val="en-US" w:eastAsia="zh-CN"/>
              </w:rPr>
              <w:t>280,000.00</w:t>
            </w:r>
          </w:p>
        </w:tc>
        <w:tc>
          <w:tcPr>
            <w:tcW w:w="1745" w:type="dxa"/>
            <w:vAlign w:val="center"/>
          </w:tcPr>
          <w:p>
            <w:pPr>
              <w:jc w:val="center"/>
              <w:rPr>
                <w:rFonts w:hint="eastAsia" w:cs="Arial"/>
                <w:sz w:val="24"/>
                <w:vertAlign w:val="baseline"/>
                <w:lang w:val="en-US" w:eastAsia="zh-CN"/>
              </w:rPr>
            </w:pPr>
          </w:p>
        </w:tc>
        <w:tc>
          <w:tcPr>
            <w:tcW w:w="2754" w:type="dxa"/>
            <w:gridSpan w:val="2"/>
            <w:vAlign w:val="center"/>
          </w:tcPr>
          <w:p>
            <w:pPr>
              <w:jc w:val="center"/>
              <w:rPr>
                <w:rFonts w:hint="eastAsia" w:cs="Arial"/>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hint="eastAsia" w:cs="Arial"/>
                <w:b/>
                <w:bCs/>
                <w:sz w:val="18"/>
                <w:szCs w:val="18"/>
                <w:vertAlign w:val="baseline"/>
                <w:lang w:val="en-US" w:eastAsia="zh-CN"/>
              </w:rPr>
            </w:pPr>
            <w:r>
              <w:rPr>
                <w:rFonts w:ascii="Arial" w:hAnsi="Arial" w:cs="Arial" w:eastAsiaTheme="minorEastAsia"/>
                <w:b/>
                <w:bCs/>
                <w:color w:val="000000"/>
                <w:kern w:val="0"/>
                <w:sz w:val="18"/>
                <w:szCs w:val="18"/>
              </w:rPr>
              <w:t>保证金余额</w:t>
            </w:r>
          </w:p>
        </w:tc>
        <w:tc>
          <w:tcPr>
            <w:tcW w:w="3682" w:type="dxa"/>
            <w:gridSpan w:val="2"/>
            <w:vAlign w:val="center"/>
          </w:tcPr>
          <w:p>
            <w:pPr>
              <w:jc w:val="center"/>
              <w:rPr>
                <w:rFonts w:hint="eastAsia" w:cs="Arial"/>
                <w:b/>
                <w:bCs/>
                <w:sz w:val="24"/>
                <w:vertAlign w:val="baseline"/>
                <w:lang w:val="en-US" w:eastAsia="zh-CN"/>
              </w:rPr>
            </w:pPr>
            <w:r>
              <w:rPr>
                <w:rFonts w:hint="default" w:ascii="Arial" w:hAnsi="Arial" w:cs="Arial"/>
                <w:b/>
                <w:bCs/>
                <w:sz w:val="18"/>
                <w:szCs w:val="18"/>
                <w:lang w:val="en-US" w:eastAsia="zh-CN"/>
              </w:rPr>
              <w:t>280,000.00</w:t>
            </w:r>
          </w:p>
        </w:tc>
        <w:tc>
          <w:tcPr>
            <w:tcW w:w="2754" w:type="dxa"/>
            <w:gridSpan w:val="2"/>
            <w:vAlign w:val="center"/>
          </w:tcPr>
          <w:p>
            <w:pPr>
              <w:jc w:val="center"/>
              <w:rPr>
                <w:rFonts w:hint="eastAsia" w:cs="Arial"/>
                <w:b/>
                <w:bCs/>
                <w:sz w:val="24"/>
                <w:vertAlign w:val="baseline"/>
                <w:lang w:val="en-US" w:eastAsia="zh-CN"/>
              </w:rPr>
            </w:pPr>
          </w:p>
        </w:tc>
      </w:tr>
    </w:tbl>
    <w:p>
      <w:pPr>
        <w:pStyle w:val="3"/>
        <w:keepNext w:val="0"/>
        <w:keepLines w:val="0"/>
        <w:spacing w:before="300" w:after="300" w:line="360" w:lineRule="exact"/>
        <w:jc w:val="left"/>
        <w:rPr>
          <w:rFonts w:eastAsia="宋体" w:cs="Arial"/>
          <w:sz w:val="24"/>
        </w:rPr>
      </w:pPr>
      <w:bookmarkStart w:id="359" w:name="_Toc6388"/>
      <w:bookmarkStart w:id="360" w:name="_Toc12744"/>
      <w:bookmarkStart w:id="361" w:name="_Toc8358"/>
      <w:bookmarkStart w:id="362" w:name="_Toc14810"/>
      <w:bookmarkStart w:id="363" w:name="_Toc8246"/>
      <w:bookmarkStart w:id="364" w:name="_Toc22479"/>
      <w:bookmarkStart w:id="365" w:name="_Toc26359"/>
      <w:bookmarkStart w:id="366" w:name="_Toc14227"/>
      <w:bookmarkStart w:id="367" w:name="_Toc6251"/>
      <w:bookmarkStart w:id="368" w:name="_Toc8059"/>
      <w:bookmarkStart w:id="369" w:name="_Toc10864"/>
      <w:r>
        <w:rPr>
          <w:rFonts w:eastAsia="宋体" w:cs="Arial"/>
          <w:sz w:val="24"/>
        </w:rPr>
        <w:t>6.</w:t>
      </w:r>
      <w:r>
        <w:rPr>
          <w:rFonts w:hint="eastAsia" w:eastAsia="宋体" w:cs="Arial"/>
          <w:sz w:val="24"/>
          <w:lang w:val="en-US" w:eastAsia="zh-CN"/>
        </w:rPr>
        <w:t>4</w:t>
      </w:r>
      <w:r>
        <w:rPr>
          <w:rFonts w:eastAsia="宋体" w:cs="Arial"/>
          <w:sz w:val="24"/>
        </w:rPr>
        <w:t>各银行账户余额</w:t>
      </w:r>
      <w:bookmarkEnd w:id="340"/>
      <w:bookmarkEnd w:id="341"/>
      <w:bookmarkEnd w:id="342"/>
      <w:bookmarkEnd w:id="343"/>
      <w:bookmarkEnd w:id="344"/>
      <w:bookmarkEnd w:id="345"/>
      <w:bookmarkEnd w:id="346"/>
      <w:bookmarkEnd w:id="347"/>
      <w:bookmarkEnd w:id="348"/>
      <w:bookmarkEnd w:id="349"/>
      <w:bookmarkEnd w:id="359"/>
      <w:bookmarkEnd w:id="360"/>
      <w:bookmarkEnd w:id="361"/>
      <w:bookmarkEnd w:id="362"/>
      <w:bookmarkEnd w:id="363"/>
      <w:bookmarkEnd w:id="364"/>
      <w:bookmarkEnd w:id="365"/>
      <w:bookmarkEnd w:id="366"/>
      <w:bookmarkEnd w:id="367"/>
      <w:bookmarkEnd w:id="368"/>
      <w:bookmarkEnd w:id="369"/>
    </w:p>
    <w:p>
      <w:pPr>
        <w:spacing w:before="0" w:beforeLines="-2147483648" w:line="480" w:lineRule="auto"/>
        <w:ind w:firstLine="420" w:firstLineChars="200"/>
        <w:jc w:val="left"/>
        <w:rPr>
          <w:rFonts w:ascii="Arial" w:hAnsi="Arial" w:cs="Arial"/>
          <w:b/>
          <w:color w:val="000000"/>
          <w:sz w:val="24"/>
        </w:rPr>
      </w:pPr>
      <w:r>
        <w:rPr>
          <w:rFonts w:ascii="Arial" w:hAnsi="Arial" w:cs="Arial"/>
          <w:szCs w:val="21"/>
        </w:rPr>
        <w:t>根据项目公司提供的银行流水，截至2020年8月31日，SPV公司各资金账户余额总计53,018.48元，各账户余额见下表。</w:t>
      </w:r>
    </w:p>
    <w:p>
      <w:pPr>
        <w:spacing w:before="0" w:beforeLines="-2147483648" w:line="480" w:lineRule="auto"/>
        <w:ind w:firstLine="482" w:firstLineChars="200"/>
        <w:jc w:val="left"/>
        <w:rPr>
          <w:rFonts w:ascii="Arial" w:hAnsi="Arial" w:cs="Arial"/>
          <w:b/>
          <w:color w:val="000000"/>
          <w:sz w:val="24"/>
        </w:rPr>
      </w:pPr>
      <w:r>
        <w:rPr>
          <w:rFonts w:ascii="Arial" w:hAnsi="Arial" w:cs="Arial"/>
          <w:b/>
          <w:color w:val="000000"/>
          <w:sz w:val="24"/>
        </w:rPr>
        <w:t>截至2020年8月31日SPV公司各银行账户余额汇总</w:t>
      </w:r>
    </w:p>
    <w:tbl>
      <w:tblPr>
        <w:tblStyle w:val="18"/>
        <w:tblW w:w="8598" w:type="dxa"/>
        <w:tblInd w:w="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3167"/>
        <w:gridCol w:w="2693"/>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520"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18"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20"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pPr>
              <w:widowControl/>
              <w:jc w:val="center"/>
              <w:textAlignment w:val="center"/>
              <w:rPr>
                <w:rFonts w:ascii="Arial" w:hAnsi="Arial" w:cs="Arial"/>
                <w:color w:val="000000"/>
                <w:sz w:val="24"/>
              </w:rPr>
            </w:pPr>
            <w:r>
              <w:rPr>
                <w:rFonts w:ascii="Arial" w:hAnsi="Arial" w:cs="Arial"/>
                <w:sz w:val="18"/>
                <w:szCs w:val="18"/>
                <w:lang w:bidi="ar"/>
              </w:rPr>
              <w:t>中国建设银行股份有限公司福州金融街支行</w:t>
            </w:r>
          </w:p>
        </w:tc>
        <w:tc>
          <w:tcPr>
            <w:tcW w:w="2693" w:type="dxa"/>
            <w:noWrap/>
            <w:vAlign w:val="center"/>
          </w:tcPr>
          <w:p>
            <w:pPr>
              <w:widowControl/>
              <w:jc w:val="center"/>
              <w:textAlignment w:val="center"/>
              <w:rPr>
                <w:rFonts w:ascii="Arial" w:hAnsi="Arial" w:cs="Arial"/>
                <w:color w:val="000000"/>
                <w:sz w:val="24"/>
              </w:rPr>
            </w:pPr>
            <w:r>
              <w:rPr>
                <w:rFonts w:ascii="Arial" w:hAnsi="Arial" w:cs="Arial"/>
                <w:color w:val="000000"/>
                <w:kern w:val="0"/>
                <w:sz w:val="18"/>
                <w:szCs w:val="18"/>
                <w:lang w:bidi="ar"/>
              </w:rPr>
              <w:t>35050188740700001328</w:t>
            </w:r>
          </w:p>
        </w:tc>
        <w:tc>
          <w:tcPr>
            <w:tcW w:w="2218" w:type="dxa"/>
            <w:noWrap/>
            <w:vAlign w:val="center"/>
          </w:tcPr>
          <w:p>
            <w:pPr>
              <w:widowControl/>
              <w:jc w:val="center"/>
              <w:textAlignment w:val="center"/>
              <w:rPr>
                <w:rFonts w:ascii="Arial" w:hAnsi="Arial" w:cs="Arial"/>
                <w:color w:val="000000"/>
                <w:sz w:val="22"/>
                <w:szCs w:val="22"/>
              </w:rPr>
            </w:pPr>
            <w:r>
              <w:rPr>
                <w:rFonts w:ascii="Arial" w:hAnsi="Arial" w:cs="Arial"/>
                <w:color w:val="000000"/>
                <w:kern w:val="0"/>
                <w:sz w:val="18"/>
                <w:szCs w:val="18"/>
                <w:lang w:bidi="ar"/>
              </w:rPr>
              <w:t>53,018.48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20" w:type="dxa"/>
            <w:noWrap/>
            <w:vAlign w:val="center"/>
          </w:tcPr>
          <w:p>
            <w:pPr>
              <w:jc w:val="center"/>
              <w:rPr>
                <w:rFonts w:ascii="Arial" w:hAnsi="Arial" w:cs="Arial"/>
                <w:b/>
                <w:color w:val="000000"/>
                <w:sz w:val="18"/>
                <w:szCs w:val="15"/>
              </w:rPr>
            </w:pP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218" w:type="dxa"/>
            <w:noWrap/>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53,018.48</w:t>
            </w:r>
          </w:p>
        </w:tc>
      </w:tr>
    </w:tbl>
    <w:p>
      <w:pPr>
        <w:ind w:firstLine="420" w:firstLineChars="200"/>
        <w:rPr>
          <w:rFonts w:ascii="Arial" w:hAnsi="Arial" w:cs="Arial"/>
          <w:bCs/>
          <w:kern w:val="44"/>
          <w:szCs w:val="21"/>
        </w:rPr>
      </w:pPr>
    </w:p>
    <w:p>
      <w:pPr>
        <w:spacing w:line="480" w:lineRule="auto"/>
        <w:ind w:firstLine="420" w:firstLineChars="200"/>
        <w:rPr>
          <w:rFonts w:ascii="Arial" w:hAnsi="Arial" w:cs="Arial"/>
          <w:szCs w:val="21"/>
        </w:rPr>
      </w:pPr>
      <w:r>
        <w:rPr>
          <w:rFonts w:ascii="Arial" w:hAnsi="Arial" w:cs="Arial"/>
          <w:szCs w:val="21"/>
        </w:rPr>
        <w:t>根据项目公司提供的银行流水，截至2020年8月31日，项目公司各资金账户余额总计6,888,591.68元，各账户余额见下表。</w:t>
      </w:r>
    </w:p>
    <w:p>
      <w:pPr>
        <w:spacing w:before="240" w:beforeLines="100"/>
        <w:jc w:val="center"/>
        <w:rPr>
          <w:rFonts w:ascii="Arial" w:hAnsi="Arial" w:cs="Arial"/>
          <w:b/>
          <w:color w:val="000000"/>
          <w:sz w:val="24"/>
        </w:rPr>
      </w:pPr>
      <w:r>
        <w:rPr>
          <w:rFonts w:ascii="Arial" w:hAnsi="Arial" w:cs="Arial"/>
          <w:b/>
          <w:color w:val="000000"/>
          <w:sz w:val="24"/>
        </w:rPr>
        <w:t>截至2020年8月31日项目公司各银行账户余额汇总</w:t>
      </w:r>
    </w:p>
    <w:tbl>
      <w:tblPr>
        <w:tblStyle w:val="18"/>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blHeader/>
        </w:trPr>
        <w:tc>
          <w:tcPr>
            <w:tcW w:w="505"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13" w:type="dxa"/>
            <w:noWrap/>
            <w:vAlign w:val="center"/>
          </w:tcPr>
          <w:p>
            <w:pPr>
              <w:widowControl/>
              <w:jc w:val="center"/>
              <w:textAlignment w:val="center"/>
              <w:rPr>
                <w:rFonts w:ascii="Arial" w:hAnsi="Arial" w:cs="Arial"/>
                <w:color w:val="000000"/>
                <w:sz w:val="24"/>
              </w:rPr>
            </w:pPr>
            <w:r>
              <w:rPr>
                <w:rFonts w:ascii="Arial" w:hAnsi="Arial" w:cs="Arial"/>
                <w:sz w:val="18"/>
                <w:szCs w:val="18"/>
                <w:lang w:bidi="ar"/>
              </w:rPr>
              <w:t>中国建设银行股份有限公司福州城东支行</w:t>
            </w:r>
          </w:p>
        </w:tc>
        <w:tc>
          <w:tcPr>
            <w:tcW w:w="2680" w:type="dxa"/>
            <w:noWrap/>
            <w:vAlign w:val="center"/>
          </w:tcPr>
          <w:p>
            <w:pPr>
              <w:widowControl/>
              <w:jc w:val="center"/>
              <w:textAlignment w:val="center"/>
              <w:rPr>
                <w:rFonts w:ascii="Arial" w:hAnsi="Arial" w:cs="Arial"/>
                <w:color w:val="000000"/>
                <w:sz w:val="24"/>
              </w:rPr>
            </w:pPr>
            <w:r>
              <w:rPr>
                <w:rFonts w:ascii="Arial" w:hAnsi="Arial" w:cs="Arial"/>
                <w:color w:val="000000"/>
                <w:kern w:val="0"/>
                <w:sz w:val="18"/>
                <w:szCs w:val="18"/>
                <w:lang w:bidi="ar"/>
              </w:rPr>
              <w:t>35050161000700006536</w:t>
            </w:r>
          </w:p>
        </w:tc>
        <w:tc>
          <w:tcPr>
            <w:tcW w:w="2220" w:type="dxa"/>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6,888,591.68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505" w:type="dxa"/>
            <w:noWrap/>
            <w:vAlign w:val="center"/>
          </w:tcPr>
          <w:p>
            <w:pPr>
              <w:jc w:val="center"/>
              <w:rPr>
                <w:rFonts w:ascii="Arial" w:hAnsi="Arial" w:cs="Arial"/>
                <w:b/>
                <w:color w:val="000000"/>
                <w:sz w:val="18"/>
                <w:szCs w:val="15"/>
              </w:rPr>
            </w:pP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220" w:type="dxa"/>
            <w:noWrap/>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6,888,591.68</w:t>
            </w:r>
          </w:p>
        </w:tc>
      </w:tr>
    </w:tbl>
    <w:p>
      <w:pPr>
        <w:pStyle w:val="2"/>
        <w:keepNext w:val="0"/>
        <w:keepLines w:val="0"/>
        <w:spacing w:before="300" w:after="300" w:line="360" w:lineRule="exact"/>
        <w:jc w:val="left"/>
        <w:rPr>
          <w:rFonts w:ascii="Arial" w:hAnsi="Arial" w:cs="Arial"/>
          <w:color w:val="000000"/>
          <w:sz w:val="24"/>
          <w:szCs w:val="24"/>
        </w:rPr>
      </w:pPr>
      <w:bookmarkStart w:id="370" w:name="_Toc14795"/>
      <w:bookmarkStart w:id="371" w:name="_Toc28705"/>
      <w:bookmarkStart w:id="372" w:name="_Toc32594"/>
      <w:bookmarkStart w:id="373" w:name="_Toc8867"/>
      <w:bookmarkStart w:id="374" w:name="_Toc15728"/>
      <w:bookmarkStart w:id="375" w:name="_Toc100"/>
      <w:bookmarkStart w:id="376" w:name="_Toc7872"/>
      <w:bookmarkStart w:id="377" w:name="_Toc23061"/>
      <w:bookmarkStart w:id="378" w:name="_Toc8417"/>
      <w:bookmarkStart w:id="379" w:name="_Toc4564"/>
      <w:bookmarkStart w:id="380" w:name="_Toc18260"/>
      <w:bookmarkStart w:id="381" w:name="_Toc32243"/>
      <w:bookmarkStart w:id="382" w:name="_Toc13542"/>
      <w:bookmarkStart w:id="383" w:name="_Toc22072"/>
      <w:bookmarkStart w:id="384" w:name="_Toc2816"/>
      <w:bookmarkStart w:id="385" w:name="_Toc18101"/>
      <w:bookmarkStart w:id="386" w:name="_Toc27779"/>
      <w:bookmarkStart w:id="387" w:name="_Toc11940"/>
      <w:bookmarkStart w:id="388" w:name="_Toc27863"/>
      <w:bookmarkStart w:id="389" w:name="_Toc31576"/>
      <w:bookmarkStart w:id="390" w:name="_Toc704"/>
      <w:r>
        <w:rPr>
          <w:rFonts w:hint="eastAsia" w:ascii="Arial" w:hAnsi="Arial" w:cs="Arial"/>
          <w:color w:val="000000"/>
          <w:sz w:val="24"/>
          <w:szCs w:val="24"/>
        </w:rPr>
        <w:t>7项目成本统计</w:t>
      </w:r>
      <w:bookmarkEnd w:id="370"/>
      <w:bookmarkEnd w:id="371"/>
      <w:bookmarkEnd w:id="372"/>
      <w:bookmarkEnd w:id="373"/>
      <w:bookmarkEnd w:id="374"/>
      <w:bookmarkEnd w:id="375"/>
      <w:bookmarkEnd w:id="376"/>
      <w:bookmarkEnd w:id="377"/>
      <w:bookmarkEnd w:id="378"/>
      <w:bookmarkEnd w:id="379"/>
      <w:bookmarkEnd w:id="380"/>
      <w:bookmarkEnd w:id="381"/>
      <w:bookmarkEnd w:id="382"/>
    </w:p>
    <w:p>
      <w:pPr>
        <w:pStyle w:val="3"/>
        <w:keepNext w:val="0"/>
        <w:keepLines w:val="0"/>
        <w:spacing w:before="300" w:after="300" w:line="360" w:lineRule="exact"/>
        <w:jc w:val="left"/>
        <w:rPr>
          <w:rFonts w:eastAsia="宋体" w:cs="Arial"/>
          <w:sz w:val="24"/>
        </w:rPr>
      </w:pPr>
      <w:bookmarkStart w:id="391" w:name="_Toc15407"/>
      <w:bookmarkStart w:id="392" w:name="_Toc227"/>
      <w:bookmarkStart w:id="393" w:name="_Toc13627"/>
      <w:bookmarkStart w:id="394" w:name="_Toc5703"/>
      <w:bookmarkStart w:id="395" w:name="_Toc12349"/>
      <w:bookmarkStart w:id="396" w:name="_Toc3669"/>
      <w:bookmarkStart w:id="397" w:name="_Toc9983"/>
      <w:bookmarkStart w:id="398" w:name="_Toc31778"/>
      <w:bookmarkStart w:id="399" w:name="_Toc31081"/>
      <w:bookmarkStart w:id="400" w:name="_Toc30894"/>
      <w:bookmarkStart w:id="401" w:name="_Toc28506"/>
      <w:bookmarkStart w:id="402" w:name="_Toc17565"/>
      <w:bookmarkStart w:id="403" w:name="_Toc10911"/>
      <w:r>
        <w:rPr>
          <w:rFonts w:hint="eastAsia" w:cs="Arial"/>
          <w:color w:val="000000"/>
          <w:sz w:val="24"/>
          <w:szCs w:val="24"/>
        </w:rPr>
        <w:t>7.1</w:t>
      </w:r>
      <w:r>
        <w:rPr>
          <w:rFonts w:eastAsia="宋体" w:cs="Arial"/>
          <w:sz w:val="24"/>
        </w:rPr>
        <w:t>资金</w:t>
      </w:r>
      <w:r>
        <w:rPr>
          <w:rFonts w:hint="eastAsia" w:eastAsia="宋体" w:cs="Arial"/>
          <w:sz w:val="24"/>
        </w:rPr>
        <w:t>使用</w:t>
      </w:r>
      <w:r>
        <w:rPr>
          <w:rFonts w:eastAsia="宋体" w:cs="Arial"/>
          <w:sz w:val="24"/>
        </w:rPr>
        <w:t>情况</w:t>
      </w:r>
      <w:r>
        <w:rPr>
          <w:rFonts w:hint="eastAsia" w:eastAsia="宋体" w:cs="Arial"/>
          <w:sz w:val="24"/>
        </w:rPr>
        <w:t>统计</w:t>
      </w:r>
      <w:bookmarkEnd w:id="391"/>
      <w:bookmarkEnd w:id="392"/>
      <w:bookmarkEnd w:id="393"/>
      <w:bookmarkEnd w:id="394"/>
      <w:bookmarkEnd w:id="395"/>
      <w:bookmarkEnd w:id="396"/>
      <w:bookmarkEnd w:id="397"/>
      <w:bookmarkEnd w:id="398"/>
      <w:bookmarkEnd w:id="399"/>
      <w:bookmarkEnd w:id="400"/>
      <w:bookmarkEnd w:id="401"/>
      <w:bookmarkEnd w:id="402"/>
      <w:bookmarkEnd w:id="403"/>
    </w:p>
    <w:p>
      <w:pPr>
        <w:spacing w:line="480" w:lineRule="auto"/>
        <w:ind w:firstLine="420" w:firstLineChars="200"/>
        <w:rPr>
          <w:rFonts w:ascii="Arial" w:hAnsi="Arial" w:cs="Arial"/>
          <w:szCs w:val="21"/>
        </w:rPr>
      </w:pPr>
      <w:r>
        <w:rPr>
          <w:rFonts w:ascii="Arial" w:hAnsi="Arial" w:cs="Arial"/>
          <w:szCs w:val="21"/>
        </w:rPr>
        <w:t>根据</w:t>
      </w:r>
      <w:r>
        <w:rPr>
          <w:rFonts w:hint="eastAsia" w:ascii="Arial" w:hAnsi="Arial" w:cs="Arial"/>
          <w:szCs w:val="21"/>
          <w:lang w:eastAsia="zh-CN"/>
        </w:rPr>
        <w:t>信托尽调报告</w:t>
      </w:r>
      <w:r>
        <w:rPr>
          <w:rFonts w:hint="eastAsia" w:ascii="Arial" w:hAnsi="Arial" w:cs="Arial"/>
          <w:szCs w:val="21"/>
        </w:rPr>
        <w:t>，项目总目标成本662,014</w:t>
      </w:r>
      <w:r>
        <w:rPr>
          <w:rFonts w:hint="eastAsia" w:ascii="Arial" w:hAnsi="Arial" w:cs="Arial"/>
          <w:szCs w:val="21"/>
          <w:lang w:val="en-US" w:eastAsia="zh-CN"/>
        </w:rPr>
        <w:t>.00</w:t>
      </w:r>
      <w:r>
        <w:rPr>
          <w:rFonts w:hint="eastAsia" w:ascii="Arial" w:hAnsi="Arial" w:cs="Arial"/>
          <w:szCs w:val="21"/>
        </w:rPr>
        <w:t>万元，建面单方成本约23,001</w:t>
      </w:r>
      <w:r>
        <w:rPr>
          <w:rFonts w:hint="eastAsia" w:ascii="Arial" w:hAnsi="Arial" w:cs="Arial"/>
          <w:szCs w:val="21"/>
          <w:lang w:val="en-US" w:eastAsia="zh-CN"/>
        </w:rPr>
        <w:t>.00</w:t>
      </w:r>
      <w:r>
        <w:rPr>
          <w:rFonts w:hint="eastAsia" w:ascii="Arial" w:hAnsi="Arial" w:cs="Arial"/>
          <w:szCs w:val="21"/>
        </w:rPr>
        <w:t>元</w:t>
      </w:r>
      <w:r>
        <w:rPr>
          <w:rFonts w:ascii="Arial" w:hAnsi="Arial" w:cs="Arial"/>
          <w:szCs w:val="21"/>
        </w:rPr>
        <w:t>/㎡</w:t>
      </w:r>
      <w:r>
        <w:rPr>
          <w:rFonts w:hint="eastAsia" w:ascii="Arial" w:hAnsi="Arial" w:cs="Arial"/>
          <w:szCs w:val="21"/>
        </w:rPr>
        <w:t xml:space="preserve">。截至2020年8月31日，项目已使用资金 </w:t>
      </w:r>
      <w:r>
        <w:rPr>
          <w:rFonts w:hint="eastAsia" w:ascii="Arial" w:hAnsi="Arial" w:cs="Arial"/>
          <w:szCs w:val="21"/>
          <w:lang w:val="en-US" w:eastAsia="zh-CN"/>
        </w:rPr>
        <w:t>157,157.81万</w:t>
      </w:r>
      <w:r>
        <w:rPr>
          <w:rFonts w:hint="eastAsia" w:ascii="Arial" w:hAnsi="Arial" w:cs="Arial"/>
          <w:szCs w:val="21"/>
        </w:rPr>
        <w:t>元，其中本期已使用 3</w:t>
      </w:r>
      <w:r>
        <w:rPr>
          <w:rFonts w:hint="eastAsia" w:ascii="Arial" w:hAnsi="Arial" w:cs="Arial"/>
          <w:szCs w:val="21"/>
          <w:lang w:val="en-US" w:eastAsia="zh-CN"/>
        </w:rPr>
        <w:t>4.57万</w:t>
      </w:r>
      <w:r>
        <w:rPr>
          <w:rFonts w:hint="eastAsia" w:ascii="Arial" w:hAnsi="Arial" w:cs="Arial"/>
          <w:szCs w:val="21"/>
        </w:rPr>
        <w:t>元，资金使用汇总</w:t>
      </w:r>
      <w:r>
        <w:rPr>
          <w:rFonts w:hint="eastAsia" w:ascii="Arial" w:hAnsi="Arial" w:cs="Arial"/>
          <w:szCs w:val="21"/>
          <w:lang w:eastAsia="zh-CN"/>
        </w:rPr>
        <w:t>情况</w:t>
      </w:r>
      <w:r>
        <w:rPr>
          <w:rFonts w:hint="eastAsia" w:ascii="Arial" w:hAnsi="Arial" w:cs="Arial"/>
          <w:szCs w:val="21"/>
        </w:rPr>
        <w:t>详见下表：</w:t>
      </w:r>
    </w:p>
    <w:tbl>
      <w:tblPr>
        <w:tblStyle w:val="18"/>
        <w:tblW w:w="9058"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968"/>
        <w:gridCol w:w="2053"/>
        <w:gridCol w:w="2155"/>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w:t>
            </w:r>
          </w:p>
        </w:tc>
        <w:tc>
          <w:tcPr>
            <w:tcW w:w="1968"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项目公司目标成本</w:t>
            </w:r>
          </w:p>
          <w:p>
            <w:pPr>
              <w:widowControl/>
              <w:jc w:val="center"/>
              <w:rPr>
                <w:rFonts w:hint="eastAsia" w:ascii="Arial" w:hAnsi="Arial" w:eastAsia="宋体" w:cs="Arial"/>
                <w:b/>
                <w:bCs/>
                <w:color w:val="000000"/>
                <w:kern w:val="0"/>
                <w:sz w:val="18"/>
                <w:szCs w:val="18"/>
                <w:lang w:eastAsia="zh-CN"/>
              </w:rPr>
            </w:pPr>
            <w:r>
              <w:rPr>
                <w:rFonts w:hint="eastAsia" w:ascii="Arial" w:hAnsi="Arial" w:cs="Arial"/>
                <w:b/>
                <w:bCs/>
                <w:color w:val="000000"/>
                <w:kern w:val="0"/>
                <w:sz w:val="18"/>
                <w:szCs w:val="18"/>
                <w:lang w:eastAsia="zh-CN"/>
              </w:rPr>
              <w:t>（元）</w:t>
            </w:r>
          </w:p>
        </w:tc>
        <w:tc>
          <w:tcPr>
            <w:tcW w:w="2053" w:type="dxa"/>
            <w:noWrap/>
            <w:vAlign w:val="center"/>
          </w:tcPr>
          <w:p>
            <w:pPr>
              <w:widowControl/>
              <w:jc w:val="center"/>
              <w:rPr>
                <w:rFonts w:hint="eastAsia" w:ascii="Arial" w:hAnsi="Arial" w:eastAsia="宋体" w:cs="Arial"/>
                <w:b/>
                <w:bCs/>
                <w:color w:val="000000"/>
                <w:kern w:val="0"/>
                <w:sz w:val="18"/>
                <w:szCs w:val="18"/>
                <w:lang w:eastAsia="zh-CN"/>
              </w:rPr>
            </w:pPr>
            <w:r>
              <w:rPr>
                <w:rFonts w:ascii="Arial" w:hAnsi="Arial" w:cs="Arial"/>
                <w:b/>
                <w:bCs/>
                <w:color w:val="000000"/>
                <w:kern w:val="0"/>
                <w:sz w:val="18"/>
                <w:szCs w:val="18"/>
              </w:rPr>
              <w:t>2020年8月份</w:t>
            </w:r>
            <w:r>
              <w:rPr>
                <w:rFonts w:hint="eastAsia" w:ascii="Arial" w:hAnsi="Arial" w:cs="Arial"/>
                <w:b/>
                <w:bCs/>
                <w:color w:val="000000"/>
                <w:kern w:val="0"/>
                <w:sz w:val="18"/>
                <w:szCs w:val="18"/>
                <w:lang w:eastAsia="zh-CN"/>
              </w:rPr>
              <w:t>（</w:t>
            </w:r>
            <w:r>
              <w:rPr>
                <w:rFonts w:hint="eastAsia" w:ascii="Arial" w:hAnsi="Arial" w:cs="Arial"/>
                <w:b/>
                <w:bCs/>
                <w:color w:val="000000"/>
                <w:kern w:val="0"/>
                <w:sz w:val="18"/>
                <w:szCs w:val="18"/>
                <w:lang w:val="en-US" w:eastAsia="zh-CN"/>
              </w:rPr>
              <w:t>入场后</w:t>
            </w:r>
            <w:r>
              <w:rPr>
                <w:rFonts w:hint="eastAsia" w:ascii="Arial" w:hAnsi="Arial" w:cs="Arial"/>
                <w:b/>
                <w:bCs/>
                <w:color w:val="000000"/>
                <w:kern w:val="0"/>
                <w:sz w:val="18"/>
                <w:szCs w:val="18"/>
                <w:lang w:eastAsia="zh-CN"/>
              </w:rPr>
              <w:t>）</w:t>
            </w:r>
          </w:p>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lang w:eastAsia="zh-CN"/>
              </w:rPr>
              <w:t>（元）</w:t>
            </w:r>
          </w:p>
        </w:tc>
        <w:tc>
          <w:tcPr>
            <w:tcW w:w="2155"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截至2020年8月31日累计成本</w:t>
            </w:r>
            <w:r>
              <w:rPr>
                <w:rFonts w:hint="eastAsia" w:ascii="Arial" w:hAnsi="Arial" w:cs="Arial"/>
                <w:b/>
                <w:bCs/>
                <w:color w:val="000000"/>
                <w:kern w:val="0"/>
                <w:sz w:val="18"/>
                <w:szCs w:val="18"/>
                <w:lang w:eastAsia="zh-CN"/>
              </w:rPr>
              <w:t>（元）</w:t>
            </w:r>
          </w:p>
        </w:tc>
        <w:tc>
          <w:tcPr>
            <w:tcW w:w="1610"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占目标成本比例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9058" w:type="dxa"/>
            <w:gridSpan w:val="5"/>
            <w:noWrap/>
            <w:vAlign w:val="center"/>
          </w:tcPr>
          <w:p>
            <w:pPr>
              <w:widowControl/>
              <w:jc w:val="left"/>
              <w:rPr>
                <w:rFonts w:ascii="Arial" w:hAnsi="Arial" w:cs="Arial"/>
                <w:color w:val="000000"/>
                <w:kern w:val="0"/>
                <w:sz w:val="18"/>
                <w:szCs w:val="18"/>
              </w:rPr>
            </w:pPr>
            <w:r>
              <w:rPr>
                <w:rFonts w:hint="eastAsia" w:ascii="Arial" w:hAnsi="Arial" w:cs="Arial"/>
                <w:color w:val="000000"/>
                <w:kern w:val="0"/>
                <w:sz w:val="18"/>
                <w:szCs w:val="18"/>
              </w:rPr>
              <w:t>一、土地费用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原始土地成本</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2,959,000,000.00</w:t>
            </w:r>
          </w:p>
        </w:tc>
        <w:tc>
          <w:tcPr>
            <w:tcW w:w="2053" w:type="dxa"/>
            <w:noWrap/>
            <w:vAlign w:val="center"/>
          </w:tcPr>
          <w:p>
            <w:pPr>
              <w:keepNext w:val="0"/>
              <w:keepLines w:val="0"/>
              <w:widowControl/>
              <w:suppressLineNumbers w:val="0"/>
              <w:jc w:val="center"/>
              <w:textAlignment w:val="auto"/>
              <w:rPr>
                <w:rFonts w:hint="default" w:ascii="Arial" w:hAnsi="Arial" w:eastAsia="宋体" w:cs="Arial"/>
                <w:i w:val="0"/>
                <w:color w:val="000000"/>
                <w:kern w:val="0"/>
                <w:sz w:val="18"/>
                <w:szCs w:val="18"/>
                <w:u w:val="none"/>
                <w:lang w:val="en-US" w:eastAsia="zh-CN" w:bidi="ar-SA"/>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b/>
                <w:bCs/>
                <w:color w:val="000000"/>
                <w:kern w:val="0"/>
                <w:sz w:val="18"/>
                <w:szCs w:val="18"/>
              </w:rPr>
            </w:pPr>
            <w:r>
              <w:rPr>
                <w:rFonts w:hint="eastAsia" w:ascii="Arial" w:hAnsi="Arial" w:cs="Arial"/>
                <w:i w:val="0"/>
                <w:color w:val="000000"/>
                <w:kern w:val="0"/>
                <w:sz w:val="18"/>
                <w:szCs w:val="18"/>
                <w:u w:val="none"/>
                <w:lang w:val="en-US" w:eastAsia="zh-CN" w:bidi="ar"/>
              </w:rPr>
              <w:t>1,479,5</w:t>
            </w:r>
            <w:r>
              <w:rPr>
                <w:rFonts w:hint="default" w:ascii="Arial" w:hAnsi="Arial" w:cs="Arial"/>
                <w:i w:val="0"/>
                <w:color w:val="000000"/>
                <w:kern w:val="0"/>
                <w:sz w:val="18"/>
                <w:szCs w:val="18"/>
                <w:u w:val="none"/>
                <w:lang w:val="en-US" w:eastAsia="zh-CN" w:bidi="ar"/>
              </w:rPr>
              <w:t>00,000.00</w:t>
            </w:r>
          </w:p>
        </w:tc>
        <w:tc>
          <w:tcPr>
            <w:tcW w:w="1610" w:type="dxa"/>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契税</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88,770,000.00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88,770,000.00</w:t>
            </w:r>
          </w:p>
        </w:tc>
        <w:tc>
          <w:tcPr>
            <w:tcW w:w="1610" w:type="dxa"/>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058" w:type="dxa"/>
            <w:gridSpan w:val="5"/>
            <w:noWrap/>
            <w:vAlign w:val="center"/>
          </w:tcPr>
          <w:p>
            <w:pPr>
              <w:widowControl/>
              <w:jc w:val="left"/>
              <w:rPr>
                <w:rFonts w:ascii="Arial" w:hAnsi="Arial" w:cs="Arial"/>
                <w:color w:val="000000"/>
                <w:kern w:val="0"/>
                <w:sz w:val="18"/>
                <w:szCs w:val="18"/>
                <w:lang w:bidi="ar"/>
              </w:rPr>
            </w:pPr>
            <w:r>
              <w:rPr>
                <w:rFonts w:hint="eastAsia" w:ascii="Arial" w:hAnsi="Arial" w:cs="Arial"/>
                <w:color w:val="000000"/>
                <w:kern w:val="0"/>
                <w:sz w:val="18"/>
                <w:szCs w:val="18"/>
                <w:lang w:bidi="ar"/>
              </w:rPr>
              <w:t>二、承诺成本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272" w:type="dxa"/>
            <w:noWrap/>
            <w:vAlign w:val="center"/>
          </w:tcPr>
          <w:p>
            <w:pPr>
              <w:widowControl/>
              <w:jc w:val="center"/>
              <w:rPr>
                <w:rFonts w:ascii="Arial" w:hAnsi="Arial" w:cs="Arial"/>
                <w:color w:val="000000"/>
                <w:kern w:val="0"/>
                <w:sz w:val="18"/>
                <w:szCs w:val="18"/>
              </w:rPr>
            </w:pPr>
            <w:r>
              <w:rPr>
                <w:rFonts w:ascii="Arial" w:hAnsi="Arial" w:cs="Arial"/>
                <w:b/>
                <w:bCs/>
                <w:color w:val="000000"/>
                <w:kern w:val="0"/>
                <w:sz w:val="18"/>
                <w:szCs w:val="18"/>
              </w:rPr>
              <w:t>前期费用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63,580,000.00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284,321.00</w:t>
            </w:r>
          </w:p>
        </w:tc>
        <w:tc>
          <w:tcPr>
            <w:tcW w:w="2155"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bidi="ar"/>
              </w:rPr>
              <w:t>1,364</w:t>
            </w:r>
            <w:r>
              <w:rPr>
                <w:rFonts w:ascii="Arial" w:hAnsi="Arial" w:cs="Arial"/>
                <w:color w:val="000000"/>
                <w:kern w:val="0"/>
                <w:sz w:val="18"/>
                <w:szCs w:val="18"/>
                <w:lang w:bidi="ar"/>
              </w:rPr>
              <w:t>,321.00</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bidi="ar"/>
              </w:rPr>
              <w:t>2.15</w:t>
            </w:r>
            <w:r>
              <w:rPr>
                <w:rFonts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建安工程</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1,516,490,000.00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基础设施费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186,860,000.00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公共配套实施费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122,540,000.00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058" w:type="dxa"/>
            <w:gridSpan w:val="5"/>
            <w:noWrap/>
            <w:vAlign w:val="center"/>
          </w:tcPr>
          <w:p>
            <w:pPr>
              <w:widowControl/>
              <w:jc w:val="left"/>
              <w:rPr>
                <w:rFonts w:ascii="Arial" w:hAnsi="Arial" w:cs="Arial"/>
                <w:color w:val="000000"/>
                <w:kern w:val="0"/>
                <w:sz w:val="18"/>
                <w:szCs w:val="18"/>
                <w:lang w:bidi="ar"/>
              </w:rPr>
            </w:pPr>
            <w:r>
              <w:rPr>
                <w:rFonts w:hint="eastAsia" w:ascii="Arial" w:hAnsi="Arial" w:cs="Arial"/>
                <w:color w:val="000000"/>
                <w:kern w:val="0"/>
                <w:sz w:val="18"/>
                <w:szCs w:val="18"/>
                <w:lang w:bidi="ar"/>
              </w:rPr>
              <w:t>三、期间费用和税费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财务费用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177,100,000.00</w:t>
            </w:r>
          </w:p>
        </w:tc>
        <w:tc>
          <w:tcPr>
            <w:tcW w:w="2053"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bidi="ar"/>
              </w:rPr>
              <w:t>92.8</w:t>
            </w:r>
          </w:p>
        </w:tc>
        <w:tc>
          <w:tcPr>
            <w:tcW w:w="2155" w:type="dxa"/>
            <w:noWrap/>
            <w:vAlign w:val="center"/>
          </w:tcPr>
          <w:p>
            <w:pPr>
              <w:keepNext w:val="0"/>
              <w:keepLines w:val="0"/>
              <w:widowControl/>
              <w:suppressLineNumbers w:val="0"/>
              <w:jc w:val="center"/>
              <w:textAlignment w:val="bottom"/>
              <w:rPr>
                <w:rFonts w:ascii="Arial" w:hAnsi="Arial" w:eastAsia="宋体" w:cs="Arial"/>
                <w:i w:val="0"/>
                <w:color w:val="000000"/>
                <w:kern w:val="2"/>
                <w:sz w:val="20"/>
                <w:szCs w:val="20"/>
                <w:u w:val="none"/>
                <w:lang w:val="en-US" w:eastAsia="zh-CN" w:bidi="ar-SA"/>
              </w:rPr>
            </w:pPr>
            <w:r>
              <w:rPr>
                <w:rFonts w:hint="default" w:ascii="Arial" w:hAnsi="Arial" w:eastAsia="宋体" w:cs="Arial"/>
                <w:i w:val="0"/>
                <w:color w:val="000000"/>
                <w:kern w:val="0"/>
                <w:sz w:val="20"/>
                <w:szCs w:val="20"/>
                <w:u w:val="none"/>
                <w:lang w:val="en-US" w:eastAsia="zh-CN" w:bidi="ar"/>
              </w:rPr>
              <w:t>2</w:t>
            </w:r>
            <w:r>
              <w:rPr>
                <w:rFonts w:hint="eastAsia" w:ascii="Arial" w:hAnsi="Arial" w:cs="Arial"/>
                <w:i w:val="0"/>
                <w:color w:val="000000"/>
                <w:kern w:val="0"/>
                <w:sz w:val="20"/>
                <w:szCs w:val="20"/>
                <w:u w:val="none"/>
                <w:lang w:val="en-US" w:eastAsia="zh-CN" w:bidi="ar"/>
              </w:rPr>
              <w:t>,</w:t>
            </w:r>
            <w:r>
              <w:rPr>
                <w:rFonts w:hint="default" w:ascii="Arial" w:hAnsi="Arial" w:eastAsia="宋体" w:cs="Arial"/>
                <w:i w:val="0"/>
                <w:color w:val="000000"/>
                <w:kern w:val="0"/>
                <w:sz w:val="20"/>
                <w:szCs w:val="20"/>
                <w:u w:val="none"/>
                <w:lang w:val="en-US" w:eastAsia="zh-CN" w:bidi="ar"/>
              </w:rPr>
              <w:t>088.68</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1,216,460,000.00</w:t>
            </w:r>
          </w:p>
        </w:tc>
        <w:tc>
          <w:tcPr>
            <w:tcW w:w="2053" w:type="dxa"/>
            <w:noWrap/>
            <w:vAlign w:val="center"/>
          </w:tcPr>
          <w:p>
            <w:pPr>
              <w:widowControl/>
              <w:jc w:val="center"/>
              <w:rPr>
                <w:rFonts w:hint="default" w:ascii="Arial" w:hAnsi="Arial" w:eastAsia="宋体" w:cs="Arial"/>
                <w:color w:val="000000"/>
                <w:kern w:val="0"/>
                <w:sz w:val="18"/>
                <w:szCs w:val="18"/>
                <w:lang w:val="en-US" w:eastAsia="zh-CN"/>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rPr>
              <w:t>1,479,500.00</w:t>
            </w:r>
          </w:p>
        </w:tc>
        <w:tc>
          <w:tcPr>
            <w:tcW w:w="1610" w:type="dxa"/>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151,680,000.00</w:t>
            </w:r>
          </w:p>
        </w:tc>
        <w:tc>
          <w:tcPr>
            <w:tcW w:w="2053"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bidi="ar"/>
              </w:rPr>
              <w:t>61</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239</w:t>
            </w:r>
            <w:r>
              <w:rPr>
                <w:rFonts w:ascii="Arial" w:hAnsi="Arial" w:cs="Arial"/>
                <w:color w:val="000000"/>
                <w:kern w:val="0"/>
                <w:sz w:val="18"/>
                <w:szCs w:val="18"/>
                <w:lang w:bidi="ar"/>
              </w:rPr>
              <w:t>.76</w:t>
            </w:r>
          </w:p>
        </w:tc>
        <w:tc>
          <w:tcPr>
            <w:tcW w:w="2155" w:type="dxa"/>
            <w:noWrap/>
            <w:vAlign w:val="center"/>
          </w:tcPr>
          <w:p>
            <w:pPr>
              <w:keepNext w:val="0"/>
              <w:keepLines w:val="0"/>
              <w:widowControl/>
              <w:suppressLineNumbers w:val="0"/>
              <w:jc w:val="center"/>
              <w:textAlignment w:val="bottom"/>
              <w:rPr>
                <w:rFonts w:ascii="Arial" w:hAnsi="Arial" w:eastAsia="宋体" w:cs="Arial"/>
                <w:i w:val="0"/>
                <w:color w:val="000000"/>
                <w:kern w:val="2"/>
                <w:sz w:val="20"/>
                <w:szCs w:val="20"/>
                <w:highlight w:val="none"/>
                <w:u w:val="none"/>
                <w:lang w:val="en-US" w:eastAsia="zh-CN" w:bidi="ar-SA"/>
              </w:rPr>
            </w:pPr>
            <w:r>
              <w:rPr>
                <w:rFonts w:hint="eastAsia" w:ascii="Arial" w:hAnsi="Arial" w:eastAsia="宋体" w:cs="Arial"/>
                <w:i w:val="0"/>
                <w:color w:val="000000"/>
                <w:kern w:val="0"/>
                <w:sz w:val="18"/>
                <w:szCs w:val="18"/>
                <w:highlight w:val="none"/>
                <w:u w:val="none"/>
                <w:lang w:val="en-US" w:eastAsia="zh-CN" w:bidi="ar"/>
              </w:rPr>
              <w:t>462</w:t>
            </w:r>
            <w:r>
              <w:rPr>
                <w:rFonts w:hint="eastAsia" w:ascii="Arial" w:hAnsi="Arial" w:cs="Arial"/>
                <w:i w:val="0"/>
                <w:color w:val="000000"/>
                <w:kern w:val="0"/>
                <w:sz w:val="18"/>
                <w:szCs w:val="18"/>
                <w:highlight w:val="none"/>
                <w:u w:val="none"/>
                <w:lang w:val="en-US" w:eastAsia="zh-CN" w:bidi="ar"/>
              </w:rPr>
              <w:t>,</w:t>
            </w:r>
            <w:r>
              <w:rPr>
                <w:rFonts w:hint="eastAsia" w:ascii="Arial" w:hAnsi="Arial" w:eastAsia="宋体" w:cs="Arial"/>
                <w:i w:val="0"/>
                <w:color w:val="000000"/>
                <w:kern w:val="0"/>
                <w:sz w:val="18"/>
                <w:szCs w:val="18"/>
                <w:highlight w:val="none"/>
                <w:u w:val="none"/>
                <w:lang w:val="en-US" w:eastAsia="zh-CN" w:bidi="ar"/>
              </w:rPr>
              <w:t>224.18</w:t>
            </w:r>
          </w:p>
        </w:tc>
        <w:tc>
          <w:tcPr>
            <w:tcW w:w="1610" w:type="dxa"/>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137,680,000.00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1968"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6,620,140,000.00</w:t>
            </w:r>
          </w:p>
        </w:tc>
        <w:tc>
          <w:tcPr>
            <w:tcW w:w="2053" w:type="dxa"/>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lang w:val="en-US" w:eastAsia="zh-CN" w:bidi="ar"/>
              </w:rPr>
              <w:t>345,653.56</w:t>
            </w:r>
          </w:p>
        </w:tc>
        <w:tc>
          <w:tcPr>
            <w:tcW w:w="2155" w:type="dxa"/>
            <w:noWrap/>
            <w:vAlign w:val="center"/>
          </w:tcPr>
          <w:p>
            <w:pPr>
              <w:widowControl/>
              <w:jc w:val="center"/>
              <w:rPr>
                <w:rFonts w:hint="default" w:ascii="Arial" w:hAnsi="Arial" w:eastAsia="宋体" w:cs="Arial"/>
                <w:b/>
                <w:bCs/>
                <w:color w:val="000000"/>
                <w:kern w:val="0"/>
                <w:sz w:val="18"/>
                <w:szCs w:val="18"/>
                <w:lang w:val="en-US" w:eastAsia="zh-CN" w:bidi="ar"/>
              </w:rPr>
            </w:pPr>
            <w:r>
              <w:rPr>
                <w:rFonts w:hint="eastAsia" w:ascii="Arial" w:hAnsi="Arial" w:cs="Arial"/>
                <w:b/>
                <w:bCs/>
                <w:color w:val="000000"/>
                <w:kern w:val="0"/>
                <w:sz w:val="18"/>
                <w:szCs w:val="18"/>
                <w:lang w:val="en-US" w:eastAsia="zh-CN" w:bidi="ar"/>
              </w:rPr>
              <w:t>1,571,578,133.86</w:t>
            </w:r>
          </w:p>
        </w:tc>
        <w:tc>
          <w:tcPr>
            <w:tcW w:w="1610" w:type="dxa"/>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lang w:val="en-US" w:eastAsia="zh-CN" w:bidi="ar"/>
              </w:rPr>
              <w:t>23.74%</w:t>
            </w:r>
          </w:p>
        </w:tc>
      </w:tr>
    </w:tbl>
    <w:p>
      <w:pPr>
        <w:ind w:firstLine="360" w:firstLineChars="200"/>
        <w:jc w:val="left"/>
        <w:rPr>
          <w:rFonts w:ascii="Arial" w:hAnsi="Arial" w:cs="Arial"/>
          <w:sz w:val="18"/>
          <w:szCs w:val="18"/>
        </w:rPr>
      </w:pPr>
      <w:r>
        <w:rPr>
          <w:rFonts w:hint="default" w:ascii="Arial" w:hAnsi="Arial" w:cs="Arial"/>
          <w:sz w:val="18"/>
          <w:szCs w:val="18"/>
        </w:rPr>
        <w:t>注：</w:t>
      </w:r>
      <w:r>
        <w:rPr>
          <w:rFonts w:hint="default" w:ascii="Arial" w:hAnsi="Arial" w:cs="Arial"/>
          <w:sz w:val="18"/>
          <w:szCs w:val="18"/>
          <w:lang w:val="en-US" w:eastAsia="zh-CN"/>
        </w:rPr>
        <w:t>1、项目公司目标成本</w:t>
      </w:r>
      <w:r>
        <w:rPr>
          <w:rFonts w:ascii="Arial" w:hAnsi="Arial" w:cs="Arial"/>
          <w:bCs/>
          <w:kern w:val="44"/>
          <w:sz w:val="18"/>
          <w:szCs w:val="18"/>
        </w:rPr>
        <w:t>来源于</w:t>
      </w:r>
      <w:r>
        <w:rPr>
          <w:rFonts w:hint="default" w:ascii="Arial" w:hAnsi="Arial" w:cs="Arial"/>
          <w:bCs/>
          <w:kern w:val="44"/>
          <w:sz w:val="18"/>
          <w:szCs w:val="18"/>
          <w:lang w:eastAsia="zh-CN"/>
        </w:rPr>
        <w:t>信托尽调报告</w:t>
      </w:r>
      <w:r>
        <w:rPr>
          <w:rFonts w:ascii="Arial" w:hAnsi="Arial" w:cs="Arial"/>
          <w:bCs/>
          <w:kern w:val="44"/>
          <w:sz w:val="18"/>
          <w:szCs w:val="18"/>
        </w:rPr>
        <w:t>，</w:t>
      </w:r>
      <w:r>
        <w:rPr>
          <w:rFonts w:hint="default" w:ascii="Arial" w:hAnsi="Arial" w:cs="Arial"/>
          <w:bCs/>
          <w:kern w:val="44"/>
          <w:sz w:val="18"/>
          <w:szCs w:val="18"/>
          <w:lang w:eastAsia="zh-CN"/>
        </w:rPr>
        <w:t>待取得首董会批准的目标成本测算后将进行修正；</w:t>
      </w:r>
    </w:p>
    <w:p>
      <w:pPr>
        <w:numPr>
          <w:ilvl w:val="0"/>
          <w:numId w:val="3"/>
        </w:numPr>
        <w:ind w:left="986" w:leftChars="341" w:hanging="270" w:hangingChars="150"/>
        <w:rPr>
          <w:rStyle w:val="27"/>
          <w:rFonts w:hint="default" w:ascii="Arial" w:hAnsi="Arial" w:cs="Arial"/>
          <w:sz w:val="18"/>
          <w:szCs w:val="18"/>
        </w:rPr>
      </w:pPr>
      <w:r>
        <w:rPr>
          <w:rStyle w:val="27"/>
          <w:rFonts w:ascii="Arial" w:hAnsi="Arial" w:cs="Arial"/>
          <w:sz w:val="18"/>
          <w:szCs w:val="18"/>
        </w:rPr>
        <w:t>累计成本中</w:t>
      </w:r>
      <w:r>
        <w:rPr>
          <w:rStyle w:val="27"/>
          <w:rFonts w:hint="eastAsia" w:ascii="Arial" w:hAnsi="Arial" w:cs="Arial"/>
          <w:sz w:val="18"/>
          <w:szCs w:val="18"/>
        </w:rPr>
        <w:t>1,571,232,480.30</w:t>
      </w:r>
      <w:r>
        <w:rPr>
          <w:rStyle w:val="27"/>
          <w:rFonts w:ascii="Arial" w:hAnsi="Arial" w:cs="Arial"/>
          <w:sz w:val="18"/>
          <w:szCs w:val="18"/>
        </w:rPr>
        <w:t>元为入场前发生成本，以网银入账信息填列</w:t>
      </w:r>
      <w:r>
        <w:rPr>
          <w:rStyle w:val="27"/>
          <w:rFonts w:hint="eastAsia" w:ascii="Arial" w:hAnsi="Arial" w:cs="Arial"/>
          <w:sz w:val="18"/>
          <w:szCs w:val="18"/>
          <w:lang w:eastAsia="zh-CN"/>
        </w:rPr>
        <w:t>；</w:t>
      </w:r>
    </w:p>
    <w:p>
      <w:pPr>
        <w:numPr>
          <w:ilvl w:val="0"/>
          <w:numId w:val="3"/>
        </w:numPr>
        <w:ind w:left="986" w:leftChars="341" w:hanging="270" w:hangingChars="150"/>
        <w:rPr>
          <w:rStyle w:val="27"/>
          <w:rFonts w:hint="default" w:ascii="Arial" w:hAnsi="Arial" w:cs="Arial"/>
          <w:sz w:val="18"/>
          <w:szCs w:val="18"/>
        </w:rPr>
      </w:pPr>
      <w:r>
        <w:rPr>
          <w:rStyle w:val="27"/>
          <w:rFonts w:ascii="Arial" w:hAnsi="Arial" w:cs="Arial"/>
          <w:sz w:val="18"/>
          <w:szCs w:val="18"/>
        </w:rPr>
        <w:t>土地成本中包含由福州首开福泰投资有限公司支付</w:t>
      </w:r>
      <w:r>
        <w:rPr>
          <w:rStyle w:val="27"/>
          <w:rFonts w:hint="default" w:ascii="Arial" w:hAnsi="Arial" w:cs="Arial"/>
          <w:sz w:val="18"/>
          <w:szCs w:val="18"/>
          <w:lang w:eastAsia="zh-CN"/>
        </w:rPr>
        <w:t>的</w:t>
      </w:r>
      <w:r>
        <w:rPr>
          <w:rStyle w:val="27"/>
          <w:rFonts w:ascii="Arial" w:hAnsi="Arial" w:cs="Arial"/>
          <w:sz w:val="18"/>
          <w:szCs w:val="18"/>
        </w:rPr>
        <w:t>2020-08号地块土拍保证金591,800,000.00元</w:t>
      </w:r>
      <w:r>
        <w:rPr>
          <w:rStyle w:val="27"/>
          <w:rFonts w:hint="eastAsia" w:ascii="Arial" w:hAnsi="Arial" w:cs="Arial"/>
          <w:sz w:val="18"/>
          <w:szCs w:val="18"/>
          <w:lang w:eastAsia="zh-CN"/>
        </w:rPr>
        <w:t>，根据</w:t>
      </w:r>
      <w:r>
        <w:rPr>
          <w:rStyle w:val="27"/>
          <w:rFonts w:ascii="Arial" w:hAnsi="Arial" w:cs="Arial"/>
          <w:sz w:val="18"/>
          <w:szCs w:val="18"/>
        </w:rPr>
        <w:t>福州首开福泰投资有限公司</w:t>
      </w:r>
      <w:r>
        <w:rPr>
          <w:rStyle w:val="27"/>
          <w:rFonts w:hint="eastAsia" w:ascii="Arial" w:hAnsi="Arial" w:cs="Arial"/>
          <w:sz w:val="18"/>
          <w:szCs w:val="18"/>
          <w:lang w:eastAsia="zh-CN"/>
        </w:rPr>
        <w:t>与福州市自然资源和规划局签定的《国有建设用地使用权出让合同》第八条规定，出让价款“包括土地补偿费、地上物(合人员)的折迁安置费用、城市基础设施配套费、地段差价及土地出让业务费等项土地费用及政府的土地收益”，出让价款不合土地契税</w:t>
      </w:r>
      <w:r>
        <w:rPr>
          <w:rStyle w:val="27"/>
          <w:rFonts w:ascii="Arial" w:hAnsi="Arial" w:cs="Arial"/>
          <w:sz w:val="18"/>
          <w:szCs w:val="18"/>
        </w:rPr>
        <w:t>；</w:t>
      </w:r>
    </w:p>
    <w:p>
      <w:pPr>
        <w:numPr>
          <w:ilvl w:val="0"/>
          <w:numId w:val="3"/>
        </w:numPr>
        <w:ind w:left="986" w:leftChars="341" w:hanging="270" w:hangingChars="150"/>
        <w:rPr>
          <w:rStyle w:val="27"/>
          <w:rFonts w:hint="default" w:ascii="Arial" w:hAnsi="Arial" w:cs="Arial"/>
          <w:sz w:val="18"/>
          <w:szCs w:val="18"/>
        </w:rPr>
      </w:pPr>
      <w:r>
        <w:rPr>
          <w:rStyle w:val="27"/>
          <w:rFonts w:hint="default" w:ascii="Arial" w:hAnsi="Arial" w:cs="Arial"/>
          <w:sz w:val="18"/>
          <w:szCs w:val="18"/>
          <w:lang w:val="en-US" w:eastAsia="zh-CN"/>
        </w:rPr>
        <w:t>由于项目公司将增值税专用发票抵扣的部分财务费用计入到税费中，本表格中部分费用数据和项目公司财务报表不完全一致。</w:t>
      </w:r>
    </w:p>
    <w:p>
      <w:pPr>
        <w:spacing w:line="480" w:lineRule="auto"/>
        <w:ind w:firstLine="420" w:firstLineChars="200"/>
        <w:rPr>
          <w:rFonts w:cs="Arial"/>
          <w:sz w:val="24"/>
        </w:rPr>
      </w:pPr>
      <w:r>
        <w:rPr>
          <w:rFonts w:hint="eastAsia" w:ascii="Arial" w:hAnsi="Arial" w:cs="Arial"/>
          <w:szCs w:val="21"/>
        </w:rPr>
        <w:t>2020年8月份产生前期费用三笔，分别是项目公司支付给福建榕桓建设有限公司15.00万元的搬迁工程款，支付给福建城建设计研究院有限公司的设计费用4,029.00元，支付给福州市水务工程有限责任公司的开口工程费130,292.00元；财务费用主要是银行自动划扣的自助设备使用手续费，管理费用均为日常费用的报销。</w:t>
      </w:r>
    </w:p>
    <w:p>
      <w:pPr>
        <w:pStyle w:val="3"/>
        <w:keepNext w:val="0"/>
        <w:keepLines w:val="0"/>
        <w:spacing w:before="300" w:after="300" w:line="360" w:lineRule="exact"/>
        <w:jc w:val="left"/>
        <w:rPr>
          <w:rFonts w:eastAsia="宋体" w:cs="Arial"/>
          <w:sz w:val="24"/>
        </w:rPr>
      </w:pPr>
      <w:bookmarkStart w:id="404" w:name="_Toc13322"/>
      <w:bookmarkStart w:id="405" w:name="_Toc23787"/>
      <w:bookmarkStart w:id="406" w:name="_Toc1768"/>
      <w:bookmarkStart w:id="407" w:name="_Toc30404"/>
      <w:bookmarkStart w:id="408" w:name="_Toc28279"/>
      <w:bookmarkStart w:id="409" w:name="_Toc24068"/>
      <w:bookmarkStart w:id="410" w:name="_Toc14088"/>
      <w:bookmarkStart w:id="411" w:name="_Toc6979"/>
      <w:bookmarkStart w:id="412" w:name="_Toc9290"/>
      <w:bookmarkStart w:id="413" w:name="_Toc6163"/>
      <w:bookmarkStart w:id="414" w:name="_Toc11558"/>
      <w:bookmarkStart w:id="415" w:name="_Toc13482"/>
      <w:bookmarkStart w:id="416" w:name="_Toc12080"/>
      <w:r>
        <w:rPr>
          <w:rFonts w:hint="eastAsia" w:eastAsia="宋体" w:cs="Arial"/>
          <w:sz w:val="24"/>
        </w:rPr>
        <w:t>7</w:t>
      </w:r>
      <w:r>
        <w:rPr>
          <w:rFonts w:eastAsia="宋体" w:cs="Arial"/>
          <w:sz w:val="24"/>
        </w:rPr>
        <w:t>.</w:t>
      </w:r>
      <w:r>
        <w:rPr>
          <w:rFonts w:hint="eastAsia" w:eastAsia="宋体" w:cs="Arial"/>
          <w:sz w:val="24"/>
        </w:rPr>
        <w:t>2合约成本统计</w:t>
      </w:r>
      <w:bookmarkEnd w:id="404"/>
      <w:bookmarkEnd w:id="405"/>
      <w:bookmarkEnd w:id="406"/>
      <w:bookmarkEnd w:id="407"/>
      <w:bookmarkEnd w:id="408"/>
      <w:bookmarkEnd w:id="409"/>
      <w:bookmarkEnd w:id="410"/>
      <w:bookmarkEnd w:id="411"/>
      <w:bookmarkEnd w:id="412"/>
      <w:bookmarkEnd w:id="413"/>
      <w:bookmarkEnd w:id="414"/>
      <w:bookmarkEnd w:id="415"/>
      <w:bookmarkEnd w:id="416"/>
    </w:p>
    <w:p>
      <w:pPr>
        <w:spacing w:line="480" w:lineRule="auto"/>
        <w:ind w:firstLine="420" w:firstLineChars="200"/>
        <w:rPr>
          <w:rFonts w:hint="eastAsia" w:ascii="Arial" w:hAnsi="Arial" w:cs="Arial"/>
          <w:szCs w:val="21"/>
        </w:rPr>
      </w:pPr>
      <w:r>
        <w:rPr>
          <w:rFonts w:hint="eastAsia" w:ascii="Arial" w:hAnsi="Arial" w:cs="Arial"/>
          <w:szCs w:val="21"/>
          <w:lang w:eastAsia="zh-CN"/>
        </w:rPr>
        <w:t>依据项目公司提供的合同台账，</w:t>
      </w:r>
      <w:r>
        <w:rPr>
          <w:rFonts w:hint="eastAsia" w:ascii="Arial" w:hAnsi="Arial" w:cs="Arial"/>
          <w:szCs w:val="21"/>
        </w:rPr>
        <w:t>截至2020年8月31日，项目公司已签订合同</w:t>
      </w:r>
      <w:r>
        <w:rPr>
          <w:rFonts w:hint="eastAsia" w:ascii="Arial" w:hAnsi="Arial" w:cs="Arial"/>
          <w:szCs w:val="21"/>
          <w:lang w:val="en-US" w:eastAsia="zh-CN"/>
        </w:rPr>
        <w:t>6份，合同</w:t>
      </w:r>
      <w:r>
        <w:rPr>
          <w:rFonts w:hint="eastAsia" w:ascii="Arial" w:hAnsi="Arial" w:cs="Arial"/>
          <w:szCs w:val="21"/>
        </w:rPr>
        <w:t>金额</w:t>
      </w:r>
      <w:r>
        <w:rPr>
          <w:rFonts w:hint="eastAsia" w:ascii="Arial" w:hAnsi="Arial" w:cs="Arial"/>
          <w:szCs w:val="21"/>
          <w:lang w:eastAsia="zh-CN"/>
        </w:rPr>
        <w:t>共计</w:t>
      </w:r>
      <w:r>
        <w:rPr>
          <w:rFonts w:hint="eastAsia" w:ascii="Arial" w:hAnsi="Arial" w:cs="Arial"/>
          <w:szCs w:val="21"/>
          <w:lang w:val="en-US" w:eastAsia="zh-CN"/>
        </w:rPr>
        <w:t>2,963</w:t>
      </w:r>
      <w:r>
        <w:rPr>
          <w:rFonts w:hint="eastAsia" w:ascii="Arial" w:hAnsi="Arial" w:cs="Arial"/>
          <w:szCs w:val="21"/>
          <w:lang w:eastAsia="zh-CN"/>
        </w:rPr>
        <w:t>,314,321.00</w:t>
      </w:r>
      <w:r>
        <w:rPr>
          <w:rFonts w:hint="eastAsia" w:ascii="Arial" w:hAnsi="Arial" w:cs="Arial"/>
          <w:szCs w:val="21"/>
        </w:rPr>
        <w:t>元，占目标成本的</w:t>
      </w:r>
      <w:r>
        <w:rPr>
          <w:rFonts w:hint="eastAsia" w:ascii="Arial" w:hAnsi="Arial" w:cs="Arial"/>
          <w:szCs w:val="21"/>
          <w:lang w:val="en-US" w:eastAsia="zh-CN"/>
        </w:rPr>
        <w:t>45</w:t>
      </w:r>
      <w:r>
        <w:rPr>
          <w:rFonts w:hint="eastAsia" w:ascii="Arial" w:hAnsi="Arial" w:cs="Arial"/>
          <w:szCs w:val="21"/>
        </w:rPr>
        <w:t>%；依据合同支付1,</w:t>
      </w:r>
      <w:r>
        <w:rPr>
          <w:rFonts w:hint="eastAsia" w:ascii="Arial" w:hAnsi="Arial" w:cs="Arial"/>
          <w:szCs w:val="21"/>
          <w:lang w:val="en-US" w:eastAsia="zh-CN"/>
        </w:rPr>
        <w:t>480,714</w:t>
      </w:r>
      <w:r>
        <w:rPr>
          <w:rFonts w:hint="eastAsia" w:ascii="Arial" w:hAnsi="Arial" w:cs="Arial"/>
          <w:szCs w:val="21"/>
        </w:rPr>
        <w:t>,</w:t>
      </w:r>
      <w:r>
        <w:rPr>
          <w:rFonts w:hint="eastAsia" w:ascii="Arial" w:hAnsi="Arial" w:cs="Arial"/>
          <w:szCs w:val="21"/>
          <w:lang w:val="en-US" w:eastAsia="zh-CN"/>
        </w:rPr>
        <w:t>3</w:t>
      </w:r>
      <w:r>
        <w:rPr>
          <w:rFonts w:hint="eastAsia" w:ascii="Arial" w:hAnsi="Arial" w:cs="Arial"/>
          <w:szCs w:val="21"/>
        </w:rPr>
        <w:t>21.00元，待支付合同金额</w:t>
      </w:r>
      <w:r>
        <w:rPr>
          <w:rFonts w:hint="eastAsia" w:ascii="Arial" w:hAnsi="Arial" w:cs="Arial"/>
          <w:szCs w:val="21"/>
          <w:lang w:val="en-US" w:eastAsia="zh-CN"/>
        </w:rPr>
        <w:t>1,482,600,000.00</w:t>
      </w:r>
      <w:r>
        <w:rPr>
          <w:rFonts w:hint="eastAsia" w:ascii="Arial" w:hAnsi="Arial" w:cs="Arial"/>
          <w:szCs w:val="21"/>
        </w:rPr>
        <w:t xml:space="preserve"> 元，合同支付情况详见下表：</w:t>
      </w:r>
    </w:p>
    <w:tbl>
      <w:tblPr>
        <w:tblStyle w:val="18"/>
        <w:tblW w:w="9116" w:type="dxa"/>
        <w:jc w:val="center"/>
        <w:shd w:val="clear" w:color="auto" w:fill="auto"/>
        <w:tblLayout w:type="fixed"/>
        <w:tblCellMar>
          <w:top w:w="0" w:type="dxa"/>
          <w:left w:w="0" w:type="dxa"/>
          <w:bottom w:w="0" w:type="dxa"/>
          <w:right w:w="0" w:type="dxa"/>
        </w:tblCellMar>
      </w:tblPr>
      <w:tblGrid>
        <w:gridCol w:w="996"/>
        <w:gridCol w:w="803"/>
        <w:gridCol w:w="1525"/>
        <w:gridCol w:w="1462"/>
        <w:gridCol w:w="1404"/>
        <w:gridCol w:w="1528"/>
        <w:gridCol w:w="1398"/>
      </w:tblGrid>
      <w:tr>
        <w:tblPrEx>
          <w:tblCellMar>
            <w:top w:w="0" w:type="dxa"/>
            <w:left w:w="0" w:type="dxa"/>
            <w:bottom w:w="0" w:type="dxa"/>
            <w:right w:w="0" w:type="dxa"/>
          </w:tblCellMar>
        </w:tblPrEx>
        <w:trPr>
          <w:trHeight w:val="520"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合同类型</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合同数量</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合同金额（元）</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目标成本（元）</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签约金额占目标成本的比例</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累计支付（元）</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累计支付占目标成本的比例</w:t>
            </w:r>
          </w:p>
        </w:tc>
      </w:tr>
      <w:tr>
        <w:tblPrEx>
          <w:tblCellMar>
            <w:top w:w="0" w:type="dxa"/>
            <w:left w:w="0" w:type="dxa"/>
            <w:bottom w:w="0" w:type="dxa"/>
            <w:right w:w="0" w:type="dxa"/>
          </w:tblCellMar>
        </w:tblPrEx>
        <w:trPr>
          <w:trHeight w:val="400"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cs="Arial"/>
                <w:b w:val="0"/>
                <w:bCs w:val="0"/>
                <w:i w:val="0"/>
                <w:color w:val="000000"/>
                <w:kern w:val="0"/>
                <w:sz w:val="18"/>
                <w:szCs w:val="18"/>
                <w:u w:val="none"/>
                <w:lang w:val="en-US" w:eastAsia="zh-CN" w:bidi="ar"/>
              </w:rPr>
              <w:t>土地</w:t>
            </w:r>
            <w:r>
              <w:rPr>
                <w:rFonts w:hint="eastAsia" w:ascii="Arial" w:hAnsi="Arial" w:cs="Arial"/>
                <w:b w:val="0"/>
                <w:bCs w:val="0"/>
                <w:i w:val="0"/>
                <w:color w:val="000000"/>
                <w:kern w:val="0"/>
                <w:sz w:val="18"/>
                <w:szCs w:val="18"/>
                <w:u w:val="none"/>
                <w:lang w:val="en-US" w:eastAsia="zh-CN" w:bidi="ar"/>
              </w:rPr>
              <w:t>合同</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ascii="Arial" w:hAnsi="Arial" w:cs="Arial"/>
                <w:color w:val="000000"/>
                <w:kern w:val="0"/>
                <w:sz w:val="18"/>
                <w:szCs w:val="18"/>
              </w:rPr>
              <w:t>2,959,000,000.00</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ascii="Arial" w:hAnsi="Arial" w:cs="Arial"/>
                <w:color w:val="000000"/>
                <w:kern w:val="0"/>
                <w:sz w:val="18"/>
                <w:szCs w:val="18"/>
              </w:rPr>
              <w:t>2,959,000,000.00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100%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1,479,5</w:t>
            </w:r>
            <w:r>
              <w:rPr>
                <w:rFonts w:hint="default" w:ascii="Arial" w:hAnsi="Arial" w:cs="Arial"/>
                <w:i w:val="0"/>
                <w:color w:val="000000"/>
                <w:kern w:val="0"/>
                <w:sz w:val="18"/>
                <w:szCs w:val="18"/>
                <w:u w:val="none"/>
                <w:lang w:val="en-US" w:eastAsia="zh-CN" w:bidi="ar"/>
              </w:rPr>
              <w:t>00,000.00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50%</w:t>
            </w:r>
          </w:p>
        </w:tc>
      </w:tr>
      <w:tr>
        <w:tblPrEx>
          <w:tblCellMar>
            <w:top w:w="0" w:type="dxa"/>
            <w:left w:w="0" w:type="dxa"/>
            <w:bottom w:w="0" w:type="dxa"/>
            <w:right w:w="0" w:type="dxa"/>
          </w:tblCellMar>
        </w:tblPrEx>
        <w:trPr>
          <w:trHeight w:val="303"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前期类</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3</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3,734,321.00</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63,580,000.00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5.87%</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1,214,321.00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1.91%</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工程设计类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1,825,890,000.00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690"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行政运营类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ascii="Arial" w:hAnsi="Arial" w:eastAsia="宋体" w:cs="Arial"/>
                <w:i w:val="0"/>
                <w:color w:val="000000"/>
                <w:sz w:val="18"/>
                <w:szCs w:val="18"/>
                <w:u w:val="none"/>
              </w:rPr>
              <w:t>151,680,000.00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690"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财务融资类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ascii="Arial" w:hAnsi="Arial" w:eastAsia="宋体" w:cs="Arial"/>
                <w:i w:val="0"/>
                <w:color w:val="000000"/>
                <w:sz w:val="18"/>
                <w:szCs w:val="18"/>
                <w:u w:val="none"/>
              </w:rPr>
              <w:t>177,100,000.00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营销类</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580,000.00</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137,680,000.00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0.42%</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其它</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ascii="Arial" w:hAnsi="Arial" w:eastAsia="宋体" w:cs="Arial"/>
                <w:i w:val="0"/>
                <w:color w:val="000000"/>
                <w:sz w:val="18"/>
                <w:szCs w:val="18"/>
                <w:u w:val="none"/>
              </w:rPr>
              <w:t>1,305,230,000.00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合计</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eastAsia" w:ascii="Arial" w:hAnsi="Arial" w:cs="Arial"/>
                <w:b/>
                <w:bCs w:val="0"/>
                <w:i w:val="0"/>
                <w:color w:val="000000"/>
                <w:kern w:val="0"/>
                <w:sz w:val="18"/>
                <w:szCs w:val="18"/>
                <w:u w:val="none"/>
                <w:lang w:val="en-US" w:eastAsia="zh-CN" w:bidi="ar"/>
              </w:rPr>
              <w:t>6</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eastAsia" w:ascii="Arial" w:hAnsi="Arial" w:cs="Arial"/>
                <w:b/>
                <w:i w:val="0"/>
                <w:color w:val="000000"/>
                <w:sz w:val="18"/>
                <w:szCs w:val="18"/>
                <w:u w:val="none"/>
                <w:lang w:val="en-US" w:eastAsia="zh-CN"/>
              </w:rPr>
              <w:t>2,963</w:t>
            </w:r>
            <w:r>
              <w:rPr>
                <w:rFonts w:hint="default" w:ascii="Arial" w:hAnsi="Arial" w:eastAsia="宋体" w:cs="Arial"/>
                <w:b/>
                <w:i w:val="0"/>
                <w:color w:val="000000"/>
                <w:sz w:val="18"/>
                <w:szCs w:val="18"/>
                <w:u w:val="none"/>
              </w:rPr>
              <w:t>,314,321.00</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cs="Arial"/>
                <w:b/>
                <w:bCs/>
                <w:color w:val="000000"/>
                <w:kern w:val="0"/>
                <w:sz w:val="18"/>
                <w:szCs w:val="18"/>
                <w:lang w:val="en-US"/>
              </w:rPr>
              <w:t>6</w:t>
            </w:r>
            <w:r>
              <w:rPr>
                <w:rFonts w:ascii="Arial" w:hAnsi="Arial" w:cs="Arial"/>
                <w:b/>
                <w:bCs/>
                <w:color w:val="000000"/>
                <w:kern w:val="0"/>
                <w:sz w:val="18"/>
                <w:szCs w:val="18"/>
              </w:rPr>
              <w:t>,</w:t>
            </w:r>
            <w:r>
              <w:rPr>
                <w:rFonts w:hint="default" w:ascii="Arial" w:hAnsi="Arial" w:cs="Arial"/>
                <w:b/>
                <w:bCs/>
                <w:color w:val="000000"/>
                <w:kern w:val="0"/>
                <w:sz w:val="18"/>
                <w:szCs w:val="18"/>
                <w:lang w:val="en-US"/>
              </w:rPr>
              <w:t>6</w:t>
            </w:r>
            <w:r>
              <w:rPr>
                <w:rFonts w:ascii="Arial" w:hAnsi="Arial" w:cs="Arial"/>
                <w:b/>
                <w:bCs/>
                <w:color w:val="000000"/>
                <w:kern w:val="0"/>
                <w:sz w:val="18"/>
                <w:szCs w:val="18"/>
              </w:rPr>
              <w:t>20,</w:t>
            </w:r>
            <w:r>
              <w:rPr>
                <w:rFonts w:hint="default" w:ascii="Arial" w:hAnsi="Arial" w:cs="Arial"/>
                <w:b/>
                <w:bCs/>
                <w:color w:val="000000"/>
                <w:kern w:val="0"/>
                <w:sz w:val="18"/>
                <w:szCs w:val="18"/>
                <w:lang w:val="en-US"/>
              </w:rPr>
              <w:t>14</w:t>
            </w:r>
            <w:r>
              <w:rPr>
                <w:rFonts w:ascii="Arial" w:hAnsi="Arial" w:cs="Arial"/>
                <w:b/>
                <w:bCs/>
                <w:color w:val="000000"/>
                <w:kern w:val="0"/>
                <w:sz w:val="18"/>
                <w:szCs w:val="18"/>
              </w:rPr>
              <w:t>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lang w:val="en-US" w:eastAsia="zh-CN"/>
              </w:rPr>
            </w:pPr>
            <w:r>
              <w:rPr>
                <w:rFonts w:hint="eastAsia" w:ascii="Arial" w:hAnsi="Arial" w:cs="Arial"/>
                <w:b/>
                <w:bCs w:val="0"/>
                <w:i w:val="0"/>
                <w:color w:val="000000"/>
                <w:sz w:val="18"/>
                <w:szCs w:val="18"/>
                <w:u w:val="none"/>
                <w:lang w:val="en-US" w:eastAsia="zh-CN"/>
              </w:rPr>
              <w:t>45%</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i w:val="0"/>
                <w:color w:val="000000"/>
                <w:kern w:val="0"/>
                <w:sz w:val="18"/>
                <w:szCs w:val="18"/>
                <w:u w:val="none"/>
                <w:lang w:val="en-US" w:eastAsia="zh-CN" w:bidi="ar"/>
              </w:rPr>
              <w:t>1,</w:t>
            </w:r>
            <w:r>
              <w:rPr>
                <w:rFonts w:hint="default" w:ascii="Arial" w:hAnsi="Arial" w:cs="Arial"/>
                <w:b/>
                <w:bCs/>
                <w:i w:val="0"/>
                <w:color w:val="000000"/>
                <w:kern w:val="0"/>
                <w:sz w:val="18"/>
                <w:szCs w:val="18"/>
                <w:u w:val="none"/>
                <w:lang w:val="en-US" w:eastAsia="zh-CN" w:bidi="ar"/>
              </w:rPr>
              <w:t>480,7</w:t>
            </w:r>
            <w:r>
              <w:rPr>
                <w:rFonts w:hint="default" w:ascii="Arial" w:hAnsi="Arial" w:eastAsia="宋体" w:cs="Arial"/>
                <w:b/>
                <w:bCs/>
                <w:i w:val="0"/>
                <w:color w:val="000000"/>
                <w:kern w:val="0"/>
                <w:sz w:val="18"/>
                <w:szCs w:val="18"/>
                <w:u w:val="none"/>
                <w:lang w:val="en-US" w:eastAsia="zh-CN" w:bidi="ar"/>
              </w:rPr>
              <w:t>14,321.00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eastAsia" w:ascii="Arial" w:hAnsi="Arial" w:cs="Arial"/>
                <w:b/>
                <w:bCs w:val="0"/>
                <w:i w:val="0"/>
                <w:color w:val="000000"/>
                <w:kern w:val="0"/>
                <w:sz w:val="18"/>
                <w:szCs w:val="18"/>
                <w:u w:val="none"/>
                <w:lang w:val="en-US" w:eastAsia="zh-CN" w:bidi="ar"/>
              </w:rPr>
              <w:t>22.37%</w:t>
            </w:r>
          </w:p>
        </w:tc>
      </w:tr>
    </w:tbl>
    <w:p>
      <w:pPr>
        <w:ind w:left="670" w:leftChars="170" w:hanging="313" w:hangingChars="174"/>
        <w:jc w:val="left"/>
        <w:rPr>
          <w:rFonts w:ascii="Arial" w:hAnsi="Arial" w:cs="Arial"/>
          <w:sz w:val="18"/>
          <w:szCs w:val="18"/>
        </w:rPr>
      </w:pPr>
      <w:bookmarkStart w:id="417" w:name="_Toc27161"/>
      <w:bookmarkStart w:id="418" w:name="_Toc22315"/>
      <w:bookmarkStart w:id="419" w:name="_Toc25830"/>
      <w:r>
        <w:rPr>
          <w:rFonts w:hint="default" w:ascii="Arial" w:hAnsi="Arial" w:cs="Arial"/>
          <w:sz w:val="18"/>
          <w:szCs w:val="18"/>
        </w:rPr>
        <w:t>注：</w:t>
      </w:r>
      <w:r>
        <w:rPr>
          <w:rFonts w:hint="eastAsia" w:ascii="Arial" w:hAnsi="Arial" w:cs="Arial"/>
          <w:sz w:val="18"/>
          <w:szCs w:val="18"/>
          <w:lang w:val="en-US" w:eastAsia="zh-CN"/>
        </w:rPr>
        <w:t>根据2020年3月30日</w:t>
      </w:r>
      <w:r>
        <w:rPr>
          <w:rFonts w:hint="default" w:ascii="Arial" w:hAnsi="Arial" w:cs="Arial"/>
          <w:sz w:val="18"/>
          <w:szCs w:val="18"/>
          <w:lang w:val="en-US" w:eastAsia="zh-CN"/>
        </w:rPr>
        <w:t>项目公司</w:t>
      </w:r>
      <w:r>
        <w:rPr>
          <w:rFonts w:hint="eastAsia" w:ascii="Arial" w:hAnsi="Arial" w:cs="Arial"/>
          <w:sz w:val="18"/>
          <w:szCs w:val="18"/>
          <w:lang w:val="en-US" w:eastAsia="zh-CN"/>
        </w:rPr>
        <w:t>与福州市自然资源和规划局、</w:t>
      </w:r>
      <w:r>
        <w:rPr>
          <w:rStyle w:val="27"/>
          <w:rFonts w:ascii="Arial" w:hAnsi="Arial" w:cs="Arial"/>
          <w:sz w:val="18"/>
          <w:szCs w:val="18"/>
        </w:rPr>
        <w:t>福州首开福泰投资有限公司</w:t>
      </w:r>
      <w:r>
        <w:rPr>
          <w:rFonts w:hint="eastAsia" w:ascii="Arial" w:hAnsi="Arial" w:cs="Arial"/>
          <w:sz w:val="18"/>
          <w:szCs w:val="18"/>
          <w:lang w:val="en-US" w:eastAsia="zh-CN"/>
        </w:rPr>
        <w:t>签订的《国有建设用地使用权出让合同补充合同》，项目公司承担原合同中受让人（即</w:t>
      </w:r>
      <w:r>
        <w:rPr>
          <w:rStyle w:val="27"/>
          <w:rFonts w:ascii="Arial" w:hAnsi="Arial" w:cs="Arial"/>
          <w:sz w:val="18"/>
          <w:szCs w:val="18"/>
        </w:rPr>
        <w:t>福州首开福泰投资有限公司</w:t>
      </w:r>
      <w:r>
        <w:rPr>
          <w:rStyle w:val="27"/>
          <w:rFonts w:hint="eastAsia" w:ascii="Arial" w:hAnsi="Arial" w:cs="Arial"/>
          <w:sz w:val="18"/>
          <w:szCs w:val="18"/>
          <w:lang w:eastAsia="zh-CN"/>
        </w:rPr>
        <w:t>）</w:t>
      </w:r>
      <w:r>
        <w:rPr>
          <w:rFonts w:hint="eastAsia" w:ascii="Arial" w:hAnsi="Arial" w:cs="Arial"/>
          <w:sz w:val="18"/>
          <w:szCs w:val="18"/>
          <w:lang w:val="en-US" w:eastAsia="zh-CN"/>
        </w:rPr>
        <w:t>的一切权利和义务</w:t>
      </w:r>
      <w:r>
        <w:rPr>
          <w:rFonts w:hint="eastAsia" w:ascii="Arial" w:hAnsi="Arial" w:cs="Arial"/>
          <w:bCs/>
          <w:kern w:val="44"/>
          <w:sz w:val="18"/>
          <w:szCs w:val="18"/>
          <w:lang w:eastAsia="zh-CN"/>
        </w:rPr>
        <w:t>。</w:t>
      </w:r>
    </w:p>
    <w:p>
      <w:pPr>
        <w:pStyle w:val="2"/>
        <w:keepNext w:val="0"/>
        <w:keepLines w:val="0"/>
        <w:spacing w:before="300" w:after="300" w:line="360" w:lineRule="exact"/>
        <w:jc w:val="left"/>
        <w:rPr>
          <w:rFonts w:cs="Arial"/>
          <w:color w:val="000000"/>
          <w:sz w:val="24"/>
          <w:szCs w:val="24"/>
        </w:rPr>
      </w:pPr>
      <w:bookmarkStart w:id="420" w:name="_Toc30520"/>
      <w:bookmarkStart w:id="421" w:name="_Toc93"/>
      <w:bookmarkStart w:id="422" w:name="_Toc3252"/>
      <w:bookmarkStart w:id="423" w:name="_Toc21443"/>
      <w:bookmarkStart w:id="424" w:name="_Toc24511"/>
      <w:bookmarkStart w:id="425" w:name="_Toc12337"/>
      <w:bookmarkStart w:id="426" w:name="_Toc22573"/>
      <w:bookmarkStart w:id="427" w:name="_Toc32680"/>
      <w:bookmarkStart w:id="428" w:name="_Toc6327"/>
      <w:bookmarkStart w:id="429" w:name="_Toc7010"/>
      <w:r>
        <w:rPr>
          <w:rFonts w:hint="eastAsia" w:ascii="Arial" w:hAnsi="Arial" w:cs="Arial"/>
          <w:color w:val="000000"/>
          <w:sz w:val="24"/>
          <w:szCs w:val="24"/>
        </w:rPr>
        <w:t>8</w:t>
      </w:r>
      <w:r>
        <w:rPr>
          <w:rFonts w:hint="eastAsia" w:cs="Arial"/>
          <w:color w:val="000000"/>
          <w:sz w:val="24"/>
          <w:szCs w:val="24"/>
        </w:rPr>
        <w:t>项目销售情况</w:t>
      </w:r>
      <w:bookmarkEnd w:id="417"/>
      <w:bookmarkEnd w:id="418"/>
      <w:bookmarkEnd w:id="419"/>
      <w:bookmarkEnd w:id="420"/>
      <w:bookmarkEnd w:id="421"/>
      <w:bookmarkEnd w:id="422"/>
      <w:bookmarkEnd w:id="423"/>
      <w:bookmarkEnd w:id="424"/>
      <w:bookmarkEnd w:id="425"/>
      <w:bookmarkEnd w:id="426"/>
      <w:bookmarkEnd w:id="427"/>
      <w:bookmarkEnd w:id="428"/>
      <w:bookmarkEnd w:id="429"/>
    </w:p>
    <w:p>
      <w:pPr>
        <w:pStyle w:val="3"/>
        <w:spacing w:before="300" w:after="300" w:line="360" w:lineRule="exact"/>
        <w:jc w:val="left"/>
        <w:rPr>
          <w:rFonts w:ascii="Calibri" w:hAnsi="Calibri" w:eastAsia="宋体" w:cs="Arial"/>
          <w:color w:val="000000"/>
          <w:kern w:val="44"/>
          <w:sz w:val="24"/>
          <w:szCs w:val="24"/>
        </w:rPr>
      </w:pPr>
      <w:bookmarkStart w:id="430" w:name="_Toc13163"/>
      <w:bookmarkStart w:id="431" w:name="_Toc13124"/>
      <w:bookmarkStart w:id="432" w:name="_Toc31318"/>
      <w:bookmarkStart w:id="433" w:name="_Toc4050"/>
      <w:bookmarkStart w:id="434" w:name="_Toc8645"/>
      <w:bookmarkStart w:id="435" w:name="_Toc3357"/>
      <w:bookmarkStart w:id="436" w:name="_Toc10336"/>
      <w:bookmarkStart w:id="437" w:name="_Toc9619"/>
      <w:bookmarkStart w:id="438" w:name="_Toc23954"/>
      <w:bookmarkStart w:id="439" w:name="_Toc4043"/>
      <w:bookmarkStart w:id="440" w:name="_Toc8301"/>
      <w:bookmarkStart w:id="441" w:name="_Toc28522"/>
      <w:bookmarkStart w:id="442" w:name="_Toc19898"/>
      <w:r>
        <w:rPr>
          <w:rFonts w:hint="eastAsia" w:eastAsia="宋体" w:cs="Arial"/>
          <w:sz w:val="24"/>
        </w:rPr>
        <w:t>8</w:t>
      </w:r>
      <w:r>
        <w:rPr>
          <w:rFonts w:eastAsia="宋体" w:cs="Arial"/>
          <w:sz w:val="24"/>
        </w:rPr>
        <w:t>.1</w:t>
      </w:r>
      <w:r>
        <w:rPr>
          <w:rFonts w:hint="eastAsia" w:ascii="Calibri" w:hAnsi="Calibri" w:eastAsia="宋体" w:cs="Arial"/>
          <w:color w:val="000000"/>
          <w:kern w:val="44"/>
          <w:sz w:val="24"/>
          <w:szCs w:val="24"/>
        </w:rPr>
        <w:t>当地销售政策（预售政策、限购限售、限价政策描述）</w:t>
      </w:r>
      <w:bookmarkEnd w:id="430"/>
      <w:bookmarkEnd w:id="431"/>
      <w:bookmarkEnd w:id="432"/>
      <w:bookmarkEnd w:id="433"/>
      <w:bookmarkEnd w:id="434"/>
      <w:bookmarkEnd w:id="435"/>
      <w:bookmarkEnd w:id="436"/>
      <w:bookmarkEnd w:id="437"/>
      <w:bookmarkEnd w:id="438"/>
      <w:bookmarkEnd w:id="439"/>
      <w:bookmarkEnd w:id="440"/>
      <w:bookmarkEnd w:id="441"/>
      <w:bookmarkEnd w:id="442"/>
    </w:p>
    <w:p>
      <w:pPr>
        <w:spacing w:line="360" w:lineRule="auto"/>
        <w:ind w:firstLine="420" w:firstLineChars="200"/>
        <w:rPr>
          <w:rFonts w:ascii="Arial Unicode MS" w:hAnsi="Arial Unicode MS"/>
        </w:rPr>
      </w:pPr>
      <w:r>
        <w:rPr>
          <w:rFonts w:hint="eastAsia" w:ascii="Arial Unicode MS" w:hAnsi="Arial Unicode MS"/>
        </w:rPr>
        <w:t>（1）预售政策：</w:t>
      </w:r>
    </w:p>
    <w:p>
      <w:pPr>
        <w:spacing w:line="360" w:lineRule="auto"/>
        <w:ind w:firstLine="420" w:firstLineChars="200"/>
        <w:rPr>
          <w:rFonts w:ascii="Arial Unicode MS" w:hAnsi="Arial Unicode MS"/>
        </w:rPr>
      </w:pPr>
      <w:r>
        <w:rPr>
          <w:rFonts w:hint="eastAsia" w:ascii="Arial Unicode MS" w:hAnsi="Arial Unicode MS"/>
        </w:rPr>
        <w:t>福州市预售政策为：已交付全部土地使用权出让金，取得土地使用权证书；持有建设工程规划许可证、施工许可证、用地规划许可证；按提供预售商品房计算，投入开发建设的资金达到工程建设总投资25%以上，并已经确定施工商品房项目进度和竣工交付日期；商品房项目建筑主体施工形象进度须达到总层数的三分之一（非PC部分施工形象进度须达到总层数的三分之一，PC部分达到正负零）；已在项目所在地的银行设立商品房预售款监管专用账户；白蚁防治合同、备案表已取得；已办理楼盘表备案及一房一价备案表。</w:t>
      </w:r>
    </w:p>
    <w:p>
      <w:pPr>
        <w:spacing w:line="360" w:lineRule="auto"/>
        <w:ind w:firstLine="420" w:firstLineChars="200"/>
        <w:rPr>
          <w:rFonts w:ascii="Arial Unicode MS" w:hAnsi="Arial Unicode MS"/>
        </w:rPr>
      </w:pPr>
      <w:r>
        <w:rPr>
          <w:rFonts w:hint="eastAsia" w:ascii="Arial Unicode MS" w:hAnsi="Arial Unicode MS"/>
        </w:rPr>
        <w:t>（2）限购政策：</w:t>
      </w:r>
    </w:p>
    <w:p>
      <w:pPr>
        <w:spacing w:line="360" w:lineRule="auto"/>
        <w:ind w:firstLine="420" w:firstLineChars="200"/>
        <w:rPr>
          <w:rFonts w:ascii="Arial Unicode MS" w:hAnsi="Arial Unicode MS"/>
        </w:rPr>
      </w:pPr>
      <w:r>
        <w:rPr>
          <w:rFonts w:hint="eastAsia" w:ascii="Arial Unicode MS" w:hAnsi="Arial Unicode MS"/>
        </w:rPr>
        <w:t>福州市限购政策为：本市五城区内户口以家庭为单位，第三套限购；非五城区户口，需提供两年内在本市五城区内累计缴交一年的社保或个税证明，第二套限购；购买144平方以上的住宅产权房产不限购。</w:t>
      </w:r>
    </w:p>
    <w:p>
      <w:pPr>
        <w:spacing w:line="360" w:lineRule="auto"/>
        <w:ind w:firstLine="420" w:firstLineChars="200"/>
        <w:rPr>
          <w:rFonts w:ascii="Arial Unicode MS" w:hAnsi="Arial Unicode MS"/>
        </w:rPr>
      </w:pPr>
      <w:r>
        <w:rPr>
          <w:rFonts w:hint="eastAsia" w:ascii="Arial Unicode MS" w:hAnsi="Arial Unicode MS"/>
        </w:rPr>
        <w:t>福州市限售政策为：本市五城区内户口购买第二套住房，非本市五城区内户口购买第一套住房。取得不动产权证未满2年的限售。</w:t>
      </w:r>
    </w:p>
    <w:p>
      <w:pPr>
        <w:spacing w:line="360" w:lineRule="auto"/>
        <w:ind w:firstLine="420" w:firstLineChars="200"/>
        <w:rPr>
          <w:rFonts w:ascii="Arial Unicode MS" w:hAnsi="Arial Unicode MS"/>
        </w:rPr>
      </w:pPr>
      <w:r>
        <w:rPr>
          <w:rFonts w:hint="eastAsia" w:ascii="Arial Unicode MS" w:hAnsi="Arial Unicode MS"/>
        </w:rPr>
        <w:t>（3）限价政策：</w:t>
      </w:r>
    </w:p>
    <w:p>
      <w:pPr>
        <w:numPr>
          <w:ilvl w:val="255"/>
          <w:numId w:val="0"/>
        </w:numPr>
        <w:spacing w:line="360" w:lineRule="auto"/>
        <w:ind w:firstLine="420" w:firstLineChars="200"/>
        <w:rPr>
          <w:rFonts w:ascii="Arial Unicode MS" w:hAnsi="Arial Unicode MS"/>
        </w:rPr>
      </w:pPr>
      <w:r>
        <w:rPr>
          <w:rFonts w:hint="eastAsia" w:ascii="Arial Unicode MS" w:hAnsi="Arial Unicode MS"/>
        </w:rPr>
        <w:t>本项目所在区域最高备案价</w:t>
      </w:r>
      <w:r>
        <w:rPr>
          <w:rFonts w:hint="eastAsia" w:ascii="Arial Unicode MS" w:hAnsi="Arial Unicode MS"/>
          <w:lang w:val="en-US" w:eastAsia="zh-CN"/>
        </w:rPr>
        <w:t>27,726.00</w:t>
      </w:r>
      <w:r>
        <w:rPr>
          <w:rFonts w:hint="eastAsia" w:ascii="Arial Unicode MS" w:hAnsi="Arial Unicode MS"/>
        </w:rPr>
        <w:t>元/平米，本项目商品房拟上报备案价为</w:t>
      </w:r>
      <w:r>
        <w:rPr>
          <w:rFonts w:hint="eastAsia" w:ascii="Arial Unicode MS" w:hAnsi="Arial Unicode MS"/>
          <w:lang w:val="en-US" w:eastAsia="zh-CN"/>
        </w:rPr>
        <w:t>26,500.00</w:t>
      </w:r>
      <w:r>
        <w:rPr>
          <w:rFonts w:hint="eastAsia" w:ascii="Arial Unicode MS" w:hAnsi="Arial Unicode MS"/>
        </w:rPr>
        <w:t xml:space="preserve">        元</w:t>
      </w:r>
      <w:r>
        <w:rPr>
          <w:rFonts w:hint="eastAsia" w:ascii="Arial Unicode MS" w:hAnsi="Arial Unicode MS"/>
          <w:lang w:val="en-US" w:eastAsia="zh-CN"/>
        </w:rPr>
        <w:t>/</w:t>
      </w:r>
      <w:r>
        <w:rPr>
          <w:rFonts w:hint="eastAsia" w:ascii="Arial Unicode MS" w:hAnsi="Arial Unicode MS"/>
        </w:rPr>
        <w:t>平米。</w:t>
      </w:r>
    </w:p>
    <w:p>
      <w:pPr>
        <w:pStyle w:val="3"/>
        <w:spacing w:before="300" w:after="300" w:line="360" w:lineRule="exact"/>
        <w:jc w:val="left"/>
        <w:rPr>
          <w:rFonts w:eastAsia="宋体" w:cs="Arial"/>
          <w:sz w:val="24"/>
        </w:rPr>
      </w:pPr>
      <w:bookmarkStart w:id="443" w:name="_Toc263"/>
      <w:bookmarkStart w:id="444" w:name="_Toc17731"/>
      <w:bookmarkStart w:id="445" w:name="_Toc20320"/>
      <w:bookmarkStart w:id="446" w:name="_Toc9486"/>
      <w:bookmarkStart w:id="447" w:name="_Toc7694"/>
      <w:bookmarkStart w:id="448" w:name="_Toc30969"/>
      <w:bookmarkStart w:id="449" w:name="_Toc32570"/>
      <w:bookmarkStart w:id="450" w:name="_Toc14026"/>
      <w:bookmarkStart w:id="451" w:name="_Toc18788"/>
      <w:bookmarkStart w:id="452" w:name="_Toc6280"/>
      <w:bookmarkStart w:id="453" w:name="_Toc2350"/>
      <w:bookmarkStart w:id="454" w:name="_Toc7311"/>
      <w:bookmarkStart w:id="455" w:name="_Toc12917"/>
      <w:r>
        <w:rPr>
          <w:rFonts w:hint="eastAsia" w:eastAsia="宋体" w:cs="Arial"/>
          <w:sz w:val="24"/>
        </w:rPr>
        <w:t>8.2项目销售及营销推广计划</w:t>
      </w:r>
      <w:bookmarkEnd w:id="443"/>
      <w:bookmarkEnd w:id="444"/>
      <w:bookmarkEnd w:id="445"/>
      <w:bookmarkEnd w:id="446"/>
      <w:bookmarkEnd w:id="447"/>
      <w:bookmarkEnd w:id="448"/>
      <w:bookmarkEnd w:id="449"/>
      <w:bookmarkEnd w:id="450"/>
      <w:bookmarkEnd w:id="451"/>
      <w:bookmarkEnd w:id="452"/>
      <w:bookmarkEnd w:id="453"/>
      <w:bookmarkEnd w:id="454"/>
      <w:bookmarkEnd w:id="455"/>
    </w:p>
    <w:p>
      <w:pPr>
        <w:spacing w:line="360" w:lineRule="auto"/>
        <w:ind w:firstLine="420" w:firstLineChars="200"/>
        <w:rPr>
          <w:rFonts w:ascii="Arial Unicode MS" w:hAnsi="Arial Unicode MS"/>
        </w:rPr>
      </w:pPr>
      <w:r>
        <w:rPr>
          <w:rFonts w:hint="eastAsia" w:ascii="Arial Unicode MS" w:hAnsi="Arial Unicode MS"/>
        </w:rPr>
        <w:t>（1）项目展示区计划于2020年9月开工建设，于2021年1月开放。</w:t>
      </w:r>
    </w:p>
    <w:p>
      <w:pPr>
        <w:spacing w:line="360" w:lineRule="auto"/>
        <w:ind w:firstLine="420" w:firstLineChars="200"/>
        <w:rPr>
          <w:rFonts w:ascii="Arial Unicode MS" w:hAnsi="Arial Unicode MS"/>
        </w:rPr>
      </w:pPr>
      <w:r>
        <w:rPr>
          <w:rFonts w:hint="eastAsia" w:ascii="Arial Unicode MS" w:hAnsi="Arial Unicode MS"/>
        </w:rPr>
        <w:t>（2）项目拟于2021年2月达到预售条件，取得首批次预售证，于2021年6月取得第二批预售证。</w:t>
      </w:r>
    </w:p>
    <w:p>
      <w:pPr>
        <w:spacing w:line="360" w:lineRule="auto"/>
        <w:ind w:firstLine="420" w:firstLineChars="200"/>
        <w:rPr>
          <w:rFonts w:hint="default" w:ascii="Arial Unicode MS" w:hAnsi="Arial Unicode MS"/>
          <w:lang w:val="en-US"/>
        </w:rPr>
      </w:pPr>
      <w:r>
        <w:rPr>
          <w:rFonts w:hint="eastAsia" w:ascii="Arial Unicode MS" w:hAnsi="Arial Unicode MS"/>
        </w:rPr>
        <w:t>（3）项目公司已签订广告合同一份，</w:t>
      </w:r>
      <w:r>
        <w:rPr>
          <w:rFonts w:hint="eastAsia" w:ascii="Arial Unicode MS" w:hAnsi="Arial Unicode MS"/>
          <w:lang w:val="en-US" w:eastAsia="zh-CN"/>
        </w:rPr>
        <w:t>合同指定杭州捷群广告有限公司在2020年8月1日至2020年12月31日期间为项目公司提供销售策略、推广策划、广告推广以及项目推广中各阶段的媒介策略、各种媒体组合拟定和媒体执行日程、具体发布计划、媒介预算建议等服务。</w:t>
      </w:r>
    </w:p>
    <w:p>
      <w:pPr>
        <w:pStyle w:val="3"/>
        <w:spacing w:before="300" w:after="300" w:line="360" w:lineRule="exact"/>
        <w:jc w:val="left"/>
        <w:rPr>
          <w:rFonts w:eastAsia="宋体" w:cs="Arial"/>
          <w:sz w:val="24"/>
        </w:rPr>
      </w:pPr>
      <w:bookmarkStart w:id="456" w:name="_Toc26380"/>
      <w:bookmarkStart w:id="457" w:name="_Toc30962"/>
      <w:bookmarkStart w:id="458" w:name="_Toc7891"/>
      <w:bookmarkStart w:id="459" w:name="_Toc22308"/>
      <w:bookmarkStart w:id="460" w:name="_Toc13053"/>
      <w:bookmarkStart w:id="461" w:name="_Toc7896"/>
      <w:bookmarkStart w:id="462" w:name="_Toc8166"/>
      <w:bookmarkStart w:id="463" w:name="_Toc7994"/>
      <w:bookmarkStart w:id="464" w:name="_Toc11607"/>
      <w:bookmarkStart w:id="465" w:name="_Toc18718"/>
      <w:bookmarkStart w:id="466" w:name="_Toc18913"/>
      <w:bookmarkStart w:id="467" w:name="_Toc3051"/>
      <w:bookmarkStart w:id="468" w:name="_Toc4827"/>
      <w:r>
        <w:rPr>
          <w:rFonts w:hint="eastAsia" w:eastAsia="宋体" w:cs="Arial"/>
          <w:sz w:val="24"/>
        </w:rPr>
        <w:t>8.3项目销售情况统计</w:t>
      </w:r>
      <w:bookmarkEnd w:id="456"/>
      <w:bookmarkEnd w:id="457"/>
      <w:bookmarkEnd w:id="458"/>
      <w:bookmarkEnd w:id="459"/>
      <w:bookmarkEnd w:id="460"/>
      <w:bookmarkEnd w:id="461"/>
      <w:bookmarkEnd w:id="462"/>
      <w:bookmarkEnd w:id="463"/>
      <w:bookmarkEnd w:id="464"/>
      <w:bookmarkEnd w:id="465"/>
      <w:bookmarkEnd w:id="466"/>
      <w:bookmarkEnd w:id="467"/>
      <w:bookmarkEnd w:id="468"/>
    </w:p>
    <w:p>
      <w:pPr>
        <w:numPr>
          <w:ilvl w:val="255"/>
          <w:numId w:val="0"/>
        </w:numPr>
        <w:spacing w:line="360" w:lineRule="auto"/>
        <w:ind w:firstLine="420" w:firstLineChars="200"/>
        <w:rPr>
          <w:rFonts w:hint="eastAsia" w:ascii="Arial Unicode MS" w:hAnsi="Arial Unicode MS"/>
        </w:rPr>
      </w:pPr>
      <w:r>
        <w:rPr>
          <w:rFonts w:hint="eastAsia" w:ascii="Arial Unicode MS" w:hAnsi="Arial Unicode MS"/>
        </w:rPr>
        <w:t>项目公司尚未进入销售阶段</w:t>
      </w:r>
    </w:p>
    <w:p>
      <w:pPr>
        <w:numPr>
          <w:ilvl w:val="-1"/>
          <w:numId w:val="0"/>
        </w:numPr>
        <w:spacing w:line="240" w:lineRule="auto"/>
        <w:ind w:firstLine="0" w:firstLineChars="0"/>
        <w:rPr>
          <w:rFonts w:hint="eastAsia" w:ascii="Arial Unicode MS" w:hAnsi="Arial Unicode MS"/>
        </w:rPr>
      </w:pPr>
      <w:r>
        <w:rPr>
          <w:rFonts w:hint="eastAsia" w:ascii="Arial Unicode MS" w:hAnsi="Arial Unicode MS"/>
        </w:rPr>
        <w:br w:type="page"/>
      </w:r>
    </w:p>
    <w:p>
      <w:pPr>
        <w:pStyle w:val="2"/>
        <w:keepNext w:val="0"/>
        <w:keepLines w:val="0"/>
        <w:spacing w:before="300" w:after="300" w:line="360" w:lineRule="exact"/>
        <w:jc w:val="left"/>
        <w:outlineLvl w:val="0"/>
        <w:rPr>
          <w:rFonts w:hint="eastAsia" w:ascii="Arial" w:hAnsi="Arial" w:cs="Arial"/>
          <w:color w:val="000000"/>
          <w:sz w:val="24"/>
          <w:szCs w:val="24"/>
          <w:lang w:val="en-US" w:eastAsia="zh-CN"/>
        </w:rPr>
      </w:pPr>
      <w:bookmarkStart w:id="469" w:name="_Toc3967"/>
      <w:bookmarkStart w:id="470" w:name="_Toc32039"/>
      <w:bookmarkStart w:id="471" w:name="_Toc11401"/>
      <w:bookmarkStart w:id="472" w:name="_Toc28851"/>
      <w:bookmarkStart w:id="473" w:name="_Toc32478"/>
      <w:bookmarkStart w:id="474" w:name="_Toc19387"/>
      <w:bookmarkStart w:id="475" w:name="_Toc3192"/>
      <w:r>
        <w:rPr>
          <w:rFonts w:hint="eastAsia" w:ascii="Arial" w:hAnsi="Arial" w:cs="Arial"/>
          <w:b/>
          <w:bCs/>
          <w:color w:val="000000"/>
          <w:sz w:val="24"/>
          <w:szCs w:val="24"/>
          <w:lang w:val="en-US" w:eastAsia="zh-CN"/>
        </w:rPr>
        <w:t>9</w:t>
      </w:r>
      <w:r>
        <w:rPr>
          <w:rFonts w:hint="eastAsia" w:ascii="Arial" w:hAnsi="Arial" w:cs="Arial"/>
          <w:color w:val="000000"/>
          <w:sz w:val="24"/>
          <w:szCs w:val="24"/>
          <w:lang w:val="en-US" w:eastAsia="zh-CN"/>
        </w:rPr>
        <w:t>下期关注重点</w:t>
      </w:r>
      <w:bookmarkEnd w:id="469"/>
      <w:bookmarkEnd w:id="470"/>
      <w:bookmarkEnd w:id="471"/>
      <w:bookmarkEnd w:id="472"/>
      <w:bookmarkEnd w:id="473"/>
    </w:p>
    <w:p>
      <w:pPr>
        <w:keepNext w:val="0"/>
        <w:keepLines w:val="0"/>
        <w:spacing w:before="0" w:after="0" w:line="360" w:lineRule="auto"/>
        <w:ind w:firstLine="420" w:firstLineChars="200"/>
        <w:jc w:val="left"/>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综上所述，基于目前福州螺洲TOD项目运营状况，后续工作中将对下列事项进行重点关注：</w:t>
      </w:r>
    </w:p>
    <w:p>
      <w:pPr>
        <w:keepNext w:val="0"/>
        <w:keepLines w:val="0"/>
        <w:numPr>
          <w:ilvl w:val="0"/>
          <w:numId w:val="4"/>
        </w:numPr>
        <w:spacing w:before="0" w:after="0" w:line="480" w:lineRule="auto"/>
        <w:ind w:left="845" w:firstLine="0" w:firstLineChars="0"/>
        <w:jc w:val="left"/>
        <w:rPr>
          <w:rFonts w:hint="default" w:ascii="Arial" w:hAnsi="Arial" w:cs="Arial"/>
          <w:sz w:val="21"/>
          <w:szCs w:val="21"/>
          <w:lang w:val="en-US" w:eastAsia="zh-CN"/>
        </w:rPr>
      </w:pPr>
      <w:r>
        <w:rPr>
          <w:rFonts w:hint="default" w:ascii="Arial" w:hAnsi="Arial" w:cs="Arial"/>
          <w:sz w:val="21"/>
          <w:szCs w:val="21"/>
          <w:lang w:val="en-US" w:eastAsia="zh-CN"/>
        </w:rPr>
        <w:t>关注福州螺洲TOD项目</w:t>
      </w:r>
      <w:r>
        <w:rPr>
          <w:rFonts w:hint="eastAsia" w:ascii="Arial" w:hAnsi="Arial" w:cs="Arial"/>
          <w:sz w:val="21"/>
          <w:szCs w:val="21"/>
          <w:lang w:val="en-US" w:eastAsia="zh-CN"/>
        </w:rPr>
        <w:t>《建设工程规划许可证》、《建筑工程施工许可证》</w:t>
      </w:r>
      <w:r>
        <w:rPr>
          <w:rFonts w:hint="default" w:ascii="Arial" w:hAnsi="Arial" w:cs="Arial"/>
          <w:sz w:val="21"/>
          <w:szCs w:val="21"/>
          <w:lang w:val="en-US" w:eastAsia="zh-CN"/>
        </w:rPr>
        <w:t>办理</w:t>
      </w:r>
      <w:r>
        <w:rPr>
          <w:rFonts w:hint="eastAsia" w:ascii="Arial" w:hAnsi="Arial" w:cs="Arial"/>
          <w:sz w:val="21"/>
          <w:szCs w:val="21"/>
          <w:lang w:val="en-US" w:eastAsia="zh-CN"/>
        </w:rPr>
        <w:t>进度</w:t>
      </w:r>
      <w:r>
        <w:rPr>
          <w:rFonts w:hint="default" w:ascii="Arial" w:hAnsi="Arial" w:cs="Arial"/>
          <w:sz w:val="21"/>
          <w:szCs w:val="21"/>
          <w:lang w:val="en-US" w:eastAsia="zh-CN"/>
        </w:rPr>
        <w:t>；</w:t>
      </w:r>
    </w:p>
    <w:p>
      <w:pPr>
        <w:keepNext w:val="0"/>
        <w:keepLines w:val="0"/>
        <w:numPr>
          <w:ilvl w:val="0"/>
          <w:numId w:val="4"/>
        </w:numPr>
        <w:spacing w:before="0" w:after="0" w:line="480" w:lineRule="auto"/>
        <w:ind w:left="845" w:firstLine="0" w:firstLineChars="0"/>
        <w:jc w:val="left"/>
        <w:rPr>
          <w:rFonts w:hint="eastAsia" w:ascii="Arial" w:hAnsi="Arial" w:cs="Arial"/>
          <w:sz w:val="21"/>
          <w:szCs w:val="21"/>
        </w:rPr>
      </w:pPr>
      <w:r>
        <w:rPr>
          <w:rFonts w:hint="default" w:ascii="Arial" w:hAnsi="Arial" w:cs="Arial"/>
          <w:sz w:val="21"/>
          <w:szCs w:val="21"/>
          <w:lang w:val="en-US" w:eastAsia="zh-CN"/>
        </w:rPr>
        <w:t>关注福州螺洲TOD项目展示区</w:t>
      </w:r>
      <w:r>
        <w:rPr>
          <w:rFonts w:hint="eastAsia" w:ascii="Arial" w:hAnsi="Arial" w:cs="Arial"/>
          <w:sz w:val="21"/>
          <w:szCs w:val="21"/>
          <w:lang w:val="en-US" w:eastAsia="zh-CN"/>
        </w:rPr>
        <w:t>交地情况及施工</w:t>
      </w:r>
      <w:r>
        <w:rPr>
          <w:rFonts w:hint="default" w:ascii="Arial" w:hAnsi="Arial" w:cs="Arial"/>
          <w:sz w:val="21"/>
          <w:szCs w:val="21"/>
          <w:lang w:val="en-US" w:eastAsia="zh-CN"/>
        </w:rPr>
        <w:t>进</w:t>
      </w:r>
      <w:r>
        <w:rPr>
          <w:rFonts w:hint="eastAsia" w:ascii="Arial" w:hAnsi="Arial" w:cs="Arial"/>
          <w:sz w:val="21"/>
          <w:szCs w:val="21"/>
          <w:lang w:val="en-US" w:eastAsia="zh-CN"/>
        </w:rPr>
        <w:t>度；</w:t>
      </w:r>
    </w:p>
    <w:p>
      <w:pPr>
        <w:keepNext w:val="0"/>
        <w:keepLines w:val="0"/>
        <w:numPr>
          <w:ilvl w:val="0"/>
          <w:numId w:val="4"/>
        </w:numPr>
        <w:spacing w:before="0" w:after="0" w:line="480" w:lineRule="auto"/>
        <w:ind w:left="845" w:firstLine="0" w:firstLineChars="0"/>
        <w:jc w:val="left"/>
        <w:rPr>
          <w:rFonts w:hint="eastAsia" w:ascii="Arial" w:hAnsi="Arial" w:cs="Arial"/>
          <w:sz w:val="21"/>
          <w:szCs w:val="21"/>
        </w:rPr>
      </w:pPr>
      <w:r>
        <w:rPr>
          <w:rFonts w:hint="default" w:ascii="Arial" w:hAnsi="Arial" w:cs="Arial"/>
          <w:sz w:val="21"/>
          <w:szCs w:val="21"/>
          <w:lang w:val="en-US" w:eastAsia="zh-CN"/>
        </w:rPr>
        <w:t>关注福州螺洲TOD项目</w:t>
      </w:r>
      <w:r>
        <w:rPr>
          <w:rFonts w:hint="eastAsia" w:ascii="Arial" w:hAnsi="Arial" w:cs="Arial"/>
          <w:sz w:val="21"/>
          <w:szCs w:val="21"/>
          <w:lang w:val="en-US" w:eastAsia="zh-CN"/>
        </w:rPr>
        <w:t>总包招标进展及其它工程</w:t>
      </w:r>
      <w:r>
        <w:rPr>
          <w:rFonts w:hint="default" w:ascii="Arial" w:hAnsi="Arial" w:cs="Arial"/>
          <w:sz w:val="21"/>
          <w:szCs w:val="21"/>
          <w:lang w:val="en-US" w:eastAsia="zh-CN"/>
        </w:rPr>
        <w:t>合同</w:t>
      </w:r>
      <w:r>
        <w:rPr>
          <w:rFonts w:hint="eastAsia" w:ascii="Arial" w:hAnsi="Arial" w:cs="Arial"/>
          <w:sz w:val="21"/>
          <w:szCs w:val="21"/>
          <w:lang w:val="en-US" w:eastAsia="zh-CN"/>
        </w:rPr>
        <w:t>的</w:t>
      </w:r>
      <w:r>
        <w:rPr>
          <w:rFonts w:hint="default" w:ascii="Arial" w:hAnsi="Arial" w:cs="Arial"/>
          <w:sz w:val="21"/>
          <w:szCs w:val="21"/>
          <w:lang w:val="en-US" w:eastAsia="zh-CN"/>
        </w:rPr>
        <w:t>签订</w:t>
      </w:r>
      <w:r>
        <w:rPr>
          <w:rFonts w:hint="eastAsia" w:ascii="Arial" w:hAnsi="Arial" w:cs="Arial"/>
          <w:sz w:val="21"/>
          <w:szCs w:val="21"/>
          <w:lang w:val="en-US" w:eastAsia="zh-CN"/>
        </w:rPr>
        <w:t>、</w:t>
      </w:r>
      <w:r>
        <w:rPr>
          <w:rFonts w:hint="default" w:ascii="Arial" w:hAnsi="Arial" w:cs="Arial"/>
          <w:sz w:val="21"/>
          <w:szCs w:val="21"/>
          <w:lang w:val="en-US" w:eastAsia="zh-CN"/>
        </w:rPr>
        <w:t>执行；</w:t>
      </w:r>
    </w:p>
    <w:p>
      <w:pPr>
        <w:keepNext w:val="0"/>
        <w:keepLines w:val="0"/>
        <w:numPr>
          <w:ilvl w:val="0"/>
          <w:numId w:val="4"/>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关注SPV公司、项目公司资金余额及资金使用情况、资金计划完成情况</w:t>
      </w:r>
      <w:r>
        <w:rPr>
          <w:rFonts w:hint="default" w:ascii="Arial" w:hAnsi="Arial" w:cs="Arial"/>
          <w:sz w:val="21"/>
          <w:szCs w:val="21"/>
          <w:lang w:val="en-US" w:eastAsia="zh-CN"/>
        </w:rPr>
        <w:t>。</w:t>
      </w:r>
    </w:p>
    <w:p>
      <w:pPr>
        <w:keepNext w:val="0"/>
        <w:keepLines w:val="0"/>
        <w:spacing w:before="300" w:after="300" w:line="360" w:lineRule="exact"/>
        <w:jc w:val="left"/>
        <w:rPr>
          <w:rFonts w:ascii="Arial" w:hAnsi="Arial" w:cs="Arial"/>
          <w:color w:val="000000"/>
          <w:sz w:val="24"/>
          <w:szCs w:val="24"/>
        </w:rPr>
      </w:pPr>
      <w:bookmarkStart w:id="476" w:name="_Toc32094"/>
      <w:bookmarkStart w:id="477" w:name="_Toc25198"/>
      <w:bookmarkStart w:id="478" w:name="_Toc19608"/>
      <w:bookmarkStart w:id="479" w:name="_Toc30408"/>
      <w:bookmarkStart w:id="480" w:name="_Toc13942"/>
      <w:bookmarkStart w:id="481" w:name="_Toc28903"/>
      <w:bookmarkStart w:id="482" w:name="_Toc20853"/>
      <w:bookmarkStart w:id="483" w:name="_Toc20278"/>
      <w:r>
        <w:rPr>
          <w:rFonts w:ascii="Arial" w:hAnsi="Arial" w:cs="Arial"/>
          <w:color w:val="000000"/>
          <w:sz w:val="24"/>
          <w:szCs w:val="24"/>
        </w:rPr>
        <w:br w:type="page"/>
      </w:r>
    </w:p>
    <w:p>
      <w:pPr>
        <w:pStyle w:val="2"/>
        <w:keepNext w:val="0"/>
        <w:keepLines w:val="0"/>
        <w:spacing w:before="300" w:after="300" w:line="360" w:lineRule="exact"/>
        <w:jc w:val="left"/>
        <w:rPr>
          <w:rFonts w:ascii="Arial" w:hAnsi="Arial" w:cs="Arial"/>
          <w:color w:val="000000"/>
          <w:sz w:val="24"/>
          <w:szCs w:val="24"/>
        </w:rPr>
      </w:pPr>
      <w:bookmarkStart w:id="484" w:name="_Toc21930"/>
      <w:bookmarkStart w:id="485" w:name="_Toc8312"/>
      <w:bookmarkStart w:id="486" w:name="_Toc30328"/>
      <w:r>
        <w:rPr>
          <w:rFonts w:ascii="Arial" w:hAnsi="Arial" w:cs="Arial"/>
          <w:color w:val="000000"/>
          <w:sz w:val="24"/>
          <w:szCs w:val="24"/>
        </w:rPr>
        <w:t>附件</w:t>
      </w:r>
      <w:bookmarkEnd w:id="350"/>
      <w:bookmarkEnd w:id="351"/>
      <w:bookmarkEnd w:id="352"/>
      <w:bookmarkEnd w:id="353"/>
      <w:bookmarkEnd w:id="354"/>
      <w:bookmarkEnd w:id="355"/>
      <w:bookmarkEnd w:id="383"/>
      <w:bookmarkEnd w:id="384"/>
      <w:bookmarkEnd w:id="385"/>
      <w:bookmarkEnd w:id="386"/>
      <w:bookmarkEnd w:id="387"/>
      <w:bookmarkEnd w:id="388"/>
      <w:bookmarkEnd w:id="389"/>
      <w:bookmarkEnd w:id="390"/>
      <w:bookmarkEnd w:id="474"/>
      <w:bookmarkEnd w:id="475"/>
      <w:bookmarkEnd w:id="476"/>
      <w:bookmarkEnd w:id="477"/>
      <w:bookmarkEnd w:id="478"/>
      <w:bookmarkEnd w:id="479"/>
      <w:bookmarkEnd w:id="480"/>
      <w:bookmarkEnd w:id="481"/>
      <w:bookmarkEnd w:id="482"/>
      <w:bookmarkEnd w:id="483"/>
      <w:bookmarkEnd w:id="484"/>
      <w:bookmarkEnd w:id="485"/>
      <w:bookmarkEnd w:id="486"/>
    </w:p>
    <w:p>
      <w:pPr>
        <w:outlineLvl w:val="0"/>
        <w:rPr>
          <w:rFonts w:ascii="Arial" w:hAnsi="Arial" w:cs="Arial"/>
          <w:b/>
          <w:bCs/>
          <w:sz w:val="24"/>
          <w:szCs w:val="32"/>
        </w:rPr>
      </w:pPr>
      <w:bookmarkStart w:id="487" w:name="_Toc31430"/>
      <w:bookmarkStart w:id="488" w:name="_Toc1033"/>
      <w:bookmarkStart w:id="489" w:name="_Toc18186"/>
      <w:bookmarkStart w:id="490" w:name="_Toc4409"/>
      <w:bookmarkStart w:id="491" w:name="_Toc18594"/>
      <w:bookmarkStart w:id="492" w:name="_Toc16357"/>
      <w:bookmarkStart w:id="493" w:name="_Toc7415"/>
      <w:bookmarkStart w:id="494" w:name="_Toc31902"/>
      <w:bookmarkStart w:id="495" w:name="_Toc32603"/>
      <w:bookmarkStart w:id="496" w:name="_Toc28754"/>
      <w:bookmarkStart w:id="497" w:name="_Toc7546"/>
      <w:bookmarkStart w:id="498" w:name="_Toc31887"/>
      <w:bookmarkStart w:id="499" w:name="_Toc187"/>
      <w:bookmarkStart w:id="500" w:name="_Toc11274"/>
      <w:bookmarkStart w:id="501" w:name="_Toc7613"/>
      <w:bookmarkStart w:id="502" w:name="_Toc15462"/>
      <w:bookmarkStart w:id="503" w:name="_Toc514075669"/>
      <w:bookmarkStart w:id="504" w:name="_Toc535580035"/>
      <w:bookmarkStart w:id="505" w:name="_Toc45217885"/>
      <w:bookmarkStart w:id="506" w:name="_Toc535580103"/>
      <w:bookmarkStart w:id="507" w:name="_Toc535508648"/>
      <w:bookmarkStart w:id="508" w:name="_Toc535570762"/>
      <w:r>
        <w:rPr>
          <w:rFonts w:ascii="Arial" w:hAnsi="Arial" w:cs="Arial"/>
          <w:b/>
          <w:bCs/>
          <w:sz w:val="24"/>
          <w:szCs w:val="32"/>
        </w:rPr>
        <w:t>附件</w:t>
      </w:r>
      <w:r>
        <w:rPr>
          <w:rFonts w:hint="eastAsia" w:ascii="Arial" w:hAnsi="Arial" w:cs="Arial"/>
          <w:b/>
          <w:bCs/>
          <w:sz w:val="24"/>
          <w:szCs w:val="32"/>
          <w:lang w:eastAsia="zh-CN"/>
        </w:rPr>
        <w:t>一</w:t>
      </w:r>
      <w:r>
        <w:rPr>
          <w:rFonts w:ascii="Arial" w:hAnsi="Arial" w:cs="Arial"/>
          <w:b/>
          <w:bCs/>
          <w:sz w:val="24"/>
          <w:szCs w:val="32"/>
        </w:rPr>
        <w:t xml:space="preserve"> 入场交接单</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pPr>
        <w:spacing w:line="360" w:lineRule="auto"/>
        <w:ind w:firstLine="480" w:firstLineChars="200"/>
        <w:rPr>
          <w:rFonts w:ascii="Arial" w:hAnsi="Arial" w:cs="Arial"/>
          <w:sz w:val="24"/>
        </w:rPr>
      </w:pPr>
      <w:r>
        <w:rPr>
          <w:rFonts w:ascii="Arial" w:hAnsi="Arial" w:cs="Arial"/>
          <w:sz w:val="24"/>
        </w:rPr>
        <w:t>（1）SPV公司共管资料交接单如下：</w:t>
      </w:r>
    </w:p>
    <w:p>
      <w:pPr>
        <w:rPr>
          <w:rFonts w:ascii="Arial" w:hAnsi="Arial" w:cs="Arial"/>
          <w:b/>
          <w:bCs/>
          <w:sz w:val="24"/>
          <w:szCs w:val="32"/>
        </w:rPr>
      </w:pPr>
      <w:bookmarkStart w:id="509" w:name="_Toc6219"/>
      <w:bookmarkStart w:id="510" w:name="_Toc6835"/>
      <w:r>
        <w:rPr>
          <w:rFonts w:ascii="Arial" w:hAnsi="Arial" w:cs="Arial"/>
          <w:b/>
          <w:bCs/>
          <w:sz w:val="24"/>
          <w:szCs w:val="32"/>
        </w:rPr>
        <w:drawing>
          <wp:inline distT="0" distB="0" distL="114300" distR="114300">
            <wp:extent cx="5752465" cy="7157720"/>
            <wp:effectExtent l="0" t="0" r="635" b="5080"/>
            <wp:docPr id="19" name="图片 19" descr="微信图片_2020090313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0903135851"/>
                    <pic:cNvPicPr>
                      <a:picLocks noChangeAspect="1"/>
                    </pic:cNvPicPr>
                  </pic:nvPicPr>
                  <pic:blipFill>
                    <a:blip r:embed="rId18"/>
                    <a:stretch>
                      <a:fillRect/>
                    </a:stretch>
                  </pic:blipFill>
                  <pic:spPr>
                    <a:xfrm>
                      <a:off x="0" y="0"/>
                      <a:ext cx="5752465" cy="7157720"/>
                    </a:xfrm>
                    <a:prstGeom prst="rect">
                      <a:avLst/>
                    </a:prstGeom>
                  </pic:spPr>
                </pic:pic>
              </a:graphicData>
            </a:graphic>
          </wp:inline>
        </w:drawing>
      </w:r>
      <w:bookmarkEnd w:id="509"/>
      <w:bookmarkEnd w:id="510"/>
    </w:p>
    <w:p>
      <w:pPr>
        <w:rPr>
          <w:rFonts w:ascii="Arial" w:hAnsi="Arial" w:cs="Arial"/>
          <w:b/>
          <w:bCs/>
          <w:sz w:val="24"/>
          <w:szCs w:val="32"/>
        </w:rPr>
      </w:pPr>
      <w:bookmarkStart w:id="511" w:name="_Toc31220"/>
      <w:bookmarkStart w:id="512" w:name="_Toc12467"/>
      <w:r>
        <w:rPr>
          <w:rFonts w:ascii="Arial" w:hAnsi="Arial" w:cs="Arial"/>
          <w:b/>
          <w:bCs/>
          <w:sz w:val="24"/>
          <w:szCs w:val="32"/>
        </w:rPr>
        <w:drawing>
          <wp:inline distT="0" distB="0" distL="114300" distR="114300">
            <wp:extent cx="5761990" cy="7322185"/>
            <wp:effectExtent l="0" t="0" r="13970" b="8255"/>
            <wp:docPr id="24" name="图片 24" descr="微信图片_20200903135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009031358512"/>
                    <pic:cNvPicPr>
                      <a:picLocks noChangeAspect="1"/>
                    </pic:cNvPicPr>
                  </pic:nvPicPr>
                  <pic:blipFill>
                    <a:blip r:embed="rId19"/>
                    <a:stretch>
                      <a:fillRect/>
                    </a:stretch>
                  </pic:blipFill>
                  <pic:spPr>
                    <a:xfrm>
                      <a:off x="0" y="0"/>
                      <a:ext cx="5761990" cy="7322185"/>
                    </a:xfrm>
                    <a:prstGeom prst="rect">
                      <a:avLst/>
                    </a:prstGeom>
                  </pic:spPr>
                </pic:pic>
              </a:graphicData>
            </a:graphic>
          </wp:inline>
        </w:drawing>
      </w:r>
      <w:bookmarkEnd w:id="511"/>
      <w:bookmarkEnd w:id="512"/>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bookmarkStart w:id="513" w:name="_Toc29485"/>
      <w:r>
        <w:rPr>
          <w:rFonts w:ascii="Arial" w:hAnsi="Arial" w:cs="Arial"/>
          <w:sz w:val="24"/>
        </w:rPr>
        <w:t>（2）项目公司共管资料交接单如下：</w:t>
      </w:r>
      <w:bookmarkEnd w:id="513"/>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rPr>
      </w:pPr>
      <w:r>
        <w:rPr>
          <w:rFonts w:ascii="Arial" w:hAnsi="Arial" w:cs="Arial"/>
          <w:b/>
          <w:bCs/>
          <w:sz w:val="24"/>
          <w:szCs w:val="32"/>
        </w:rPr>
        <w:drawing>
          <wp:anchor distT="0" distB="0" distL="114300" distR="114300" simplePos="0" relativeHeight="251663360" behindDoc="0" locked="0" layoutInCell="1" allowOverlap="1">
            <wp:simplePos x="0" y="0"/>
            <wp:positionH relativeFrom="column">
              <wp:posOffset>0</wp:posOffset>
            </wp:positionH>
            <wp:positionV relativeFrom="paragraph">
              <wp:posOffset>-7193280</wp:posOffset>
            </wp:positionV>
            <wp:extent cx="5827395" cy="8020685"/>
            <wp:effectExtent l="0" t="0" r="9525" b="10795"/>
            <wp:wrapNone/>
            <wp:docPr id="21" name="图片 21" descr="微信图片_20200903135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009031358511"/>
                    <pic:cNvPicPr>
                      <a:picLocks noChangeAspect="1"/>
                    </pic:cNvPicPr>
                  </pic:nvPicPr>
                  <pic:blipFill>
                    <a:blip r:embed="rId20"/>
                    <a:stretch>
                      <a:fillRect/>
                    </a:stretch>
                  </pic:blipFill>
                  <pic:spPr>
                    <a:xfrm>
                      <a:off x="0" y="0"/>
                      <a:ext cx="5827395" cy="8020685"/>
                    </a:xfrm>
                    <a:prstGeom prst="rect">
                      <a:avLst/>
                    </a:prstGeom>
                  </pic:spPr>
                </pic:pic>
              </a:graphicData>
            </a:graphic>
          </wp:anchor>
        </w:drawing>
      </w:r>
      <w:bookmarkEnd w:id="503"/>
      <w:bookmarkEnd w:id="504"/>
      <w:bookmarkEnd w:id="505"/>
      <w:bookmarkEnd w:id="506"/>
      <w:bookmarkEnd w:id="507"/>
      <w:bookmarkEnd w:id="508"/>
    </w:p>
    <w:p>
      <w:pPr>
        <w:rPr>
          <w:rFonts w:ascii="Arial" w:hAnsi="Arial" w:cs="Arial"/>
        </w:rPr>
      </w:pPr>
    </w:p>
    <w:p>
      <w:pPr>
        <w:rPr>
          <w:rFonts w:ascii="Arial" w:hAnsi="Arial" w:cs="Arial"/>
        </w:rPr>
        <w:sectPr>
          <w:pgSz w:w="11905" w:h="16838"/>
          <w:pgMar w:top="1843" w:right="1134" w:bottom="1134" w:left="1134" w:header="851" w:footer="992" w:gutter="340"/>
          <w:cols w:space="0" w:num="1"/>
          <w:rtlGutter w:val="0"/>
          <w:docGrid w:linePitch="312" w:charSpace="0"/>
        </w:sectPr>
      </w:pPr>
    </w:p>
    <w:p>
      <w:pPr>
        <w:outlineLvl w:val="0"/>
        <w:rPr>
          <w:rFonts w:ascii="Arial" w:hAnsi="Arial" w:cs="Arial"/>
          <w:b/>
          <w:bCs/>
          <w:sz w:val="24"/>
          <w:szCs w:val="32"/>
        </w:rPr>
      </w:pPr>
      <w:bookmarkStart w:id="514" w:name="_Toc26267"/>
      <w:r>
        <w:rPr>
          <w:rFonts w:ascii="Arial" w:hAnsi="Arial" w:cs="Arial"/>
          <w:b/>
          <w:bCs/>
          <w:sz w:val="24"/>
          <w:szCs w:val="32"/>
        </w:rPr>
        <w:t>附件</w:t>
      </w:r>
      <w:r>
        <w:rPr>
          <w:rFonts w:hint="eastAsia" w:ascii="Arial" w:hAnsi="Arial" w:cs="Arial"/>
          <w:b/>
          <w:bCs/>
          <w:sz w:val="24"/>
          <w:szCs w:val="32"/>
          <w:lang w:eastAsia="zh-CN"/>
        </w:rPr>
        <w:t>二</w:t>
      </w:r>
      <w:r>
        <w:rPr>
          <w:rFonts w:ascii="Arial" w:hAnsi="Arial" w:cs="Arial"/>
          <w:b/>
          <w:bCs/>
          <w:sz w:val="24"/>
          <w:szCs w:val="32"/>
        </w:rPr>
        <w:t xml:space="preserve"> 标的项目平面图</w:t>
      </w:r>
      <w:bookmarkEnd w:id="514"/>
    </w:p>
    <w:p>
      <w:pPr>
        <w:rPr>
          <w:rFonts w:hint="eastAsia" w:ascii="Arial" w:hAnsi="Arial" w:cs="Arial"/>
          <w:b/>
          <w:bCs/>
          <w:sz w:val="24"/>
          <w:szCs w:val="32"/>
          <w:lang w:eastAsia="zh-CN"/>
        </w:rPr>
      </w:pPr>
    </w:p>
    <w:p>
      <w:pPr>
        <w:rPr>
          <w:rFonts w:hint="eastAsia" w:ascii="Arial" w:hAnsi="Arial" w:cs="Arial"/>
          <w:b/>
          <w:bCs/>
          <w:sz w:val="24"/>
          <w:szCs w:val="32"/>
          <w:lang w:eastAsia="zh-CN"/>
        </w:rPr>
      </w:pPr>
      <w:bookmarkStart w:id="515" w:name="_GoBack"/>
      <w:bookmarkEnd w:id="515"/>
      <w:r>
        <w:drawing>
          <wp:inline distT="0" distB="0" distL="114300" distR="114300">
            <wp:extent cx="5722620" cy="3755390"/>
            <wp:effectExtent l="0" t="0" r="11430" b="1651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1"/>
                    <a:stretch>
                      <a:fillRect/>
                    </a:stretch>
                  </pic:blipFill>
                  <pic:spPr>
                    <a:xfrm>
                      <a:off x="0" y="0"/>
                      <a:ext cx="5722620" cy="3755390"/>
                    </a:xfrm>
                    <a:prstGeom prst="rect">
                      <a:avLst/>
                    </a:prstGeom>
                  </pic:spPr>
                </pic:pic>
              </a:graphicData>
            </a:graphic>
          </wp:inline>
        </w:drawing>
      </w:r>
    </w:p>
    <w:sectPr>
      <w:pgSz w:w="11905" w:h="16838"/>
      <w:pgMar w:top="1843" w:right="1134" w:bottom="1134" w:left="1134" w:header="851" w:footer="992" w:gutter="34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23</w:t>
    </w:r>
    <w:r>
      <w:rPr>
        <w:rFonts w:ascii="Arial" w:hAnsi="Arial" w:cs="Arial"/>
      </w:rP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23</w:t>
    </w:r>
    <w:r>
      <w:rPr>
        <w:rFonts w:ascii="Arial" w:hAnsi="Arial" w:cs="Arial"/>
      </w:rPr>
      <w:fldChar w:fldCharType="end"/>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hint="eastAsia" w:ascii="Arial" w:hAnsi="Arial"/>
      </w:rPr>
      <w:t>2020年8月监管报告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E294E9"/>
    <w:multiLevelType w:val="singleLevel"/>
    <w:tmpl w:val="F7E294E9"/>
    <w:lvl w:ilvl="0" w:tentative="0">
      <w:start w:val="1"/>
      <w:numFmt w:val="decimal"/>
      <w:lvlText w:val="(%1)"/>
      <w:lvlJc w:val="left"/>
      <w:pPr>
        <w:ind w:left="425" w:hanging="425"/>
      </w:pPr>
      <w:rPr>
        <w:rFonts w:hint="default"/>
      </w:rPr>
    </w:lvl>
  </w:abstractNum>
  <w:abstractNum w:abstractNumId="1">
    <w:nsid w:val="286FBE4C"/>
    <w:multiLevelType w:val="singleLevel"/>
    <w:tmpl w:val="286FBE4C"/>
    <w:lvl w:ilvl="0" w:tentative="0">
      <w:start w:val="1"/>
      <w:numFmt w:val="decimal"/>
      <w:suff w:val="nothing"/>
      <w:lvlText w:val="%1、"/>
      <w:lvlJc w:val="left"/>
    </w:lvl>
  </w:abstractNum>
  <w:abstractNum w:abstractNumId="2">
    <w:nsid w:val="7037D5BF"/>
    <w:multiLevelType w:val="singleLevel"/>
    <w:tmpl w:val="7037D5BF"/>
    <w:lvl w:ilvl="0" w:tentative="0">
      <w:start w:val="2"/>
      <w:numFmt w:val="decimal"/>
      <w:suff w:val="nothing"/>
      <w:lvlText w:val="%1、"/>
      <w:lvlJc w:val="left"/>
    </w:lvl>
  </w:abstractNum>
  <w:abstractNum w:abstractNumId="3">
    <w:nsid w:val="74D77F5B"/>
    <w:multiLevelType w:val="singleLevel"/>
    <w:tmpl w:val="74D77F5B"/>
    <w:lvl w:ilvl="0" w:tentative="0">
      <w:start w:val="1"/>
      <w:numFmt w:val="decimal"/>
      <w:lvlText w:val="(%1)"/>
      <w:lvlJc w:val="left"/>
      <w:pPr>
        <w:ind w:left="425" w:hanging="425"/>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2991399"/>
    <w:rsid w:val="02D96E9C"/>
    <w:rsid w:val="062863C9"/>
    <w:rsid w:val="06B07493"/>
    <w:rsid w:val="08E8282B"/>
    <w:rsid w:val="0B186FF3"/>
    <w:rsid w:val="0CDE09C1"/>
    <w:rsid w:val="0CE622A7"/>
    <w:rsid w:val="0D6407D8"/>
    <w:rsid w:val="0F043B1F"/>
    <w:rsid w:val="126602EB"/>
    <w:rsid w:val="179761F3"/>
    <w:rsid w:val="184B7500"/>
    <w:rsid w:val="1BD6664F"/>
    <w:rsid w:val="21AF0E24"/>
    <w:rsid w:val="23095F49"/>
    <w:rsid w:val="23550F8C"/>
    <w:rsid w:val="236026AA"/>
    <w:rsid w:val="269027FB"/>
    <w:rsid w:val="27CF69F2"/>
    <w:rsid w:val="29CD2380"/>
    <w:rsid w:val="2A4916AA"/>
    <w:rsid w:val="2A5F13A7"/>
    <w:rsid w:val="2AF80D31"/>
    <w:rsid w:val="2E3038C8"/>
    <w:rsid w:val="31781E8C"/>
    <w:rsid w:val="34551D54"/>
    <w:rsid w:val="35190580"/>
    <w:rsid w:val="38C36755"/>
    <w:rsid w:val="39CB0770"/>
    <w:rsid w:val="3A9A4B54"/>
    <w:rsid w:val="3B666714"/>
    <w:rsid w:val="3D78431E"/>
    <w:rsid w:val="3E820261"/>
    <w:rsid w:val="3F750840"/>
    <w:rsid w:val="3FF853F5"/>
    <w:rsid w:val="408950D8"/>
    <w:rsid w:val="436713DF"/>
    <w:rsid w:val="45765A14"/>
    <w:rsid w:val="46A4605B"/>
    <w:rsid w:val="480A13E9"/>
    <w:rsid w:val="493D23AD"/>
    <w:rsid w:val="4CB907A4"/>
    <w:rsid w:val="4D300E54"/>
    <w:rsid w:val="55BE42C8"/>
    <w:rsid w:val="56F9126E"/>
    <w:rsid w:val="57ED4D68"/>
    <w:rsid w:val="5A8748F2"/>
    <w:rsid w:val="5B1F4A2F"/>
    <w:rsid w:val="5BE06073"/>
    <w:rsid w:val="5E89766F"/>
    <w:rsid w:val="5F26010C"/>
    <w:rsid w:val="63281093"/>
    <w:rsid w:val="655B7BCE"/>
    <w:rsid w:val="66D80480"/>
    <w:rsid w:val="68244975"/>
    <w:rsid w:val="6AFB70A7"/>
    <w:rsid w:val="6B7312D6"/>
    <w:rsid w:val="6F34658A"/>
    <w:rsid w:val="70273ED1"/>
    <w:rsid w:val="743A1F46"/>
    <w:rsid w:val="74B82954"/>
    <w:rsid w:val="7596349D"/>
    <w:rsid w:val="77D606BF"/>
    <w:rsid w:val="77D867A4"/>
    <w:rsid w:val="7ABE383B"/>
    <w:rsid w:val="7E672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6"/>
    <w:qFormat/>
    <w:uiPriority w:val="0"/>
    <w:pPr>
      <w:jc w:val="left"/>
    </w:pPr>
  </w:style>
  <w:style w:type="paragraph" w:styleId="7">
    <w:name w:val="Body Text"/>
    <w:basedOn w:val="1"/>
    <w:link w:val="35"/>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0"/>
    <w:qFormat/>
    <w:uiPriority w:val="0"/>
    <w:pPr>
      <w:ind w:left="100" w:leftChars="2500"/>
    </w:pPr>
  </w:style>
  <w:style w:type="paragraph" w:styleId="10">
    <w:name w:val="Balloon Text"/>
    <w:basedOn w:val="1"/>
    <w:link w:val="41"/>
    <w:qFormat/>
    <w:uiPriority w:val="0"/>
    <w:rPr>
      <w:sz w:val="18"/>
      <w:szCs w:val="18"/>
    </w:rPr>
  </w:style>
  <w:style w:type="paragraph" w:styleId="11">
    <w:name w:val="footer"/>
    <w:basedOn w:val="1"/>
    <w:link w:val="42"/>
    <w:qFormat/>
    <w:uiPriority w:val="99"/>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6">
    <w:name w:val="annotation subject"/>
    <w:basedOn w:val="6"/>
    <w:next w:val="6"/>
    <w:link w:val="37"/>
    <w:qFormat/>
    <w:uiPriority w:val="0"/>
    <w:rPr>
      <w:b/>
      <w:bCs/>
    </w:rPr>
  </w:style>
  <w:style w:type="paragraph" w:styleId="17">
    <w:name w:val="Body Text First Indent"/>
    <w:basedOn w:val="7"/>
    <w:link w:val="39"/>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眉 Char"/>
    <w:link w:val="12"/>
    <w:qFormat/>
    <w:uiPriority w:val="0"/>
    <w:rPr>
      <w:kern w:val="2"/>
      <w:sz w:val="18"/>
      <w:szCs w:val="18"/>
    </w:rPr>
  </w:style>
  <w:style w:type="character" w:customStyle="1" w:styleId="35">
    <w:name w:val="正文文本 Char"/>
    <w:link w:val="7"/>
    <w:qFormat/>
    <w:uiPriority w:val="0"/>
    <w:rPr>
      <w:kern w:val="2"/>
      <w:sz w:val="21"/>
      <w:szCs w:val="24"/>
    </w:rPr>
  </w:style>
  <w:style w:type="character" w:customStyle="1" w:styleId="36">
    <w:name w:val="批注文字 Char"/>
    <w:link w:val="6"/>
    <w:qFormat/>
    <w:uiPriority w:val="0"/>
    <w:rPr>
      <w:kern w:val="2"/>
      <w:sz w:val="21"/>
      <w:szCs w:val="24"/>
    </w:rPr>
  </w:style>
  <w:style w:type="character" w:customStyle="1" w:styleId="37">
    <w:name w:val="批注主题 Char"/>
    <w:link w:val="16"/>
    <w:qFormat/>
    <w:uiPriority w:val="0"/>
    <w:rPr>
      <w:b/>
      <w:bCs/>
      <w:kern w:val="2"/>
      <w:sz w:val="21"/>
      <w:szCs w:val="24"/>
    </w:rPr>
  </w:style>
  <w:style w:type="character" w:customStyle="1" w:styleId="38">
    <w:name w:val="标题 1 Char"/>
    <w:link w:val="2"/>
    <w:qFormat/>
    <w:uiPriority w:val="0"/>
    <w:rPr>
      <w:b/>
      <w:bCs/>
      <w:kern w:val="44"/>
      <w:sz w:val="44"/>
      <w:szCs w:val="44"/>
    </w:rPr>
  </w:style>
  <w:style w:type="character" w:customStyle="1" w:styleId="39">
    <w:name w:val="正文首行缩进 Char"/>
    <w:basedOn w:val="35"/>
    <w:link w:val="17"/>
    <w:qFormat/>
    <w:uiPriority w:val="0"/>
    <w:rPr>
      <w:kern w:val="2"/>
      <w:sz w:val="21"/>
      <w:szCs w:val="24"/>
    </w:rPr>
  </w:style>
  <w:style w:type="character" w:customStyle="1" w:styleId="40">
    <w:name w:val="日期 Char"/>
    <w:link w:val="9"/>
    <w:qFormat/>
    <w:uiPriority w:val="0"/>
    <w:rPr>
      <w:kern w:val="2"/>
      <w:sz w:val="21"/>
      <w:szCs w:val="24"/>
    </w:rPr>
  </w:style>
  <w:style w:type="character" w:customStyle="1" w:styleId="41">
    <w:name w:val="批注框文本 Char"/>
    <w:link w:val="10"/>
    <w:qFormat/>
    <w:uiPriority w:val="0"/>
    <w:rPr>
      <w:kern w:val="2"/>
      <w:sz w:val="18"/>
      <w:szCs w:val="18"/>
    </w:rPr>
  </w:style>
  <w:style w:type="character" w:customStyle="1" w:styleId="42">
    <w:name w:val="页脚 Char"/>
    <w:link w:val="11"/>
    <w:qFormat/>
    <w:uiPriority w:val="99"/>
    <w:rPr>
      <w:kern w:val="2"/>
      <w:sz w:val="18"/>
      <w:szCs w:val="18"/>
    </w:rPr>
  </w:style>
  <w:style w:type="character" w:customStyle="1" w:styleId="43">
    <w:name w:val="font61"/>
    <w:basedOn w:val="20"/>
    <w:qFormat/>
    <w:uiPriority w:val="0"/>
    <w:rPr>
      <w:rFonts w:hint="eastAsia" w:ascii="宋体" w:hAnsi="宋体" w:eastAsia="宋体" w:cs="宋体"/>
      <w:color w:val="000000"/>
      <w:sz w:val="18"/>
      <w:szCs w:val="18"/>
      <w:u w:val="none"/>
    </w:rPr>
  </w:style>
  <w:style w:type="character" w:customStyle="1" w:styleId="44">
    <w:name w:val="font7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default" w:ascii="Arial" w:hAnsi="Arial" w:cs="Arial"/>
      <w:color w:val="000000"/>
      <w:sz w:val="18"/>
      <w:szCs w:val="18"/>
      <w:u w:val="none"/>
    </w:rPr>
  </w:style>
  <w:style w:type="character" w:customStyle="1" w:styleId="46">
    <w:name w:val="zm6olrabive1"/>
    <w:basedOn w:val="20"/>
    <w:qFormat/>
    <w:uiPriority w:val="0"/>
    <w:rPr>
      <w:sz w:val="0"/>
      <w:szCs w:val="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2229</Words>
  <Characters>12706</Characters>
  <Lines>105</Lines>
  <Paragraphs>29</Paragraphs>
  <TotalTime>8</TotalTime>
  <ScaleCrop>false</ScaleCrop>
  <LinksUpToDate>false</LinksUpToDate>
  <CharactersWithSpaces>14906</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2020-09-09T02:11:00Z</dcterms:created>
  <dc:creator>walkinnet</dc:creator>
  <cp:lastModifiedBy>zhenny</cp:lastModifiedBy>
  <cp:lastPrinted>2019-01-22T07:47:00Z</cp:lastPrinted>
  <dcterms:modified xsi:type="dcterms:W3CDTF">2020-09-25T07:59:25Z</dcterms:modified>
  <dc:title>信托计划监管报告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