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Arial" w:hAnsi="Arial" w:cs="Arial"/>
          <w:kern w:val="0"/>
          <w:sz w:val="22"/>
        </w:rPr>
        <w:id w:val="-651602769"/>
        <w:docPartObj>
          <w:docPartGallery w:val="autotext"/>
        </w:docPartObj>
      </w:sdtPr>
      <w:sdtEndPr>
        <w:rPr>
          <w:rFonts w:ascii="Arial" w:hAnsi="Arial" w:cs="Arial"/>
          <w:kern w:val="0"/>
          <w:sz w:val="52"/>
          <w:szCs w:val="52"/>
        </w:rPr>
      </w:sdtEndPr>
      <w:sdtContent>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spacing w:line="360" w:lineRule="auto"/>
            <w:jc w:val="center"/>
            <w:rPr>
              <w:rFonts w:ascii="Arial" w:hAnsi="Arial" w:cs="Arial"/>
              <w:sz w:val="52"/>
              <w:szCs w:val="52"/>
            </w:rPr>
          </w:pPr>
          <w:r>
            <w:rPr>
              <w:rFonts w:ascii="Arial" w:hAnsi="Arial" w:cs="Arial"/>
              <w:sz w:val="52"/>
              <w:szCs w:val="52"/>
            </w:rPr>
            <w:t>202</w:t>
          </w:r>
          <w:r>
            <w:rPr>
              <w:rFonts w:hint="eastAsia" w:ascii="Arial" w:hAnsi="Arial" w:cs="Arial"/>
              <w:sz w:val="52"/>
              <w:szCs w:val="52"/>
              <w:lang w:val="en-US" w:eastAsia="zh-CN"/>
            </w:rPr>
            <w:t>3</w:t>
          </w:r>
          <w:r>
            <w:rPr>
              <w:rFonts w:ascii="Arial" w:hAnsi="Arial" w:cs="Arial"/>
              <w:sz w:val="52"/>
              <w:szCs w:val="52"/>
            </w:rPr>
            <w:t>年</w:t>
          </w:r>
          <w:r>
            <w:rPr>
              <w:rFonts w:hint="eastAsia" w:ascii="Arial" w:hAnsi="Arial" w:cs="Arial"/>
              <w:sz w:val="52"/>
              <w:szCs w:val="52"/>
              <w:lang w:val="en-US" w:eastAsia="zh-CN"/>
            </w:rPr>
            <w:t>1</w:t>
          </w:r>
          <w:r>
            <w:rPr>
              <w:rFonts w:ascii="Arial" w:hAnsi="Arial" w:cs="Arial"/>
              <w:sz w:val="52"/>
              <w:szCs w:val="52"/>
            </w:rPr>
            <w:t>季度</w:t>
          </w:r>
        </w:p>
        <w:p>
          <w:pPr>
            <w:spacing w:line="360" w:lineRule="auto"/>
            <w:jc w:val="center"/>
            <w:rPr>
              <w:rFonts w:ascii="Arial" w:hAnsi="Arial" w:cs="Arial"/>
              <w:sz w:val="36"/>
              <w:szCs w:val="36"/>
            </w:rPr>
          </w:pPr>
          <w:r>
            <w:rPr>
              <w:rFonts w:ascii="Arial" w:hAnsi="Arial" w:cs="Arial"/>
              <w:sz w:val="52"/>
              <w:szCs w:val="52"/>
            </w:rPr>
            <w:t>北京市房地产市场形势分析</w:t>
          </w: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pStyle w:val="41"/>
            <w:spacing w:line="360" w:lineRule="auto"/>
            <w:rPr>
              <w:rFonts w:ascii="Arial" w:hAnsi="Arial" w:cs="Arial"/>
              <w:kern w:val="2"/>
              <w:sz w:val="21"/>
            </w:rPr>
          </w:pPr>
        </w:p>
        <w:p>
          <w:pPr>
            <w:pStyle w:val="41"/>
            <w:spacing w:line="360" w:lineRule="auto"/>
            <w:jc w:val="center"/>
            <w:rPr>
              <w:rFonts w:ascii="Arial" w:hAnsi="Arial" w:cs="Arial"/>
              <w:sz w:val="52"/>
              <w:szCs w:val="52"/>
            </w:rPr>
          </w:pPr>
        </w:p>
      </w:sdtContent>
    </w:sdt>
    <w:p>
      <w:pPr>
        <w:spacing w:line="360" w:lineRule="auto"/>
        <w:jc w:val="center"/>
        <w:rPr>
          <w:rFonts w:ascii="Arial" w:hAnsi="Arial" w:cs="Arial"/>
          <w:sz w:val="28"/>
          <w:szCs w:val="28"/>
        </w:rPr>
      </w:pPr>
      <w:r>
        <w:rPr>
          <w:rFonts w:ascii="Arial" w:hAnsi="Arial" w:cs="Arial"/>
          <w:sz w:val="28"/>
          <w:szCs w:val="28"/>
        </w:rPr>
        <w:t>北京康正宏基房地产评估有限公司</w:t>
      </w:r>
    </w:p>
    <w:p>
      <w:pPr>
        <w:spacing w:line="360" w:lineRule="auto"/>
        <w:jc w:val="center"/>
        <w:rPr>
          <w:rFonts w:ascii="Arial" w:hAnsi="Arial" w:cs="Arial"/>
          <w:sz w:val="28"/>
          <w:szCs w:val="28"/>
        </w:rPr>
      </w:pPr>
      <w:r>
        <w:rPr>
          <w:rFonts w:ascii="Arial" w:hAnsi="Arial" w:cs="Arial"/>
          <w:sz w:val="28"/>
          <w:szCs w:val="28"/>
        </w:rPr>
        <w:t>202</w:t>
      </w:r>
      <w:r>
        <w:rPr>
          <w:rFonts w:hint="eastAsia" w:ascii="Arial" w:hAnsi="Arial" w:cs="Arial"/>
          <w:sz w:val="28"/>
          <w:szCs w:val="28"/>
          <w:lang w:val="en-US" w:eastAsia="zh-CN"/>
        </w:rPr>
        <w:t>3</w:t>
      </w:r>
      <w:r>
        <w:rPr>
          <w:rFonts w:ascii="Arial" w:hAnsi="Arial" w:cs="Arial"/>
          <w:sz w:val="28"/>
          <w:szCs w:val="28"/>
        </w:rPr>
        <w:t>年</w:t>
      </w:r>
      <w:r>
        <w:rPr>
          <w:rFonts w:hint="eastAsia" w:ascii="Arial" w:hAnsi="Arial" w:cs="Arial"/>
          <w:sz w:val="28"/>
          <w:szCs w:val="28"/>
          <w:lang w:val="en-US" w:eastAsia="zh-CN"/>
        </w:rPr>
        <w:t>3</w:t>
      </w:r>
      <w:r>
        <w:rPr>
          <w:rFonts w:ascii="Arial" w:hAnsi="Arial" w:cs="Arial"/>
          <w:sz w:val="28"/>
          <w:szCs w:val="28"/>
        </w:rPr>
        <w:t>月</w:t>
      </w:r>
    </w:p>
    <w:p>
      <w:pPr>
        <w:spacing w:line="360" w:lineRule="auto"/>
        <w:jc w:val="center"/>
        <w:rPr>
          <w:rFonts w:ascii="Arial" w:hAnsi="Arial" w:cs="Arial"/>
        </w:rPr>
      </w:pPr>
    </w:p>
    <w:p>
      <w:pPr>
        <w:spacing w:line="360" w:lineRule="auto"/>
        <w:jc w:val="center"/>
        <w:rPr>
          <w:rFonts w:ascii="Arial" w:hAnsi="Arial" w:cs="Arial"/>
        </w:rPr>
      </w:pPr>
    </w:p>
    <w:p>
      <w:pPr>
        <w:spacing w:line="360" w:lineRule="auto"/>
        <w:jc w:val="center"/>
        <w:rPr>
          <w:rFonts w:ascii="Arial" w:hAnsi="Arial" w:cs="Arial"/>
        </w:rPr>
      </w:pPr>
      <w:r>
        <w:rPr>
          <w:rFonts w:ascii="Arial" w:hAnsi="Arial" w:cs="Arial"/>
        </w:rPr>
        <w:br w:type="page"/>
      </w:r>
    </w:p>
    <w:p>
      <w:pPr>
        <w:spacing w:line="360" w:lineRule="auto"/>
        <w:jc w:val="center"/>
      </w:pPr>
      <w:r>
        <w:rPr>
          <w:rFonts w:hint="eastAsia" w:ascii="Arial" w:hAnsi="Arial" w:cs="Arial"/>
        </w:rPr>
        <w:t>目录</w:t>
      </w: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p>
    <w:p>
      <w:pPr>
        <w:pStyle w:val="14"/>
        <w:rPr>
          <w:rFonts w:asciiTheme="minorHAnsi" w:hAnsiTheme="minorHAnsi"/>
          <w:b w:val="0"/>
          <w:kern w:val="2"/>
          <w:sz w:val="21"/>
        </w:rPr>
      </w:pPr>
      <w:r>
        <w:fldChar w:fldCharType="begin"/>
      </w:r>
      <w:r>
        <w:instrText xml:space="preserve"> HYPERLINK \l "_Toc106720177" </w:instrText>
      </w:r>
      <w:r>
        <w:fldChar w:fldCharType="separate"/>
      </w:r>
      <w:r>
        <w:rPr>
          <w:rStyle w:val="24"/>
          <w:rFonts w:ascii="Arial" w:hAnsi="Arial" w:cs="Arial"/>
        </w:rPr>
        <w:t>一、宏观经济与政策环境分析</w:t>
      </w:r>
      <w:r>
        <w:tab/>
      </w:r>
      <w:r>
        <w:fldChar w:fldCharType="begin"/>
      </w:r>
      <w:r>
        <w:instrText xml:space="preserve"> PAGEREF _Toc106720177 \h </w:instrText>
      </w:r>
      <w:r>
        <w:fldChar w:fldCharType="separate"/>
      </w:r>
      <w:r>
        <w:t>2</w:t>
      </w:r>
      <w:r>
        <w:fldChar w:fldCharType="end"/>
      </w:r>
      <w:r>
        <w:fldChar w:fldCharType="end"/>
      </w:r>
    </w:p>
    <w:p>
      <w:pPr>
        <w:pStyle w:val="16"/>
        <w:tabs>
          <w:tab w:val="right" w:leader="dot" w:pos="8296"/>
        </w:tabs>
        <w:rPr>
          <w:kern w:val="2"/>
          <w:sz w:val="21"/>
        </w:rPr>
      </w:pPr>
      <w:r>
        <w:fldChar w:fldCharType="begin"/>
      </w:r>
      <w:r>
        <w:instrText xml:space="preserve"> HYPERLINK \l "_Toc106720178" </w:instrText>
      </w:r>
      <w:r>
        <w:fldChar w:fldCharType="separate"/>
      </w:r>
      <w:r>
        <w:rPr>
          <w:rStyle w:val="24"/>
          <w:rFonts w:ascii="Arial" w:hAnsi="Arial" w:cs="Arial"/>
        </w:rPr>
        <w:t>（一）宏观环境</w:t>
      </w:r>
      <w:r>
        <w:tab/>
      </w:r>
      <w:r>
        <w:fldChar w:fldCharType="begin"/>
      </w:r>
      <w:r>
        <w:instrText xml:space="preserve"> PAGEREF _Toc106720178 \h </w:instrText>
      </w:r>
      <w:r>
        <w:fldChar w:fldCharType="separate"/>
      </w:r>
      <w:r>
        <w:t>2</w:t>
      </w:r>
      <w:r>
        <w:fldChar w:fldCharType="end"/>
      </w:r>
      <w:r>
        <w:fldChar w:fldCharType="end"/>
      </w:r>
    </w:p>
    <w:p>
      <w:pPr>
        <w:pStyle w:val="16"/>
        <w:tabs>
          <w:tab w:val="right" w:leader="dot" w:pos="8296"/>
        </w:tabs>
        <w:rPr>
          <w:kern w:val="2"/>
          <w:sz w:val="21"/>
        </w:rPr>
      </w:pPr>
      <w:r>
        <w:fldChar w:fldCharType="begin"/>
      </w:r>
      <w:r>
        <w:instrText xml:space="preserve"> HYPERLINK \l "_Toc106720179" </w:instrText>
      </w:r>
      <w:r>
        <w:fldChar w:fldCharType="separate"/>
      </w:r>
      <w:r>
        <w:rPr>
          <w:rStyle w:val="24"/>
          <w:rFonts w:ascii="Arial" w:hAnsi="Arial" w:cs="Arial"/>
        </w:rPr>
        <w:t>（二）经济背景</w:t>
      </w:r>
      <w:r>
        <w:tab/>
      </w:r>
      <w:r>
        <w:fldChar w:fldCharType="begin"/>
      </w:r>
      <w:r>
        <w:instrText xml:space="preserve"> PAGEREF _Toc106720179 \h </w:instrText>
      </w:r>
      <w:r>
        <w:fldChar w:fldCharType="separate"/>
      </w:r>
      <w:r>
        <w:t>4</w:t>
      </w:r>
      <w:r>
        <w:fldChar w:fldCharType="end"/>
      </w:r>
      <w:r>
        <w:fldChar w:fldCharType="end"/>
      </w:r>
    </w:p>
    <w:p>
      <w:pPr>
        <w:pStyle w:val="16"/>
        <w:tabs>
          <w:tab w:val="right" w:leader="dot" w:pos="8296"/>
        </w:tabs>
        <w:rPr>
          <w:kern w:val="2"/>
          <w:sz w:val="21"/>
        </w:rPr>
      </w:pPr>
      <w:r>
        <w:fldChar w:fldCharType="begin"/>
      </w:r>
      <w:r>
        <w:instrText xml:space="preserve"> HYPERLINK \l "_Toc106720180" </w:instrText>
      </w:r>
      <w:r>
        <w:fldChar w:fldCharType="separate"/>
      </w:r>
      <w:r>
        <w:rPr>
          <w:rStyle w:val="24"/>
          <w:rFonts w:ascii="Arial" w:hAnsi="Arial" w:cs="Arial"/>
        </w:rPr>
        <w:t>（三）政策环境</w:t>
      </w:r>
      <w:r>
        <w:tab/>
      </w:r>
      <w:r>
        <w:fldChar w:fldCharType="begin"/>
      </w:r>
      <w:r>
        <w:instrText xml:space="preserve"> PAGEREF _Toc106720180 \h </w:instrText>
      </w:r>
      <w:r>
        <w:fldChar w:fldCharType="separate"/>
      </w:r>
      <w:r>
        <w:t>6</w:t>
      </w:r>
      <w:r>
        <w:fldChar w:fldCharType="end"/>
      </w:r>
      <w:r>
        <w:fldChar w:fldCharType="end"/>
      </w:r>
    </w:p>
    <w:p>
      <w:pPr>
        <w:pStyle w:val="16"/>
        <w:tabs>
          <w:tab w:val="right" w:leader="dot" w:pos="8296"/>
        </w:tabs>
        <w:rPr>
          <w:kern w:val="2"/>
          <w:sz w:val="21"/>
        </w:rPr>
      </w:pPr>
      <w:r>
        <w:fldChar w:fldCharType="begin"/>
      </w:r>
      <w:r>
        <w:instrText xml:space="preserve"> HYPERLINK \l "_Toc106720181" </w:instrText>
      </w:r>
      <w:r>
        <w:fldChar w:fldCharType="separate"/>
      </w:r>
      <w:r>
        <w:rPr>
          <w:rStyle w:val="24"/>
          <w:rFonts w:ascii="Arial" w:hAnsi="Arial" w:cs="Arial"/>
        </w:rPr>
        <w:t>（四）小结</w:t>
      </w:r>
      <w:r>
        <w:tab/>
      </w:r>
      <w:r>
        <w:fldChar w:fldCharType="begin"/>
      </w:r>
      <w:r>
        <w:instrText xml:space="preserve"> PAGEREF _Toc106720181 \h </w:instrText>
      </w:r>
      <w:r>
        <w:fldChar w:fldCharType="separate"/>
      </w:r>
      <w:r>
        <w:t>8</w:t>
      </w:r>
      <w:r>
        <w:fldChar w:fldCharType="end"/>
      </w:r>
      <w:r>
        <w:fldChar w:fldCharType="end"/>
      </w:r>
    </w:p>
    <w:p>
      <w:pPr>
        <w:pStyle w:val="14"/>
        <w:rPr>
          <w:rFonts w:asciiTheme="minorHAnsi" w:hAnsiTheme="minorHAnsi"/>
          <w:b w:val="0"/>
          <w:kern w:val="2"/>
          <w:sz w:val="21"/>
        </w:rPr>
      </w:pPr>
      <w:r>
        <w:fldChar w:fldCharType="begin"/>
      </w:r>
      <w:r>
        <w:instrText xml:space="preserve"> HYPERLINK \l "_Toc106720182" </w:instrText>
      </w:r>
      <w:r>
        <w:fldChar w:fldCharType="separate"/>
      </w:r>
      <w:r>
        <w:rPr>
          <w:rStyle w:val="24"/>
          <w:rFonts w:ascii="Arial" w:hAnsi="Arial" w:cs="Arial"/>
        </w:rPr>
        <w:t>二、市场分析</w:t>
      </w:r>
      <w:r>
        <w:tab/>
      </w:r>
      <w:r>
        <w:fldChar w:fldCharType="begin"/>
      </w:r>
      <w:r>
        <w:instrText xml:space="preserve"> PAGEREF _Toc106720182 \h </w:instrText>
      </w:r>
      <w:r>
        <w:fldChar w:fldCharType="separate"/>
      </w:r>
      <w:r>
        <w:t>9</w:t>
      </w:r>
      <w:r>
        <w:fldChar w:fldCharType="end"/>
      </w:r>
      <w:r>
        <w:fldChar w:fldCharType="end"/>
      </w:r>
    </w:p>
    <w:p>
      <w:pPr>
        <w:pStyle w:val="16"/>
        <w:tabs>
          <w:tab w:val="right" w:leader="dot" w:pos="8296"/>
        </w:tabs>
        <w:rPr>
          <w:kern w:val="2"/>
          <w:sz w:val="21"/>
        </w:rPr>
      </w:pPr>
      <w:r>
        <w:fldChar w:fldCharType="begin"/>
      </w:r>
      <w:r>
        <w:instrText xml:space="preserve"> HYPERLINK \l "_Toc106720183" </w:instrText>
      </w:r>
      <w:r>
        <w:fldChar w:fldCharType="separate"/>
      </w:r>
      <w:r>
        <w:rPr>
          <w:rStyle w:val="24"/>
          <w:rFonts w:ascii="Arial" w:hAnsi="Arial" w:cs="Arial"/>
        </w:rPr>
        <w:t>（一）土地市场</w:t>
      </w:r>
      <w:r>
        <w:tab/>
      </w:r>
      <w:r>
        <w:fldChar w:fldCharType="begin"/>
      </w:r>
      <w:r>
        <w:instrText xml:space="preserve"> PAGEREF _Toc106720183 \h </w:instrText>
      </w:r>
      <w:r>
        <w:fldChar w:fldCharType="separate"/>
      </w:r>
      <w:r>
        <w:t>9</w:t>
      </w:r>
      <w:r>
        <w:fldChar w:fldCharType="end"/>
      </w:r>
      <w:r>
        <w:fldChar w:fldCharType="end"/>
      </w:r>
    </w:p>
    <w:p>
      <w:pPr>
        <w:pStyle w:val="16"/>
        <w:tabs>
          <w:tab w:val="right" w:leader="dot" w:pos="8296"/>
        </w:tabs>
        <w:rPr>
          <w:kern w:val="2"/>
          <w:sz w:val="21"/>
        </w:rPr>
      </w:pPr>
      <w:r>
        <w:fldChar w:fldCharType="begin"/>
      </w:r>
      <w:r>
        <w:instrText xml:space="preserve"> HYPERLINK \l "_Toc106720184" </w:instrText>
      </w:r>
      <w:r>
        <w:fldChar w:fldCharType="separate"/>
      </w:r>
      <w:r>
        <w:rPr>
          <w:rStyle w:val="24"/>
          <w:rFonts w:ascii="Arial" w:hAnsi="Arial" w:cs="Arial"/>
        </w:rPr>
        <w:t>（二）房地产市场</w:t>
      </w:r>
      <w:r>
        <w:tab/>
      </w:r>
      <w:r>
        <w:fldChar w:fldCharType="begin"/>
      </w:r>
      <w:r>
        <w:instrText xml:space="preserve"> PAGEREF _Toc106720184 \h </w:instrText>
      </w:r>
      <w:r>
        <w:fldChar w:fldCharType="separate"/>
      </w:r>
      <w:r>
        <w:t>15</w:t>
      </w:r>
      <w:r>
        <w:fldChar w:fldCharType="end"/>
      </w:r>
      <w:r>
        <w:fldChar w:fldCharType="end"/>
      </w:r>
    </w:p>
    <w:p>
      <w:pPr>
        <w:pStyle w:val="14"/>
        <w:rPr>
          <w:rFonts w:asciiTheme="minorHAnsi" w:hAnsiTheme="minorHAnsi"/>
          <w:b w:val="0"/>
          <w:kern w:val="2"/>
          <w:sz w:val="21"/>
        </w:rPr>
      </w:pPr>
      <w:r>
        <w:fldChar w:fldCharType="begin"/>
      </w:r>
      <w:r>
        <w:instrText xml:space="preserve"> HYPERLINK \l "_Toc106720185" </w:instrText>
      </w:r>
      <w:r>
        <w:fldChar w:fldCharType="separate"/>
      </w:r>
      <w:r>
        <w:rPr>
          <w:rStyle w:val="24"/>
          <w:rFonts w:ascii="Arial" w:hAnsi="Arial" w:cs="Arial"/>
        </w:rPr>
        <w:t>三、市场展望</w:t>
      </w:r>
      <w:r>
        <w:tab/>
      </w:r>
      <w:r>
        <w:fldChar w:fldCharType="begin"/>
      </w:r>
      <w:r>
        <w:instrText xml:space="preserve"> PAGEREF _Toc106720185 \h </w:instrText>
      </w:r>
      <w:r>
        <w:fldChar w:fldCharType="separate"/>
      </w:r>
      <w:r>
        <w:t>26</w:t>
      </w:r>
      <w:r>
        <w:fldChar w:fldCharType="end"/>
      </w:r>
      <w:r>
        <w:fldChar w:fldCharType="end"/>
      </w:r>
    </w:p>
    <w:p>
      <w:pPr>
        <w:widowControl/>
        <w:spacing w:line="480" w:lineRule="auto"/>
        <w:jc w:val="left"/>
        <w:rPr>
          <w:rFonts w:ascii="Arial" w:hAnsi="Arial" w:cs="Arial"/>
        </w:rPr>
      </w:pPr>
      <w:r>
        <w:rPr>
          <w:rFonts w:ascii="Arial" w:hAnsi="Arial" w:cs="Arial"/>
        </w:rPr>
        <w:fldChar w:fldCharType="end"/>
      </w:r>
    </w:p>
    <w:p>
      <w:pPr>
        <w:widowControl/>
        <w:spacing w:line="360" w:lineRule="auto"/>
        <w:jc w:val="left"/>
        <w:rPr>
          <w:rFonts w:ascii="Arial" w:hAnsi="Arial" w:cs="Arial"/>
        </w:rPr>
      </w:pPr>
      <w:r>
        <w:rPr>
          <w:rFonts w:ascii="Arial" w:hAnsi="Arial" w:cs="Arial"/>
        </w:rPr>
        <w:br w:type="page"/>
      </w:r>
    </w:p>
    <w:p>
      <w:pPr>
        <w:pStyle w:val="2"/>
        <w:pageBreakBefore w:val="0"/>
        <w:kinsoku/>
        <w:wordWrap/>
        <w:overflowPunct/>
        <w:topLinePunct w:val="0"/>
        <w:autoSpaceDE/>
        <w:autoSpaceDN/>
        <w:bidi w:val="0"/>
        <w:adjustRightInd/>
        <w:snapToGrid/>
        <w:textAlignment w:val="auto"/>
        <w:rPr>
          <w:rFonts w:ascii="Arial" w:hAnsi="Arial" w:cs="Arial"/>
        </w:rPr>
      </w:pPr>
      <w:bookmarkStart w:id="0" w:name="_Toc106720177"/>
      <w:r>
        <w:rPr>
          <w:rFonts w:ascii="Arial" w:hAnsi="Arial" w:cs="Arial"/>
        </w:rPr>
        <w:t>一、宏观经济与政策环境分析</w:t>
      </w:r>
      <w:bookmarkEnd w:id="0"/>
    </w:p>
    <w:p>
      <w:pPr>
        <w:pStyle w:val="3"/>
        <w:keepNext w:val="0"/>
        <w:keepLines w:val="0"/>
        <w:pageBreakBefore w:val="0"/>
        <w:kinsoku/>
        <w:wordWrap/>
        <w:overflowPunct/>
        <w:topLinePunct w:val="0"/>
        <w:autoSpaceDE/>
        <w:autoSpaceDN/>
        <w:bidi w:val="0"/>
        <w:adjustRightInd/>
        <w:snapToGrid/>
        <w:spacing w:line="360" w:lineRule="auto"/>
        <w:textAlignment w:val="auto"/>
        <w:rPr>
          <w:rFonts w:ascii="Arial" w:hAnsi="Arial" w:cs="Arial"/>
        </w:rPr>
      </w:pPr>
      <w:bookmarkStart w:id="1" w:name="_Toc106720178"/>
      <w:bookmarkStart w:id="2" w:name="_Toc106718934"/>
      <w:r>
        <w:rPr>
          <w:rFonts w:ascii="Arial" w:hAnsi="Arial" w:cs="Arial"/>
        </w:rPr>
        <w:t>（一）宏观环境</w:t>
      </w:r>
      <w:bookmarkEnd w:id="1"/>
      <w:bookmarkEnd w:id="2"/>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Arial" w:hAnsi="Arial" w:cs="Arial" w:eastAsiaTheme="minorEastAsia"/>
          <w:kern w:val="2"/>
          <w:sz w:val="21"/>
          <w:szCs w:val="22"/>
          <w:lang w:val="en-US" w:eastAsia="zh-CN" w:bidi="ar-SA"/>
        </w:rPr>
      </w:pPr>
      <w:r>
        <w:rPr>
          <w:rFonts w:hint="eastAsia" w:ascii="Arial" w:hAnsi="Arial" w:cs="Arial" w:eastAsiaTheme="minorEastAsia"/>
          <w:kern w:val="2"/>
          <w:sz w:val="21"/>
          <w:szCs w:val="22"/>
          <w:lang w:val="en-US" w:eastAsia="zh-CN" w:bidi="ar-SA"/>
        </w:rPr>
        <w:t>1-2月，北京市固定资产投资(不含农户)同比增长6.4%。其中，房地产开发投资增长6.5%。从构成上看，建筑安装工程投资下降16%，设备工器具购置投资增长1倍，其他费用投资增长17.5%。从产业上看，第一产业下降63.9%，第二产业增长19.7%，第三产业增长5.3%。从投资行业看，制造业增长25.9%，其中，高技术制造业增长28.5%。科学研究和技术服务业增长3.9倍,卫生和社会工作增长92.4%，租赁与商务服务业增长39.2%,文化、体育和娱乐业增长1.8%，电力、热力、燃气及水生产和供应业下降6.5%，交通运输、仓储和邮政业下降10.2%，教育下降24.5%，信息传输、软件和信息技术服务业下降32.3%，水利、环境和公共设施管理业下降36.6%。</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rPr>
      </w:pPr>
      <w:r>
        <w:rPr>
          <w:rFonts w:hint="eastAsia" w:ascii="Arial" w:hAnsi="Arial" w:cs="Arial"/>
        </w:rPr>
        <w:t>1-2月，</w:t>
      </w:r>
      <w:r>
        <w:rPr>
          <w:rFonts w:hint="eastAsia" w:ascii="Arial" w:hAnsi="Arial" w:cs="Arial"/>
          <w:lang w:eastAsia="zh-CN"/>
        </w:rPr>
        <w:t>北京</w:t>
      </w:r>
      <w:r>
        <w:rPr>
          <w:rFonts w:hint="eastAsia" w:ascii="Arial" w:hAnsi="Arial" w:cs="Arial"/>
        </w:rPr>
        <w:t>市房地产开发企业房屋新开工面积为133.5万平方米，同比下降22.4%。其中，住宅新开工面积为64万平方米，同比下降30%；办公楼为7.7万平方米，下降23%；商业营业用房为3.4万平方米，下降46.7%。1-2月，</w:t>
      </w:r>
      <w:r>
        <w:rPr>
          <w:rFonts w:hint="eastAsia" w:ascii="Arial" w:hAnsi="Arial" w:cs="Arial"/>
          <w:lang w:eastAsia="zh-CN"/>
        </w:rPr>
        <w:t>北京</w:t>
      </w:r>
      <w:r>
        <w:rPr>
          <w:rFonts w:hint="eastAsia" w:ascii="Arial" w:hAnsi="Arial" w:cs="Arial"/>
        </w:rPr>
        <w:t>市房屋竣工面积为85.1万平方米，同比增长6%。其中，住宅竣工面积为55.3万平方米，增长1.3倍；办公楼为6.5万平方米，下降79.1%；商业营业用房为3.3万平方米，下降63.9%。1-2月，</w:t>
      </w:r>
      <w:r>
        <w:rPr>
          <w:rFonts w:hint="eastAsia" w:ascii="Arial" w:hAnsi="Arial" w:cs="Arial"/>
          <w:lang w:eastAsia="zh-CN"/>
        </w:rPr>
        <w:t>北京</w:t>
      </w:r>
      <w:r>
        <w:rPr>
          <w:rFonts w:hint="eastAsia" w:ascii="Arial" w:hAnsi="Arial" w:cs="Arial"/>
        </w:rPr>
        <w:t>市商品房销售面积为103.4万平方米，同比增长12.4%。其中，住宅销售面积为72.4万平方米，增长4%；办公楼为7.4万平方米，增长35.9%；商业营业用房为8万平方米，增长2.8倍。</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rPr>
      </w:pPr>
      <w:r>
        <w:rPr>
          <w:rFonts w:hint="eastAsia" w:ascii="Arial" w:hAnsi="Arial" w:cs="Arial"/>
        </w:rPr>
        <w:t>1-2月，</w:t>
      </w:r>
      <w:r>
        <w:rPr>
          <w:rFonts w:hint="eastAsia" w:ascii="Arial" w:hAnsi="Arial" w:cs="Arial"/>
          <w:lang w:eastAsia="zh-CN"/>
        </w:rPr>
        <w:t>北京</w:t>
      </w:r>
      <w:r>
        <w:rPr>
          <w:rFonts w:hint="eastAsia" w:ascii="Arial" w:hAnsi="Arial" w:cs="Arial"/>
        </w:rPr>
        <w:t>市实现社会消费品零售总额2314.9亿元，同比下降4.6%，降幅较上年全年收窄2.6个百分点。其中，网上零售出现波动，</w:t>
      </w:r>
      <w:r>
        <w:rPr>
          <w:rFonts w:hint="eastAsia" w:ascii="Arial" w:hAnsi="Arial" w:cs="Arial"/>
          <w:lang w:eastAsia="zh-CN"/>
        </w:rPr>
        <w:t>北京</w:t>
      </w:r>
      <w:r>
        <w:rPr>
          <w:rFonts w:hint="eastAsia" w:ascii="Arial" w:hAnsi="Arial" w:cs="Arial"/>
        </w:rPr>
        <w:t>市实现限额以上批发零售业、住宿餐饮业网上零售额735亿元，同比下降8.6%。从消费形态看，</w:t>
      </w:r>
      <w:r>
        <w:rPr>
          <w:rFonts w:hint="eastAsia" w:ascii="Arial" w:hAnsi="Arial" w:cs="Arial"/>
          <w:lang w:eastAsia="zh-CN"/>
        </w:rPr>
        <w:t>北京市</w:t>
      </w:r>
      <w:r>
        <w:rPr>
          <w:rFonts w:hint="eastAsia" w:ascii="Arial" w:hAnsi="Arial" w:cs="Arial"/>
        </w:rPr>
        <w:t>实现餐饮收入203.9亿元，同比增长6.5%，较上年全年提升21.7个百分点；实现商品零售2111亿元，同比下降5.6%，降幅较上年全年收窄1个百分点。从主要商品类别看，在限额以上批发和零售业商品类值中,文化办公用品类、服装鞋帽针纺织品类、金银珠宝类、石油及制品类和化妆品类等商品保持增长，分别实现零售额120.7亿元、96.6亿元、88.9亿元、72.4亿元和30.3亿元，同比分别增长1.6%、9.2%、11%、4.2%和5.3%，但通讯器材类、日用品类以及家用电器和音像器材类等商品呈两位数下降。</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rPr>
      </w:pPr>
      <w:r>
        <w:rPr>
          <w:rFonts w:hint="eastAsia" w:ascii="Arial" w:hAnsi="Arial" w:cs="Arial"/>
        </w:rPr>
        <w:t>1-</w:t>
      </w:r>
      <w:r>
        <w:rPr>
          <w:rFonts w:hint="eastAsia" w:ascii="Arial" w:hAnsi="Arial" w:cs="Arial"/>
          <w:lang w:val="en-US" w:eastAsia="zh-CN"/>
        </w:rPr>
        <w:t>2</w:t>
      </w:r>
      <w:r>
        <w:rPr>
          <w:rFonts w:hint="eastAsia" w:ascii="Arial" w:hAnsi="Arial" w:cs="Arial"/>
        </w:rPr>
        <w:t>月，</w:t>
      </w:r>
      <w:r>
        <w:rPr>
          <w:rFonts w:hint="eastAsia" w:ascii="Arial" w:hAnsi="Arial" w:cs="Arial"/>
          <w:lang w:eastAsia="zh-CN"/>
        </w:rPr>
        <w:t>北京市</w:t>
      </w:r>
      <w:r>
        <w:rPr>
          <w:rFonts w:hint="eastAsia" w:ascii="Arial" w:hAnsi="Arial" w:cs="Arial"/>
        </w:rPr>
        <w:t>居民消费价格同比上涨1.</w:t>
      </w:r>
      <w:r>
        <w:rPr>
          <w:rFonts w:hint="eastAsia" w:ascii="Arial" w:hAnsi="Arial" w:cs="Arial"/>
          <w:lang w:val="en-US" w:eastAsia="zh-CN"/>
        </w:rPr>
        <w:t>6</w:t>
      </w:r>
      <w:r>
        <w:rPr>
          <w:rFonts w:hint="eastAsia" w:ascii="Arial" w:hAnsi="Arial" w:cs="Arial"/>
        </w:rPr>
        <w:t>%。其中，食品价格上涨</w:t>
      </w:r>
      <w:r>
        <w:rPr>
          <w:rFonts w:hint="eastAsia" w:ascii="Arial" w:hAnsi="Arial" w:cs="Arial"/>
          <w:lang w:val="en-US" w:eastAsia="zh-CN"/>
        </w:rPr>
        <w:t>4.9</w:t>
      </w:r>
      <w:r>
        <w:rPr>
          <w:rFonts w:hint="eastAsia" w:ascii="Arial" w:hAnsi="Arial" w:cs="Arial"/>
        </w:rPr>
        <w:t>%，非食品价格上涨1.</w:t>
      </w:r>
      <w:r>
        <w:rPr>
          <w:rFonts w:hint="eastAsia" w:ascii="Arial" w:hAnsi="Arial" w:cs="Arial"/>
          <w:lang w:val="en-US" w:eastAsia="zh-CN"/>
        </w:rPr>
        <w:t>0</w:t>
      </w:r>
      <w:r>
        <w:rPr>
          <w:rFonts w:hint="eastAsia" w:ascii="Arial" w:hAnsi="Arial" w:cs="Arial"/>
        </w:rPr>
        <w:t>%，消费品价格上涨</w:t>
      </w:r>
      <w:r>
        <w:rPr>
          <w:rFonts w:hint="eastAsia" w:ascii="Arial" w:hAnsi="Arial" w:cs="Arial"/>
          <w:lang w:val="en-US" w:eastAsia="zh-CN"/>
        </w:rPr>
        <w:t>2.2</w:t>
      </w:r>
      <w:r>
        <w:rPr>
          <w:rFonts w:hint="eastAsia" w:ascii="Arial" w:hAnsi="Arial" w:cs="Arial"/>
        </w:rPr>
        <w:t>%，服务价格上涨</w:t>
      </w:r>
      <w:r>
        <w:rPr>
          <w:rFonts w:hint="eastAsia" w:ascii="Arial" w:hAnsi="Arial" w:cs="Arial"/>
          <w:lang w:val="en-US" w:eastAsia="zh-CN"/>
        </w:rPr>
        <w:t>1.0</w:t>
      </w:r>
      <w:r>
        <w:rPr>
          <w:rFonts w:hint="eastAsia" w:ascii="Arial" w:hAnsi="Arial" w:cs="Arial"/>
        </w:rPr>
        <w:t>%。</w:t>
      </w:r>
      <w:r>
        <w:rPr>
          <w:rFonts w:hint="eastAsia" w:ascii="Arial" w:hAnsi="Arial" w:cs="Arial"/>
          <w:lang w:val="en-US" w:eastAsia="zh-CN"/>
        </w:rPr>
        <w:t>2</w:t>
      </w:r>
      <w:r>
        <w:rPr>
          <w:rFonts w:hint="eastAsia" w:ascii="Arial" w:hAnsi="Arial" w:cs="Arial"/>
        </w:rPr>
        <w:t>月份，居民消费价格同比上涨</w:t>
      </w:r>
      <w:r>
        <w:rPr>
          <w:rFonts w:hint="eastAsia" w:ascii="Arial" w:hAnsi="Arial" w:cs="Arial"/>
          <w:lang w:val="en-US" w:eastAsia="zh-CN"/>
        </w:rPr>
        <w:t>1.2</w:t>
      </w:r>
      <w:r>
        <w:rPr>
          <w:rFonts w:hint="eastAsia" w:ascii="Arial" w:hAnsi="Arial" w:cs="Arial"/>
        </w:rPr>
        <w:t>%，涨幅比上月回落0.</w:t>
      </w:r>
      <w:r>
        <w:rPr>
          <w:rFonts w:hint="eastAsia" w:ascii="Arial" w:hAnsi="Arial" w:cs="Arial"/>
          <w:lang w:val="en-US" w:eastAsia="zh-CN"/>
        </w:rPr>
        <w:t>8</w:t>
      </w:r>
      <w:r>
        <w:rPr>
          <w:rFonts w:hint="eastAsia" w:ascii="Arial" w:hAnsi="Arial" w:cs="Arial"/>
        </w:rPr>
        <w:t>个百分点；环比下降0.</w:t>
      </w:r>
      <w:r>
        <w:rPr>
          <w:rFonts w:hint="eastAsia" w:ascii="Arial" w:hAnsi="Arial" w:cs="Arial"/>
          <w:lang w:val="en-US" w:eastAsia="zh-CN"/>
        </w:rPr>
        <w:t>4</w:t>
      </w:r>
      <w:r>
        <w:rPr>
          <w:rFonts w:hint="eastAsia" w:ascii="Arial" w:hAnsi="Arial" w:cs="Arial"/>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rPr>
      </w:pPr>
      <w:r>
        <w:rPr>
          <w:rFonts w:hint="eastAsia" w:ascii="Arial" w:hAnsi="Arial" w:cs="Arial"/>
        </w:rPr>
        <w:t>1-</w:t>
      </w:r>
      <w:r>
        <w:rPr>
          <w:rFonts w:hint="eastAsia" w:ascii="Arial" w:hAnsi="Arial" w:cs="Arial"/>
          <w:lang w:val="en-US" w:eastAsia="zh-CN"/>
        </w:rPr>
        <w:t>2</w:t>
      </w:r>
      <w:r>
        <w:rPr>
          <w:rFonts w:hint="eastAsia" w:ascii="Arial" w:hAnsi="Arial" w:cs="Arial"/>
        </w:rPr>
        <w:t>月，</w:t>
      </w:r>
      <w:r>
        <w:rPr>
          <w:rFonts w:hint="eastAsia" w:ascii="Arial" w:hAnsi="Arial" w:cs="Arial"/>
          <w:lang w:eastAsia="zh-CN"/>
        </w:rPr>
        <w:t>北京市</w:t>
      </w:r>
      <w:r>
        <w:rPr>
          <w:rFonts w:hint="eastAsia" w:ascii="Arial" w:hAnsi="Arial" w:cs="Arial"/>
        </w:rPr>
        <w:t>规模以上工业增加值按可比价格计算</w:t>
      </w:r>
      <w:r>
        <w:rPr>
          <w:rFonts w:hint="eastAsia" w:ascii="Arial" w:hAnsi="Arial" w:cs="Arial"/>
          <w:lang w:eastAsia="zh-CN"/>
        </w:rPr>
        <w:t>，同比</w:t>
      </w:r>
      <w:r>
        <w:rPr>
          <w:rFonts w:hint="eastAsia" w:ascii="Arial" w:hAnsi="Arial" w:cs="Arial"/>
        </w:rPr>
        <w:t>下降</w:t>
      </w:r>
      <w:r>
        <w:rPr>
          <w:rFonts w:hint="eastAsia" w:ascii="Arial" w:hAnsi="Arial" w:cs="Arial"/>
          <w:lang w:val="en-US" w:eastAsia="zh-CN"/>
        </w:rPr>
        <w:t>11</w:t>
      </w:r>
      <w:r>
        <w:rPr>
          <w:rFonts w:hint="eastAsia" w:ascii="Arial" w:hAnsi="Arial" w:cs="Arial"/>
        </w:rPr>
        <w:t>.0%。分经济类型看，1-</w:t>
      </w:r>
      <w:r>
        <w:rPr>
          <w:rFonts w:hint="eastAsia" w:ascii="Arial" w:hAnsi="Arial" w:cs="Arial"/>
          <w:lang w:val="en-US" w:eastAsia="zh-CN"/>
        </w:rPr>
        <w:t>2</w:t>
      </w:r>
      <w:r>
        <w:rPr>
          <w:rFonts w:hint="eastAsia" w:ascii="Arial" w:hAnsi="Arial" w:cs="Arial"/>
        </w:rPr>
        <w:t>月，国有企业增加值比上年同期下降</w:t>
      </w:r>
      <w:r>
        <w:rPr>
          <w:rFonts w:hint="eastAsia" w:ascii="Arial" w:hAnsi="Arial" w:cs="Arial"/>
          <w:lang w:val="en-US" w:eastAsia="zh-CN"/>
        </w:rPr>
        <w:t>36.9</w:t>
      </w:r>
      <w:r>
        <w:rPr>
          <w:rFonts w:hint="eastAsia" w:ascii="Arial" w:hAnsi="Arial" w:cs="Arial"/>
        </w:rPr>
        <w:t>%；股份制企业下降7.</w:t>
      </w:r>
      <w:r>
        <w:rPr>
          <w:rFonts w:hint="eastAsia" w:ascii="Arial" w:hAnsi="Arial" w:cs="Arial"/>
          <w:lang w:val="en-US" w:eastAsia="zh-CN"/>
        </w:rPr>
        <w:t>2</w:t>
      </w:r>
      <w:r>
        <w:rPr>
          <w:rFonts w:hint="eastAsia" w:ascii="Arial" w:hAnsi="Arial" w:cs="Arial"/>
        </w:rPr>
        <w:t>%；“三资”企业下降</w:t>
      </w:r>
      <w:r>
        <w:rPr>
          <w:rFonts w:hint="eastAsia" w:ascii="Arial" w:hAnsi="Arial" w:cs="Arial"/>
          <w:lang w:val="en-US" w:eastAsia="zh-CN"/>
        </w:rPr>
        <w:t>16.5</w:t>
      </w:r>
      <w:r>
        <w:rPr>
          <w:rFonts w:hint="eastAsia" w:ascii="Arial" w:hAnsi="Arial" w:cs="Arial"/>
        </w:rPr>
        <w:t>%。1-</w:t>
      </w:r>
      <w:r>
        <w:rPr>
          <w:rFonts w:hint="eastAsia" w:ascii="Arial" w:hAnsi="Arial" w:cs="Arial"/>
          <w:lang w:val="en-US" w:eastAsia="zh-CN"/>
        </w:rPr>
        <w:t>2</w:t>
      </w:r>
      <w:r>
        <w:rPr>
          <w:rFonts w:hint="eastAsia" w:ascii="Arial" w:hAnsi="Arial" w:cs="Arial"/>
        </w:rPr>
        <w:t>月，在3</w:t>
      </w:r>
      <w:r>
        <w:rPr>
          <w:rFonts w:hint="eastAsia" w:ascii="Arial" w:hAnsi="Arial" w:cs="Arial"/>
          <w:lang w:val="en-US" w:eastAsia="zh-CN"/>
        </w:rPr>
        <w:t>3</w:t>
      </w:r>
      <w:r>
        <w:rPr>
          <w:rFonts w:hint="eastAsia" w:ascii="Arial" w:hAnsi="Arial" w:cs="Arial"/>
        </w:rPr>
        <w:t>个工业大类行业中，</w:t>
      </w:r>
      <w:r>
        <w:rPr>
          <w:rFonts w:hint="eastAsia" w:ascii="Arial" w:hAnsi="Arial" w:cs="Arial"/>
          <w:lang w:val="en-US" w:eastAsia="zh-CN"/>
        </w:rPr>
        <w:t>11</w:t>
      </w:r>
      <w:r>
        <w:rPr>
          <w:rFonts w:hint="eastAsia" w:ascii="Arial" w:hAnsi="Arial" w:cs="Arial"/>
        </w:rPr>
        <w:t>个行业增加值比上年同期增长，</w:t>
      </w:r>
      <w:r>
        <w:rPr>
          <w:rFonts w:hint="eastAsia" w:ascii="Arial" w:hAnsi="Arial" w:cs="Arial"/>
          <w:lang w:eastAsia="zh-CN"/>
        </w:rPr>
        <w:t>其中纺织业同比增长</w:t>
      </w:r>
      <w:r>
        <w:rPr>
          <w:rFonts w:hint="eastAsia" w:ascii="Arial" w:hAnsi="Arial" w:cs="Arial"/>
        </w:rPr>
        <w:t>1</w:t>
      </w:r>
      <w:r>
        <w:rPr>
          <w:rFonts w:hint="eastAsia" w:ascii="Arial" w:hAnsi="Arial" w:cs="Arial"/>
          <w:lang w:val="en-US" w:eastAsia="zh-CN"/>
        </w:rPr>
        <w:t>48.3</w:t>
      </w:r>
      <w:r>
        <w:rPr>
          <w:rFonts w:hint="eastAsia" w:ascii="Arial" w:hAnsi="Arial" w:cs="Arial"/>
        </w:rPr>
        <w:t>%；铁路、船舶、航空航天和其他运输设备制造业增长</w:t>
      </w:r>
      <w:r>
        <w:rPr>
          <w:rFonts w:hint="eastAsia" w:ascii="Arial" w:hAnsi="Arial" w:cs="Arial"/>
          <w:lang w:val="en-US" w:eastAsia="zh-CN"/>
        </w:rPr>
        <w:t>26.2</w:t>
      </w:r>
      <w:r>
        <w:rPr>
          <w:rFonts w:hint="eastAsia" w:ascii="Arial" w:hAnsi="Arial" w:cs="Arial"/>
        </w:rPr>
        <w:t>%；开采专业及辅助性活动增长</w:t>
      </w:r>
      <w:r>
        <w:rPr>
          <w:rFonts w:hint="eastAsia" w:ascii="Arial" w:hAnsi="Arial" w:cs="Arial"/>
          <w:lang w:val="en-US" w:eastAsia="zh-CN"/>
        </w:rPr>
        <w:t>20.3</w:t>
      </w:r>
      <w:r>
        <w:rPr>
          <w:rFonts w:hint="eastAsia" w:ascii="Arial" w:hAnsi="Arial" w:cs="Arial"/>
        </w:rPr>
        <w:t>%；通用设备制造业下降</w:t>
      </w:r>
      <w:r>
        <w:rPr>
          <w:rFonts w:hint="eastAsia" w:ascii="Arial" w:hAnsi="Arial" w:cs="Arial"/>
          <w:lang w:val="en-US" w:eastAsia="zh-CN"/>
        </w:rPr>
        <w:t>9</w:t>
      </w:r>
      <w:r>
        <w:rPr>
          <w:rFonts w:hint="eastAsia" w:ascii="Arial" w:hAnsi="Arial" w:cs="Arial"/>
        </w:rPr>
        <w:t>.3%；汽车制造业下降</w:t>
      </w:r>
      <w:r>
        <w:rPr>
          <w:rFonts w:hint="eastAsia" w:ascii="Arial" w:hAnsi="Arial" w:cs="Arial"/>
          <w:lang w:val="en-US" w:eastAsia="zh-CN"/>
        </w:rPr>
        <w:t>2.0</w:t>
      </w:r>
      <w:r>
        <w:rPr>
          <w:rFonts w:hint="eastAsia" w:ascii="Arial" w:hAnsi="Arial" w:cs="Arial"/>
        </w:rPr>
        <w:t>%；医药制造业下降</w:t>
      </w:r>
      <w:r>
        <w:rPr>
          <w:rFonts w:hint="eastAsia" w:ascii="Arial" w:hAnsi="Arial" w:cs="Arial"/>
          <w:lang w:val="en-US" w:eastAsia="zh-CN"/>
        </w:rPr>
        <w:t>45.2</w:t>
      </w:r>
      <w:r>
        <w:rPr>
          <w:rFonts w:hint="eastAsia" w:ascii="Arial" w:hAnsi="Arial" w:cs="Arial"/>
        </w:rPr>
        <w:t>%。从主要工业产品看，1-</w:t>
      </w:r>
      <w:r>
        <w:rPr>
          <w:rFonts w:hint="eastAsia" w:ascii="Arial" w:hAnsi="Arial" w:cs="Arial"/>
          <w:lang w:val="en-US" w:eastAsia="zh-CN"/>
        </w:rPr>
        <w:t>2</w:t>
      </w:r>
      <w:r>
        <w:rPr>
          <w:rFonts w:hint="eastAsia" w:ascii="Arial" w:hAnsi="Arial" w:cs="Arial"/>
        </w:rPr>
        <w:t>月，</w:t>
      </w:r>
      <w:r>
        <w:rPr>
          <w:rFonts w:hint="eastAsia" w:ascii="Arial" w:hAnsi="Arial" w:cs="Arial"/>
          <w:lang w:eastAsia="zh-CN"/>
        </w:rPr>
        <w:t>北京市</w:t>
      </w:r>
      <w:r>
        <w:rPr>
          <w:rFonts w:hint="eastAsia" w:ascii="Arial" w:hAnsi="Arial" w:cs="Arial"/>
        </w:rPr>
        <w:t>生产汽车</w:t>
      </w:r>
      <w:r>
        <w:rPr>
          <w:rFonts w:hint="eastAsia" w:ascii="Arial" w:hAnsi="Arial" w:cs="Arial"/>
          <w:lang w:val="en-US" w:eastAsia="zh-CN"/>
        </w:rPr>
        <w:t>14.5</w:t>
      </w:r>
      <w:r>
        <w:rPr>
          <w:rFonts w:hint="eastAsia" w:ascii="Arial" w:hAnsi="Arial" w:cs="Arial"/>
        </w:rPr>
        <w:t>万辆，比上年同期下降</w:t>
      </w:r>
      <w:r>
        <w:rPr>
          <w:rFonts w:hint="eastAsia" w:ascii="Arial" w:hAnsi="Arial" w:cs="Arial"/>
          <w:lang w:val="en-US" w:eastAsia="zh-CN"/>
        </w:rPr>
        <w:t>9.5</w:t>
      </w:r>
      <w:r>
        <w:rPr>
          <w:rFonts w:hint="eastAsia" w:ascii="Arial" w:hAnsi="Arial" w:cs="Arial"/>
        </w:rPr>
        <w:t>%。其中，基本型乘用车（轿车）</w:t>
      </w:r>
      <w:r>
        <w:rPr>
          <w:rFonts w:hint="eastAsia" w:ascii="Arial" w:hAnsi="Arial" w:cs="Arial"/>
          <w:lang w:val="en-US" w:eastAsia="zh-CN"/>
        </w:rPr>
        <w:t>8.4</w:t>
      </w:r>
      <w:r>
        <w:rPr>
          <w:rFonts w:hint="eastAsia" w:ascii="Arial" w:hAnsi="Arial" w:cs="Arial"/>
        </w:rPr>
        <w:t>万辆，增长</w:t>
      </w:r>
      <w:r>
        <w:rPr>
          <w:rFonts w:hint="eastAsia" w:ascii="Arial" w:hAnsi="Arial" w:cs="Arial"/>
          <w:lang w:val="en-US" w:eastAsia="zh-CN"/>
        </w:rPr>
        <w:t>17.8</w:t>
      </w:r>
      <w:r>
        <w:rPr>
          <w:rFonts w:hint="eastAsia" w:ascii="Arial" w:hAnsi="Arial" w:cs="Arial"/>
        </w:rPr>
        <w:t>%；新能源汽车</w:t>
      </w:r>
      <w:r>
        <w:rPr>
          <w:rFonts w:hint="eastAsia" w:ascii="Arial" w:hAnsi="Arial" w:cs="Arial"/>
          <w:lang w:val="en-US" w:eastAsia="zh-CN"/>
        </w:rPr>
        <w:t>5640</w:t>
      </w:r>
      <w:r>
        <w:rPr>
          <w:rFonts w:hint="eastAsia" w:ascii="Arial" w:hAnsi="Arial" w:cs="Arial"/>
        </w:rPr>
        <w:t>辆，增长</w:t>
      </w:r>
      <w:r>
        <w:rPr>
          <w:rFonts w:hint="eastAsia" w:ascii="Arial" w:hAnsi="Arial" w:cs="Arial"/>
          <w:lang w:val="en-US" w:eastAsia="zh-CN"/>
        </w:rPr>
        <w:t>74.7</w:t>
      </w:r>
      <w:r>
        <w:rPr>
          <w:rFonts w:hint="eastAsia" w:ascii="Arial" w:hAnsi="Arial" w:cs="Arial"/>
        </w:rPr>
        <w:t>%。生产手机</w:t>
      </w:r>
      <w:r>
        <w:rPr>
          <w:rFonts w:hint="eastAsia" w:ascii="Arial" w:hAnsi="Arial" w:cs="Arial"/>
          <w:lang w:val="en-US" w:eastAsia="zh-CN"/>
        </w:rPr>
        <w:t>1118.6</w:t>
      </w:r>
      <w:r>
        <w:rPr>
          <w:rFonts w:hint="eastAsia" w:ascii="Arial" w:hAnsi="Arial" w:cs="Arial"/>
        </w:rPr>
        <w:t>万台，下降</w:t>
      </w:r>
      <w:r>
        <w:rPr>
          <w:rFonts w:hint="eastAsia" w:ascii="Arial" w:hAnsi="Arial" w:cs="Arial"/>
          <w:lang w:val="en-US" w:eastAsia="zh-CN"/>
        </w:rPr>
        <w:t>29.6</w:t>
      </w:r>
      <w:r>
        <w:rPr>
          <w:rFonts w:hint="eastAsia" w:ascii="Arial" w:hAnsi="Arial" w:cs="Arial"/>
        </w:rPr>
        <w:t>%</w:t>
      </w:r>
      <w:r>
        <w:rPr>
          <w:rFonts w:hint="eastAsia" w:ascii="Arial" w:hAnsi="Arial" w:cs="Arial"/>
          <w:lang w:eastAsia="zh-CN"/>
        </w:rPr>
        <w:t>；</w:t>
      </w:r>
      <w:r>
        <w:rPr>
          <w:rFonts w:hint="eastAsia" w:ascii="Arial" w:hAnsi="Arial" w:cs="Arial"/>
        </w:rPr>
        <w:t>生产集成电路</w:t>
      </w:r>
      <w:r>
        <w:rPr>
          <w:rFonts w:hint="eastAsia" w:ascii="Arial" w:hAnsi="Arial" w:cs="Arial"/>
          <w:lang w:val="en-US" w:eastAsia="zh-CN"/>
        </w:rPr>
        <w:t>27.4</w:t>
      </w:r>
      <w:r>
        <w:rPr>
          <w:rFonts w:hint="eastAsia" w:ascii="Arial" w:hAnsi="Arial" w:cs="Arial"/>
        </w:rPr>
        <w:t>亿块，下降</w:t>
      </w:r>
      <w:r>
        <w:rPr>
          <w:rFonts w:hint="eastAsia" w:ascii="Arial" w:hAnsi="Arial" w:cs="Arial"/>
          <w:lang w:val="en-US" w:eastAsia="zh-CN"/>
        </w:rPr>
        <w:t>23.8</w:t>
      </w:r>
      <w:r>
        <w:rPr>
          <w:rFonts w:hint="eastAsia" w:ascii="Arial" w:hAnsi="Arial" w:cs="Arial"/>
        </w:rPr>
        <w:t>%。1-</w:t>
      </w:r>
      <w:r>
        <w:rPr>
          <w:rFonts w:hint="eastAsia" w:ascii="Arial" w:hAnsi="Arial" w:cs="Arial"/>
          <w:lang w:val="en-US" w:eastAsia="zh-CN"/>
        </w:rPr>
        <w:t>2</w:t>
      </w:r>
      <w:r>
        <w:rPr>
          <w:rFonts w:hint="eastAsia" w:ascii="Arial" w:hAnsi="Arial" w:cs="Arial"/>
        </w:rPr>
        <w:t>月，工业企业实现销售产值</w:t>
      </w:r>
      <w:r>
        <w:rPr>
          <w:rFonts w:hint="eastAsia" w:ascii="Arial" w:hAnsi="Arial" w:cs="Arial"/>
          <w:lang w:val="en-US" w:eastAsia="zh-CN"/>
        </w:rPr>
        <w:t>34154068</w:t>
      </w:r>
      <w:r>
        <w:rPr>
          <w:rFonts w:hint="eastAsia" w:ascii="Arial" w:hAnsi="Arial" w:cs="Arial"/>
          <w:lang w:eastAsia="zh-CN"/>
        </w:rPr>
        <w:t>万</w:t>
      </w:r>
      <w:r>
        <w:rPr>
          <w:rFonts w:hint="eastAsia" w:ascii="Arial" w:hAnsi="Arial" w:cs="Arial"/>
        </w:rPr>
        <w:t>元，比上年同期下降</w:t>
      </w:r>
      <w:r>
        <w:rPr>
          <w:rFonts w:hint="eastAsia" w:ascii="Arial" w:hAnsi="Arial" w:cs="Arial"/>
          <w:lang w:val="en-US" w:eastAsia="zh-CN"/>
        </w:rPr>
        <w:t>4.4</w:t>
      </w:r>
      <w:r>
        <w:rPr>
          <w:rFonts w:hint="eastAsia" w:ascii="Arial" w:hAnsi="Arial" w:cs="Arial"/>
        </w:rPr>
        <w:t>%。其中，实现出口交货值</w:t>
      </w:r>
      <w:r>
        <w:rPr>
          <w:rFonts w:hint="eastAsia" w:ascii="Arial" w:hAnsi="Arial" w:cs="Arial"/>
          <w:lang w:val="en-US" w:eastAsia="zh-CN"/>
        </w:rPr>
        <w:t>2332063</w:t>
      </w:r>
      <w:r>
        <w:rPr>
          <w:rFonts w:hint="eastAsia" w:ascii="Arial" w:hAnsi="Arial" w:cs="Arial"/>
          <w:lang w:eastAsia="zh-CN"/>
        </w:rPr>
        <w:t>万</w:t>
      </w:r>
      <w:r>
        <w:rPr>
          <w:rFonts w:hint="eastAsia" w:ascii="Arial" w:hAnsi="Arial" w:cs="Arial"/>
        </w:rPr>
        <w:t>元，下降</w:t>
      </w:r>
      <w:r>
        <w:rPr>
          <w:rFonts w:hint="eastAsia" w:ascii="Arial" w:hAnsi="Arial" w:cs="Arial"/>
          <w:lang w:val="en-US" w:eastAsia="zh-CN"/>
        </w:rPr>
        <w:t>28.4</w:t>
      </w:r>
      <w:r>
        <w:rPr>
          <w:rFonts w:hint="eastAsia" w:ascii="Arial" w:hAnsi="Arial" w:cs="Arial"/>
        </w:rPr>
        <w:t xml:space="preserve">%。  </w:t>
      </w:r>
    </w:p>
    <w:p>
      <w:pPr>
        <w:pStyle w:val="3"/>
        <w:rPr>
          <w:rFonts w:ascii="Arial" w:hAnsi="Arial" w:cs="Arial"/>
        </w:rPr>
      </w:pPr>
      <w:r>
        <w:rPr>
          <w:rFonts w:ascii="Arial" w:hAnsi="Arial" w:cs="Arial"/>
        </w:rPr>
        <w:br w:type="page"/>
      </w:r>
    </w:p>
    <w:p>
      <w:pPr>
        <w:pStyle w:val="3"/>
        <w:numPr>
          <w:ilvl w:val="0"/>
          <w:numId w:val="1"/>
        </w:numPr>
        <w:rPr>
          <w:rFonts w:ascii="Arial" w:hAnsi="Arial" w:cs="Arial"/>
        </w:rPr>
      </w:pPr>
      <w:bookmarkStart w:id="3" w:name="_Toc106720179"/>
      <w:r>
        <w:rPr>
          <w:rFonts w:ascii="Arial" w:hAnsi="Arial" w:cs="Arial"/>
        </w:rPr>
        <w:t>经济背景</w:t>
      </w:r>
      <w:bookmarkEnd w:id="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hAnsi="Arial" w:cs="Arial"/>
        </w:rPr>
      </w:pPr>
      <w:r>
        <w:rPr>
          <w:rFonts w:ascii="Arial" w:hAnsi="Arial" w:cs="Arial"/>
        </w:rPr>
        <w:t>1.GDP增速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cs="Arial"/>
        </w:rPr>
      </w:pPr>
      <w:r>
        <w:rPr>
          <w:rFonts w:hint="eastAsia" w:ascii="Arial" w:hAnsi="Arial" w:cs="Arial"/>
        </w:rPr>
        <w:t>2022年，全市地区生产总值按不变价格计算，同比增长0.7%。年内GDP同比1季度增长，2季度下降，3季度止跌回升，4季度保持增长，全年实现正增长。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cs="Arial"/>
        </w:rPr>
      </w:pPr>
      <w:r>
        <w:drawing>
          <wp:inline distT="0" distB="0" distL="114300" distR="114300">
            <wp:extent cx="5275580" cy="2886075"/>
            <wp:effectExtent l="0" t="0" r="127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8"/>
                    <a:stretch>
                      <a:fillRect/>
                    </a:stretch>
                  </pic:blipFill>
                  <pic:spPr>
                    <a:xfrm rot="21600000">
                      <a:off x="0" y="0"/>
                      <a:ext cx="5275580" cy="2886455"/>
                    </a:xfrm>
                    <a:prstGeom prst="rect">
                      <a:avLst/>
                    </a:prstGeom>
                  </pic:spPr>
                </pic:pic>
              </a:graphicData>
            </a:graphic>
          </wp:inline>
        </w:drawing>
      </w:r>
    </w:p>
    <w:p>
      <w:pPr>
        <w:spacing w:line="360" w:lineRule="auto"/>
        <w:ind w:firstLine="420" w:firstLineChars="200"/>
        <w:rPr>
          <w:rFonts w:ascii="Arial" w:hAnsi="Arial" w:cs="Arial"/>
        </w:rPr>
      </w:pPr>
      <w:r>
        <w:rPr>
          <w:rFonts w:hint="eastAsia" w:ascii="Arial" w:hAnsi="Arial" w:cs="Arial"/>
        </w:rPr>
        <w:t>2</w:t>
      </w:r>
      <w:r>
        <w:rPr>
          <w:rFonts w:ascii="Arial" w:hAnsi="Arial" w:cs="Arial"/>
        </w:rPr>
        <w:t>.投资增速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cs="Arial"/>
        </w:rPr>
      </w:pPr>
      <w:r>
        <w:rPr>
          <w:rFonts w:hint="eastAsia" w:ascii="Arial" w:hAnsi="Arial" w:cs="Arial"/>
        </w:rPr>
        <w:t>2022年，全社会固定资产投资同比增加3.6%。其中，房地产开发投资同比增加1.0%，基础设施投资增长5.2%。</w:t>
      </w:r>
    </w:p>
    <w:p>
      <w:pPr>
        <w:pStyle w:val="29"/>
        <w:spacing w:line="360" w:lineRule="auto"/>
        <w:ind w:left="0" w:leftChars="0" w:firstLine="0" w:firstLineChars="0"/>
        <w:rPr>
          <w:rFonts w:hint="eastAsia" w:ascii="Arial" w:hAnsi="Arial" w:cs="Arial"/>
        </w:rPr>
      </w:pPr>
      <w:r>
        <w:drawing>
          <wp:inline distT="0" distB="0" distL="114300" distR="114300">
            <wp:extent cx="5282565" cy="3070225"/>
            <wp:effectExtent l="0" t="0" r="13335" b="1587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9"/>
                    <a:stretch>
                      <a:fillRect/>
                    </a:stretch>
                  </pic:blipFill>
                  <pic:spPr>
                    <a:xfrm rot="21600000">
                      <a:off x="0" y="0"/>
                      <a:ext cx="5282565" cy="3070859"/>
                    </a:xfrm>
                    <a:prstGeom prst="rect">
                      <a:avLst/>
                    </a:prstGeom>
                  </pic:spPr>
                </pic:pic>
              </a:graphicData>
            </a:graphic>
          </wp:inline>
        </w:drawing>
      </w:r>
    </w:p>
    <w:p>
      <w:pPr>
        <w:spacing w:line="360" w:lineRule="auto"/>
        <w:rPr>
          <w:rFonts w:ascii="Arial" w:hAnsi="Arial" w:cs="Arial"/>
        </w:rPr>
      </w:pPr>
    </w:p>
    <w:p>
      <w:pPr>
        <w:pStyle w:val="29"/>
        <w:numPr>
          <w:ilvl w:val="0"/>
          <w:numId w:val="2"/>
        </w:numPr>
        <w:spacing w:line="360" w:lineRule="auto"/>
        <w:ind w:left="283" w:hanging="283" w:hangingChars="135"/>
        <w:rPr>
          <w:rFonts w:ascii="Arial" w:hAnsi="Arial" w:cs="Arial"/>
        </w:rPr>
      </w:pPr>
      <w:r>
        <w:rPr>
          <w:rFonts w:ascii="Arial" w:hAnsi="Arial" w:cs="Arial"/>
        </w:rPr>
        <w:br w:type="page"/>
      </w:r>
    </w:p>
    <w:p>
      <w:pPr>
        <w:spacing w:line="360" w:lineRule="auto"/>
        <w:ind w:firstLine="420" w:firstLineChars="200"/>
        <w:rPr>
          <w:rFonts w:ascii="Arial" w:hAnsi="Arial" w:cs="Arial"/>
          <w:highlight w:val="none"/>
        </w:rPr>
      </w:pPr>
      <w:r>
        <w:rPr>
          <w:rFonts w:hint="eastAsia" w:ascii="Arial" w:hAnsi="Arial" w:cs="Arial"/>
          <w:highlight w:val="none"/>
        </w:rPr>
        <w:t>3</w:t>
      </w:r>
      <w:r>
        <w:rPr>
          <w:rFonts w:ascii="Arial" w:hAnsi="Arial" w:cs="Arial"/>
          <w:highlight w:val="none"/>
        </w:rPr>
        <w:t>.货币供应（M2、M1）</w:t>
      </w:r>
    </w:p>
    <w:p>
      <w:pPr>
        <w:pStyle w:val="29"/>
        <w:spacing w:line="360" w:lineRule="auto"/>
        <w:jc w:val="both"/>
        <w:rPr>
          <w:rFonts w:hint="eastAsia" w:ascii="Arial" w:hAnsi="Arial" w:cs="Arial"/>
          <w:highlight w:val="none"/>
        </w:rPr>
      </w:pPr>
      <w:r>
        <w:rPr>
          <w:rFonts w:hint="eastAsia" w:ascii="Arial" w:hAnsi="Arial" w:cs="Arial"/>
          <w:highlight w:val="none"/>
        </w:rPr>
        <w:t>2023年1月，M2增速12.6% ，M1增速6.7%，增速均比上月增加，其中M1增速回升幅度较大。</w:t>
      </w:r>
    </w:p>
    <w:p>
      <w:pPr>
        <w:spacing w:line="360" w:lineRule="auto"/>
        <w:ind w:firstLine="420" w:firstLineChars="200"/>
        <w:rPr>
          <w:rFonts w:hint="eastAsia" w:ascii="Arial" w:hAnsi="Arial" w:cs="Arial"/>
          <w:highlight w:val="none"/>
          <w:lang w:val="en-US" w:eastAsia="zh-CN"/>
        </w:rPr>
      </w:pPr>
      <w:r>
        <w:rPr>
          <w:rFonts w:hint="eastAsia" w:ascii="Arial" w:hAnsi="Arial" w:cs="Arial"/>
          <w:highlight w:val="none"/>
          <w:lang w:val="en-US" w:eastAsia="zh-CN"/>
        </w:rPr>
        <w:drawing>
          <wp:anchor distT="0" distB="0" distL="38100" distR="38100" simplePos="0" relativeHeight="251659264" behindDoc="0" locked="0" layoutInCell="1" allowOverlap="1">
            <wp:simplePos x="0" y="0"/>
            <wp:positionH relativeFrom="page">
              <wp:posOffset>1122680</wp:posOffset>
            </wp:positionH>
            <wp:positionV relativeFrom="paragraph">
              <wp:posOffset>64770</wp:posOffset>
            </wp:positionV>
            <wp:extent cx="5274310" cy="2597150"/>
            <wp:effectExtent l="0" t="0" r="2540" b="12700"/>
            <wp:wrapSquare wrapText="bothSides"/>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10"/>
                    <a:stretch>
                      <a:fillRect/>
                    </a:stretch>
                  </pic:blipFill>
                  <pic:spPr>
                    <a:xfrm>
                      <a:off x="0" y="0"/>
                      <a:ext cx="5274310" cy="2597150"/>
                    </a:xfrm>
                    <a:prstGeom prst="rect">
                      <a:avLst/>
                    </a:prstGeom>
                  </pic:spPr>
                </pic:pic>
              </a:graphicData>
            </a:graphic>
          </wp:anchor>
        </w:drawing>
      </w:r>
      <w:r>
        <w:rPr>
          <w:rFonts w:hint="eastAsia" w:ascii="Arial" w:hAnsi="Arial" w:cs="Arial"/>
          <w:highlight w:val="none"/>
          <w:lang w:val="en-US" w:eastAsia="zh-CN"/>
        </w:rPr>
        <w:t>4.贷款市场报价利率（LPR）</w:t>
      </w:r>
    </w:p>
    <w:p>
      <w:pPr>
        <w:pStyle w:val="29"/>
        <w:spacing w:line="360" w:lineRule="auto"/>
        <w:jc w:val="left"/>
        <w:rPr>
          <w:rFonts w:hint="eastAsia" w:ascii="Arial" w:hAnsi="Arial" w:cs="Arial" w:eastAsiaTheme="minorEastAsia"/>
          <w:kern w:val="2"/>
          <w:sz w:val="21"/>
          <w:szCs w:val="22"/>
          <w:u w:val="none"/>
          <w:shd w:val="clear"/>
          <w:lang w:val="en-US" w:eastAsia="zh-CN" w:bidi="ar-SA"/>
        </w:rPr>
      </w:pPr>
      <w:r>
        <w:rPr>
          <w:rFonts w:hint="eastAsia" w:ascii="Arial" w:hAnsi="Arial" w:cs="Arial" w:eastAsiaTheme="minorEastAsia"/>
          <w:kern w:val="2"/>
          <w:sz w:val="21"/>
          <w:szCs w:val="22"/>
          <w:u w:val="none"/>
          <w:shd w:val="clear"/>
          <w:lang w:val="en-US" w:eastAsia="zh-CN" w:bidi="ar-SA"/>
        </w:rPr>
        <w:t xml:space="preserve">2023年1月20日，贷款市场报价利率 (LPR)一年期为3.65%；五年期以上为4.3% </w:t>
      </w:r>
      <w:r>
        <w:rPr>
          <w:rFonts w:hint="eastAsia" w:ascii="Arial" w:hAnsi="Arial" w:cs="Arial"/>
          <w:kern w:val="2"/>
          <w:sz w:val="21"/>
          <w:szCs w:val="22"/>
          <w:u w:val="none"/>
          <w:shd w:val="clear"/>
          <w:lang w:val="en-US" w:eastAsia="zh-CN" w:bidi="ar-SA"/>
        </w:rPr>
        <w:t>,</w:t>
      </w:r>
      <w:r>
        <w:rPr>
          <w:rFonts w:hint="eastAsia" w:ascii="Arial" w:hAnsi="Arial" w:cs="Arial" w:eastAsiaTheme="minorEastAsia"/>
          <w:kern w:val="2"/>
          <w:sz w:val="21"/>
          <w:szCs w:val="22"/>
          <w:u w:val="none"/>
          <w:shd w:val="clear"/>
          <w:lang w:val="en-US" w:eastAsia="zh-CN" w:bidi="ar-SA"/>
        </w:rPr>
        <w:t>连续六个月保持不变。</w:t>
      </w:r>
    </w:p>
    <w:p>
      <w:pPr>
        <w:pStyle w:val="29"/>
        <w:spacing w:line="360" w:lineRule="auto"/>
        <w:ind w:left="0" w:leftChars="0" w:firstLine="0" w:firstLineChars="0"/>
        <w:jc w:val="left"/>
        <w:rPr>
          <w:rFonts w:hint="eastAsia" w:ascii="Arial" w:hAnsi="Arial" w:cs="Arial" w:eastAsiaTheme="minorEastAsia"/>
          <w:kern w:val="2"/>
          <w:sz w:val="21"/>
          <w:szCs w:val="22"/>
          <w:u w:val="none"/>
          <w:shd w:val="clear"/>
          <w:lang w:val="en-US" w:eastAsia="zh-CN" w:bidi="ar-SA"/>
        </w:rPr>
      </w:pPr>
      <w:r>
        <w:rPr>
          <w:rFonts w:hint="eastAsia" w:ascii="Arial" w:hAnsi="Arial" w:cs="Arial" w:eastAsiaTheme="minorEastAsia"/>
          <w:kern w:val="2"/>
          <w:sz w:val="21"/>
          <w:szCs w:val="22"/>
          <w:u w:val="none"/>
          <w:shd w:val="clear"/>
          <w:lang w:val="en-US" w:eastAsia="zh-CN" w:bidi="ar-SA"/>
        </w:rPr>
        <w:drawing>
          <wp:inline distT="0" distB="0" distL="114300" distR="114300">
            <wp:extent cx="5270500" cy="2419350"/>
            <wp:effectExtent l="0" t="0" r="6350" b="0"/>
            <wp:docPr id="11" name="图片 1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无标题"/>
                    <pic:cNvPicPr>
                      <a:picLocks noChangeAspect="1"/>
                    </pic:cNvPicPr>
                  </pic:nvPicPr>
                  <pic:blipFill>
                    <a:blip r:embed="rId11"/>
                    <a:stretch>
                      <a:fillRect/>
                    </a:stretch>
                  </pic:blipFill>
                  <pic:spPr>
                    <a:xfrm>
                      <a:off x="0" y="0"/>
                      <a:ext cx="5270500" cy="2419350"/>
                    </a:xfrm>
                    <a:prstGeom prst="rect">
                      <a:avLst/>
                    </a:prstGeom>
                  </pic:spPr>
                </pic:pic>
              </a:graphicData>
            </a:graphic>
          </wp:inline>
        </w:drawing>
      </w:r>
    </w:p>
    <w:p>
      <w:pPr>
        <w:pStyle w:val="3"/>
        <w:rPr>
          <w:rFonts w:ascii="Arial" w:hAnsi="Arial" w:cs="Arial"/>
        </w:rPr>
      </w:pPr>
      <w:bookmarkStart w:id="4" w:name="_Toc106718936"/>
      <w:bookmarkStart w:id="5" w:name="_Toc106720180"/>
      <w:bookmarkStart w:id="6" w:name="_Toc51682735"/>
      <w:r>
        <w:rPr>
          <w:rFonts w:ascii="Arial" w:hAnsi="Arial" w:cs="Arial"/>
        </w:rPr>
        <w:t>（三）政策环境</w:t>
      </w:r>
      <w:bookmarkEnd w:id="4"/>
      <w:bookmarkEnd w:id="5"/>
    </w:p>
    <w:p>
      <w:pPr>
        <w:pStyle w:val="29"/>
        <w:numPr>
          <w:ilvl w:val="0"/>
          <w:numId w:val="3"/>
        </w:numPr>
        <w:spacing w:line="360" w:lineRule="auto"/>
        <w:ind w:firstLineChars="0"/>
        <w:rPr>
          <w:rFonts w:ascii="Arial" w:hAnsi="Arial" w:cs="Arial"/>
        </w:rPr>
      </w:pPr>
      <w:r>
        <w:rPr>
          <w:rFonts w:hint="eastAsia" w:ascii="Arial" w:hAnsi="Arial" w:cs="Arial"/>
        </w:rPr>
        <w:t>《自然资源部办公厅关于进一步规范住宅用地供应信息公开工作的通知》</w:t>
      </w:r>
      <w:r>
        <w:rPr>
          <w:rFonts w:hint="eastAsia" w:ascii="Arial" w:hAnsi="Arial" w:cs="Arial"/>
          <w:lang w:eastAsia="zh-CN"/>
        </w:rPr>
        <w:t>（</w:t>
      </w:r>
      <w:r>
        <w:rPr>
          <w:rFonts w:hint="eastAsia" w:ascii="Arial" w:hAnsi="Arial" w:cs="Arial"/>
        </w:rPr>
        <w:t>自然资办函〔2022〕2728号</w:t>
      </w:r>
      <w:r>
        <w:rPr>
          <w:rFonts w:hint="eastAsia" w:ascii="Arial" w:hAnsi="Arial" w:cs="Arial"/>
          <w:lang w:eastAsia="zh-CN"/>
        </w:rPr>
        <w:t>）：</w:t>
      </w:r>
      <w:r>
        <w:rPr>
          <w:rFonts w:hint="eastAsia" w:ascii="Arial" w:hAnsi="Arial" w:cs="Arial"/>
        </w:rPr>
        <w:t>各地要将住宅用地近三年年平均完成交易量以及对应的住宅建筑面积，做为测算下一年度供地计划总量的参考。市、县自然资源主管部门要根据年度供地计划，分批次公开未来一定时间内拟出让地块的详细清单。每次公开详细清单对应的拟出让时间段原则上不少于3个月，给市场主体充足的时间预期预判。详细清单内的地块，在公开的拟出让时间段内可以一次或多次发布出让公告，有序组织出让，并在公开的拟出让时间内全部推出。</w:t>
      </w:r>
    </w:p>
    <w:p>
      <w:pPr>
        <w:pStyle w:val="29"/>
        <w:numPr>
          <w:ilvl w:val="0"/>
          <w:numId w:val="3"/>
        </w:numPr>
        <w:spacing w:line="360" w:lineRule="auto"/>
        <w:ind w:firstLineChars="0"/>
        <w:rPr>
          <w:rFonts w:ascii="Arial" w:hAnsi="Arial" w:cs="Arial"/>
        </w:rPr>
      </w:pPr>
      <w:r>
        <w:rPr>
          <w:rFonts w:hint="eastAsia" w:ascii="Arial" w:hAnsi="Arial" w:cs="Arial"/>
        </w:rPr>
        <w:t>1月1 日，北京住房公积金管理中心发布《关于进一步优化住房公积金提取业务的通知》</w:t>
      </w:r>
      <w:r>
        <w:rPr>
          <w:rFonts w:hint="eastAsia" w:ascii="Arial" w:hAnsi="Arial" w:cs="Arial"/>
          <w:lang w:eastAsia="zh-CN"/>
        </w:rPr>
        <w:t>（</w:t>
      </w:r>
      <w:r>
        <w:rPr>
          <w:rFonts w:hint="eastAsia" w:ascii="Arial" w:hAnsi="Arial" w:cs="Arial"/>
        </w:rPr>
        <w:t>京房公积金发〔2023〕1号</w:t>
      </w:r>
      <w:r>
        <w:rPr>
          <w:rFonts w:hint="eastAsia" w:ascii="Arial" w:hAnsi="Arial" w:cs="Arial"/>
          <w:lang w:eastAsia="zh-CN"/>
        </w:rPr>
        <w:t>）</w:t>
      </w:r>
      <w:r>
        <w:rPr>
          <w:rFonts w:hint="eastAsia" w:ascii="Arial" w:hAnsi="Arial" w:cs="Arial"/>
        </w:rPr>
        <w:t>：加大对租住保障性租赁住房的支持力度。</w:t>
      </w:r>
    </w:p>
    <w:p>
      <w:pPr>
        <w:pStyle w:val="29"/>
        <w:numPr>
          <w:ilvl w:val="0"/>
          <w:numId w:val="3"/>
        </w:numPr>
        <w:spacing w:line="360" w:lineRule="auto"/>
        <w:ind w:firstLineChars="0"/>
        <w:rPr>
          <w:rFonts w:hint="eastAsia" w:ascii="Arial" w:hAnsi="Arial" w:cs="Arial"/>
        </w:rPr>
      </w:pPr>
      <w:r>
        <w:rPr>
          <w:rFonts w:hint="eastAsia" w:ascii="Arial" w:hAnsi="Arial" w:cs="Arial"/>
        </w:rPr>
        <w:t>1月4日，《北京市住房和城乡建设委员会关于房地产估价机构备案部分事项试行告知承诺办理的通知》</w:t>
      </w:r>
      <w:r>
        <w:rPr>
          <w:rFonts w:hint="eastAsia" w:ascii="Arial" w:hAnsi="Arial" w:cs="Arial"/>
          <w:lang w:eastAsia="zh-CN"/>
        </w:rPr>
        <w:t>（</w:t>
      </w:r>
      <w:r>
        <w:rPr>
          <w:rFonts w:hint="eastAsia" w:ascii="Arial" w:hAnsi="Arial" w:cs="Arial"/>
        </w:rPr>
        <w:t>京建发〔2023〕1号</w:t>
      </w:r>
      <w:r>
        <w:rPr>
          <w:rFonts w:hint="eastAsia" w:ascii="Arial" w:hAnsi="Arial" w:cs="Arial"/>
          <w:lang w:eastAsia="zh-CN"/>
        </w:rPr>
        <w:t>）</w:t>
      </w:r>
      <w:r>
        <w:rPr>
          <w:rFonts w:hint="eastAsia" w:ascii="Arial" w:hAnsi="Arial" w:cs="Arial"/>
        </w:rPr>
        <w:t>：六项备案业务实施告知承诺办理，实行全程网办，多个事项可一并申请和办理。</w:t>
      </w:r>
    </w:p>
    <w:p>
      <w:pPr>
        <w:pStyle w:val="29"/>
        <w:numPr>
          <w:ilvl w:val="0"/>
          <w:numId w:val="3"/>
        </w:numPr>
        <w:spacing w:line="360" w:lineRule="auto"/>
        <w:ind w:firstLineChars="0"/>
        <w:rPr>
          <w:rFonts w:hint="eastAsia" w:ascii="Arial" w:hAnsi="Arial" w:cs="Arial"/>
        </w:rPr>
      </w:pPr>
      <w:r>
        <w:rPr>
          <w:rFonts w:hint="eastAsia" w:ascii="Arial" w:hAnsi="Arial" w:cs="Arial"/>
        </w:rPr>
        <w:t>1月5日，《中国人民银行 中国银行保险监督管理委员会关于建立新发放首套住房个人住房贷款利率政策动态调整长效机制的通知》：建立首套住房贷款利率政策动态调整机制，房价连续下跌的城市可阶段性维持、下调或取消当地首套住房贷款利率政策下限 。</w:t>
      </w:r>
    </w:p>
    <w:p>
      <w:pPr>
        <w:pStyle w:val="29"/>
        <w:numPr>
          <w:ilvl w:val="0"/>
          <w:numId w:val="3"/>
        </w:numPr>
        <w:spacing w:line="360" w:lineRule="auto"/>
        <w:ind w:firstLineChars="0"/>
        <w:rPr>
          <w:rFonts w:ascii="Arial" w:hAnsi="Arial" w:cs="Arial"/>
        </w:rPr>
      </w:pPr>
      <w:r>
        <w:rPr>
          <w:rFonts w:hint="eastAsia" w:ascii="Arial" w:hAnsi="Arial" w:cs="Arial"/>
        </w:rPr>
        <w:t xml:space="preserve">1月9日，《北京市人民政府关于印发&lt;北京市政府投资管理办法&gt;的通知》 </w:t>
      </w:r>
      <w:r>
        <w:rPr>
          <w:rFonts w:hint="eastAsia" w:ascii="Arial" w:hAnsi="Arial" w:cs="Arial"/>
          <w:lang w:eastAsia="zh-CN"/>
        </w:rPr>
        <w:t>（</w:t>
      </w:r>
      <w:r>
        <w:rPr>
          <w:rFonts w:hint="eastAsia" w:ascii="Arial" w:hAnsi="Arial" w:cs="Arial"/>
        </w:rPr>
        <w:t>京政发〔2023〕1号</w:t>
      </w:r>
      <w:r>
        <w:rPr>
          <w:rFonts w:hint="eastAsia" w:ascii="Arial" w:hAnsi="Arial" w:cs="Arial"/>
          <w:lang w:eastAsia="zh-CN"/>
        </w:rPr>
        <w:t>）</w:t>
      </w:r>
      <w:r>
        <w:rPr>
          <w:rFonts w:hint="eastAsia" w:ascii="Arial" w:hAnsi="Arial" w:cs="Arial"/>
        </w:rPr>
        <w:t>。</w:t>
      </w:r>
    </w:p>
    <w:p>
      <w:pPr>
        <w:pStyle w:val="29"/>
        <w:numPr>
          <w:ilvl w:val="0"/>
          <w:numId w:val="3"/>
        </w:numPr>
        <w:spacing w:line="360" w:lineRule="auto"/>
        <w:ind w:firstLineChars="0"/>
        <w:rPr>
          <w:rFonts w:ascii="Arial" w:hAnsi="Arial" w:cs="Arial"/>
        </w:rPr>
      </w:pPr>
      <w:r>
        <w:rPr>
          <w:rFonts w:hint="eastAsia" w:ascii="Arial" w:hAnsi="Arial" w:cs="Arial"/>
        </w:rPr>
        <w:t>1月10日，人民银行、银保监会联合召开主要银行信贷工作座谈会，研究部署落实金融支持稳增长有关工作。</w:t>
      </w:r>
    </w:p>
    <w:p>
      <w:pPr>
        <w:pStyle w:val="29"/>
        <w:numPr>
          <w:ilvl w:val="0"/>
          <w:numId w:val="3"/>
        </w:numPr>
        <w:spacing w:line="360" w:lineRule="auto"/>
        <w:ind w:firstLineChars="0"/>
        <w:rPr>
          <w:rFonts w:hint="eastAsia" w:ascii="Arial" w:hAnsi="Arial" w:cs="Arial"/>
        </w:rPr>
      </w:pPr>
      <w:r>
        <w:rPr>
          <w:rFonts w:hint="eastAsia" w:ascii="Arial" w:hAnsi="Arial" w:cs="Arial"/>
        </w:rPr>
        <w:t>1月17日，全国住房和城乡建设工作会议在北京以视频形式召开，部署了2023年重点抓好的十二个方面工作：关于房地产，提出大力支持刚性和改善性住房需求，毫不动摇坚持房子是用来住的、不是用来炒的定位，因城施策、精准施策。推进保交楼保民生保稳定工作，防范资金链断裂风险，努力提升品质、建设好房子，整治房地产市场秩序。大力增加保障性租赁住房供给，扎实推进棚户区改造。</w:t>
      </w:r>
    </w:p>
    <w:p>
      <w:pPr>
        <w:pStyle w:val="29"/>
        <w:numPr>
          <w:ilvl w:val="0"/>
          <w:numId w:val="3"/>
        </w:numPr>
        <w:spacing w:line="360" w:lineRule="auto"/>
        <w:ind w:firstLineChars="0"/>
        <w:rPr>
          <w:rFonts w:hint="eastAsia" w:ascii="Arial" w:hAnsi="Arial" w:cs="Arial"/>
        </w:rPr>
      </w:pPr>
      <w:r>
        <w:rPr>
          <w:rFonts w:hint="eastAsia" w:ascii="Arial" w:hAnsi="Arial" w:cs="Arial"/>
        </w:rPr>
        <w:t>1月17日，《北京市发展和改革委员会等11部门关于北京市推动先进制造业和现代服务业深度融合发展的实施意见》</w:t>
      </w:r>
      <w:r>
        <w:rPr>
          <w:rFonts w:hint="eastAsia" w:ascii="Arial" w:hAnsi="Arial" w:cs="Arial"/>
          <w:lang w:eastAsia="zh-CN"/>
        </w:rPr>
        <w:t>（</w:t>
      </w:r>
      <w:r>
        <w:rPr>
          <w:rFonts w:hint="eastAsia" w:ascii="Arial" w:hAnsi="Arial" w:cs="Arial"/>
        </w:rPr>
        <w:t>京发改〔2023〕83号</w:t>
      </w:r>
      <w:r>
        <w:rPr>
          <w:rFonts w:hint="eastAsia" w:ascii="Arial" w:hAnsi="Arial" w:cs="Arial"/>
          <w:lang w:eastAsia="zh-CN"/>
        </w:rPr>
        <w:t>）</w:t>
      </w:r>
      <w:r>
        <w:rPr>
          <w:rFonts w:hint="eastAsia" w:ascii="Arial" w:hAnsi="Arial" w:cs="Arial"/>
        </w:rPr>
        <w:t>：提出20条措施，其中强化用地保障，完善长期租赁、先租后让、弹性年期等工业用地市场供应体系。在两业融合示范园区内探索功能适度混合的创新型产业用地模式，合理配 置地块兼容功能和比例，提升土地使用的灵活性和适应性。</w:t>
      </w:r>
    </w:p>
    <w:p>
      <w:pPr>
        <w:pStyle w:val="29"/>
        <w:numPr>
          <w:ilvl w:val="0"/>
          <w:numId w:val="3"/>
        </w:numPr>
        <w:spacing w:line="360" w:lineRule="auto"/>
        <w:ind w:firstLineChars="0"/>
        <w:rPr>
          <w:rFonts w:hint="eastAsia" w:ascii="Arial" w:hAnsi="Arial" w:cs="Arial"/>
        </w:rPr>
      </w:pPr>
      <w:r>
        <w:rPr>
          <w:rFonts w:hint="eastAsia" w:ascii="Arial" w:hAnsi="Arial" w:cs="Arial"/>
        </w:rPr>
        <w:t>1月18日，《北京市规划自然资源委员会关于进一步推行普通房屋建筑工程规划许可全程网办工作的通知》</w:t>
      </w:r>
      <w:r>
        <w:rPr>
          <w:rFonts w:hint="eastAsia" w:ascii="Arial" w:hAnsi="Arial" w:cs="Arial"/>
          <w:lang w:eastAsia="zh-CN"/>
        </w:rPr>
        <w:t>（</w:t>
      </w:r>
      <w:r>
        <w:rPr>
          <w:rFonts w:hint="eastAsia" w:ascii="Arial" w:hAnsi="Arial" w:cs="Arial"/>
        </w:rPr>
        <w:t>京规自发〔2023〕3号</w:t>
      </w:r>
      <w:r>
        <w:rPr>
          <w:rFonts w:hint="eastAsia" w:ascii="Arial" w:hAnsi="Arial" w:cs="Arial"/>
          <w:lang w:eastAsia="zh-CN"/>
        </w:rPr>
        <w:t>）</w:t>
      </w:r>
      <w:r>
        <w:rPr>
          <w:rFonts w:hint="eastAsia" w:ascii="Arial" w:hAnsi="Arial" w:cs="Arial"/>
        </w:rPr>
        <w:t>：包含建设工程规划许可证(政府投资房屋建筑工程)、各类乡村建设规划许可</w:t>
      </w:r>
      <w:r>
        <w:rPr>
          <w:rFonts w:hint="eastAsia" w:ascii="Arial" w:hAnsi="Arial" w:cs="Arial"/>
          <w:lang w:eastAsia="zh-CN"/>
        </w:rPr>
        <w:t>（</w:t>
      </w:r>
      <w:r>
        <w:rPr>
          <w:rFonts w:hint="eastAsia" w:ascii="Arial" w:hAnsi="Arial" w:cs="Arial"/>
        </w:rPr>
        <w:t>含临时</w:t>
      </w:r>
      <w:r>
        <w:rPr>
          <w:rFonts w:hint="eastAsia" w:ascii="Arial" w:hAnsi="Arial" w:cs="Arial"/>
          <w:lang w:eastAsia="zh-CN"/>
        </w:rPr>
        <w:t>）</w:t>
      </w:r>
      <w:r>
        <w:rPr>
          <w:rFonts w:hint="eastAsia" w:ascii="Arial" w:hAnsi="Arial" w:cs="Arial"/>
        </w:rPr>
        <w:t>和临时建设工程规划许可证 。</w:t>
      </w:r>
    </w:p>
    <w:p>
      <w:pPr>
        <w:pStyle w:val="29"/>
        <w:numPr>
          <w:ilvl w:val="0"/>
          <w:numId w:val="3"/>
        </w:numPr>
        <w:spacing w:line="360" w:lineRule="auto"/>
        <w:ind w:firstLineChars="0"/>
        <w:rPr>
          <w:rFonts w:hint="eastAsia" w:ascii="Arial" w:hAnsi="Arial" w:cs="Arial"/>
        </w:rPr>
      </w:pPr>
      <w:r>
        <w:rPr>
          <w:rFonts w:hint="eastAsia" w:ascii="Arial" w:hAnsi="Arial" w:cs="Arial"/>
        </w:rPr>
        <w:t>1月19日，北京市住房和城乡建设委员会发布《关于2022年下半年老旧小区综合整治项目“接诉即办”“申请类”诉求集中小区的通报》</w:t>
      </w:r>
      <w:r>
        <w:rPr>
          <w:rFonts w:hint="eastAsia" w:ascii="Arial" w:hAnsi="Arial" w:cs="Arial"/>
          <w:lang w:eastAsia="zh-CN"/>
        </w:rPr>
        <w:t>（</w:t>
      </w:r>
      <w:r>
        <w:rPr>
          <w:rFonts w:hint="eastAsia" w:ascii="Arial" w:hAnsi="Arial" w:cs="Arial"/>
        </w:rPr>
        <w:t>京老旧办发〔2023〕2号</w:t>
      </w:r>
      <w:r>
        <w:rPr>
          <w:rFonts w:hint="eastAsia" w:ascii="Arial" w:hAnsi="Arial" w:cs="Arial"/>
          <w:lang w:eastAsia="zh-CN"/>
        </w:rPr>
        <w:t>）</w:t>
      </w:r>
      <w:r>
        <w:rPr>
          <w:rFonts w:hint="eastAsia" w:ascii="Arial" w:hAnsi="Arial" w:cs="Arial"/>
        </w:rPr>
        <w:t>：通报了居民诉求集中且不在全市老旧小区改造计划内的市属8个小区、中央单位在京5个小区。</w:t>
      </w:r>
    </w:p>
    <w:p>
      <w:pPr>
        <w:pStyle w:val="29"/>
        <w:numPr>
          <w:ilvl w:val="0"/>
          <w:numId w:val="3"/>
        </w:numPr>
        <w:spacing w:line="360" w:lineRule="auto"/>
        <w:ind w:firstLineChars="0"/>
        <w:rPr>
          <w:rFonts w:hint="eastAsia" w:ascii="Arial" w:hAnsi="Arial" w:cs="Arial"/>
        </w:rPr>
      </w:pPr>
      <w:r>
        <w:rPr>
          <w:rFonts w:hint="eastAsia" w:ascii="Arial" w:hAnsi="Arial" w:cs="Arial"/>
        </w:rPr>
        <w:t>1月20日，《北京市人民政府办公厅关于印发&lt;北京市2023年办好重要民生实事项目分工方案&gt;的通知》</w:t>
      </w:r>
      <w:r>
        <w:rPr>
          <w:rFonts w:hint="eastAsia" w:ascii="Arial" w:hAnsi="Arial" w:cs="Arial"/>
          <w:lang w:eastAsia="zh-CN"/>
        </w:rPr>
        <w:t>（</w:t>
      </w:r>
      <w:r>
        <w:rPr>
          <w:rFonts w:hint="eastAsia" w:ascii="Arial" w:hAnsi="Arial" w:cs="Arial"/>
        </w:rPr>
        <w:t>京政办发〔2023〕1号</w:t>
      </w:r>
      <w:r>
        <w:rPr>
          <w:rFonts w:hint="eastAsia" w:ascii="Arial" w:hAnsi="Arial" w:cs="Arial"/>
          <w:lang w:eastAsia="zh-CN"/>
        </w:rPr>
        <w:t>）</w:t>
      </w:r>
      <w:r>
        <w:rPr>
          <w:rFonts w:hint="eastAsia" w:ascii="Arial" w:hAnsi="Arial" w:cs="Arial"/>
        </w:rPr>
        <w:t>：建设筹集保障性租赁住房8万套</w:t>
      </w:r>
      <w:r>
        <w:rPr>
          <w:rFonts w:hint="eastAsia" w:ascii="Arial" w:hAnsi="Arial" w:cs="Arial"/>
          <w:lang w:eastAsia="zh-CN"/>
        </w:rPr>
        <w:t>（</w:t>
      </w:r>
      <w:r>
        <w:rPr>
          <w:rFonts w:hint="eastAsia" w:ascii="Arial" w:hAnsi="Arial" w:cs="Arial"/>
        </w:rPr>
        <w:t>间</w:t>
      </w:r>
      <w:r>
        <w:rPr>
          <w:rFonts w:hint="eastAsia" w:ascii="Arial" w:hAnsi="Arial" w:cs="Arial"/>
          <w:lang w:eastAsia="zh-CN"/>
        </w:rPr>
        <w:t>）</w:t>
      </w:r>
      <w:r>
        <w:rPr>
          <w:rFonts w:hint="eastAsia" w:ascii="Arial" w:hAnsi="Arial" w:cs="Arial"/>
        </w:rPr>
        <w:t>，竣工各类保障性住房9万套</w:t>
      </w:r>
      <w:r>
        <w:rPr>
          <w:rFonts w:hint="eastAsia" w:ascii="Arial" w:hAnsi="Arial" w:cs="Arial"/>
          <w:lang w:eastAsia="zh-CN"/>
        </w:rPr>
        <w:t>（</w:t>
      </w:r>
      <w:r>
        <w:rPr>
          <w:rFonts w:hint="eastAsia" w:ascii="Arial" w:hAnsi="Arial" w:cs="Arial"/>
        </w:rPr>
        <w:t>间</w:t>
      </w:r>
      <w:r>
        <w:rPr>
          <w:rFonts w:hint="eastAsia" w:ascii="Arial" w:hAnsi="Arial" w:cs="Arial"/>
          <w:lang w:eastAsia="zh-CN"/>
        </w:rPr>
        <w:t>）</w:t>
      </w:r>
      <w:r>
        <w:rPr>
          <w:rFonts w:hint="eastAsia" w:ascii="Arial" w:hAnsi="Arial" w:cs="Arial"/>
        </w:rPr>
        <w:t>；推进老旧小区综合整治，新开工300个小区、完工100个小区。</w:t>
      </w:r>
    </w:p>
    <w:p>
      <w:pPr>
        <w:pStyle w:val="29"/>
        <w:numPr>
          <w:ilvl w:val="0"/>
          <w:numId w:val="3"/>
        </w:numPr>
        <w:spacing w:line="360" w:lineRule="auto"/>
        <w:ind w:firstLineChars="0"/>
        <w:rPr>
          <w:rFonts w:ascii="Arial" w:hAnsi="Arial" w:cs="Arial"/>
        </w:rPr>
      </w:pPr>
      <w:r>
        <w:rPr>
          <w:rFonts w:hint="eastAsia" w:ascii="Arial" w:hAnsi="Arial" w:cs="Arial"/>
        </w:rPr>
        <w:t>1月28日，北京市文物局发布《北京中轴线保护管理规划</w:t>
      </w:r>
      <w:r>
        <w:rPr>
          <w:rFonts w:hint="eastAsia" w:ascii="Arial" w:hAnsi="Arial" w:cs="Arial"/>
          <w:lang w:eastAsia="zh-CN"/>
        </w:rPr>
        <w:t>（</w:t>
      </w:r>
      <w:r>
        <w:rPr>
          <w:rFonts w:hint="eastAsia" w:ascii="Arial" w:hAnsi="Arial" w:cs="Arial"/>
        </w:rPr>
        <w:t>2022年—2035年</w:t>
      </w:r>
      <w:r>
        <w:rPr>
          <w:rFonts w:hint="eastAsia" w:ascii="Arial" w:hAnsi="Arial" w:cs="Arial"/>
          <w:lang w:eastAsia="zh-CN"/>
        </w:rPr>
        <w:t>）</w:t>
      </w:r>
      <w:r>
        <w:rPr>
          <w:rFonts w:hint="eastAsia" w:ascii="Arial" w:hAnsi="Arial" w:cs="Arial"/>
        </w:rPr>
        <w:t>》。</w:t>
      </w:r>
    </w:p>
    <w:p>
      <w:pPr>
        <w:pStyle w:val="29"/>
        <w:numPr>
          <w:ilvl w:val="0"/>
          <w:numId w:val="3"/>
        </w:numPr>
        <w:spacing w:line="360" w:lineRule="auto"/>
        <w:ind w:firstLineChars="0"/>
        <w:rPr>
          <w:rFonts w:ascii="Arial" w:hAnsi="Arial" w:cs="Arial"/>
        </w:rPr>
      </w:pPr>
      <w:r>
        <w:rPr>
          <w:rFonts w:hint="eastAsia" w:ascii="Arial" w:hAnsi="Arial" w:cs="Arial"/>
        </w:rPr>
        <w:t>1月28日，北京市《2023年政府工作报告》全文发布，提出了重点做好的十二个方面工作，其中关于房地产，坚持“房住不炒”定位，加快健全多主体供给、多渠道保障、租购并举的住房制度，保持住宅用地稳定供应。关于城市更新，落实城市更新条例，完善配套政策，积极探索社会资本参与的机制模式；启动危旧楼房改建和简易楼腾退，老旧小区综合整治；加快街区更新步伐，推动老旧厂房、低效产业园区、老旧低效楼宇提质增效。关于集体土地，稳妥推进农村集体经营性建设用地入市试点，将土地增值收益更多留在农村、留给农民。</w:t>
      </w:r>
    </w:p>
    <w:p>
      <w:pPr>
        <w:pStyle w:val="29"/>
        <w:numPr>
          <w:ilvl w:val="0"/>
          <w:numId w:val="3"/>
        </w:numPr>
        <w:spacing w:line="360" w:lineRule="auto"/>
        <w:ind w:firstLineChars="0"/>
        <w:rPr>
          <w:rFonts w:hint="eastAsia" w:ascii="Arial" w:hAnsi="Arial" w:cs="Arial"/>
        </w:rPr>
      </w:pPr>
      <w:r>
        <w:rPr>
          <w:rFonts w:hint="eastAsia" w:ascii="Arial" w:hAnsi="Arial" w:cs="Arial"/>
        </w:rPr>
        <w:t>1月30日，《北京市发展和改革委员会 北京市商务局关于印发清理隐性壁垒优化消费营商环境实施方案的通知》</w:t>
      </w:r>
      <w:r>
        <w:rPr>
          <w:rFonts w:hint="eastAsia" w:ascii="Arial" w:hAnsi="Arial" w:cs="Arial"/>
          <w:lang w:eastAsia="zh-CN"/>
        </w:rPr>
        <w:t>（</w:t>
      </w:r>
      <w:r>
        <w:rPr>
          <w:rFonts w:hint="eastAsia" w:ascii="Arial" w:hAnsi="Arial" w:cs="Arial"/>
        </w:rPr>
        <w:t>京发改〔2023〕20号</w:t>
      </w:r>
      <w:r>
        <w:rPr>
          <w:rFonts w:hint="eastAsia" w:ascii="Arial" w:hAnsi="Arial" w:cs="Arial"/>
          <w:lang w:eastAsia="zh-CN"/>
        </w:rPr>
        <w:t>）</w:t>
      </w:r>
      <w:r>
        <w:rPr>
          <w:rFonts w:hint="eastAsia" w:ascii="Arial" w:hAnsi="Arial" w:cs="Arial"/>
        </w:rPr>
        <w:t>。</w:t>
      </w:r>
    </w:p>
    <w:p>
      <w:pPr>
        <w:pStyle w:val="29"/>
        <w:numPr>
          <w:ilvl w:val="0"/>
          <w:numId w:val="3"/>
        </w:numPr>
        <w:spacing w:line="360" w:lineRule="auto"/>
        <w:ind w:firstLineChars="0"/>
        <w:rPr>
          <w:rFonts w:ascii="Arial" w:hAnsi="Arial" w:cs="Arial"/>
        </w:rPr>
      </w:pPr>
      <w:r>
        <w:rPr>
          <w:rFonts w:hint="eastAsia" w:ascii="Arial" w:hAnsi="Arial" w:cs="Arial"/>
        </w:rPr>
        <w:t>1月31日，《北京市人民政府关于印发&lt;2023年市政府工作报告重点任务清单&gt;的通知》</w:t>
      </w:r>
      <w:r>
        <w:rPr>
          <w:rFonts w:hint="eastAsia" w:ascii="Arial" w:hAnsi="Arial" w:cs="Arial"/>
          <w:lang w:eastAsia="zh-CN"/>
        </w:rPr>
        <w:t>（</w:t>
      </w:r>
      <w:r>
        <w:rPr>
          <w:rFonts w:hint="eastAsia" w:ascii="Arial" w:hAnsi="Arial" w:cs="Arial"/>
        </w:rPr>
        <w:t>京政发〔2023〕8号</w:t>
      </w:r>
      <w:r>
        <w:rPr>
          <w:rFonts w:hint="eastAsia" w:ascii="Arial" w:hAnsi="Arial" w:cs="Arial"/>
          <w:lang w:eastAsia="zh-CN"/>
        </w:rPr>
        <w:t>）</w:t>
      </w:r>
      <w:r>
        <w:rPr>
          <w:rFonts w:hint="eastAsia" w:ascii="Arial" w:hAnsi="Arial" w:cs="Arial"/>
        </w:rPr>
        <w:t>。</w:t>
      </w:r>
    </w:p>
    <w:p>
      <w:pPr>
        <w:pStyle w:val="29"/>
        <w:numPr>
          <w:ilvl w:val="0"/>
          <w:numId w:val="3"/>
        </w:numPr>
        <w:spacing w:line="360" w:lineRule="auto"/>
        <w:ind w:firstLineChars="0"/>
        <w:rPr>
          <w:rFonts w:hint="eastAsia" w:ascii="Arial" w:hAnsi="Arial" w:cs="Arial"/>
        </w:rPr>
      </w:pPr>
      <w:r>
        <w:rPr>
          <w:rFonts w:hint="eastAsia" w:ascii="Arial" w:hAnsi="Arial" w:cs="Arial"/>
        </w:rPr>
        <w:t>2月7日</w:t>
      </w:r>
      <w:r>
        <w:rPr>
          <w:rFonts w:hint="eastAsia" w:ascii="Arial" w:hAnsi="Arial" w:cs="Arial"/>
          <w:lang w:eastAsia="zh-CN"/>
        </w:rPr>
        <w:t>，</w:t>
      </w:r>
      <w:r>
        <w:rPr>
          <w:rFonts w:hint="eastAsia" w:ascii="Arial" w:hAnsi="Arial" w:cs="Arial"/>
        </w:rPr>
        <w:t xml:space="preserve">《北京市人民政府办公厅关于印发&lt;北京市耕地开垦费征收管理办法&gt;的通知》  </w:t>
      </w:r>
      <w:r>
        <w:rPr>
          <w:rFonts w:hint="eastAsia" w:ascii="Arial" w:hAnsi="Arial" w:cs="Arial"/>
          <w:lang w:eastAsia="zh-CN"/>
        </w:rPr>
        <w:t>（</w:t>
      </w:r>
      <w:r>
        <w:rPr>
          <w:rFonts w:hint="eastAsia" w:ascii="Arial" w:hAnsi="Arial" w:cs="Arial"/>
        </w:rPr>
        <w:t>京政办发〔2023〕3号</w:t>
      </w:r>
      <w:r>
        <w:rPr>
          <w:rFonts w:hint="eastAsia" w:ascii="Arial" w:hAnsi="Arial" w:cs="Arial"/>
          <w:lang w:eastAsia="zh-CN"/>
        </w:rPr>
        <w:t>）</w:t>
      </w:r>
      <w:r>
        <w:rPr>
          <w:rFonts w:hint="eastAsia" w:ascii="Arial" w:hAnsi="Arial" w:cs="Arial"/>
        </w:rPr>
        <w:t>：本市耕地开垦费的征收标准为：七等耕地20万元/亩；八等耕地18万元/亩；九等耕地16万元/亩；十等耕地14万元/亩；十一等耕地12万元/亩。耕地等别高于七等的，在七等耕地开垦费征收标准的基础上，每提高一等，耕地开垦费征收标准增加2万元/亩；耕地等别低于十一等的，在十一等耕地开垦费征收标准的基础上，每降低一等，耕地开垦费征收标准减少2万元/亩。对经依法批准占用永久基本农田的，征收标准按照所在区耕  地开垦费最高标准的两倍执行。</w:t>
      </w:r>
    </w:p>
    <w:p>
      <w:pPr>
        <w:pStyle w:val="29"/>
        <w:numPr>
          <w:ilvl w:val="0"/>
          <w:numId w:val="3"/>
        </w:numPr>
        <w:spacing w:line="360" w:lineRule="auto"/>
        <w:ind w:firstLineChars="0"/>
        <w:rPr>
          <w:rFonts w:hint="eastAsia" w:ascii="Arial" w:hAnsi="Arial" w:cs="Arial"/>
        </w:rPr>
      </w:pPr>
      <w:r>
        <w:rPr>
          <w:rFonts w:hint="eastAsia" w:ascii="Arial" w:hAnsi="Arial" w:cs="Arial"/>
        </w:rPr>
        <w:t>2月10日，《北京市国有建设用地使用权出让地价评估技术导则</w:t>
      </w:r>
      <w:r>
        <w:rPr>
          <w:rFonts w:hint="eastAsia" w:ascii="Arial" w:hAnsi="Arial" w:cs="Arial"/>
          <w:lang w:eastAsia="zh-CN"/>
        </w:rPr>
        <w:t>（</w:t>
      </w:r>
      <w:r>
        <w:rPr>
          <w:rFonts w:hint="eastAsia" w:ascii="Arial" w:hAnsi="Arial" w:cs="Arial"/>
        </w:rPr>
        <w:t>试行</w:t>
      </w:r>
      <w:r>
        <w:rPr>
          <w:rFonts w:hint="eastAsia" w:ascii="Arial" w:hAnsi="Arial" w:cs="Arial"/>
          <w:lang w:eastAsia="zh-CN"/>
        </w:rPr>
        <w:t>）</w:t>
      </w:r>
      <w:r>
        <w:rPr>
          <w:rFonts w:hint="eastAsia" w:ascii="Arial" w:hAnsi="Arial" w:cs="Arial"/>
        </w:rPr>
        <w:t>》正式发布实施。</w:t>
      </w:r>
    </w:p>
    <w:p>
      <w:pPr>
        <w:pStyle w:val="29"/>
        <w:numPr>
          <w:ilvl w:val="0"/>
          <w:numId w:val="3"/>
        </w:numPr>
        <w:spacing w:line="360" w:lineRule="auto"/>
        <w:ind w:firstLineChars="0"/>
        <w:rPr>
          <w:rFonts w:hint="eastAsia" w:ascii="Arial" w:hAnsi="Arial" w:cs="Arial"/>
        </w:rPr>
      </w:pPr>
      <w:r>
        <w:rPr>
          <w:rFonts w:hint="eastAsia" w:ascii="Arial" w:hAnsi="Arial" w:cs="Arial"/>
        </w:rPr>
        <w:t>2月20日，《北京市规划和自然资源委员会 北京市发展和改革委员会关于印发&lt;北京市2023年度建设用地供应计划&gt;的通知》</w:t>
      </w:r>
      <w:r>
        <w:rPr>
          <w:rFonts w:hint="eastAsia" w:ascii="Arial" w:hAnsi="Arial" w:cs="Arial"/>
          <w:lang w:eastAsia="zh-CN"/>
        </w:rPr>
        <w:t>（</w:t>
      </w:r>
      <w:r>
        <w:rPr>
          <w:rFonts w:hint="eastAsia" w:ascii="Arial" w:hAnsi="Arial" w:cs="Arial"/>
        </w:rPr>
        <w:t>京规自发〔2023〕9号</w:t>
      </w:r>
      <w:r>
        <w:rPr>
          <w:rFonts w:hint="eastAsia" w:ascii="Arial" w:hAnsi="Arial" w:cs="Arial"/>
          <w:lang w:eastAsia="zh-CN"/>
        </w:rPr>
        <w:t>）</w:t>
      </w:r>
      <w:r>
        <w:rPr>
          <w:rFonts w:hint="eastAsia" w:ascii="Arial" w:hAnsi="Arial" w:cs="Arial"/>
        </w:rPr>
        <w:t xml:space="preserve"> </w:t>
      </w:r>
    </w:p>
    <w:p>
      <w:pPr>
        <w:pStyle w:val="29"/>
        <w:numPr>
          <w:ilvl w:val="0"/>
          <w:numId w:val="3"/>
        </w:numPr>
        <w:spacing w:line="360" w:lineRule="auto"/>
        <w:ind w:firstLineChars="0"/>
        <w:rPr>
          <w:rFonts w:hint="eastAsia" w:ascii="Arial" w:hAnsi="Arial" w:cs="Arial"/>
        </w:rPr>
      </w:pPr>
      <w:r>
        <w:rPr>
          <w:rFonts w:hint="eastAsia" w:ascii="Arial" w:hAnsi="Arial" w:cs="Arial"/>
        </w:rPr>
        <w:t>2月24日，中国人民银行、中国银保监会《关于金融支持住房租赁市场发展的意见</w:t>
      </w:r>
      <w:r>
        <w:rPr>
          <w:rFonts w:hint="eastAsia" w:ascii="Arial" w:hAnsi="Arial" w:cs="Arial"/>
          <w:lang w:eastAsia="zh-CN"/>
        </w:rPr>
        <w:t>（</w:t>
      </w:r>
      <w:r>
        <w:rPr>
          <w:rFonts w:hint="eastAsia" w:ascii="Arial" w:hAnsi="Arial" w:cs="Arial"/>
        </w:rPr>
        <w:t>征求意见稿</w:t>
      </w:r>
      <w:r>
        <w:rPr>
          <w:rFonts w:hint="eastAsia" w:ascii="Arial" w:hAnsi="Arial" w:cs="Arial"/>
          <w:lang w:eastAsia="zh-CN"/>
        </w:rPr>
        <w:t>）</w:t>
      </w:r>
      <w:r>
        <w:rPr>
          <w:rFonts w:hint="eastAsia" w:ascii="Arial" w:hAnsi="Arial" w:cs="Arial"/>
        </w:rPr>
        <w:t>》</w:t>
      </w:r>
    </w:p>
    <w:p>
      <w:pPr>
        <w:pStyle w:val="29"/>
        <w:numPr>
          <w:ilvl w:val="0"/>
          <w:numId w:val="3"/>
        </w:numPr>
        <w:spacing w:line="360" w:lineRule="auto"/>
        <w:ind w:firstLineChars="0"/>
        <w:rPr>
          <w:rFonts w:hint="eastAsia" w:ascii="Arial" w:hAnsi="Arial" w:cs="Arial"/>
        </w:rPr>
      </w:pPr>
      <w:r>
        <w:rPr>
          <w:rFonts w:hint="eastAsia" w:ascii="Arial" w:hAnsi="Arial" w:cs="Arial"/>
        </w:rPr>
        <w:t>3月1日，《北京市共有产权住房价格评估技术指引》</w:t>
      </w:r>
    </w:p>
    <w:p>
      <w:pPr>
        <w:pStyle w:val="29"/>
        <w:numPr>
          <w:ilvl w:val="0"/>
          <w:numId w:val="3"/>
        </w:numPr>
        <w:spacing w:line="360" w:lineRule="auto"/>
        <w:ind w:firstLineChars="0"/>
        <w:rPr>
          <w:rFonts w:hint="eastAsia" w:ascii="Arial" w:hAnsi="Arial" w:cs="Arial"/>
        </w:rPr>
      </w:pPr>
      <w:r>
        <w:rPr>
          <w:rFonts w:hint="eastAsia" w:ascii="Arial" w:hAnsi="Arial" w:cs="Arial"/>
        </w:rPr>
        <w:t>3月5日，十四届全国人大一次会议《2023年政府工作报告》，关于房地产：加强住房保障体系建设，支持刚性和改善性住房需求，解决好新市民、青年人等住房问题。有效防范化解优质头部房企风险，改善资产负债状况，防止无序扩张，促进房地产业平稳发展。实施城市更新行动。</w:t>
      </w:r>
    </w:p>
    <w:p>
      <w:pPr>
        <w:pStyle w:val="3"/>
        <w:rPr>
          <w:rFonts w:ascii="Arial" w:hAnsi="Arial" w:cs="Arial"/>
        </w:rPr>
      </w:pPr>
      <w:bookmarkStart w:id="7" w:name="_Toc106720181"/>
      <w:r>
        <w:rPr>
          <w:rFonts w:ascii="Arial" w:hAnsi="Arial" w:cs="Arial"/>
        </w:rPr>
        <w:t>（四）小结</w:t>
      </w:r>
      <w:bookmarkEnd w:id="7"/>
    </w:p>
    <w:p>
      <w:pPr>
        <w:pStyle w:val="29"/>
        <w:numPr>
          <w:ilvl w:val="0"/>
          <w:numId w:val="3"/>
        </w:numPr>
        <w:spacing w:line="360" w:lineRule="auto"/>
        <w:ind w:firstLineChars="0"/>
        <w:rPr>
          <w:rFonts w:hint="eastAsia" w:ascii="Arial" w:hAnsi="Arial" w:cs="Arial"/>
        </w:rPr>
      </w:pPr>
      <w:r>
        <w:rPr>
          <w:rFonts w:hint="eastAsia" w:ascii="Arial" w:hAnsi="Arial" w:cs="Arial"/>
        </w:rPr>
        <w:t>2022年，地区GDP实现增速0.7%。</w:t>
      </w:r>
    </w:p>
    <w:p>
      <w:pPr>
        <w:pStyle w:val="29"/>
        <w:numPr>
          <w:ilvl w:val="0"/>
          <w:numId w:val="3"/>
        </w:numPr>
        <w:spacing w:line="360" w:lineRule="auto"/>
        <w:ind w:firstLineChars="0"/>
        <w:rPr>
          <w:rFonts w:ascii="Arial" w:hAnsi="Arial" w:cs="Arial"/>
        </w:rPr>
      </w:pPr>
      <w:r>
        <w:rPr>
          <w:rFonts w:hint="eastAsia" w:ascii="Arial" w:hAnsi="Arial" w:cs="Arial"/>
        </w:rPr>
        <w:t>2022年，固定资产投资稳步增长， 基础设施投资增速加快，房地产开发投资增速回落。</w:t>
      </w:r>
    </w:p>
    <w:p>
      <w:pPr>
        <w:pStyle w:val="29"/>
        <w:numPr>
          <w:ilvl w:val="0"/>
          <w:numId w:val="3"/>
        </w:numPr>
        <w:spacing w:line="360" w:lineRule="auto"/>
        <w:ind w:firstLineChars="0"/>
        <w:rPr>
          <w:rFonts w:hint="eastAsia" w:ascii="Arial" w:hAnsi="Arial" w:cs="Arial"/>
        </w:rPr>
      </w:pPr>
      <w:r>
        <w:rPr>
          <w:rFonts w:hint="eastAsia" w:ascii="Arial" w:hAnsi="Arial" w:cs="Arial"/>
        </w:rPr>
        <w:t>2022年，房地产开发到位资金同比减少， 年内融资环境改善，国内贷款同比增长。</w:t>
      </w:r>
    </w:p>
    <w:p>
      <w:pPr>
        <w:pStyle w:val="29"/>
        <w:numPr>
          <w:ilvl w:val="0"/>
          <w:numId w:val="3"/>
        </w:numPr>
        <w:spacing w:line="360" w:lineRule="auto"/>
        <w:ind w:firstLineChars="0"/>
        <w:rPr>
          <w:rFonts w:hint="eastAsia" w:ascii="Arial" w:hAnsi="Arial" w:cs="Arial"/>
        </w:rPr>
      </w:pPr>
      <w:r>
        <w:rPr>
          <w:rFonts w:hint="eastAsia" w:ascii="Arial" w:hAnsi="Arial" w:cs="Arial"/>
        </w:rPr>
        <w:t>M2、M1增速比上月提升；LPR稳定。</w:t>
      </w:r>
    </w:p>
    <w:p>
      <w:pPr>
        <w:pStyle w:val="29"/>
        <w:numPr>
          <w:ilvl w:val="0"/>
          <w:numId w:val="3"/>
        </w:numPr>
        <w:spacing w:line="360" w:lineRule="auto"/>
        <w:ind w:firstLineChars="0"/>
        <w:rPr>
          <w:rFonts w:hint="eastAsia" w:ascii="Arial" w:hAnsi="Arial" w:cs="Arial"/>
        </w:rPr>
      </w:pPr>
      <w:r>
        <w:rPr>
          <w:rFonts w:hint="eastAsia" w:ascii="Arial" w:hAnsi="Arial" w:cs="Arial"/>
        </w:rPr>
        <w:t>央行发布首套住房贷款利率政策动态调整机制，部署落实金融支持稳增长、保持房地产融资平稳有序；住房和城乡建设会议部署支持房地产刚改需求，防范资金风险，整治房地产 市场秩序；自然资源部优化住宅用地集中供地机制。</w:t>
      </w:r>
    </w:p>
    <w:p>
      <w:pPr>
        <w:pStyle w:val="29"/>
        <w:numPr>
          <w:ilvl w:val="0"/>
          <w:numId w:val="3"/>
        </w:numPr>
        <w:spacing w:line="360" w:lineRule="auto"/>
        <w:ind w:firstLineChars="0"/>
        <w:rPr>
          <w:rFonts w:ascii="Arial" w:hAnsi="Arial" w:cs="Arial"/>
        </w:rPr>
      </w:pPr>
      <w:r>
        <w:rPr>
          <w:rFonts w:hint="eastAsia" w:ascii="Arial" w:hAnsi="Arial" w:cs="Arial"/>
        </w:rPr>
        <w:t>北京发布政府工作报告全文，提出坚持房住不炒，保持住宅用地稳定供应，促进房地产 市场平稳发展。</w:t>
      </w:r>
    </w:p>
    <w:p>
      <w:pPr>
        <w:pStyle w:val="29"/>
        <w:numPr>
          <w:ilvl w:val="0"/>
          <w:numId w:val="3"/>
        </w:numPr>
        <w:spacing w:line="360" w:lineRule="auto"/>
        <w:ind w:firstLineChars="0"/>
        <w:rPr>
          <w:rFonts w:ascii="Arial" w:hAnsi="Arial" w:cs="Arial"/>
        </w:rPr>
      </w:pPr>
      <w:r>
        <w:rPr>
          <w:rFonts w:hint="eastAsia" w:ascii="Arial" w:hAnsi="Arial" w:cs="Arial"/>
        </w:rPr>
        <w:t>北京发布耕地开垦费征收标准 (2023) 。</w:t>
      </w:r>
      <w:r>
        <w:rPr>
          <w:rFonts w:ascii="Arial" w:hAnsi="Arial" w:cs="Arial"/>
        </w:rPr>
        <w:br w:type="page"/>
      </w:r>
      <w:bookmarkStart w:id="8" w:name="_Toc106720182"/>
      <w:r>
        <w:rPr>
          <w:rFonts w:ascii="Arial" w:hAnsi="Arial" w:cs="Arial"/>
        </w:rPr>
        <w:t>二、市场分析</w:t>
      </w:r>
      <w:bookmarkEnd w:id="6"/>
      <w:bookmarkEnd w:id="8"/>
    </w:p>
    <w:p>
      <w:pPr>
        <w:pStyle w:val="3"/>
        <w:numPr>
          <w:ilvl w:val="0"/>
          <w:numId w:val="4"/>
        </w:numPr>
        <w:rPr>
          <w:rFonts w:ascii="Arial" w:hAnsi="Arial" w:cs="Arial"/>
        </w:rPr>
      </w:pPr>
      <w:bookmarkStart w:id="9" w:name="_Toc106720183"/>
      <w:bookmarkStart w:id="10" w:name="_Toc106718938"/>
      <w:r>
        <w:rPr>
          <w:rFonts w:ascii="Arial" w:hAnsi="Arial" w:cs="Arial"/>
        </w:rPr>
        <w:t>土地市场</w:t>
      </w:r>
      <w:bookmarkEnd w:id="9"/>
      <w:bookmarkEnd w:id="10"/>
    </w:p>
    <w:p>
      <w:pPr>
        <w:spacing w:line="360" w:lineRule="auto"/>
        <w:rPr>
          <w:rFonts w:ascii="Arial" w:hAnsi="Arial" w:cs="Arial"/>
        </w:rPr>
      </w:pPr>
      <w:r>
        <w:rPr>
          <w:rFonts w:ascii="Arial" w:hAnsi="Arial" w:cs="Arial"/>
        </w:rPr>
        <w:t>1.202</w:t>
      </w:r>
      <w:r>
        <w:rPr>
          <w:rFonts w:hint="eastAsia" w:ascii="Arial" w:hAnsi="Arial" w:cs="Arial"/>
          <w:lang w:val="en-US" w:eastAsia="zh-CN"/>
        </w:rPr>
        <w:t>3</w:t>
      </w:r>
      <w:r>
        <w:rPr>
          <w:rFonts w:ascii="Arial" w:hAnsi="Arial" w:cs="Arial"/>
        </w:rPr>
        <w:t>年</w:t>
      </w:r>
      <w:r>
        <w:rPr>
          <w:rFonts w:hint="eastAsia" w:ascii="Arial" w:hAnsi="Arial" w:cs="Arial"/>
          <w:lang w:val="en-US" w:eastAsia="zh-CN"/>
        </w:rPr>
        <w:t>1</w:t>
      </w:r>
      <w:r>
        <w:rPr>
          <w:rFonts w:ascii="Arial" w:hAnsi="Arial" w:cs="Arial"/>
        </w:rPr>
        <w:t>季度宗地总体情况</w:t>
      </w:r>
    </w:p>
    <w:p>
      <w:pPr>
        <w:spacing w:line="360" w:lineRule="auto"/>
        <w:rPr>
          <w:rFonts w:ascii="Arial" w:hAnsi="Arial" w:cs="Arial"/>
        </w:rPr>
      </w:pPr>
      <w:r>
        <w:rPr>
          <w:rFonts w:ascii="Arial" w:hAnsi="Arial" w:cs="Arial"/>
        </w:rPr>
        <w:t>（1）汇总表（土地招拍挂出让）</w:t>
      </w:r>
    </w:p>
    <w:tbl>
      <w:tblPr>
        <w:tblStyle w:val="19"/>
        <w:tblW w:w="5000" w:type="pct"/>
        <w:jc w:val="center"/>
        <w:tblLayout w:type="autofit"/>
        <w:tblCellMar>
          <w:top w:w="0" w:type="dxa"/>
          <w:left w:w="108" w:type="dxa"/>
          <w:bottom w:w="0" w:type="dxa"/>
          <w:right w:w="108" w:type="dxa"/>
        </w:tblCellMar>
      </w:tblPr>
      <w:tblGrid>
        <w:gridCol w:w="1669"/>
        <w:gridCol w:w="849"/>
        <w:gridCol w:w="805"/>
        <w:gridCol w:w="1237"/>
        <w:gridCol w:w="1278"/>
        <w:gridCol w:w="1278"/>
        <w:gridCol w:w="1406"/>
      </w:tblGrid>
      <w:tr>
        <w:tblPrEx>
          <w:tblCellMar>
            <w:top w:w="0" w:type="dxa"/>
            <w:left w:w="108" w:type="dxa"/>
            <w:bottom w:w="0" w:type="dxa"/>
            <w:right w:w="108" w:type="dxa"/>
          </w:tblCellMar>
        </w:tblPrEx>
        <w:trPr>
          <w:trHeight w:val="480" w:hRule="atLeast"/>
          <w:jc w:val="center"/>
        </w:trPr>
        <w:tc>
          <w:tcPr>
            <w:tcW w:w="979"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月份</w:t>
            </w:r>
          </w:p>
        </w:tc>
        <w:tc>
          <w:tcPr>
            <w:tcW w:w="498"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用途</w:t>
            </w:r>
          </w:p>
        </w:tc>
        <w:tc>
          <w:tcPr>
            <w:tcW w:w="472"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宗地数</w:t>
            </w:r>
          </w:p>
        </w:tc>
        <w:tc>
          <w:tcPr>
            <w:tcW w:w="725"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建设用地</w:t>
            </w:r>
          </w:p>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（公顷）</w:t>
            </w:r>
          </w:p>
        </w:tc>
        <w:tc>
          <w:tcPr>
            <w:tcW w:w="74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建筑规模</w:t>
            </w:r>
          </w:p>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（万平方米）</w:t>
            </w:r>
          </w:p>
        </w:tc>
        <w:tc>
          <w:tcPr>
            <w:tcW w:w="74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成交总价</w:t>
            </w:r>
          </w:p>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（亿元）</w:t>
            </w:r>
          </w:p>
        </w:tc>
        <w:tc>
          <w:tcPr>
            <w:tcW w:w="824"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楼面单价</w:t>
            </w:r>
          </w:p>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（元/平方米）</w:t>
            </w:r>
          </w:p>
        </w:tc>
      </w:tr>
      <w:tr>
        <w:tblPrEx>
          <w:tblCellMar>
            <w:top w:w="0" w:type="dxa"/>
            <w:left w:w="108" w:type="dxa"/>
            <w:bottom w:w="0" w:type="dxa"/>
            <w:right w:w="108" w:type="dxa"/>
          </w:tblCellMar>
        </w:tblPrEx>
        <w:trPr>
          <w:trHeight w:val="300" w:hRule="atLeast"/>
          <w:jc w:val="center"/>
        </w:trPr>
        <w:tc>
          <w:tcPr>
            <w:tcW w:w="979"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1</w:t>
            </w:r>
            <w:r>
              <w:rPr>
                <w:rFonts w:hint="eastAsia" w:ascii="Arial" w:hAnsi="Arial" w:eastAsia="华文细黑" w:cs="Arial"/>
                <w:kern w:val="0"/>
                <w:sz w:val="18"/>
                <w:szCs w:val="18"/>
              </w:rPr>
              <w:t>月</w:t>
            </w: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住宅</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0</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0</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0</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0</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center"/>
              <w:rPr>
                <w:rFonts w:hint="default" w:ascii="Arial" w:hAnsi="Arial" w:eastAsia="华文细黑" w:cs="Arial"/>
                <w:kern w:val="0"/>
                <w:sz w:val="18"/>
                <w:szCs w:val="18"/>
              </w:rPr>
            </w:pP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商服</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3</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11.55</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28.26</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21.08</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7459</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center"/>
              <w:rPr>
                <w:rFonts w:hint="default" w:ascii="Arial" w:hAnsi="Arial" w:eastAsia="华文细黑" w:cs="Arial"/>
                <w:kern w:val="0"/>
                <w:sz w:val="18"/>
                <w:szCs w:val="18"/>
              </w:rPr>
            </w:pP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工业</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6</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21.34</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27.05</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5.19</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1919</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center"/>
              <w:rPr>
                <w:rFonts w:hint="default" w:ascii="Arial" w:hAnsi="Arial" w:eastAsia="华文细黑" w:cs="Arial"/>
                <w:kern w:val="0"/>
                <w:sz w:val="18"/>
                <w:szCs w:val="18"/>
              </w:rPr>
            </w:pP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小计</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9</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32.89</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55.31</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26.27</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4749</w:t>
            </w:r>
          </w:p>
        </w:tc>
      </w:tr>
      <w:tr>
        <w:tblPrEx>
          <w:tblCellMar>
            <w:top w:w="0" w:type="dxa"/>
            <w:left w:w="108" w:type="dxa"/>
            <w:bottom w:w="0" w:type="dxa"/>
            <w:right w:w="108" w:type="dxa"/>
          </w:tblCellMar>
        </w:tblPrEx>
        <w:trPr>
          <w:trHeight w:val="300" w:hRule="atLeast"/>
          <w:jc w:val="center"/>
        </w:trPr>
        <w:tc>
          <w:tcPr>
            <w:tcW w:w="979" w:type="pct"/>
            <w:vMerge w:val="restart"/>
            <w:tcBorders>
              <w:top w:val="nil"/>
              <w:left w:val="single" w:color="auto" w:sz="8" w:space="0"/>
              <w:bottom w:val="single" w:color="000000" w:sz="8" w:space="0"/>
              <w:right w:val="single" w:color="auto" w:sz="8" w:space="0"/>
            </w:tcBorders>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2月</w:t>
            </w:r>
          </w:p>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(截至2月17日)</w:t>
            </w: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住宅</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6</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21.47</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53.18</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132.09</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24838</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center"/>
              <w:rPr>
                <w:rFonts w:hint="default" w:ascii="Arial" w:hAnsi="Arial" w:eastAsia="华文细黑" w:cs="Arial"/>
                <w:kern w:val="0"/>
                <w:sz w:val="18"/>
                <w:szCs w:val="18"/>
              </w:rPr>
            </w:pP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商服</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0</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0</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0</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0</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center"/>
              <w:rPr>
                <w:rFonts w:hint="default" w:ascii="Arial" w:hAnsi="Arial" w:eastAsia="华文细黑" w:cs="Arial"/>
                <w:kern w:val="0"/>
                <w:sz w:val="18"/>
                <w:szCs w:val="18"/>
              </w:rPr>
            </w:pP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工业</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52.18</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99.30</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7.16</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721</w:t>
            </w:r>
          </w:p>
        </w:tc>
      </w:tr>
      <w:tr>
        <w:tblPrEx>
          <w:tblCellMar>
            <w:top w:w="0" w:type="dxa"/>
            <w:left w:w="108" w:type="dxa"/>
            <w:bottom w:w="0" w:type="dxa"/>
            <w:right w:w="108" w:type="dxa"/>
          </w:tblCellMar>
        </w:tblPrEx>
        <w:trPr>
          <w:trHeight w:val="300" w:hRule="atLeast"/>
          <w:jc w:val="center"/>
        </w:trPr>
        <w:tc>
          <w:tcPr>
            <w:tcW w:w="979" w:type="pct"/>
            <w:vMerge w:val="continue"/>
            <w:tcBorders>
              <w:top w:val="nil"/>
              <w:left w:val="single" w:color="auto" w:sz="8" w:space="0"/>
              <w:bottom w:val="single" w:color="000000" w:sz="8" w:space="0"/>
              <w:right w:val="single" w:color="auto" w:sz="8" w:space="0"/>
            </w:tcBorders>
            <w:vAlign w:val="center"/>
          </w:tcPr>
          <w:p>
            <w:pPr>
              <w:widowControl/>
              <w:jc w:val="center"/>
              <w:rPr>
                <w:rFonts w:hint="default" w:ascii="Arial" w:hAnsi="Arial" w:eastAsia="华文细黑" w:cs="Arial"/>
                <w:kern w:val="0"/>
                <w:sz w:val="18"/>
                <w:szCs w:val="18"/>
              </w:rPr>
            </w:pP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小计</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8</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73.65</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152.48</w:t>
            </w:r>
          </w:p>
        </w:tc>
        <w:tc>
          <w:tcPr>
            <w:tcW w:w="749" w:type="pct"/>
            <w:tcBorders>
              <w:top w:val="nil"/>
              <w:left w:val="nil"/>
              <w:bottom w:val="single" w:color="auto" w:sz="8" w:space="0"/>
              <w:right w:val="single" w:color="auto" w:sz="8" w:space="0"/>
            </w:tcBorders>
            <w:shd w:val="clear" w:color="auto" w:fill="auto"/>
            <w:vAlign w:val="center"/>
          </w:tcPr>
          <w:p>
            <w:pPr>
              <w:widowControl/>
              <w:tabs>
                <w:tab w:val="left" w:pos="458"/>
              </w:tabs>
              <w:jc w:val="center"/>
              <w:rPr>
                <w:rFonts w:hint="default" w:ascii="Arial" w:hAnsi="Arial" w:eastAsia="华文细黑" w:cs="Arial"/>
                <w:kern w:val="0"/>
                <w:sz w:val="18"/>
                <w:szCs w:val="18"/>
              </w:rPr>
            </w:pPr>
            <w:r>
              <w:rPr>
                <w:rFonts w:hint="default" w:ascii="Arial" w:hAnsi="Arial" w:eastAsia="华文细黑" w:cs="Arial"/>
                <w:kern w:val="0"/>
                <w:sz w:val="18"/>
                <w:szCs w:val="18"/>
              </w:rPr>
              <w:t>139.25</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9132</w:t>
            </w:r>
          </w:p>
        </w:tc>
      </w:tr>
      <w:tr>
        <w:tblPrEx>
          <w:tblCellMar>
            <w:top w:w="0" w:type="dxa"/>
            <w:left w:w="108" w:type="dxa"/>
            <w:bottom w:w="0" w:type="dxa"/>
            <w:right w:w="108" w:type="dxa"/>
          </w:tblCellMar>
        </w:tblPrEx>
        <w:trPr>
          <w:trHeight w:val="705" w:hRule="atLeast"/>
          <w:jc w:val="center"/>
        </w:trPr>
        <w:tc>
          <w:tcPr>
            <w:tcW w:w="979"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2023年1季度    (土地招拍挂出让)</w:t>
            </w:r>
          </w:p>
        </w:tc>
        <w:tc>
          <w:tcPr>
            <w:tcW w:w="498"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eastAsia" w:ascii="Arial" w:hAnsi="Arial" w:eastAsia="华文细黑" w:cs="Arial"/>
                <w:kern w:val="0"/>
                <w:sz w:val="18"/>
                <w:szCs w:val="18"/>
              </w:rPr>
              <w:t>合计</w:t>
            </w:r>
          </w:p>
        </w:tc>
        <w:tc>
          <w:tcPr>
            <w:tcW w:w="472"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17</w:t>
            </w:r>
          </w:p>
        </w:tc>
        <w:tc>
          <w:tcPr>
            <w:tcW w:w="725"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106.54</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207.79</w:t>
            </w:r>
          </w:p>
        </w:tc>
        <w:tc>
          <w:tcPr>
            <w:tcW w:w="749"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165.52</w:t>
            </w:r>
          </w:p>
        </w:tc>
        <w:tc>
          <w:tcPr>
            <w:tcW w:w="824" w:type="pct"/>
            <w:tcBorders>
              <w:top w:val="nil"/>
              <w:left w:val="nil"/>
              <w:bottom w:val="single" w:color="auto" w:sz="8" w:space="0"/>
              <w:right w:val="single" w:color="auto" w:sz="8" w:space="0"/>
            </w:tcBorders>
            <w:shd w:val="clear" w:color="auto" w:fill="auto"/>
            <w:vAlign w:val="center"/>
          </w:tcPr>
          <w:p>
            <w:pPr>
              <w:widowControl/>
              <w:jc w:val="center"/>
              <w:rPr>
                <w:rFonts w:hint="default" w:ascii="Arial" w:hAnsi="Arial" w:eastAsia="华文细黑" w:cs="Arial"/>
                <w:kern w:val="0"/>
                <w:sz w:val="18"/>
                <w:szCs w:val="18"/>
              </w:rPr>
            </w:pPr>
            <w:r>
              <w:rPr>
                <w:rFonts w:hint="default" w:ascii="Arial" w:hAnsi="Arial" w:eastAsia="华文细黑" w:cs="Arial"/>
                <w:kern w:val="0"/>
                <w:sz w:val="18"/>
                <w:szCs w:val="18"/>
              </w:rPr>
              <w:t>7966</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hAnsi="Arial" w:cs="Arial"/>
          <w:sz w:val="18"/>
        </w:rPr>
      </w:pPr>
      <w:r>
        <w:rPr>
          <w:rFonts w:ascii="Arial" w:hAnsi="Arial" w:cs="Arial"/>
          <w:sz w:val="18"/>
        </w:rPr>
        <w:t>数据来源：根据北京市规划和自然资源委员会网站</w:t>
      </w:r>
      <w:r>
        <w:rPr>
          <w:rFonts w:hint="eastAsia" w:ascii="Arial" w:hAnsi="Arial" w:cs="Arial"/>
          <w:sz w:val="18"/>
          <w:lang w:eastAsia="zh-CN"/>
        </w:rPr>
        <w:t>数据统计</w:t>
      </w:r>
      <w:r>
        <w:rPr>
          <w:rFonts w:hint="eastAsia" w:ascii="Arial" w:hAnsi="Arial" w:cs="Arial"/>
          <w:sz w:val="18"/>
        </w:rPr>
        <w:t>。</w:t>
      </w:r>
      <w:r>
        <w:rPr>
          <w:rFonts w:ascii="Arial" w:hAnsi="Arial" w:cs="Arial"/>
          <w:sz w:val="18"/>
        </w:rPr>
        <w:t xml:space="preserve"> </w:t>
      </w:r>
    </w:p>
    <w:p>
      <w:pPr>
        <w:pStyle w:val="29"/>
        <w:spacing w:line="360" w:lineRule="auto"/>
        <w:ind w:left="0" w:leftChars="0" w:firstLine="0" w:firstLineChars="0"/>
        <w:rPr>
          <w:rFonts w:hint="eastAsia" w:ascii="Arial" w:hAnsi="Arial" w:cs="Arial"/>
        </w:rPr>
      </w:pPr>
      <w:r>
        <w:rPr>
          <w:rFonts w:hint="eastAsia" w:ascii="Arial" w:hAnsi="Arial" w:cs="Arial"/>
        </w:rPr>
        <w:t>1季度截至2月17日，土地招拍挂市场成交了17宗地，总金额165.52亿元。</w:t>
      </w:r>
    </w:p>
    <w:p>
      <w:pPr>
        <w:pStyle w:val="29"/>
        <w:spacing w:line="360" w:lineRule="auto"/>
        <w:ind w:left="0" w:leftChars="0" w:firstLine="0" w:firstLineChars="0"/>
        <w:rPr>
          <w:rFonts w:ascii="Arial" w:hAnsi="Arial" w:cs="Arial"/>
        </w:rPr>
      </w:pPr>
      <w:r>
        <w:rPr>
          <w:rFonts w:ascii="Arial" w:hAnsi="Arial" w:cs="Arial"/>
        </w:rPr>
        <w:t>（2）季度间对比</w:t>
      </w:r>
    </w:p>
    <w:p>
      <w:pPr>
        <w:pStyle w:val="2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Arial" w:hAnsi="Arial" w:cs="Arial"/>
        </w:rPr>
      </w:pPr>
      <w:r>
        <w:rPr>
          <w:rFonts w:hint="eastAsia" w:ascii="Arial" w:hAnsi="Arial" w:cs="Arial"/>
        </w:rPr>
        <w:t>本季度已成交土地17宗，包括6宗住宅用地、3宗商服用地、8宗工业用地</w:t>
      </w:r>
      <w:r>
        <w:rPr>
          <w:rFonts w:hint="eastAsia" w:ascii="Arial" w:hAnsi="Arial" w:cs="Arial"/>
          <w:lang w:eastAsia="zh-CN"/>
        </w:rPr>
        <w:t>（</w:t>
      </w:r>
      <w:r>
        <w:rPr>
          <w:rFonts w:hint="eastAsia" w:ascii="Arial" w:hAnsi="Arial" w:cs="Arial"/>
        </w:rPr>
        <w:t>含2宗工业研发用地</w:t>
      </w:r>
      <w:r>
        <w:rPr>
          <w:rFonts w:hint="eastAsia" w:ascii="Arial" w:hAnsi="Arial" w:cs="Arial"/>
          <w:lang w:eastAsia="zh-CN"/>
        </w:rPr>
        <w:t>）</w:t>
      </w:r>
      <w:r>
        <w:rPr>
          <w:rFonts w:hint="eastAsia" w:ascii="Arial" w:hAnsi="Arial" w:cs="Arial"/>
        </w:rPr>
        <w:t>。已发布挂牌公告的在交易宗地10宗，包括住宅用地2宗、商服用地1宗、工业用地7宗</w:t>
      </w:r>
      <w:r>
        <w:rPr>
          <w:rFonts w:hint="eastAsia" w:ascii="Arial" w:hAnsi="Arial" w:cs="Arial"/>
          <w:lang w:eastAsia="zh-CN"/>
        </w:rPr>
        <w:t>（</w:t>
      </w:r>
      <w:r>
        <w:rPr>
          <w:rFonts w:hint="eastAsia" w:ascii="Arial" w:hAnsi="Arial" w:cs="Arial"/>
        </w:rPr>
        <w:t>含物流用地3宗</w:t>
      </w:r>
      <w:r>
        <w:rPr>
          <w:rFonts w:hint="eastAsia" w:ascii="Arial" w:hAnsi="Arial" w:cs="Arial"/>
          <w:lang w:eastAsia="zh-CN"/>
        </w:rPr>
        <w:t>）</w:t>
      </w:r>
      <w:r>
        <w:rPr>
          <w:rFonts w:hint="eastAsia" w:ascii="Arial" w:hAnsi="Arial" w:cs="Arial"/>
        </w:rPr>
        <w:t>。已发布预申请公告的宗地1宗，为1宗位于通州永顺的商服用地。</w:t>
      </w:r>
    </w:p>
    <w:tbl>
      <w:tblPr>
        <w:tblStyle w:val="19"/>
        <w:tblW w:w="5000" w:type="pct"/>
        <w:jc w:val="center"/>
        <w:tblLayout w:type="fixed"/>
        <w:tblCellMar>
          <w:top w:w="0" w:type="dxa"/>
          <w:left w:w="108" w:type="dxa"/>
          <w:bottom w:w="0" w:type="dxa"/>
          <w:right w:w="108" w:type="dxa"/>
        </w:tblCellMar>
      </w:tblPr>
      <w:tblGrid>
        <w:gridCol w:w="816"/>
        <w:gridCol w:w="983"/>
        <w:gridCol w:w="1139"/>
        <w:gridCol w:w="1275"/>
        <w:gridCol w:w="1295"/>
        <w:gridCol w:w="1667"/>
        <w:gridCol w:w="1347"/>
      </w:tblGrid>
      <w:tr>
        <w:tblPrEx>
          <w:tblCellMar>
            <w:top w:w="0" w:type="dxa"/>
            <w:left w:w="108" w:type="dxa"/>
            <w:bottom w:w="0" w:type="dxa"/>
            <w:right w:w="108" w:type="dxa"/>
          </w:tblCellMar>
        </w:tblPrEx>
        <w:trPr>
          <w:trHeight w:val="270" w:hRule="atLeast"/>
          <w:tblHeader/>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季度</w:t>
            </w:r>
          </w:p>
        </w:tc>
        <w:tc>
          <w:tcPr>
            <w:tcW w:w="66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宗地数</w:t>
            </w:r>
          </w:p>
        </w:tc>
        <w:tc>
          <w:tcPr>
            <w:tcW w:w="7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建设用地（公顷）</w:t>
            </w:r>
          </w:p>
        </w:tc>
        <w:tc>
          <w:tcPr>
            <w:tcW w:w="7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建筑规模</w:t>
            </w:r>
          </w:p>
          <w:p>
            <w:pPr>
              <w:widowControl/>
              <w:jc w:val="center"/>
              <w:rPr>
                <w:rFonts w:ascii="Arial" w:hAnsi="Arial" w:cs="Arial"/>
                <w:kern w:val="0"/>
                <w:sz w:val="18"/>
                <w:szCs w:val="18"/>
              </w:rPr>
            </w:pPr>
            <w:r>
              <w:rPr>
                <w:rFonts w:ascii="Arial" w:hAnsi="Arial" w:cs="Arial"/>
                <w:kern w:val="0"/>
                <w:sz w:val="18"/>
                <w:szCs w:val="18"/>
              </w:rPr>
              <w:t>（万平方米）</w:t>
            </w:r>
          </w:p>
        </w:tc>
        <w:tc>
          <w:tcPr>
            <w:tcW w:w="97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成交总价</w:t>
            </w:r>
          </w:p>
          <w:p>
            <w:pPr>
              <w:widowControl/>
              <w:jc w:val="center"/>
              <w:rPr>
                <w:rFonts w:ascii="Arial" w:hAnsi="Arial" w:cs="Arial"/>
                <w:kern w:val="0"/>
                <w:sz w:val="18"/>
                <w:szCs w:val="18"/>
              </w:rPr>
            </w:pPr>
            <w:r>
              <w:rPr>
                <w:rFonts w:ascii="Arial" w:hAnsi="Arial" w:cs="Arial"/>
                <w:kern w:val="0"/>
                <w:sz w:val="18"/>
                <w:szCs w:val="18"/>
              </w:rPr>
              <w:t>（亿元）</w:t>
            </w:r>
          </w:p>
        </w:tc>
        <w:tc>
          <w:tcPr>
            <w:tcW w:w="7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楼面单价</w:t>
            </w:r>
          </w:p>
          <w:p>
            <w:pPr>
              <w:widowControl/>
              <w:jc w:val="center"/>
              <w:rPr>
                <w:rFonts w:ascii="Arial" w:hAnsi="Arial" w:cs="Arial"/>
                <w:kern w:val="0"/>
                <w:sz w:val="18"/>
                <w:szCs w:val="18"/>
              </w:rPr>
            </w:pPr>
            <w:r>
              <w:rPr>
                <w:rFonts w:ascii="Arial" w:hAnsi="Arial" w:cs="Arial"/>
                <w:kern w:val="0"/>
                <w:sz w:val="18"/>
                <w:szCs w:val="18"/>
              </w:rPr>
              <w:t>（元/平方米）</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2021年1季度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18</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154.46</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208.54</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283.24</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13582</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021</w:t>
            </w:r>
            <w:r>
              <w:rPr>
                <w:rFonts w:hint="eastAsia" w:ascii="Arial" w:hAnsi="Arial" w:cs="Arial"/>
                <w:kern w:val="0"/>
                <w:sz w:val="18"/>
                <w:szCs w:val="18"/>
              </w:rPr>
              <w:t>年2季度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45</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294.03</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555.29</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1136.69</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20470</w:t>
            </w:r>
          </w:p>
        </w:tc>
      </w:tr>
      <w:tr>
        <w:tblPrEx>
          <w:tblCellMar>
            <w:top w:w="0" w:type="dxa"/>
            <w:left w:w="108" w:type="dxa"/>
            <w:bottom w:w="0" w:type="dxa"/>
            <w:right w:w="108" w:type="dxa"/>
          </w:tblCellMar>
        </w:tblPrEx>
        <w:trPr>
          <w:trHeight w:val="9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021</w:t>
            </w:r>
            <w:r>
              <w:rPr>
                <w:rFonts w:hint="eastAsia" w:ascii="Arial" w:hAnsi="Arial" w:cs="Arial"/>
                <w:kern w:val="0"/>
                <w:sz w:val="18"/>
                <w:szCs w:val="18"/>
              </w:rPr>
              <w:t>年3季度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15</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58.18</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95.72</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12.89</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1346</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021</w:t>
            </w:r>
            <w:r>
              <w:rPr>
                <w:rFonts w:hint="eastAsia" w:ascii="Arial" w:hAnsi="Arial" w:cs="Arial"/>
                <w:kern w:val="0"/>
                <w:sz w:val="18"/>
                <w:szCs w:val="18"/>
              </w:rPr>
              <w:t>年4季度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42</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195.16</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368.65</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903.44</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ascii="Arial" w:hAnsi="Arial" w:cs="Arial"/>
                <w:kern w:val="0"/>
                <w:sz w:val="18"/>
                <w:szCs w:val="18"/>
              </w:rPr>
              <w:t>24507</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022</w:t>
            </w:r>
            <w:r>
              <w:rPr>
                <w:rFonts w:hint="eastAsia" w:ascii="Arial" w:hAnsi="Arial" w:cs="Arial"/>
                <w:kern w:val="0"/>
                <w:sz w:val="18"/>
                <w:szCs w:val="18"/>
              </w:rPr>
              <w:t>年1季度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7</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1</w:t>
            </w:r>
            <w:r>
              <w:rPr>
                <w:rFonts w:ascii="Arial" w:hAnsi="Arial" w:cs="Arial"/>
                <w:kern w:val="0"/>
                <w:sz w:val="18"/>
                <w:szCs w:val="18"/>
              </w:rPr>
              <w:t>15.95</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28.04</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5</w:t>
            </w:r>
            <w:r>
              <w:rPr>
                <w:rFonts w:ascii="Arial" w:hAnsi="Arial" w:cs="Arial"/>
                <w:kern w:val="0"/>
                <w:sz w:val="18"/>
                <w:szCs w:val="18"/>
              </w:rPr>
              <w:t>13.78</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Arial" w:hAnsi="Arial" w:cs="Arial"/>
                <w:kern w:val="0"/>
                <w:sz w:val="18"/>
                <w:szCs w:val="18"/>
              </w:rPr>
            </w:pPr>
            <w:r>
              <w:rPr>
                <w:rFonts w:hint="eastAsia" w:ascii="Arial" w:hAnsi="Arial" w:cs="Arial"/>
                <w:kern w:val="0"/>
                <w:sz w:val="18"/>
                <w:szCs w:val="18"/>
              </w:rPr>
              <w:t>2</w:t>
            </w:r>
            <w:r>
              <w:rPr>
                <w:rFonts w:ascii="Arial" w:hAnsi="Arial" w:cs="Arial"/>
                <w:kern w:val="0"/>
                <w:sz w:val="18"/>
                <w:szCs w:val="18"/>
              </w:rPr>
              <w:t>2530</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hint="eastAsia" w:ascii="Arial" w:hAnsi="Arial" w:cs="Arial" w:eastAsiaTheme="minorEastAsia"/>
                <w:kern w:val="0"/>
                <w:sz w:val="18"/>
                <w:szCs w:val="18"/>
                <w:u w:val="none"/>
                <w:shd w:val="clear"/>
                <w:lang w:val="en-US" w:eastAsia="zh-CN" w:bidi="ar-SA"/>
              </w:rPr>
              <w:t>2022年2季度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26</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200.25</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296.95</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553.45</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50"/>
              <w:keepNext w:val="0"/>
              <w:keepLines w:val="0"/>
              <w:widowControl w:val="0"/>
              <w:shd w:val="clear" w:color="auto" w:fill="auto"/>
              <w:bidi w:val="0"/>
              <w:spacing w:before="0" w:after="0" w:line="240" w:lineRule="auto"/>
              <w:ind w:left="0" w:leftChars="0" w:right="0" w:rightChars="0" w:firstLine="0" w:firstLineChars="0"/>
              <w:jc w:val="center"/>
              <w:rPr>
                <w:rFonts w:hint="eastAsia" w:ascii="Arial" w:hAnsi="Arial" w:cs="Arial" w:eastAsiaTheme="minorEastAsia"/>
                <w:kern w:val="0"/>
                <w:sz w:val="18"/>
                <w:szCs w:val="18"/>
                <w:u w:val="none"/>
                <w:shd w:val="clear"/>
                <w:lang w:val="en-US" w:eastAsia="zh-CN" w:bidi="ar-SA"/>
              </w:rPr>
            </w:pPr>
            <w:r>
              <w:rPr>
                <w:rFonts w:ascii="Arial" w:hAnsi="Arial" w:cs="Arial" w:eastAsiaTheme="minorEastAsia"/>
                <w:kern w:val="0"/>
                <w:sz w:val="18"/>
                <w:szCs w:val="18"/>
                <w:u w:val="none"/>
                <w:shd w:val="clear"/>
                <w:lang w:val="en-US" w:eastAsia="zh-CN" w:bidi="ar-SA"/>
              </w:rPr>
              <w:t>18638</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2022</w:t>
            </w:r>
            <w:r>
              <w:rPr>
                <w:rFonts w:ascii="Arial" w:hAnsi="Arial" w:cs="Arial" w:eastAsiaTheme="minorEastAsia"/>
                <w:kern w:val="0"/>
                <w:sz w:val="18"/>
                <w:szCs w:val="18"/>
                <w:lang w:val="en-US" w:eastAsia="zh-CN" w:bidi="ar-SA"/>
              </w:rPr>
              <w:t>年</w:t>
            </w:r>
            <w:r>
              <w:rPr>
                <w:rFonts w:hint="eastAsia" w:ascii="Arial" w:hAnsi="Arial" w:cs="Arial" w:eastAsiaTheme="minorEastAsia"/>
                <w:kern w:val="0"/>
                <w:sz w:val="18"/>
                <w:szCs w:val="18"/>
                <w:lang w:val="en-US" w:eastAsia="zh-CN" w:bidi="ar-SA"/>
              </w:rPr>
              <w:t>3季度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34</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120.13</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221.74</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536.59</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24199</w:t>
            </w:r>
          </w:p>
        </w:tc>
      </w:tr>
      <w:tr>
        <w:tblPrEx>
          <w:tblCellMar>
            <w:top w:w="0" w:type="dxa"/>
            <w:left w:w="108" w:type="dxa"/>
            <w:bottom w:w="0" w:type="dxa"/>
            <w:right w:w="108" w:type="dxa"/>
          </w:tblCellMar>
        </w:tblPrEx>
        <w:trPr>
          <w:trHeight w:val="270" w:hRule="atLeast"/>
          <w:jc w:val="center"/>
        </w:trPr>
        <w:tc>
          <w:tcPr>
            <w:tcW w:w="105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2022年4季度</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15</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64.00</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115.91</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175.08</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center"/>
          </w:tcPr>
          <w:p>
            <w:pPr>
              <w:pStyle w:val="17"/>
              <w:keepNext w:val="0"/>
              <w:keepLines w:val="0"/>
              <w:widowControl/>
              <w:suppressLineNumbers w:val="0"/>
              <w:jc w:val="center"/>
              <w:rPr>
                <w:rFonts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15105</w:t>
            </w:r>
          </w:p>
        </w:tc>
      </w:tr>
      <w:tr>
        <w:tblPrEx>
          <w:tblCellMar>
            <w:top w:w="0" w:type="dxa"/>
            <w:left w:w="108" w:type="dxa"/>
            <w:bottom w:w="0" w:type="dxa"/>
            <w:right w:w="108" w:type="dxa"/>
          </w:tblCellMar>
        </w:tblPrEx>
        <w:trPr>
          <w:trHeight w:val="270" w:hRule="atLeast"/>
          <w:jc w:val="center"/>
        </w:trPr>
        <w:tc>
          <w:tcPr>
            <w:tcW w:w="478" w:type="pct"/>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eastAsia" w:ascii="Arial" w:hAnsi="Arial" w:cs="Arial" w:eastAsiaTheme="minorEastAsia"/>
                <w:kern w:val="0"/>
                <w:sz w:val="18"/>
                <w:szCs w:val="18"/>
                <w:u w:val="none"/>
                <w:shd w:val="clear"/>
                <w:lang w:val="en-US" w:eastAsia="zh-CN" w:bidi="ar-SA"/>
              </w:rPr>
            </w:pPr>
            <w:r>
              <w:rPr>
                <w:rFonts w:hint="eastAsia" w:ascii="Arial" w:hAnsi="Arial" w:cs="Arial" w:eastAsiaTheme="minorEastAsia"/>
                <w:kern w:val="0"/>
                <w:sz w:val="18"/>
                <w:szCs w:val="18"/>
                <w:u w:val="none"/>
                <w:shd w:val="clear"/>
                <w:lang w:val="en-US" w:eastAsia="zh-CN" w:bidi="ar-SA"/>
              </w:rPr>
              <w:t>202</w:t>
            </w:r>
            <w:r>
              <w:rPr>
                <w:rFonts w:hint="eastAsia" w:ascii="Arial" w:hAnsi="Arial" w:cs="Arial"/>
                <w:kern w:val="0"/>
                <w:sz w:val="18"/>
                <w:szCs w:val="18"/>
                <w:u w:val="none"/>
                <w:shd w:val="clear"/>
                <w:lang w:val="en-US" w:eastAsia="zh-CN" w:bidi="ar-SA"/>
              </w:rPr>
              <w:t>3</w:t>
            </w:r>
            <w:r>
              <w:rPr>
                <w:rFonts w:hint="eastAsia" w:ascii="Arial" w:hAnsi="Arial" w:cs="Arial" w:eastAsiaTheme="minorEastAsia"/>
                <w:kern w:val="0"/>
                <w:sz w:val="18"/>
                <w:szCs w:val="18"/>
                <w:u w:val="none"/>
                <w:shd w:val="clear"/>
                <w:lang w:val="en-US" w:eastAsia="zh-CN" w:bidi="ar-SA"/>
              </w:rPr>
              <w:t>年</w:t>
            </w:r>
            <w:r>
              <w:rPr>
                <w:rFonts w:hint="eastAsia" w:ascii="Arial" w:hAnsi="Arial" w:cs="Arial"/>
                <w:kern w:val="0"/>
                <w:sz w:val="18"/>
                <w:szCs w:val="18"/>
                <w:u w:val="none"/>
                <w:shd w:val="clear"/>
                <w:lang w:val="en-US" w:eastAsia="zh-CN" w:bidi="ar-SA"/>
              </w:rPr>
              <w:t>1</w:t>
            </w:r>
            <w:r>
              <w:rPr>
                <w:rFonts w:hint="eastAsia" w:ascii="Arial" w:hAnsi="Arial" w:cs="Arial" w:eastAsiaTheme="minorEastAsia"/>
                <w:kern w:val="0"/>
                <w:sz w:val="18"/>
                <w:szCs w:val="18"/>
                <w:u w:val="none"/>
                <w:shd w:val="clear"/>
                <w:lang w:val="en-US" w:eastAsia="zh-CN" w:bidi="ar-SA"/>
              </w:rPr>
              <w:t>季度</w:t>
            </w: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已成交</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17</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106.54</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207.79</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165.52</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7966</w:t>
            </w:r>
          </w:p>
        </w:tc>
      </w:tr>
      <w:tr>
        <w:tblPrEx>
          <w:tblCellMar>
            <w:top w:w="0" w:type="dxa"/>
            <w:left w:w="108" w:type="dxa"/>
            <w:bottom w:w="0" w:type="dxa"/>
            <w:right w:w="108" w:type="dxa"/>
          </w:tblCellMar>
        </w:tblPrEx>
        <w:trPr>
          <w:trHeight w:val="270" w:hRule="atLeast"/>
          <w:jc w:val="center"/>
        </w:trPr>
        <w:tc>
          <w:tcPr>
            <w:tcW w:w="478" w:type="pct"/>
            <w:vMerge w:val="continue"/>
            <w:tcBorders>
              <w:left w:val="single" w:color="auto" w:sz="4" w:space="0"/>
              <w:right w:val="single" w:color="auto" w:sz="4" w:space="0"/>
            </w:tcBorders>
            <w:shd w:val="clear" w:color="auto" w:fill="auto"/>
            <w:noWrap/>
            <w:vAlign w:val="center"/>
          </w:tcPr>
          <w:p>
            <w:pPr>
              <w:widowControl/>
              <w:jc w:val="center"/>
              <w:rPr>
                <w:rFonts w:hint="eastAsia" w:ascii="Arial" w:hAnsi="Arial" w:cs="Arial" w:eastAsiaTheme="minorEastAsia"/>
                <w:kern w:val="0"/>
                <w:sz w:val="18"/>
                <w:szCs w:val="18"/>
                <w:u w:val="none"/>
                <w:shd w:val="clear"/>
                <w:lang w:val="en-US" w:eastAsia="zh-CN" w:bidi="ar-SA"/>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在交易</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10</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90.35</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224.65</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起始： 136.80</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起始： 6090</w:t>
            </w:r>
          </w:p>
        </w:tc>
      </w:tr>
      <w:tr>
        <w:tblPrEx>
          <w:tblCellMar>
            <w:top w:w="0" w:type="dxa"/>
            <w:left w:w="108" w:type="dxa"/>
            <w:bottom w:w="0" w:type="dxa"/>
            <w:right w:w="108" w:type="dxa"/>
          </w:tblCellMar>
        </w:tblPrEx>
        <w:trPr>
          <w:trHeight w:val="270" w:hRule="atLeast"/>
          <w:jc w:val="center"/>
        </w:trPr>
        <w:tc>
          <w:tcPr>
            <w:tcW w:w="478" w:type="pct"/>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Arial" w:hAnsi="Arial" w:cs="Arial" w:eastAsiaTheme="minorEastAsia"/>
                <w:kern w:val="0"/>
                <w:sz w:val="18"/>
                <w:szCs w:val="18"/>
                <w:u w:val="none"/>
                <w:shd w:val="clear"/>
                <w:lang w:val="en-US" w:eastAsia="zh-CN" w:bidi="ar-SA"/>
              </w:rPr>
            </w:pPr>
          </w:p>
        </w:tc>
        <w:tc>
          <w:tcPr>
            <w:tcW w:w="576" w:type="pct"/>
            <w:tcBorders>
              <w:top w:val="single" w:color="auto" w:sz="4" w:space="0"/>
              <w:left w:val="single" w:color="auto" w:sz="4" w:space="0"/>
              <w:bottom w:val="single" w:color="auto" w:sz="4" w:space="0"/>
              <w:right w:val="single" w:color="auto" w:sz="4" w:space="0"/>
            </w:tcBorders>
            <w:shd w:val="clear" w:color="auto" w:fill="auto"/>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预申请</w:t>
            </w:r>
          </w:p>
        </w:tc>
        <w:tc>
          <w:tcPr>
            <w:tcW w:w="66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w:t>
            </w:r>
          </w:p>
        </w:tc>
        <w:tc>
          <w:tcPr>
            <w:tcW w:w="74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0.55</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1.54</w:t>
            </w:r>
          </w:p>
        </w:tc>
        <w:tc>
          <w:tcPr>
            <w:tcW w:w="978"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起始： 1.7</w:t>
            </w:r>
          </w:p>
        </w:tc>
        <w:tc>
          <w:tcPr>
            <w:tcW w:w="790" w:type="pct"/>
            <w:tcBorders>
              <w:top w:val="single" w:color="auto" w:sz="4" w:space="0"/>
              <w:left w:val="single" w:color="auto" w:sz="4" w:space="0"/>
              <w:bottom w:val="single" w:color="auto" w:sz="4" w:space="0"/>
              <w:right w:val="single" w:color="auto" w:sz="4" w:space="0"/>
            </w:tcBorders>
            <w:shd w:val="clear" w:color="auto" w:fill="auto"/>
            <w:noWrap/>
            <w:vAlign w:val="top"/>
          </w:tcPr>
          <w:p>
            <w:pPr>
              <w:pStyle w:val="17"/>
              <w:keepNext w:val="0"/>
              <w:keepLines w:val="0"/>
              <w:widowControl/>
              <w:suppressLineNumbers w:val="0"/>
              <w:jc w:val="center"/>
              <w:rPr>
                <w:rFonts w:hint="eastAsia" w:ascii="Arial" w:hAnsi="Arial" w:cs="Arial" w:eastAsiaTheme="minorEastAsia"/>
                <w:kern w:val="0"/>
                <w:sz w:val="18"/>
                <w:szCs w:val="18"/>
                <w:lang w:val="en-US" w:eastAsia="zh-CN" w:bidi="ar-SA"/>
              </w:rPr>
            </w:pPr>
            <w:r>
              <w:rPr>
                <w:rFonts w:hint="eastAsia" w:ascii="Arial" w:hAnsi="Arial" w:cs="Arial" w:eastAsiaTheme="minorEastAsia"/>
                <w:kern w:val="0"/>
                <w:sz w:val="18"/>
                <w:szCs w:val="18"/>
                <w:lang w:val="en-US" w:eastAsia="zh-CN" w:bidi="ar-SA"/>
              </w:rPr>
              <w:t>起始： 11038</w:t>
            </w:r>
          </w:p>
        </w:tc>
      </w:tr>
    </w:tbl>
    <w:p>
      <w:pPr>
        <w:spacing w:line="360" w:lineRule="auto"/>
        <w:rPr>
          <w:rFonts w:hint="eastAsia" w:ascii="Arial" w:hAnsi="Arial" w:cs="Arial"/>
        </w:rPr>
      </w:pPr>
    </w:p>
    <w:p>
      <w:pPr>
        <w:spacing w:line="360" w:lineRule="auto"/>
        <w:rPr>
          <w:rFonts w:hint="eastAsia" w:ascii="Arial" w:hAnsi="Arial" w:cs="Arial" w:eastAsiaTheme="minorEastAsia"/>
          <w:lang w:eastAsia="zh-CN"/>
        </w:rPr>
      </w:pPr>
      <w:r>
        <w:rPr>
          <w:rFonts w:hint="eastAsia" w:ascii="Arial" w:hAnsi="Arial" w:cs="Arial"/>
        </w:rPr>
        <w:t>2</w:t>
      </w:r>
      <w:r>
        <w:rPr>
          <w:rFonts w:ascii="Arial" w:hAnsi="Arial" w:cs="Arial"/>
        </w:rPr>
        <w:t>.</w:t>
      </w:r>
      <w:r>
        <w:rPr>
          <w:rFonts w:hint="eastAsia" w:ascii="Arial" w:hAnsi="Arial" w:cs="Arial"/>
          <w:lang w:eastAsia="zh-CN"/>
        </w:rPr>
        <w:t>住宅用地</w:t>
      </w:r>
    </w:p>
    <w:p>
      <w:pPr>
        <w:spacing w:line="360" w:lineRule="auto"/>
        <w:rPr>
          <w:rFonts w:hint="eastAsia" w:ascii="Arial" w:hAnsi="Arial" w:cs="Arial"/>
        </w:rPr>
      </w:pPr>
      <w:r>
        <w:rPr>
          <w:rFonts w:hint="eastAsia" w:ascii="Arial" w:hAnsi="Arial" w:cs="Arial"/>
          <w:lang w:eastAsia="zh-CN"/>
        </w:rPr>
        <w:t>（</w:t>
      </w:r>
      <w:r>
        <w:rPr>
          <w:rFonts w:hint="eastAsia" w:ascii="Arial" w:hAnsi="Arial" w:cs="Arial"/>
          <w:lang w:val="en-US" w:eastAsia="zh-CN"/>
        </w:rPr>
        <w:t>1</w:t>
      </w:r>
      <w:r>
        <w:rPr>
          <w:rFonts w:hint="eastAsia" w:ascii="Arial" w:hAnsi="Arial" w:cs="Arial"/>
          <w:lang w:eastAsia="zh-CN"/>
        </w:rPr>
        <w:t>）</w:t>
      </w:r>
      <w:r>
        <w:rPr>
          <w:rFonts w:hint="eastAsia" w:ascii="Arial" w:hAnsi="Arial" w:cs="Arial"/>
        </w:rPr>
        <w:t>各批次集中供地总体情况</w:t>
      </w:r>
    </w:p>
    <w:tbl>
      <w:tblPr>
        <w:tblStyle w:val="1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1404"/>
        <w:gridCol w:w="1404"/>
        <w:gridCol w:w="1404"/>
        <w:gridCol w:w="1404"/>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批次</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宗地数（宗）</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建设用地</w:t>
            </w:r>
          </w:p>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（公顷）</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建筑规模</w:t>
            </w:r>
          </w:p>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（万</w:t>
            </w:r>
            <w:r>
              <w:rPr>
                <w:rStyle w:val="55"/>
                <w:rFonts w:hint="default" w:ascii="Arial" w:hAnsi="Arial" w:eastAsia="华文细黑" w:cs="Arial"/>
                <w:b w:val="0"/>
                <w:bCs w:val="0"/>
                <w:color w:val="auto"/>
                <w:sz w:val="18"/>
                <w:szCs w:val="18"/>
                <w:lang w:val="en-US" w:eastAsia="zh-CN" w:bidi="ar"/>
              </w:rPr>
              <w:t>m</w:t>
            </w:r>
            <w:r>
              <w:rPr>
                <w:rStyle w:val="56"/>
                <w:rFonts w:hint="default" w:ascii="Arial" w:hAnsi="Arial" w:eastAsia="华文细黑" w:cs="Arial"/>
                <w:b w:val="0"/>
                <w:bCs w:val="0"/>
                <w:color w:val="auto"/>
                <w:sz w:val="18"/>
                <w:szCs w:val="18"/>
                <w:lang w:val="en-US" w:eastAsia="zh-CN" w:bidi="ar"/>
              </w:rPr>
              <w:t>2</w:t>
            </w:r>
            <w:r>
              <w:rPr>
                <w:rStyle w:val="57"/>
                <w:rFonts w:hint="default" w:ascii="Arial" w:hAnsi="Arial" w:eastAsia="华文细黑" w:cs="Arial"/>
                <w:b w:val="0"/>
                <w:bCs w:val="0"/>
                <w:color w:val="auto"/>
                <w:sz w:val="18"/>
                <w:szCs w:val="18"/>
                <w:lang w:val="en-US" w:eastAsia="zh-CN" w:bidi="ar"/>
              </w:rPr>
              <w:t>）</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成交金额</w:t>
            </w:r>
          </w:p>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（亿元）</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楼面单价</w:t>
            </w:r>
          </w:p>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（元</w:t>
            </w:r>
            <w:r>
              <w:rPr>
                <w:rStyle w:val="55"/>
                <w:rFonts w:hint="default" w:ascii="Arial" w:hAnsi="Arial" w:eastAsia="华文细黑" w:cs="Arial"/>
                <w:b w:val="0"/>
                <w:bCs w:val="0"/>
                <w:color w:val="auto"/>
                <w:sz w:val="18"/>
                <w:szCs w:val="18"/>
                <w:lang w:val="en-US" w:eastAsia="zh-CN" w:bidi="ar"/>
              </w:rPr>
              <w:t>/m</w:t>
            </w:r>
            <w:r>
              <w:rPr>
                <w:rStyle w:val="56"/>
                <w:rFonts w:hint="default" w:ascii="Arial" w:hAnsi="Arial" w:eastAsia="华文细黑" w:cs="Arial"/>
                <w:b w:val="0"/>
                <w:bCs w:val="0"/>
                <w:color w:val="auto"/>
                <w:sz w:val="18"/>
                <w:szCs w:val="18"/>
                <w:lang w:val="en-US" w:eastAsia="zh-CN" w:bidi="ar"/>
              </w:rPr>
              <w:t>2</w:t>
            </w:r>
            <w:r>
              <w:rPr>
                <w:rStyle w:val="57"/>
                <w:rFonts w:hint="default" w:ascii="Arial" w:hAnsi="Arial" w:eastAsia="华文细黑" w:cs="Arial"/>
                <w:b w:val="0"/>
                <w:bCs w:val="0"/>
                <w:color w:val="auto"/>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2021年首批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30</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168.97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344.98</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1109.71</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32167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2021年第二批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76.39</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162.37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513.45</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31622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2021年第三批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10</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44.6</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90.98</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277.25</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30474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2022年首批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80.1</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160.91</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480.23</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29845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2022年第二批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74.13</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144.71</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499.58</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sz w:val="18"/>
                <w:szCs w:val="18"/>
                <w:u w:val="none"/>
              </w:rPr>
            </w:pPr>
            <w:r>
              <w:rPr>
                <w:rFonts w:hint="default" w:ascii="Arial" w:hAnsi="Arial" w:eastAsia="华文细黑" w:cs="Arial"/>
                <w:b w:val="0"/>
                <w:bCs w:val="0"/>
                <w:i w:val="0"/>
                <w:iCs w:val="0"/>
                <w:color w:val="auto"/>
                <w:kern w:val="0"/>
                <w:sz w:val="18"/>
                <w:szCs w:val="18"/>
                <w:u w:val="none"/>
                <w:lang w:val="en-US" w:eastAsia="zh-CN" w:bidi="ar"/>
              </w:rPr>
              <w:t>34523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2022年第三批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18</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74.82</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147.50</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500.30</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33918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2022年第四批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6</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14.86</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31.93</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135.22</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42354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2022年第五批</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6</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21.47</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53.18</w:t>
            </w:r>
          </w:p>
        </w:tc>
        <w:tc>
          <w:tcPr>
            <w:tcW w:w="14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132.09</w:t>
            </w:r>
          </w:p>
        </w:tc>
        <w:tc>
          <w:tcPr>
            <w:tcW w:w="1409"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24838</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Arial" w:hAnsi="Arial" w:cs="Arial"/>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lang w:val="en-US" w:eastAsia="zh-CN"/>
        </w:rPr>
      </w:pPr>
      <w:r>
        <w:rPr>
          <w:rFonts w:hint="eastAsia" w:ascii="Arial" w:hAnsi="Arial" w:cs="Arial"/>
          <w:lang w:val="en-US" w:eastAsia="zh-CN"/>
        </w:rPr>
        <w:t>2022年度第五批集中供地成交均价为24838元/平方米，成交均价低于之前交易的其他批次。一是规划建筑规模以多点区域为主；二是除规划住宅外，其他用途规模占比较高。</w:t>
      </w:r>
    </w:p>
    <w:p>
      <w:pPr>
        <w:spacing w:line="360" w:lineRule="auto"/>
        <w:rPr>
          <w:rFonts w:hint="default" w:ascii="Arial" w:hAnsi="Arial" w:cs="Arial" w:eastAsiaTheme="minorEastAsia"/>
          <w:lang w:val="en-US" w:eastAsia="zh-CN"/>
        </w:rPr>
      </w:pPr>
      <w:r>
        <w:rPr>
          <w:rFonts w:hint="eastAsia" w:ascii="Arial" w:hAnsi="Arial" w:cs="Arial"/>
          <w:lang w:val="en-US" w:eastAsia="zh-CN"/>
        </w:rPr>
        <w:t>（2）各批次集中供地各圈层规划建筑面积占比</w:t>
      </w:r>
    </w:p>
    <w:tbl>
      <w:tblPr>
        <w:tblStyle w:val="19"/>
        <w:tblW w:w="8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903"/>
        <w:gridCol w:w="903"/>
        <w:gridCol w:w="903"/>
        <w:gridCol w:w="903"/>
        <w:gridCol w:w="903"/>
        <w:gridCol w:w="903"/>
        <w:gridCol w:w="903"/>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分区</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2021年首批 成交</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2021年第二批 成交</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2021年第三批 成交</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2022年首批 成交</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2022年第二批 成交</w:t>
            </w:r>
          </w:p>
        </w:tc>
        <w:tc>
          <w:tcPr>
            <w:tcW w:w="903"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kern w:val="0"/>
                <w:sz w:val="15"/>
                <w:szCs w:val="15"/>
                <w:u w:val="none"/>
                <w:lang w:val="en-US" w:eastAsia="zh-CN" w:bidi="ar"/>
              </w:rPr>
            </w:pPr>
            <w:r>
              <w:rPr>
                <w:rFonts w:hint="eastAsia" w:ascii="Arial" w:hAnsi="Arial" w:eastAsia="华文细黑" w:cs="Arial"/>
                <w:b/>
                <w:bCs/>
                <w:i w:val="0"/>
                <w:iCs w:val="0"/>
                <w:color w:val="000000"/>
                <w:kern w:val="0"/>
                <w:sz w:val="15"/>
                <w:szCs w:val="15"/>
                <w:u w:val="none"/>
                <w:lang w:val="en-US" w:eastAsia="zh-CN" w:bidi="ar"/>
              </w:rPr>
              <w:t>2022年第三批 成交</w:t>
            </w:r>
          </w:p>
        </w:tc>
        <w:tc>
          <w:tcPr>
            <w:tcW w:w="903"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kern w:val="0"/>
                <w:sz w:val="15"/>
                <w:szCs w:val="15"/>
                <w:u w:val="none"/>
                <w:lang w:val="en-US" w:eastAsia="zh-CN" w:bidi="ar"/>
              </w:rPr>
            </w:pPr>
            <w:r>
              <w:rPr>
                <w:rFonts w:hint="eastAsia" w:ascii="Arial" w:hAnsi="Arial" w:eastAsia="华文细黑" w:cs="Arial"/>
                <w:b/>
                <w:bCs/>
                <w:i w:val="0"/>
                <w:iCs w:val="0"/>
                <w:color w:val="000000"/>
                <w:kern w:val="0"/>
                <w:sz w:val="15"/>
                <w:szCs w:val="15"/>
                <w:u w:val="none"/>
                <w:lang w:val="en-US" w:eastAsia="zh-CN" w:bidi="ar"/>
              </w:rPr>
              <w:t>2022年第四批 成交</w:t>
            </w:r>
          </w:p>
        </w:tc>
        <w:tc>
          <w:tcPr>
            <w:tcW w:w="90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kern w:val="0"/>
                <w:sz w:val="15"/>
                <w:szCs w:val="15"/>
                <w:u w:val="none"/>
                <w:lang w:val="en-US" w:eastAsia="zh-CN" w:bidi="ar"/>
              </w:rPr>
            </w:pPr>
            <w:r>
              <w:rPr>
                <w:rFonts w:hint="eastAsia" w:ascii="Arial" w:hAnsi="Arial" w:eastAsia="华文细黑" w:cs="Arial"/>
                <w:b/>
                <w:bCs/>
                <w:i w:val="0"/>
                <w:iCs w:val="0"/>
                <w:color w:val="000000"/>
                <w:kern w:val="0"/>
                <w:sz w:val="15"/>
                <w:szCs w:val="15"/>
                <w:u w:val="none"/>
                <w:lang w:val="en-US" w:eastAsia="zh-CN" w:bidi="ar"/>
              </w:rPr>
              <w:t>2022年第五批 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中心城区</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44.40%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45.40%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49.60%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32.90%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50.03%</w:t>
            </w:r>
          </w:p>
        </w:tc>
        <w:tc>
          <w:tcPr>
            <w:tcW w:w="903"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46.8%</w:t>
            </w:r>
          </w:p>
        </w:tc>
        <w:tc>
          <w:tcPr>
            <w:tcW w:w="903"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74.4%</w:t>
            </w:r>
          </w:p>
        </w:tc>
        <w:tc>
          <w:tcPr>
            <w:tcW w:w="90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副中心</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14.90%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2.30%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3.80%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0%</w:t>
            </w:r>
          </w:p>
        </w:tc>
        <w:tc>
          <w:tcPr>
            <w:tcW w:w="903"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3.8%</w:t>
            </w:r>
          </w:p>
        </w:tc>
        <w:tc>
          <w:tcPr>
            <w:tcW w:w="903"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15.6%</w:t>
            </w:r>
          </w:p>
        </w:tc>
        <w:tc>
          <w:tcPr>
            <w:tcW w:w="90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多点</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28.70%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43.50%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12.50%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56.30%</w:t>
            </w:r>
          </w:p>
        </w:tc>
        <w:tc>
          <w:tcPr>
            <w:tcW w:w="903"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44.67%</w:t>
            </w:r>
          </w:p>
        </w:tc>
        <w:tc>
          <w:tcPr>
            <w:tcW w:w="903"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39.8%</w:t>
            </w:r>
          </w:p>
        </w:tc>
        <w:tc>
          <w:tcPr>
            <w:tcW w:w="903"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0%</w:t>
            </w:r>
          </w:p>
        </w:tc>
        <w:tc>
          <w:tcPr>
            <w:tcW w:w="90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生态涵养区</w:t>
            </w:r>
          </w:p>
        </w:tc>
        <w:tc>
          <w:tcPr>
            <w:tcW w:w="903"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12.00%</w:t>
            </w:r>
          </w:p>
        </w:tc>
        <w:tc>
          <w:tcPr>
            <w:tcW w:w="903"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8.80%</w:t>
            </w:r>
          </w:p>
        </w:tc>
        <w:tc>
          <w:tcPr>
            <w:tcW w:w="903"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37.90%</w:t>
            </w:r>
          </w:p>
        </w:tc>
        <w:tc>
          <w:tcPr>
            <w:tcW w:w="903"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7.00%</w:t>
            </w:r>
          </w:p>
        </w:tc>
        <w:tc>
          <w:tcPr>
            <w:tcW w:w="903"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5.29%</w:t>
            </w:r>
          </w:p>
        </w:tc>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9.6%</w:t>
            </w:r>
          </w:p>
        </w:tc>
        <w:tc>
          <w:tcPr>
            <w:tcW w:w="9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10.1%</w:t>
            </w:r>
          </w:p>
        </w:tc>
        <w:tc>
          <w:tcPr>
            <w:tcW w:w="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0%</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Arial" w:hAnsi="Arial" w:cs="Arial"/>
          <w:sz w:val="18"/>
          <w:szCs w:val="18"/>
          <w:highlight w:val="none"/>
          <w:lang w:val="en-US" w:eastAsia="zh-CN"/>
        </w:rPr>
      </w:pPr>
    </w:p>
    <w:p>
      <w:pPr>
        <w:spacing w:line="360" w:lineRule="auto"/>
        <w:rPr>
          <w:rFonts w:hint="eastAsia" w:ascii="Arial" w:hAnsi="Arial" w:cs="Arial"/>
          <w:highlight w:val="none"/>
          <w:lang w:val="en-US" w:eastAsia="zh-CN"/>
        </w:rPr>
      </w:pPr>
      <w:r>
        <w:rPr>
          <w:rFonts w:hint="eastAsia" w:ascii="Arial" w:hAnsi="Arial" w:cs="Arial"/>
          <w:highlight w:val="none"/>
          <w:lang w:val="en-US" w:eastAsia="zh-CN"/>
        </w:rPr>
        <w:t>（3）各批次集中供地各用途规划建筑面积占比</w:t>
      </w:r>
    </w:p>
    <w:tbl>
      <w:tblPr>
        <w:tblStyle w:val="19"/>
        <w:tblW w:w="8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903"/>
        <w:gridCol w:w="903"/>
        <w:gridCol w:w="903"/>
        <w:gridCol w:w="903"/>
        <w:gridCol w:w="903"/>
        <w:gridCol w:w="903"/>
        <w:gridCol w:w="903"/>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2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分区</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2021年首批 成交</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2021年第二批 成交</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2021年第三批 成交</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2022年首批 成交</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sz w:val="15"/>
                <w:szCs w:val="15"/>
                <w:u w:val="none"/>
              </w:rPr>
            </w:pPr>
            <w:r>
              <w:rPr>
                <w:rFonts w:hint="default" w:ascii="Arial" w:hAnsi="Arial" w:eastAsia="华文细黑" w:cs="Arial"/>
                <w:b/>
                <w:bCs/>
                <w:i w:val="0"/>
                <w:iCs w:val="0"/>
                <w:color w:val="000000"/>
                <w:kern w:val="0"/>
                <w:sz w:val="15"/>
                <w:szCs w:val="15"/>
                <w:u w:val="none"/>
                <w:lang w:val="en-US" w:eastAsia="zh-CN" w:bidi="ar"/>
              </w:rPr>
              <w:t>2022年第二批 成交</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kern w:val="0"/>
                <w:sz w:val="15"/>
                <w:szCs w:val="15"/>
                <w:u w:val="none"/>
                <w:lang w:val="en-US" w:eastAsia="zh-CN" w:bidi="ar"/>
              </w:rPr>
            </w:pPr>
            <w:r>
              <w:rPr>
                <w:rFonts w:hint="eastAsia" w:ascii="Arial" w:hAnsi="Arial" w:eastAsia="华文细黑" w:cs="Arial"/>
                <w:b/>
                <w:bCs/>
                <w:i w:val="0"/>
                <w:iCs w:val="0"/>
                <w:color w:val="000000"/>
                <w:kern w:val="0"/>
                <w:sz w:val="15"/>
                <w:szCs w:val="15"/>
                <w:u w:val="none"/>
                <w:lang w:val="en-US" w:eastAsia="zh-CN" w:bidi="ar"/>
              </w:rPr>
              <w:t>2022年第三批 成交</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kern w:val="0"/>
                <w:sz w:val="15"/>
                <w:szCs w:val="15"/>
                <w:u w:val="none"/>
                <w:lang w:val="en-US" w:eastAsia="zh-CN" w:bidi="ar"/>
              </w:rPr>
            </w:pPr>
            <w:r>
              <w:rPr>
                <w:rFonts w:hint="eastAsia" w:ascii="Arial" w:hAnsi="Arial" w:eastAsia="华文细黑" w:cs="Arial"/>
                <w:b/>
                <w:bCs/>
                <w:i w:val="0"/>
                <w:iCs w:val="0"/>
                <w:color w:val="000000"/>
                <w:kern w:val="0"/>
                <w:sz w:val="15"/>
                <w:szCs w:val="15"/>
                <w:u w:val="none"/>
                <w:lang w:val="en-US" w:eastAsia="zh-CN" w:bidi="ar"/>
              </w:rPr>
              <w:t>2022年第四批 成交</w:t>
            </w: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bCs/>
                <w:i w:val="0"/>
                <w:iCs w:val="0"/>
                <w:color w:val="000000"/>
                <w:kern w:val="0"/>
                <w:sz w:val="15"/>
                <w:szCs w:val="15"/>
                <w:u w:val="none"/>
                <w:lang w:val="en-US" w:eastAsia="zh-CN" w:bidi="ar"/>
              </w:rPr>
            </w:pPr>
            <w:r>
              <w:rPr>
                <w:rFonts w:hint="eastAsia" w:ascii="Arial" w:hAnsi="Arial" w:eastAsia="华文细黑" w:cs="Arial"/>
                <w:b/>
                <w:bCs/>
                <w:i w:val="0"/>
                <w:iCs w:val="0"/>
                <w:color w:val="000000"/>
                <w:kern w:val="0"/>
                <w:sz w:val="15"/>
                <w:szCs w:val="15"/>
                <w:u w:val="none"/>
                <w:lang w:val="en-US" w:eastAsia="zh-CN" w:bidi="ar"/>
              </w:rPr>
              <w:t>2022年第五批 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住宅</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86.52%</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86.78%</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96.72%</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78.59%</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89.42%</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93. 13%</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97.72%</w:t>
            </w: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61.38%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商服公建</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11.21%</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11.08%</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3.09%</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19.37%</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8.21%</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4.38%</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0%</w:t>
            </w: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34.78%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教育等非营利配套</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2.27%</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2. 14%</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0.20%</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2.04%</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2.37%</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2.49%</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2.28%</w:t>
            </w:r>
          </w:p>
        </w:tc>
        <w:tc>
          <w:tcPr>
            <w:tcW w:w="9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3.84%</w:t>
            </w: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Arial" w:hAnsi="Arial" w:cs="Arial"/>
          <w:sz w:val="18"/>
          <w:szCs w:val="18"/>
          <w:highlight w:val="none"/>
          <w:lang w:val="en-US" w:eastAsia="zh-CN"/>
        </w:rPr>
      </w:pPr>
    </w:p>
    <w:p>
      <w:pPr>
        <w:spacing w:line="360" w:lineRule="auto"/>
        <w:rPr>
          <w:rFonts w:hint="eastAsia" w:ascii="Arial" w:hAnsi="Arial" w:cs="Arial"/>
          <w:highlight w:val="none"/>
          <w:lang w:val="en-US" w:eastAsia="zh-CN"/>
        </w:rPr>
      </w:pPr>
      <w:r>
        <w:rPr>
          <w:rFonts w:hint="eastAsia" w:ascii="Arial" w:hAnsi="Arial" w:cs="Arial"/>
          <w:highlight w:val="none"/>
          <w:lang w:val="en-US" w:eastAsia="zh-CN"/>
        </w:rPr>
        <w:t>（4）各行政区住宅用地成交情况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lang w:val="en-US" w:eastAsia="zh-CN"/>
        </w:rPr>
      </w:pPr>
      <w:r>
        <w:rPr>
          <w:rFonts w:hint="eastAsia" w:ascii="Arial" w:hAnsi="Arial" w:cs="Arial"/>
          <w:highlight w:val="none"/>
          <w:lang w:val="en-US" w:eastAsia="zh-CN"/>
        </w:rPr>
        <w:t>在成交的6宗地中，3宗起始价成交，分别为通州梨园、房山良乡、亦庄新城宗地。3宗达到地价上限，朝阳小红门宗地溢价15%、摇号确定竞得人；石景山苹果园宗地溢价15%、竞报现房销售面积15000平方米；昌平回龙观宗地溢价15%、竞报现房销售面积45000平方米达到上限、摇号确定竞得人。</w:t>
      </w:r>
    </w:p>
    <w:p>
      <w:pPr>
        <w:spacing w:line="360" w:lineRule="auto"/>
        <w:rPr>
          <w:rFonts w:hint="eastAsia" w:ascii="Arial" w:hAnsi="Arial" w:cs="Arial"/>
          <w:highlight w:val="none"/>
          <w:lang w:val="en-US" w:eastAsia="zh-CN"/>
        </w:rPr>
      </w:pPr>
    </w:p>
    <w:tbl>
      <w:tblPr>
        <w:tblStyle w:val="20"/>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001"/>
        <w:gridCol w:w="1192"/>
        <w:gridCol w:w="2036"/>
        <w:gridCol w:w="125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7"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行政区</w:t>
            </w:r>
          </w:p>
        </w:tc>
        <w:tc>
          <w:tcPr>
            <w:tcW w:w="1001"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宗地数</w:t>
            </w:r>
          </w:p>
        </w:tc>
        <w:tc>
          <w:tcPr>
            <w:tcW w:w="1192"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建设用地</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（公顷）</w:t>
            </w:r>
          </w:p>
        </w:tc>
        <w:tc>
          <w:tcPr>
            <w:tcW w:w="2036"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建筑规模</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w:t>
            </w:r>
            <w:r>
              <w:rPr>
                <w:rFonts w:hint="eastAsia" w:ascii="华文细黑" w:hAnsi="华文细黑" w:eastAsia="华文细黑" w:cs="华文细黑"/>
                <w:b w:val="0"/>
                <w:bCs w:val="0"/>
                <w:i w:val="0"/>
                <w:iCs w:val="0"/>
                <w:color w:val="000000"/>
                <w:kern w:val="0"/>
                <w:sz w:val="15"/>
                <w:szCs w:val="15"/>
                <w:u w:val="none"/>
                <w:lang w:val="en-US" w:eastAsia="zh-CN" w:bidi="ar"/>
              </w:rPr>
              <w:t>万平方米</w:t>
            </w:r>
            <w:r>
              <w:rPr>
                <w:rFonts w:hint="eastAsia" w:ascii="Arial" w:hAnsi="Arial" w:eastAsia="华文细黑" w:cs="Arial"/>
                <w:b w:val="0"/>
                <w:bCs w:val="0"/>
                <w:i w:val="0"/>
                <w:iCs w:val="0"/>
                <w:color w:val="000000"/>
                <w:kern w:val="0"/>
                <w:sz w:val="15"/>
                <w:szCs w:val="15"/>
                <w:u w:val="none"/>
                <w:lang w:val="en-US" w:eastAsia="zh-CN" w:bidi="ar"/>
              </w:rPr>
              <w:t>）</w:t>
            </w:r>
          </w:p>
        </w:tc>
        <w:tc>
          <w:tcPr>
            <w:tcW w:w="1256"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成交总价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（亿元）</w:t>
            </w:r>
          </w:p>
        </w:tc>
        <w:tc>
          <w:tcPr>
            <w:tcW w:w="2036" w:type="dxa"/>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楼面单价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Arial" w:hAnsi="Arial" w:eastAsia="华文细黑" w:cs="Arial"/>
                <w:b w:val="0"/>
                <w:bCs w:val="0"/>
                <w:i w:val="0"/>
                <w:iCs w:val="0"/>
                <w:color w:val="000000"/>
                <w:kern w:val="0"/>
                <w:sz w:val="15"/>
                <w:szCs w:val="15"/>
                <w:u w:val="none"/>
                <w:lang w:val="en-US" w:eastAsia="zh-CN" w:bidi="ar"/>
              </w:rPr>
            </w:pPr>
            <w:r>
              <w:rPr>
                <w:rFonts w:hint="eastAsia" w:ascii="Arial" w:hAnsi="Arial" w:eastAsia="华文细黑" w:cs="Arial"/>
                <w:b w:val="0"/>
                <w:bCs w:val="0"/>
                <w:i w:val="0"/>
                <w:iCs w:val="0"/>
                <w:color w:val="000000"/>
                <w:kern w:val="0"/>
                <w:sz w:val="15"/>
                <w:szCs w:val="15"/>
                <w:u w:val="none"/>
                <w:lang w:val="en-US" w:eastAsia="zh-CN" w:bidi="ar"/>
              </w:rPr>
              <w:t>（元/平方米）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朝阳</w:t>
            </w:r>
          </w:p>
        </w:tc>
        <w:tc>
          <w:tcPr>
            <w:tcW w:w="1001"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w:t>
            </w:r>
          </w:p>
        </w:tc>
        <w:tc>
          <w:tcPr>
            <w:tcW w:w="1192"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1.21</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3.02</w:t>
            </w:r>
          </w:p>
        </w:tc>
        <w:tc>
          <w:tcPr>
            <w:tcW w:w="125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14.26</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47297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石景山</w:t>
            </w:r>
          </w:p>
        </w:tc>
        <w:tc>
          <w:tcPr>
            <w:tcW w:w="1001"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w:t>
            </w:r>
          </w:p>
        </w:tc>
        <w:tc>
          <w:tcPr>
            <w:tcW w:w="1192"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2.61</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6.03</w:t>
            </w:r>
          </w:p>
        </w:tc>
        <w:tc>
          <w:tcPr>
            <w:tcW w:w="125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25.99</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43117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通州</w:t>
            </w:r>
          </w:p>
        </w:tc>
        <w:tc>
          <w:tcPr>
            <w:tcW w:w="1001"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w:t>
            </w:r>
          </w:p>
        </w:tc>
        <w:tc>
          <w:tcPr>
            <w:tcW w:w="1192"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2.86</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6.65</w:t>
            </w:r>
          </w:p>
        </w:tc>
        <w:tc>
          <w:tcPr>
            <w:tcW w:w="125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10.40</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15631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昌平</w:t>
            </w:r>
          </w:p>
        </w:tc>
        <w:tc>
          <w:tcPr>
            <w:tcW w:w="1001"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w:t>
            </w:r>
          </w:p>
        </w:tc>
        <w:tc>
          <w:tcPr>
            <w:tcW w:w="1192"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4.51</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10.21</w:t>
            </w:r>
          </w:p>
        </w:tc>
        <w:tc>
          <w:tcPr>
            <w:tcW w:w="125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33.12</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32434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亦庄</w:t>
            </w:r>
          </w:p>
        </w:tc>
        <w:tc>
          <w:tcPr>
            <w:tcW w:w="1001"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w:t>
            </w:r>
          </w:p>
        </w:tc>
        <w:tc>
          <w:tcPr>
            <w:tcW w:w="1192"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7.17</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19.46</w:t>
            </w:r>
          </w:p>
        </w:tc>
        <w:tc>
          <w:tcPr>
            <w:tcW w:w="125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31.12</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15988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房山</w:t>
            </w:r>
          </w:p>
        </w:tc>
        <w:tc>
          <w:tcPr>
            <w:tcW w:w="1001"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w:t>
            </w:r>
          </w:p>
        </w:tc>
        <w:tc>
          <w:tcPr>
            <w:tcW w:w="1192"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3.12</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7.81</w:t>
            </w:r>
          </w:p>
        </w:tc>
        <w:tc>
          <w:tcPr>
            <w:tcW w:w="125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17.20</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22029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合计</w:t>
            </w:r>
          </w:p>
        </w:tc>
        <w:tc>
          <w:tcPr>
            <w:tcW w:w="1001"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6</w:t>
            </w:r>
          </w:p>
        </w:tc>
        <w:tc>
          <w:tcPr>
            <w:tcW w:w="1192"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21.47</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53.18</w:t>
            </w:r>
          </w:p>
        </w:tc>
        <w:tc>
          <w:tcPr>
            <w:tcW w:w="125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132.09</w:t>
            </w:r>
          </w:p>
        </w:tc>
        <w:tc>
          <w:tcPr>
            <w:tcW w:w="2036" w:type="dxa"/>
            <w:vAlign w:val="center"/>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24838</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Arial" w:hAnsi="Arial" w:cs="Arial"/>
          <w:sz w:val="18"/>
          <w:szCs w:val="1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lang w:val="en-US" w:eastAsia="zh-CN"/>
        </w:rPr>
      </w:pPr>
      <w:r>
        <w:rPr>
          <w:rFonts w:hint="eastAsia" w:ascii="Arial" w:hAnsi="Arial" w:cs="Arial"/>
          <w:highlight w:val="none"/>
          <w:lang w:val="en-US" w:eastAsia="zh-CN"/>
        </w:rPr>
        <w:t>截至2月17日，北京市规划和自然资源委员会网站公布2023年第一轮拟供应商品住宅用地清单，共23宗，总建设用地面积103.48公顷、规划建筑面积192.69万平方米。其中，中心城区11宗，建设用地面积占52%，副中心3宗，占10%，多点区域9宗，占38%。</w:t>
      </w:r>
    </w:p>
    <w:tbl>
      <w:tblPr>
        <w:tblStyle w:val="20"/>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420"/>
        <w:gridCol w:w="1460"/>
        <w:gridCol w:w="1380"/>
        <w:gridCol w:w="1535"/>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行政区</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宗地数</w:t>
            </w:r>
          </w:p>
        </w:tc>
        <w:tc>
          <w:tcPr>
            <w:tcW w:w="2840" w:type="dxa"/>
            <w:gridSpan w:val="2"/>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建设用地 （公顷）</w:t>
            </w:r>
          </w:p>
        </w:tc>
        <w:tc>
          <w:tcPr>
            <w:tcW w:w="2842" w:type="dxa"/>
            <w:gridSpan w:val="2"/>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建筑规模 （万m</w:t>
            </w:r>
            <w:r>
              <w:rPr>
                <w:rFonts w:hint="eastAsia" w:ascii="Arial" w:hAnsi="Arial" w:eastAsia="华文细黑" w:cs="Arial"/>
                <w:i w:val="0"/>
                <w:iCs w:val="0"/>
                <w:color w:val="000000"/>
                <w:kern w:val="0"/>
                <w:sz w:val="18"/>
                <w:szCs w:val="18"/>
                <w:u w:val="none"/>
                <w:vertAlign w:val="superscript"/>
                <w:lang w:val="en-US" w:eastAsia="zh-CN" w:bidi="ar"/>
              </w:rPr>
              <w:t>2</w:t>
            </w:r>
            <w:r>
              <w:rPr>
                <w:rFonts w:hint="eastAsia" w:ascii="Arial" w:hAnsi="Arial" w:eastAsia="华文细黑" w:cs="Arial"/>
                <w:i w:val="0"/>
                <w:iCs w:val="0"/>
                <w:color w:val="000000"/>
                <w:kern w:val="0"/>
                <w:sz w:val="18"/>
                <w:szCs w:val="1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朝阳</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4</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18.01</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17%</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30.11</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海淀</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9.13</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9%</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11.14</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丰台</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17.6</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17%</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26.61</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石景山</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8.67</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8%</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19.25</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通州</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10.86</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24.32</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昌平</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6.39</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6%</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14.48</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大兴</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12.37</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12%</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22.58</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亦庄</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12.08</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12%</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28.03</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顺义</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8.37</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8%</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16.15</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合计</w:t>
            </w:r>
          </w:p>
        </w:tc>
        <w:tc>
          <w:tcPr>
            <w:tcW w:w="142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3</w:t>
            </w:r>
          </w:p>
        </w:tc>
        <w:tc>
          <w:tcPr>
            <w:tcW w:w="146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103.48</w:t>
            </w:r>
          </w:p>
        </w:tc>
        <w:tc>
          <w:tcPr>
            <w:tcW w:w="1380"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w:t>
            </w:r>
          </w:p>
        </w:tc>
        <w:tc>
          <w:tcPr>
            <w:tcW w:w="1535"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192.69</w:t>
            </w:r>
          </w:p>
        </w:tc>
        <w:tc>
          <w:tcPr>
            <w:tcW w:w="1307" w:type="dxa"/>
            <w:vAlign w:val="top"/>
          </w:tcPr>
          <w:p>
            <w:pPr>
              <w:pStyle w:val="17"/>
              <w:keepNext w:val="0"/>
              <w:keepLines w:val="0"/>
              <w:widowControl/>
              <w:suppressLineNumbers w:val="0"/>
              <w:jc w:val="center"/>
              <w:rPr>
                <w:rFonts w:hint="eastAsia" w:ascii="Arial" w:hAnsi="Arial" w:eastAsia="华文细黑" w:cs="Arial"/>
                <w:i w:val="0"/>
                <w:iCs w:val="0"/>
                <w:color w:val="000000"/>
                <w:kern w:val="0"/>
                <w:sz w:val="18"/>
                <w:szCs w:val="18"/>
                <w:u w:val="none"/>
                <w:lang w:val="en-US" w:eastAsia="zh-CN" w:bidi="ar"/>
              </w:rPr>
            </w:pPr>
            <w:r>
              <w:rPr>
                <w:rFonts w:hint="eastAsia" w:ascii="Arial" w:hAnsi="Arial" w:eastAsia="华文细黑" w:cs="Arial"/>
                <w:i w:val="0"/>
                <w:iCs w:val="0"/>
                <w:color w:val="000000"/>
                <w:kern w:val="0"/>
                <w:sz w:val="18"/>
                <w:szCs w:val="18"/>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Arial" w:hAnsi="Arial" w:cs="Arial"/>
          <w:sz w:val="18"/>
          <w:szCs w:val="18"/>
          <w:highlight w:val="none"/>
          <w:lang w:val="en-US" w:eastAsia="zh-CN"/>
        </w:rPr>
      </w:pPr>
    </w:p>
    <w:p>
      <w:pPr>
        <w:spacing w:line="360" w:lineRule="auto"/>
        <w:rPr>
          <w:rFonts w:ascii="Arial" w:hAnsi="Arial" w:cs="Arial"/>
          <w:highlight w:val="none"/>
        </w:rPr>
      </w:pPr>
      <w:r>
        <w:rPr>
          <w:rFonts w:hint="eastAsia" w:ascii="Arial" w:hAnsi="Arial" w:cs="Arial"/>
          <w:highlight w:val="none"/>
          <w:lang w:val="en-US" w:eastAsia="zh-CN"/>
        </w:rPr>
        <w:t>3</w:t>
      </w:r>
      <w:r>
        <w:rPr>
          <w:rFonts w:ascii="Arial" w:hAnsi="Arial" w:cs="Arial"/>
          <w:highlight w:val="none"/>
        </w:rPr>
        <w:t>.</w:t>
      </w:r>
      <w:r>
        <w:rPr>
          <w:rFonts w:hint="eastAsia" w:ascii="Arial" w:hAnsi="Arial" w:cs="Arial"/>
          <w:highlight w:val="none"/>
        </w:rPr>
        <w:t>商服</w:t>
      </w:r>
      <w:r>
        <w:rPr>
          <w:rFonts w:ascii="Arial" w:hAnsi="Arial" w:cs="Arial"/>
          <w:highlight w:val="none"/>
        </w:rPr>
        <w:t>用地</w:t>
      </w:r>
    </w:p>
    <w:tbl>
      <w:tblPr>
        <w:tblStyle w:val="1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932"/>
        <w:gridCol w:w="865"/>
        <w:gridCol w:w="1425"/>
        <w:gridCol w:w="1425"/>
        <w:gridCol w:w="142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宗地数</w:t>
            </w:r>
          </w:p>
        </w:tc>
        <w:tc>
          <w:tcPr>
            <w:tcW w:w="1425" w:type="dxa"/>
            <w:tcBorders>
              <w:top w:val="single" w:color="000000" w:sz="8" w:space="0"/>
              <w:left w:val="single" w:color="000000" w:sz="8" w:space="0"/>
              <w:right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建设用地</w:t>
            </w:r>
          </w:p>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（公顷）</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建筑规模</w:t>
            </w:r>
          </w:p>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（万平方米）</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成交总价</w:t>
            </w:r>
          </w:p>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（亿元）</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楼面单价 </w:t>
            </w:r>
          </w:p>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2021年1季度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83.29</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84.63</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68.38</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2021年2季度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5.32</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6.92</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2021年3季度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2021年4季度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33.11</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60.23</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109.33</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27.39</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29.92</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4" w:type="dxa"/>
            <w:gridSpan w:val="2"/>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2022年2季度</w:t>
            </w:r>
          </w:p>
        </w:tc>
        <w:tc>
          <w:tcPr>
            <w:tcW w:w="86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31.89</w:t>
            </w:r>
          </w:p>
        </w:tc>
        <w:tc>
          <w:tcPr>
            <w:tcW w:w="1425"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42.75</w:t>
            </w:r>
          </w:p>
        </w:tc>
        <w:tc>
          <w:tcPr>
            <w:tcW w:w="1425"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4" w:type="dxa"/>
            <w:gridSpan w:val="2"/>
            <w:tcBorders>
              <w:top w:val="single" w:color="000000" w:sz="8" w:space="0"/>
              <w:left w:val="single" w:color="000000" w:sz="8" w:space="0"/>
              <w:bottom w:val="nil"/>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2022年3季度</w:t>
            </w:r>
          </w:p>
        </w:tc>
        <w:tc>
          <w:tcPr>
            <w:tcW w:w="865" w:type="dxa"/>
            <w:tcBorders>
              <w:top w:val="single" w:color="000000" w:sz="8" w:space="0"/>
              <w:left w:val="single" w:color="000000" w:sz="8" w:space="0"/>
              <w:bottom w:val="nil"/>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8" w:space="0"/>
              <w:left w:val="single" w:color="000000" w:sz="8" w:space="0"/>
              <w:bottom w:val="nil"/>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4.43</w:t>
            </w:r>
          </w:p>
        </w:tc>
        <w:tc>
          <w:tcPr>
            <w:tcW w:w="1425" w:type="dxa"/>
            <w:tcBorders>
              <w:top w:val="single" w:color="000000" w:sz="8" w:space="0"/>
              <w:left w:val="single" w:color="000000" w:sz="8" w:space="0"/>
              <w:bottom w:val="nil"/>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15.92</w:t>
            </w:r>
          </w:p>
        </w:tc>
        <w:tc>
          <w:tcPr>
            <w:tcW w:w="1425" w:type="dxa"/>
            <w:tcBorders>
              <w:top w:val="single" w:color="000000" w:sz="8" w:space="0"/>
              <w:left w:val="single" w:color="000000" w:sz="8" w:space="0"/>
              <w:bottom w:val="nil"/>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29.84</w:t>
            </w:r>
          </w:p>
        </w:tc>
        <w:tc>
          <w:tcPr>
            <w:tcW w:w="1425" w:type="dxa"/>
            <w:tcBorders>
              <w:top w:val="single" w:color="000000" w:sz="8" w:space="0"/>
              <w:left w:val="single" w:color="000000" w:sz="8" w:space="0"/>
              <w:bottom w:val="nil"/>
              <w:right w:val="single" w:color="000000" w:sz="8" w:space="0"/>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64" w:type="dxa"/>
            <w:gridSpan w:val="2"/>
            <w:tcBorders>
              <w:top w:val="single" w:color="000000" w:sz="8" w:space="0"/>
              <w:left w:val="single" w:color="000000" w:sz="8" w:space="0"/>
              <w:bottom w:val="single" w:color="000000" w:sz="4" w:space="0"/>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2022年4季度</w:t>
            </w:r>
          </w:p>
        </w:tc>
        <w:tc>
          <w:tcPr>
            <w:tcW w:w="865" w:type="dxa"/>
            <w:tcBorders>
              <w:top w:val="single" w:color="000000" w:sz="8" w:space="0"/>
              <w:left w:val="single" w:color="000000" w:sz="8" w:space="0"/>
              <w:bottom w:val="single" w:color="000000" w:sz="4" w:space="0"/>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8" w:space="0"/>
              <w:left w:val="single" w:color="000000" w:sz="8" w:space="0"/>
              <w:bottom w:val="single" w:color="000000" w:sz="4" w:space="0"/>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6.22</w:t>
            </w:r>
          </w:p>
        </w:tc>
        <w:tc>
          <w:tcPr>
            <w:tcW w:w="1425" w:type="dxa"/>
            <w:tcBorders>
              <w:top w:val="single" w:color="000000" w:sz="8" w:space="0"/>
              <w:left w:val="single" w:color="000000" w:sz="8" w:space="0"/>
              <w:bottom w:val="single" w:color="000000" w:sz="4" w:space="0"/>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13.69</w:t>
            </w:r>
          </w:p>
        </w:tc>
        <w:tc>
          <w:tcPr>
            <w:tcW w:w="1425" w:type="dxa"/>
            <w:tcBorders>
              <w:top w:val="single" w:color="000000" w:sz="8" w:space="0"/>
              <w:left w:val="single" w:color="000000" w:sz="8" w:space="0"/>
              <w:bottom w:val="single" w:color="000000" w:sz="4" w:space="0"/>
              <w:right w:val="nil"/>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28.4</w:t>
            </w:r>
          </w:p>
        </w:tc>
        <w:tc>
          <w:tcPr>
            <w:tcW w:w="1425" w:type="dxa"/>
            <w:tcBorders>
              <w:top w:val="single" w:color="000000" w:sz="8" w:space="0"/>
              <w:left w:val="single" w:color="000000" w:sz="8" w:space="0"/>
              <w:bottom w:val="single" w:color="000000" w:sz="4" w:space="0"/>
              <w:right w:val="single" w:color="000000" w:sz="8" w:space="0"/>
            </w:tcBorders>
            <w:shd w:val="clear" w:color="auto" w:fill="FFFFFF"/>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2023年1季度</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已成交</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在交易</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起始：6.358</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起始：23078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预申请</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起始：1.7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起始：11038</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本季度成交3宗商服用地，另有1宗在交易、 1宗已发布预申请公告：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 xml:space="preserve">成交：石景山1宗研发设计用地、平谷1宗商业用地、大兴国际机场临空经济区1宗加氢站用地；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在交易：朝阳东风乡1宗综合性商业金融服务业用地；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Arial" w:hAnsi="Arial" w:cs="Arial"/>
          <w:highlight w:val="none"/>
        </w:rPr>
      </w:pPr>
      <w:r>
        <w:rPr>
          <w:rFonts w:hint="eastAsia" w:ascii="Arial" w:hAnsi="Arial" w:cs="Arial"/>
          <w:highlight w:val="none"/>
        </w:rPr>
        <w:t>预申请：通州永顺1宗综合性商业金融服务业用地。</w:t>
      </w:r>
    </w:p>
    <w:p>
      <w:pPr>
        <w:spacing w:line="360" w:lineRule="auto"/>
        <w:rPr>
          <w:rFonts w:ascii="Arial" w:hAnsi="Arial" w:cs="Arial"/>
          <w:highlight w:val="none"/>
        </w:rPr>
      </w:pPr>
      <w:r>
        <w:rPr>
          <w:rFonts w:ascii="Arial" w:hAnsi="Arial" w:cs="Arial"/>
          <w:highlight w:val="none"/>
        </w:rPr>
        <w:t>（3）工业用地情况</w:t>
      </w:r>
    </w:p>
    <w:tbl>
      <w:tblPr>
        <w:tblStyle w:val="19"/>
        <w:tblW w:w="84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728"/>
        <w:gridCol w:w="1023"/>
        <w:gridCol w:w="1017"/>
        <w:gridCol w:w="1200"/>
        <w:gridCol w:w="1176"/>
        <w:gridCol w:w="1104"/>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季度</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宗地数</w:t>
            </w:r>
          </w:p>
        </w:tc>
        <w:tc>
          <w:tcPr>
            <w:tcW w:w="1017"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建设用地</w:t>
            </w:r>
          </w:p>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（公顷）</w:t>
            </w:r>
          </w:p>
        </w:tc>
        <w:tc>
          <w:tcPr>
            <w:tcW w:w="120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建筑规模</w:t>
            </w:r>
          </w:p>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（万平方米）</w:t>
            </w:r>
          </w:p>
        </w:tc>
        <w:tc>
          <w:tcPr>
            <w:tcW w:w="11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成交总价</w:t>
            </w:r>
          </w:p>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（亿元）</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楼面单价 （元/平方米）</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地面地价 （元/平方米）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2021年</w:t>
            </w:r>
            <w:r>
              <w:rPr>
                <w:rStyle w:val="60"/>
                <w:rFonts w:hint="default" w:ascii="Arial" w:hAnsi="Arial" w:eastAsia="华文细黑" w:cs="Arial"/>
                <w:color w:val="auto"/>
                <w:sz w:val="18"/>
                <w:szCs w:val="18"/>
                <w:highlight w:val="none"/>
                <w:lang w:val="en-US" w:eastAsia="zh-CN" w:bidi="ar"/>
              </w:rPr>
              <w:t>1</w:t>
            </w:r>
            <w:r>
              <w:rPr>
                <w:rFonts w:hint="default" w:ascii="Arial" w:hAnsi="Arial" w:eastAsia="华文细黑" w:cs="Arial"/>
                <w:i w:val="0"/>
                <w:iCs w:val="0"/>
                <w:color w:val="auto"/>
                <w:kern w:val="0"/>
                <w:sz w:val="18"/>
                <w:szCs w:val="18"/>
                <w:highlight w:val="none"/>
                <w:u w:val="none"/>
                <w:lang w:val="en-US" w:eastAsia="zh-CN" w:bidi="ar"/>
              </w:rPr>
              <w:t>季度</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29.02</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39.68</w:t>
            </w:r>
          </w:p>
        </w:tc>
        <w:tc>
          <w:tcPr>
            <w:tcW w:w="11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3.23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814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2021年</w:t>
            </w:r>
            <w:r>
              <w:rPr>
                <w:rStyle w:val="60"/>
                <w:rFonts w:hint="default" w:ascii="Arial" w:hAnsi="Arial" w:eastAsia="华文细黑" w:cs="Arial"/>
                <w:color w:val="auto"/>
                <w:sz w:val="18"/>
                <w:szCs w:val="18"/>
                <w:highlight w:val="none"/>
                <w:lang w:val="en-US" w:eastAsia="zh-CN" w:bidi="ar"/>
              </w:rPr>
              <w:t>2</w:t>
            </w:r>
            <w:r>
              <w:rPr>
                <w:rFonts w:hint="default" w:ascii="Arial" w:hAnsi="Arial" w:eastAsia="华文细黑" w:cs="Arial"/>
                <w:i w:val="0"/>
                <w:iCs w:val="0"/>
                <w:color w:val="auto"/>
                <w:kern w:val="0"/>
                <w:sz w:val="18"/>
                <w:szCs w:val="18"/>
                <w:highlight w:val="none"/>
                <w:u w:val="none"/>
                <w:lang w:val="en-US" w:eastAsia="zh-CN" w:bidi="ar"/>
              </w:rPr>
              <w:t>季度</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14</w:t>
            </w: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123.34</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199.99</w:t>
            </w:r>
          </w:p>
        </w:tc>
        <w:tc>
          <w:tcPr>
            <w:tcW w:w="11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20.06</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1003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2021年</w:t>
            </w:r>
            <w:r>
              <w:rPr>
                <w:rStyle w:val="60"/>
                <w:rFonts w:hint="default" w:ascii="Arial" w:hAnsi="Arial" w:eastAsia="华文细黑" w:cs="Arial"/>
                <w:color w:val="auto"/>
                <w:sz w:val="18"/>
                <w:szCs w:val="18"/>
                <w:highlight w:val="none"/>
                <w:lang w:val="en-US" w:eastAsia="zh-CN" w:bidi="ar"/>
              </w:rPr>
              <w:t>3</w:t>
            </w:r>
            <w:r>
              <w:rPr>
                <w:rFonts w:hint="default" w:ascii="Arial" w:hAnsi="Arial" w:eastAsia="华文细黑" w:cs="Arial"/>
                <w:i w:val="0"/>
                <w:iCs w:val="0"/>
                <w:color w:val="auto"/>
                <w:kern w:val="0"/>
                <w:sz w:val="18"/>
                <w:szCs w:val="18"/>
                <w:highlight w:val="none"/>
                <w:u w:val="none"/>
                <w:lang w:val="en-US" w:eastAsia="zh-CN" w:bidi="ar"/>
              </w:rPr>
              <w:t>季度</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14</w:t>
            </w: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55.11</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88.05</w:t>
            </w:r>
          </w:p>
        </w:tc>
        <w:tc>
          <w:tcPr>
            <w:tcW w:w="11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9.42</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1070</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2021年</w:t>
            </w:r>
            <w:r>
              <w:rPr>
                <w:rStyle w:val="60"/>
                <w:rFonts w:hint="default" w:ascii="Arial" w:hAnsi="Arial" w:eastAsia="华文细黑" w:cs="Arial"/>
                <w:color w:val="auto"/>
                <w:sz w:val="18"/>
                <w:szCs w:val="18"/>
                <w:highlight w:val="none"/>
                <w:lang w:val="en-US" w:eastAsia="zh-CN" w:bidi="ar"/>
              </w:rPr>
              <w:t>4</w:t>
            </w:r>
            <w:r>
              <w:rPr>
                <w:rFonts w:hint="default" w:ascii="Arial" w:hAnsi="Arial" w:eastAsia="华文细黑" w:cs="Arial"/>
                <w:i w:val="0"/>
                <w:iCs w:val="0"/>
                <w:color w:val="auto"/>
                <w:kern w:val="0"/>
                <w:sz w:val="18"/>
                <w:szCs w:val="18"/>
                <w:highlight w:val="none"/>
                <w:u w:val="none"/>
                <w:lang w:val="en-US" w:eastAsia="zh-CN" w:bidi="ar"/>
              </w:rPr>
              <w:t>季度</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10</w:t>
            </w: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46.07</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69.49</w:t>
            </w:r>
          </w:p>
        </w:tc>
        <w:tc>
          <w:tcPr>
            <w:tcW w:w="11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7.23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1040</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2022年</w:t>
            </w:r>
            <w:r>
              <w:rPr>
                <w:rStyle w:val="60"/>
                <w:rFonts w:hint="default" w:ascii="Arial" w:hAnsi="Arial" w:eastAsia="华文细黑" w:cs="Arial"/>
                <w:color w:val="auto"/>
                <w:sz w:val="18"/>
                <w:szCs w:val="18"/>
                <w:highlight w:val="none"/>
                <w:lang w:val="en-US" w:eastAsia="zh-CN" w:bidi="ar"/>
              </w:rPr>
              <w:t>1</w:t>
            </w:r>
            <w:r>
              <w:rPr>
                <w:rFonts w:hint="default" w:ascii="Arial" w:hAnsi="Arial" w:eastAsia="华文细黑" w:cs="Arial"/>
                <w:i w:val="0"/>
                <w:iCs w:val="0"/>
                <w:color w:val="auto"/>
                <w:kern w:val="0"/>
                <w:sz w:val="18"/>
                <w:szCs w:val="18"/>
                <w:highlight w:val="none"/>
                <w:u w:val="none"/>
                <w:lang w:val="en-US" w:eastAsia="zh-CN" w:bidi="ar"/>
              </w:rPr>
              <w:t>季度</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5</w:t>
            </w: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25.35</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39.74</w:t>
            </w:r>
          </w:p>
        </w:tc>
        <w:tc>
          <w:tcPr>
            <w:tcW w:w="11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3.63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914</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2022年</w:t>
            </w:r>
            <w:r>
              <w:rPr>
                <w:rStyle w:val="60"/>
                <w:rFonts w:hint="default" w:ascii="Arial" w:hAnsi="Arial" w:eastAsia="华文细黑" w:cs="Arial"/>
                <w:color w:val="auto"/>
                <w:sz w:val="18"/>
                <w:szCs w:val="18"/>
                <w:highlight w:val="none"/>
                <w:lang w:val="en-US" w:eastAsia="zh-CN" w:bidi="ar"/>
              </w:rPr>
              <w:t>2</w:t>
            </w:r>
            <w:r>
              <w:rPr>
                <w:rFonts w:hint="default" w:ascii="Arial" w:hAnsi="Arial" w:eastAsia="华文细黑" w:cs="Arial"/>
                <w:i w:val="0"/>
                <w:iCs w:val="0"/>
                <w:color w:val="auto"/>
                <w:kern w:val="0"/>
                <w:sz w:val="18"/>
                <w:szCs w:val="18"/>
                <w:highlight w:val="none"/>
                <w:u w:val="none"/>
                <w:lang w:val="en-US" w:eastAsia="zh-CN" w:bidi="ar"/>
              </w:rPr>
              <w:t>季度</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w:t>
            </w:r>
          </w:p>
        </w:tc>
        <w:tc>
          <w:tcPr>
            <w:tcW w:w="101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114.23</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120.35</w:t>
            </w:r>
          </w:p>
        </w:tc>
        <w:tc>
          <w:tcPr>
            <w:tcW w:w="117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11.13</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925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sz w:val="18"/>
                <w:szCs w:val="18"/>
                <w:highlight w:val="none"/>
                <w:u w:val="none"/>
              </w:rPr>
            </w:pPr>
            <w:r>
              <w:rPr>
                <w:rFonts w:hint="default" w:ascii="Arial" w:hAnsi="Arial" w:eastAsia="华文细黑" w:cs="Arial"/>
                <w:i w:val="0"/>
                <w:iCs w:val="0"/>
                <w:color w:val="auto"/>
                <w:kern w:val="0"/>
                <w:sz w:val="18"/>
                <w:szCs w:val="18"/>
                <w:highlight w:val="none"/>
                <w:u w:val="none"/>
                <w:lang w:val="en-US" w:eastAsia="zh-CN" w:bidi="ar"/>
              </w:rPr>
              <w:t>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08" w:type="dxa"/>
            <w:gridSpan w:val="2"/>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w:t>
            </w:r>
            <w:r>
              <w:rPr>
                <w:rFonts w:hint="default" w:ascii="Arial" w:hAnsi="Arial" w:eastAsia="华文细黑" w:cs="Arial"/>
                <w:i w:val="0"/>
                <w:iCs w:val="0"/>
                <w:color w:val="auto"/>
                <w:kern w:val="0"/>
                <w:sz w:val="18"/>
                <w:szCs w:val="18"/>
                <w:highlight w:val="none"/>
                <w:u w:val="none"/>
                <w:lang w:val="en-US" w:eastAsia="zh-CN" w:bidi="ar"/>
              </w:rPr>
              <w:t>年</w:t>
            </w:r>
            <w:r>
              <w:rPr>
                <w:rFonts w:hint="eastAsia" w:ascii="Arial" w:hAnsi="Arial" w:eastAsia="华文细黑" w:cs="Arial"/>
                <w:i w:val="0"/>
                <w:iCs w:val="0"/>
                <w:color w:val="auto"/>
                <w:kern w:val="0"/>
                <w:sz w:val="18"/>
                <w:szCs w:val="18"/>
                <w:highlight w:val="none"/>
                <w:u w:val="none"/>
                <w:lang w:val="en-US" w:eastAsia="zh-CN" w:bidi="ar"/>
              </w:rPr>
              <w:t>3季度</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12</w:t>
            </w:r>
          </w:p>
        </w:tc>
        <w:tc>
          <w:tcPr>
            <w:tcW w:w="101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40.89</w:t>
            </w:r>
          </w:p>
        </w:tc>
        <w:tc>
          <w:tcPr>
            <w:tcW w:w="1200"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58.31</w:t>
            </w:r>
          </w:p>
        </w:tc>
        <w:tc>
          <w:tcPr>
            <w:tcW w:w="117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6.45</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1107</w:t>
            </w:r>
          </w:p>
        </w:tc>
        <w:tc>
          <w:tcPr>
            <w:tcW w:w="110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808" w:type="dxa"/>
            <w:gridSpan w:val="2"/>
            <w:tcBorders>
              <w:top w:val="single" w:color="auto" w:sz="4" w:space="0"/>
              <w:left w:val="single" w:color="auto" w:sz="4" w:space="0"/>
              <w:bottom w:val="single" w:color="000000"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2022年4季度</w:t>
            </w:r>
          </w:p>
        </w:tc>
        <w:tc>
          <w:tcPr>
            <w:tcW w:w="1023" w:type="dxa"/>
            <w:tcBorders>
              <w:top w:val="single" w:color="auto" w:sz="4" w:space="0"/>
              <w:left w:val="single" w:color="auto" w:sz="4" w:space="0"/>
              <w:bottom w:val="single" w:color="000000"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7</w:t>
            </w:r>
          </w:p>
        </w:tc>
        <w:tc>
          <w:tcPr>
            <w:tcW w:w="1017" w:type="dxa"/>
            <w:tcBorders>
              <w:top w:val="single" w:color="auto" w:sz="4" w:space="0"/>
              <w:left w:val="single" w:color="auto" w:sz="4" w:space="0"/>
              <w:bottom w:val="single" w:color="000000"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42.91</w:t>
            </w:r>
          </w:p>
        </w:tc>
        <w:tc>
          <w:tcPr>
            <w:tcW w:w="1200" w:type="dxa"/>
            <w:tcBorders>
              <w:top w:val="single" w:color="auto" w:sz="4" w:space="0"/>
              <w:left w:val="single" w:color="auto" w:sz="4" w:space="0"/>
              <w:bottom w:val="single" w:color="000000"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70.29</w:t>
            </w:r>
          </w:p>
        </w:tc>
        <w:tc>
          <w:tcPr>
            <w:tcW w:w="1176" w:type="dxa"/>
            <w:tcBorders>
              <w:top w:val="single" w:color="auto" w:sz="4" w:space="0"/>
              <w:left w:val="single" w:color="auto" w:sz="4" w:space="0"/>
              <w:bottom w:val="single" w:color="000000"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11.46</w:t>
            </w:r>
          </w:p>
        </w:tc>
        <w:tc>
          <w:tcPr>
            <w:tcW w:w="1104" w:type="dxa"/>
            <w:tcBorders>
              <w:top w:val="single" w:color="auto" w:sz="4" w:space="0"/>
              <w:left w:val="single" w:color="auto" w:sz="4" w:space="0"/>
              <w:bottom w:val="single" w:color="000000"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1631</w:t>
            </w:r>
          </w:p>
        </w:tc>
        <w:tc>
          <w:tcPr>
            <w:tcW w:w="1104" w:type="dxa"/>
            <w:tcBorders>
              <w:top w:val="single" w:color="auto" w:sz="4" w:space="0"/>
              <w:left w:val="single" w:color="auto" w:sz="4" w:space="0"/>
              <w:bottom w:val="single" w:color="000000" w:sz="4" w:space="0"/>
              <w:right w:val="single" w:color="auto" w:sz="4" w:space="0"/>
            </w:tcBorders>
            <w:shd w:val="clear" w:color="auto" w:fill="FFFFFF"/>
            <w:vAlign w:val="top"/>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2023年1季度</w:t>
            </w:r>
          </w:p>
        </w:tc>
        <w:tc>
          <w:tcPr>
            <w:tcW w:w="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已成交</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73.52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126.35</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12.35</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977</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p>
        </w:tc>
        <w:tc>
          <w:tcPr>
            <w:tcW w:w="7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在交易</w:t>
            </w:r>
          </w:p>
        </w:tc>
        <w:tc>
          <w:tcPr>
            <w:tcW w:w="10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77.69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182.62</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起始：34.92</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起始：1912</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起始：4495</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本季度成交8宗工业用地，另有7宗在交易：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已成交：房山韩村河1宗、亦庄1宗工业研发用地，顺义1宗、亦庄4宗、房山1宗工业用地；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highlight w:val="none"/>
        </w:rPr>
      </w:pPr>
      <w:r>
        <w:rPr>
          <w:rFonts w:hint="eastAsia" w:ascii="Arial" w:hAnsi="Arial" w:cs="Arial"/>
          <w:highlight w:val="none"/>
        </w:rPr>
        <w:t>在交易：平谷公转铁综合物流枢纽产业园3宗物流用地，昌平1宗、亦庄3宗工业用地。</w:t>
      </w:r>
    </w:p>
    <w:p>
      <w:pPr>
        <w:spacing w:line="360" w:lineRule="auto"/>
        <w:rPr>
          <w:rFonts w:ascii="Arial" w:hAnsi="Arial" w:cs="Arial"/>
          <w:highlight w:val="none"/>
        </w:rPr>
      </w:pPr>
      <w:r>
        <w:rPr>
          <w:rFonts w:hint="eastAsia" w:ascii="Arial" w:hAnsi="Arial" w:cs="Arial"/>
          <w:highlight w:val="none"/>
          <w:lang w:val="en-US" w:eastAsia="zh-CN"/>
        </w:rPr>
        <w:t>5</w:t>
      </w:r>
      <w:r>
        <w:rPr>
          <w:rFonts w:ascii="Arial" w:hAnsi="Arial" w:cs="Arial"/>
          <w:highlight w:val="none"/>
        </w:rPr>
        <w:t>.</w:t>
      </w:r>
      <w:r>
        <w:rPr>
          <w:rFonts w:hint="eastAsia" w:ascii="Arial" w:hAnsi="Arial" w:cs="Arial"/>
          <w:highlight w:val="none"/>
        </w:rPr>
        <w:t>小结</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Arial" w:hAnsi="Arial" w:eastAsia="宋体" w:cs="Arial"/>
          <w:highlight w:val="none"/>
        </w:rPr>
      </w:pPr>
      <w:r>
        <w:rPr>
          <w:rFonts w:hint="default" w:ascii="Arial" w:hAnsi="Arial" w:eastAsia="宋体" w:cs="Arial"/>
          <w:highlight w:val="none"/>
        </w:rPr>
        <w:t>本季度6宗住宅用地成交，多点区域为主要成交区域，混合用地中非住宅用途占比较高</w:t>
      </w:r>
      <w:r>
        <w:rPr>
          <w:rFonts w:hint="eastAsia" w:ascii="Arial" w:hAnsi="Arial" w:eastAsia="宋体" w:cs="Arial"/>
          <w:highlight w:val="none"/>
          <w:lang w:eastAsia="zh-CN"/>
        </w:rPr>
        <w:t>，</w:t>
      </w:r>
      <w:r>
        <w:rPr>
          <w:rFonts w:hint="default" w:ascii="Arial" w:hAnsi="Arial" w:eastAsia="宋体" w:cs="Arial"/>
          <w:highlight w:val="none"/>
        </w:rPr>
        <w:t>成交均价低于其余批次；3宗地起始价成交，3宗地竞价激烈。2宗商品住宅用地挂牌入市，2023年第一轮拟供应的23宗商品住宅用地清单发布。首宗加氢站用地交易成功。大兴再入市1宗集体建设用地，用于建设共有产权住房。</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Arial" w:hAnsi="Arial" w:eastAsia="宋体" w:cs="Arial"/>
          <w:highlight w:val="none"/>
        </w:rPr>
      </w:pPr>
    </w:p>
    <w:p>
      <w:pPr>
        <w:pStyle w:val="3"/>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Arial" w:hAnsi="Arial" w:eastAsia="宋体" w:cs="Arial"/>
        </w:rPr>
      </w:pPr>
      <w:bookmarkStart w:id="11" w:name="_Toc106718939"/>
      <w:bookmarkStart w:id="12" w:name="_Toc106720184"/>
      <w:r>
        <w:rPr>
          <w:rFonts w:hint="default" w:ascii="Arial" w:hAnsi="Arial" w:eastAsia="宋体" w:cs="Arial"/>
        </w:rPr>
        <w:br w:type="page"/>
      </w:r>
    </w:p>
    <w:p>
      <w:pPr>
        <w:pStyle w:val="3"/>
        <w:rPr>
          <w:rFonts w:ascii="Arial" w:hAnsi="Arial" w:cs="Arial"/>
        </w:rPr>
      </w:pPr>
      <w:r>
        <w:rPr>
          <w:rFonts w:ascii="Arial" w:hAnsi="Arial" w:cs="Arial"/>
        </w:rPr>
        <w:t>（二）房地产市场</w:t>
      </w:r>
      <w:bookmarkEnd w:id="11"/>
      <w:bookmarkEnd w:id="12"/>
    </w:p>
    <w:p>
      <w:pPr>
        <w:spacing w:line="360" w:lineRule="auto"/>
        <w:ind w:firstLine="420" w:firstLineChars="200"/>
        <w:rPr>
          <w:rFonts w:ascii="Arial" w:hAnsi="Arial" w:cs="Arial"/>
        </w:rPr>
      </w:pPr>
      <w:r>
        <w:rPr>
          <w:rFonts w:ascii="Arial" w:hAnsi="Arial" w:cs="Arial"/>
        </w:rPr>
        <w:t>1.</w:t>
      </w:r>
      <w:r>
        <w:rPr>
          <w:rFonts w:hint="eastAsia"/>
        </w:rPr>
        <w:t xml:space="preserve"> </w:t>
      </w:r>
      <w:r>
        <w:rPr>
          <w:rFonts w:hint="eastAsia" w:ascii="Arial" w:hAnsi="Arial" w:cs="Arial"/>
        </w:rPr>
        <w:t>北京市房地产市场运行情况</w:t>
      </w:r>
    </w:p>
    <w:p>
      <w:pPr>
        <w:spacing w:line="360" w:lineRule="auto"/>
        <w:ind w:firstLine="420" w:firstLineChars="200"/>
        <w:rPr>
          <w:rFonts w:ascii="Arial" w:hAnsi="Arial" w:cs="Arial"/>
        </w:rPr>
      </w:pPr>
      <w:r>
        <w:rPr>
          <w:rFonts w:hint="eastAsia" w:ascii="Arial" w:hAnsi="Arial" w:cs="Arial"/>
        </w:rPr>
        <w:t>（1）房地产市场供需（2</w:t>
      </w:r>
      <w:r>
        <w:rPr>
          <w:rFonts w:ascii="Arial" w:hAnsi="Arial" w:cs="Arial"/>
        </w:rPr>
        <w:t>022</w:t>
      </w:r>
      <w:r>
        <w:rPr>
          <w:rFonts w:hint="eastAsia" w:ascii="Arial" w:hAnsi="Arial" w:cs="Arial"/>
        </w:rPr>
        <w:t>年）</w:t>
      </w:r>
    </w:p>
    <w:p>
      <w:pPr>
        <w:spacing w:line="360" w:lineRule="auto"/>
        <w:ind w:firstLine="420" w:firstLineChars="200"/>
        <w:jc w:val="left"/>
        <w:rPr>
          <w:rFonts w:hint="eastAsia" w:ascii="Arial" w:hAnsi="Arial" w:cs="Arial"/>
        </w:rPr>
      </w:pPr>
      <w:r>
        <w:rPr>
          <w:rFonts w:hint="eastAsia" w:ascii="Arial" w:hAnsi="Arial" w:cs="Arial"/>
        </w:rPr>
        <w:t>2022年，全市房地产开发企业住宅新开工面积为978.4万平方米，同比下降4.6%；竣工面积为1096.2万平方米，增长11.7%；销售面积为741.9万平方米，下降15.4%。</w:t>
      </w:r>
      <w:r>
        <w:drawing>
          <wp:inline distT="0" distB="0" distL="114300" distR="114300">
            <wp:extent cx="5250180" cy="3238500"/>
            <wp:effectExtent l="0" t="0" r="762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pic:cNvPicPr>
                      <a:picLocks noChangeAspect="1"/>
                    </pic:cNvPicPr>
                  </pic:nvPicPr>
                  <pic:blipFill>
                    <a:blip r:embed="rId12"/>
                    <a:stretch>
                      <a:fillRect/>
                    </a:stretch>
                  </pic:blipFill>
                  <pic:spPr>
                    <a:xfrm rot="21600000">
                      <a:off x="0" y="0"/>
                      <a:ext cx="5250180" cy="3238500"/>
                    </a:xfrm>
                    <a:prstGeom prst="rect">
                      <a:avLst/>
                    </a:prstGeom>
                  </pic:spPr>
                </pic:pic>
              </a:graphicData>
            </a:graphic>
          </wp:inline>
        </w:drawing>
      </w:r>
    </w:p>
    <w:p>
      <w:pPr>
        <w:spacing w:line="360" w:lineRule="auto"/>
        <w:ind w:firstLine="420" w:firstLineChars="200"/>
        <w:rPr>
          <w:rFonts w:hint="eastAsia" w:ascii="Arial" w:hAnsi="Arial" w:cs="Arial"/>
        </w:rPr>
      </w:pPr>
      <w:r>
        <w:rPr>
          <w:rFonts w:hint="eastAsia" w:ascii="Arial" w:hAnsi="Arial" w:cs="Arial"/>
        </w:rPr>
        <w:t>从月度累计数据看，年内销售面积同比降幅呈缩窄态势，12月销售面积达到91万平方米。</w:t>
      </w:r>
    </w:p>
    <w:tbl>
      <w:tblPr>
        <w:tblStyle w:val="20"/>
        <w:tblW w:w="844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688"/>
        <w:gridCol w:w="1688"/>
        <w:gridCol w:w="168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时</w:t>
            </w:r>
            <w:r>
              <w:rPr>
                <w:rFonts w:hint="eastAsia" w:ascii="Arial" w:hAnsi="Arial" w:eastAsia="华文细黑" w:cs="Arial"/>
                <w:i w:val="0"/>
                <w:iCs w:val="0"/>
                <w:color w:val="auto"/>
                <w:kern w:val="0"/>
                <w:sz w:val="18"/>
                <w:szCs w:val="18"/>
                <w:highlight w:val="none"/>
                <w:u w:val="none"/>
                <w:lang w:val="en-US" w:eastAsia="zh-CN" w:bidi="ar"/>
              </w:rPr>
              <w:t>间</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销售面积</w:t>
            </w:r>
          </w:p>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(万平方米)</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同比增速</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月度</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销售面积</w:t>
            </w:r>
          </w:p>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2022年1-2月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69.6</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-31.2%</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1-2月均</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2022年1-3月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137.6</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-25.0%</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3月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2022年1-4月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185.4</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-25.9%</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4月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2022年1-5月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232.2</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-27.6%</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5月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2022年1-6月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329.9</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-20.0%</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6月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2022年1-7月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400.7</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-21.2%</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7月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2022年1-8月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450</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-20.2%</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8月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2022年1-9月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540.1</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-15.5%</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9月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2022年1-10月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603.7</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-14.0%</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10月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2022年1-11月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650.9</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-13.8%</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11月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2022年1-12月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741.9</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-15.4%</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eastAsia" w:ascii="Arial" w:hAnsi="Arial" w:eastAsia="华文细黑" w:cs="Arial"/>
                <w:i w:val="0"/>
                <w:iCs w:val="0"/>
                <w:color w:val="auto"/>
                <w:kern w:val="0"/>
                <w:sz w:val="18"/>
                <w:szCs w:val="18"/>
                <w:highlight w:val="none"/>
                <w:u w:val="none"/>
                <w:lang w:val="en-US" w:eastAsia="zh-CN" w:bidi="ar"/>
              </w:rPr>
              <w:t>12月</w:t>
            </w:r>
          </w:p>
        </w:tc>
        <w:tc>
          <w:tcPr>
            <w:tcW w:w="1688" w:type="dxa"/>
            <w:vAlign w:val="center"/>
          </w:tcPr>
          <w:p>
            <w:pPr>
              <w:keepNext w:val="0"/>
              <w:keepLines w:val="0"/>
              <w:widowControl/>
              <w:suppressLineNumbers w:val="0"/>
              <w:jc w:val="center"/>
              <w:textAlignment w:val="center"/>
              <w:rPr>
                <w:rFonts w:hint="eastAsia" w:ascii="Arial" w:hAnsi="Arial" w:eastAsia="华文细黑" w:cs="Arial"/>
                <w:i w:val="0"/>
                <w:iCs w:val="0"/>
                <w:color w:val="auto"/>
                <w:kern w:val="0"/>
                <w:sz w:val="18"/>
                <w:szCs w:val="18"/>
                <w:highlight w:val="none"/>
                <w:u w:val="none"/>
                <w:lang w:val="en-US" w:eastAsia="zh-CN" w:bidi="ar"/>
              </w:rPr>
            </w:pPr>
            <w:r>
              <w:rPr>
                <w:rFonts w:hint="default" w:ascii="Arial" w:hAnsi="Arial" w:eastAsia="华文细黑" w:cs="Arial"/>
                <w:i w:val="0"/>
                <w:iCs w:val="0"/>
                <w:color w:val="auto"/>
                <w:kern w:val="0"/>
                <w:sz w:val="18"/>
                <w:szCs w:val="18"/>
                <w:highlight w:val="none"/>
                <w:u w:val="none"/>
                <w:lang w:val="en-US" w:eastAsia="zh-CN" w:bidi="ar"/>
              </w:rPr>
              <w:t>91.0</w:t>
            </w:r>
          </w:p>
        </w:tc>
      </w:tr>
    </w:tbl>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p>
      <w:pPr>
        <w:spacing w:line="360" w:lineRule="auto"/>
        <w:ind w:firstLine="420" w:firstLineChars="200"/>
        <w:rPr>
          <w:rFonts w:ascii="Arial" w:hAnsi="Arial" w:cs="Arial"/>
        </w:rPr>
      </w:pPr>
      <w:r>
        <w:rPr>
          <w:rFonts w:hint="eastAsia" w:ascii="Arial" w:hAnsi="Arial" w:cs="Arial"/>
        </w:rPr>
        <w:t>（2）房地产市场供需（住宅——批准预售规模）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cs="Arial"/>
        </w:rPr>
      </w:pPr>
      <w:r>
        <w:rPr>
          <w:rFonts w:hint="eastAsia" w:ascii="Arial" w:hAnsi="Arial" w:cs="Arial"/>
        </w:rPr>
        <w:t>2022年，全市批准预售许可证229个，其中住宅批准预售62807套，比上年减少7.5%，批准预售面积688.1万平方米，同比减少15.1%。各月批准入市规模差异较大。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Arial" w:hAnsi="Arial" w:cs="Arial"/>
        </w:rPr>
      </w:pPr>
      <w:r>
        <w:rPr>
          <w:rFonts w:hint="eastAsia" w:ascii="Arial" w:hAnsi="Arial" w:cs="Arial"/>
        </w:rPr>
        <w:t>2023年1月，批准预售许可证8个，住宅预售面积45.52万平方米，高于去年同期，低于上月。</w:t>
      </w:r>
      <w:r>
        <w:drawing>
          <wp:inline distT="0" distB="0" distL="114300" distR="114300">
            <wp:extent cx="5323840" cy="2765425"/>
            <wp:effectExtent l="0" t="0" r="10160" b="15875"/>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picture 402"/>
                    <pic:cNvPicPr>
                      <a:picLocks noChangeAspect="1"/>
                    </pic:cNvPicPr>
                  </pic:nvPicPr>
                  <pic:blipFill>
                    <a:blip r:embed="rId13"/>
                    <a:stretch>
                      <a:fillRect/>
                    </a:stretch>
                  </pic:blipFill>
                  <pic:spPr>
                    <a:xfrm rot="21600000">
                      <a:off x="0" y="0"/>
                      <a:ext cx="5323840" cy="2765425"/>
                    </a:xfrm>
                    <a:prstGeom prst="rect">
                      <a:avLst/>
                    </a:prstGeom>
                  </pic:spPr>
                </pic:pic>
              </a:graphicData>
            </a:graphic>
          </wp:inline>
        </w:drawing>
      </w:r>
    </w:p>
    <w:p>
      <w:pPr>
        <w:spacing w:line="360" w:lineRule="auto"/>
        <w:ind w:firstLine="420" w:firstLineChars="200"/>
        <w:rPr>
          <w:rFonts w:ascii="Arial" w:hAnsi="Arial" w:cs="Arial"/>
        </w:rPr>
      </w:pPr>
      <w:r>
        <w:rPr>
          <w:rFonts w:ascii="Arial" w:hAnsi="Arial" w:cs="Arial"/>
        </w:rPr>
        <w:t>（3）房地产市场建设情况</w:t>
      </w:r>
    </w:p>
    <w:p>
      <w:pPr>
        <w:spacing w:line="360" w:lineRule="auto"/>
        <w:ind w:firstLine="420" w:firstLineChars="200"/>
        <w:rPr>
          <w:rFonts w:hint="eastAsia" w:ascii="Arial" w:hAnsi="Arial" w:cs="Arial"/>
        </w:rPr>
      </w:pPr>
      <w:r>
        <w:rPr>
          <w:rFonts w:ascii="Arial" w:hAnsi="Arial" w:cs="Arial"/>
        </w:rPr>
        <w:t>202</w:t>
      </w:r>
      <w:r>
        <w:rPr>
          <w:rFonts w:hint="eastAsia" w:ascii="Arial" w:hAnsi="Arial" w:cs="Arial"/>
          <w:lang w:val="en-US" w:eastAsia="zh-CN"/>
        </w:rPr>
        <w:t>3</w:t>
      </w:r>
      <w:r>
        <w:rPr>
          <w:rFonts w:hint="eastAsia" w:ascii="Arial" w:hAnsi="Arial" w:cs="Arial"/>
        </w:rPr>
        <w:t>年1-2月，</w:t>
      </w:r>
      <w:r>
        <w:rPr>
          <w:rFonts w:hint="eastAsia" w:ascii="Arial" w:hAnsi="Arial" w:cs="Arial"/>
          <w:lang w:eastAsia="zh-CN"/>
        </w:rPr>
        <w:t>北京</w:t>
      </w:r>
      <w:r>
        <w:rPr>
          <w:rFonts w:hint="eastAsia" w:ascii="Arial" w:hAnsi="Arial" w:cs="Arial"/>
        </w:rPr>
        <w:t>市房地产开发企业房屋新开工面积为133.5万平方米，同比下降22.4%。其中，住宅新开工面积为64万平方米，同比下降30%；办公楼为7.7万平方米，下降23%；商业营业用房为3.4万平方米，下降46.7%。1-2月，</w:t>
      </w:r>
      <w:r>
        <w:rPr>
          <w:rFonts w:hint="eastAsia" w:ascii="Arial" w:hAnsi="Arial" w:cs="Arial"/>
          <w:lang w:eastAsia="zh-CN"/>
        </w:rPr>
        <w:t>北京</w:t>
      </w:r>
      <w:r>
        <w:rPr>
          <w:rFonts w:hint="eastAsia" w:ascii="Arial" w:hAnsi="Arial" w:cs="Arial"/>
        </w:rPr>
        <w:t>市房屋竣工面积为85.1万平方米，同比增长6%。其中，住宅竣工面积为55.3万平方米，增长1.3倍；办公楼为6.5万平方米，下降79.1%；商业营业用房为3.3万平方米，下降63.9%。</w:t>
      </w:r>
    </w:p>
    <w:p>
      <w:pPr>
        <w:spacing w:line="360" w:lineRule="auto"/>
        <w:ind w:firstLine="420" w:firstLineChars="200"/>
        <w:rPr>
          <w:rFonts w:ascii="Arial" w:hAnsi="Arial" w:cs="Arial"/>
        </w:rPr>
      </w:pPr>
      <w:r>
        <w:rPr>
          <w:rFonts w:hint="eastAsia" w:ascii="Arial" w:hAnsi="Arial" w:cs="Arial"/>
        </w:rPr>
        <w:t>（</w:t>
      </w:r>
      <w:r>
        <w:rPr>
          <w:rFonts w:ascii="Arial" w:hAnsi="Arial" w:cs="Arial"/>
        </w:rPr>
        <w:t>4</w:t>
      </w:r>
      <w:r>
        <w:rPr>
          <w:rFonts w:hint="eastAsia" w:ascii="Arial" w:hAnsi="Arial" w:cs="Arial"/>
        </w:rPr>
        <w:t>）房地产市场销售情况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Arial" w:hAnsi="Arial" w:cs="Arial"/>
        </w:rPr>
      </w:pPr>
      <w:r>
        <w:rPr>
          <w:rFonts w:ascii="Arial" w:hAnsi="Arial" w:cs="Arial"/>
        </w:rPr>
        <w:t>202</w:t>
      </w:r>
      <w:r>
        <w:rPr>
          <w:rFonts w:hint="eastAsia" w:ascii="Arial" w:hAnsi="Arial" w:cs="Arial"/>
          <w:lang w:val="en-US" w:eastAsia="zh-CN"/>
        </w:rPr>
        <w:t>3</w:t>
      </w:r>
      <w:r>
        <w:rPr>
          <w:rFonts w:hint="eastAsia" w:ascii="Arial" w:hAnsi="Arial" w:cs="Arial"/>
        </w:rPr>
        <w:t>年1-2月，</w:t>
      </w:r>
      <w:r>
        <w:rPr>
          <w:rFonts w:hint="eastAsia" w:ascii="Arial" w:hAnsi="Arial" w:cs="Arial"/>
          <w:lang w:eastAsia="zh-CN"/>
        </w:rPr>
        <w:t>北京</w:t>
      </w:r>
      <w:r>
        <w:rPr>
          <w:rFonts w:hint="eastAsia" w:ascii="Arial" w:hAnsi="Arial" w:cs="Arial"/>
        </w:rPr>
        <w:t>市商品房销售面积为103.4万平方米，同比增长12.4%。其中，住宅销售面积为72.4万平方米，增长4%；办公楼为7.4万平方米，增长35.9%；商业营业用房为8万平方米，增长2.8倍。</w:t>
      </w:r>
    </w:p>
    <w:p>
      <w:pPr>
        <w:spacing w:line="360" w:lineRule="auto"/>
        <w:ind w:firstLine="420" w:firstLineChars="200"/>
        <w:rPr>
          <w:rFonts w:ascii="Arial" w:hAnsi="Arial" w:cs="Arial"/>
        </w:rPr>
      </w:pPr>
      <w:r>
        <w:rPr>
          <w:rFonts w:hint="eastAsia" w:ascii="Arial" w:hAnsi="Arial" w:cs="Arial"/>
        </w:rPr>
        <w:t>（</w:t>
      </w:r>
      <w:r>
        <w:rPr>
          <w:rFonts w:ascii="Arial" w:hAnsi="Arial" w:cs="Arial"/>
        </w:rPr>
        <w:t>5</w:t>
      </w:r>
      <w:r>
        <w:rPr>
          <w:rFonts w:hint="eastAsia" w:ascii="Arial" w:hAnsi="Arial" w:cs="Arial"/>
        </w:rPr>
        <w:t>）房地产开发企业到位资金情况</w:t>
      </w:r>
    </w:p>
    <w:p>
      <w:pPr>
        <w:spacing w:line="360" w:lineRule="auto"/>
        <w:ind w:firstLine="420" w:firstLineChars="200"/>
        <w:rPr>
          <w:rFonts w:hint="eastAsia" w:ascii="Arial" w:hAnsi="Arial" w:cs="Arial" w:eastAsiaTheme="minorEastAsia"/>
          <w:lang w:val="en-US" w:eastAsia="zh-CN"/>
        </w:rPr>
      </w:pPr>
      <w:r>
        <w:rPr>
          <w:rFonts w:hint="eastAsia" w:ascii="Arial" w:hAnsi="Arial" w:cs="Arial"/>
        </w:rPr>
        <w:t>1-2月，全市房地产开发企业到位资金为615.4亿元，同比下降9.2%。其中，定金及预收款为287.6亿元，下降5.6%；自筹资金为94.9亿元，下降23.3%；国内贷款为86.5亿元，下降31.5%</w:t>
      </w:r>
      <w:r>
        <w:rPr>
          <w:rFonts w:hint="eastAsia" w:ascii="Arial" w:hAnsi="Arial" w:cs="Arial"/>
          <w:lang w:eastAsia="zh-CN"/>
        </w:rPr>
        <w:t>。</w:t>
      </w:r>
    </w:p>
    <w:p>
      <w:pPr>
        <w:spacing w:line="360" w:lineRule="auto"/>
        <w:ind w:firstLine="420" w:firstLineChars="200"/>
        <w:rPr>
          <w:rFonts w:ascii="Arial" w:hAnsi="Arial" w:cs="Arial"/>
        </w:rPr>
      </w:pPr>
      <w:r>
        <w:rPr>
          <w:rFonts w:ascii="Arial" w:hAnsi="Arial" w:cs="Arial"/>
        </w:rPr>
        <w:t>2.住宅市场情况</w:t>
      </w:r>
    </w:p>
    <w:p>
      <w:pPr>
        <w:spacing w:line="360" w:lineRule="auto"/>
        <w:ind w:firstLine="420" w:firstLineChars="200"/>
        <w:rPr>
          <w:rFonts w:ascii="Arial" w:hAnsi="Arial" w:cs="Arial"/>
        </w:rPr>
      </w:pPr>
      <w:r>
        <w:rPr>
          <w:rFonts w:ascii="Arial" w:hAnsi="Arial" w:cs="Arial"/>
        </w:rPr>
        <w:t>（1）</w:t>
      </w:r>
      <w:r>
        <w:rPr>
          <w:rFonts w:hint="eastAsia" w:ascii="Arial" w:hAnsi="Arial" w:cs="Arial"/>
        </w:rPr>
        <w:t>新建商品住宅——价格指数</w:t>
      </w:r>
    </w:p>
    <w:p>
      <w:pPr>
        <w:spacing w:line="360" w:lineRule="auto"/>
        <w:ind w:firstLine="420" w:firstLineChars="200"/>
        <w:rPr>
          <w:rFonts w:hint="eastAsia" w:ascii="Arial" w:hAnsi="Arial" w:cs="Arial"/>
          <w:lang w:val="en-US" w:eastAsia="zh-CN"/>
        </w:rPr>
      </w:pPr>
      <w:r>
        <w:rPr>
          <w:rFonts w:hint="eastAsia" w:ascii="Arial" w:hAnsi="Arial" w:cs="Arial"/>
        </w:rPr>
        <w:t>202</w:t>
      </w:r>
      <w:r>
        <w:rPr>
          <w:rFonts w:ascii="Arial" w:hAnsi="Arial" w:cs="Arial"/>
        </w:rPr>
        <w:t>2</w:t>
      </w:r>
      <w:r>
        <w:rPr>
          <w:rFonts w:hint="eastAsia" w:ascii="Arial" w:hAnsi="Arial" w:cs="Arial"/>
        </w:rPr>
        <w:t>年</w:t>
      </w:r>
      <w:r>
        <w:rPr>
          <w:rFonts w:hint="eastAsia" w:ascii="Arial" w:hAnsi="Arial" w:cs="Arial"/>
          <w:lang w:val="en-US" w:eastAsia="zh-CN"/>
        </w:rPr>
        <w:t>7月，新房价格环比、同比均上涨；环比涨幅延续在1%以内；同比涨幅连续2个月减少。</w:t>
      </w:r>
    </w:p>
    <w:tbl>
      <w:tblPr>
        <w:tblStyle w:val="19"/>
        <w:tblW w:w="8797" w:type="dxa"/>
        <w:tblInd w:w="0" w:type="dxa"/>
        <w:tblLayout w:type="fixed"/>
        <w:tblCellMar>
          <w:top w:w="0" w:type="dxa"/>
          <w:left w:w="10" w:type="dxa"/>
          <w:bottom w:w="0" w:type="dxa"/>
          <w:right w:w="10" w:type="dxa"/>
        </w:tblCellMar>
      </w:tblPr>
      <w:tblGrid>
        <w:gridCol w:w="517"/>
        <w:gridCol w:w="517"/>
        <w:gridCol w:w="517"/>
        <w:gridCol w:w="517"/>
        <w:gridCol w:w="517"/>
        <w:gridCol w:w="517"/>
        <w:gridCol w:w="517"/>
        <w:gridCol w:w="517"/>
        <w:gridCol w:w="517"/>
        <w:gridCol w:w="517"/>
        <w:gridCol w:w="517"/>
        <w:gridCol w:w="517"/>
        <w:gridCol w:w="517"/>
        <w:gridCol w:w="517"/>
        <w:gridCol w:w="517"/>
        <w:gridCol w:w="517"/>
        <w:gridCol w:w="525"/>
      </w:tblGrid>
      <w:tr>
        <w:tblPrEx>
          <w:tblCellMar>
            <w:top w:w="0" w:type="dxa"/>
            <w:left w:w="10" w:type="dxa"/>
            <w:bottom w:w="0" w:type="dxa"/>
            <w:right w:w="10" w:type="dxa"/>
          </w:tblCellMar>
        </w:tblPrEx>
        <w:trPr>
          <w:trHeight w:val="509" w:hRule="exact"/>
        </w:trPr>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bCs/>
                <w:sz w:val="13"/>
                <w:szCs w:val="13"/>
              </w:rPr>
            </w:pPr>
            <w:r>
              <w:rPr>
                <w:rFonts w:hint="eastAsia" w:ascii="华文细黑" w:hAnsi="华文细黑" w:eastAsia="华文细黑" w:cs="华文细黑"/>
                <w:b/>
                <w:bCs/>
                <w:color w:val="000000"/>
                <w:sz w:val="13"/>
                <w:szCs w:val="13"/>
              </w:rPr>
              <w:t>项目</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2021/10</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11</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12</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2022/1</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2</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3</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4</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5</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6</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7</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8</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9</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11</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12</w:t>
            </w:r>
          </w:p>
        </w:tc>
        <w:tc>
          <w:tcPr>
            <w:tcW w:w="525" w:type="dxa"/>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2023/1</w:t>
            </w:r>
          </w:p>
        </w:tc>
      </w:tr>
      <w:tr>
        <w:tblPrEx>
          <w:tblCellMar>
            <w:top w:w="0" w:type="dxa"/>
            <w:left w:w="10" w:type="dxa"/>
            <w:bottom w:w="0" w:type="dxa"/>
            <w:right w:w="10" w:type="dxa"/>
          </w:tblCellMar>
        </w:tblPrEx>
        <w:trPr>
          <w:trHeight w:val="446" w:hRule="exact"/>
        </w:trPr>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bCs/>
                <w:sz w:val="13"/>
                <w:szCs w:val="13"/>
              </w:rPr>
            </w:pPr>
            <w:r>
              <w:rPr>
                <w:rFonts w:hint="eastAsia" w:ascii="华文细黑" w:hAnsi="华文细黑" w:eastAsia="华文细黑" w:cs="华文细黑"/>
                <w:b/>
                <w:bCs/>
                <w:color w:val="000000"/>
                <w:sz w:val="13"/>
                <w:szCs w:val="13"/>
              </w:rPr>
              <w:t>环比</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100.6</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100.3</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101</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100.6</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100.4</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100.7</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100.4</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100.8</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100.5</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100.4</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100.2</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100.4</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100.1</w:t>
            </w:r>
          </w:p>
        </w:tc>
        <w:tc>
          <w:tcPr>
            <w:tcW w:w="517" w:type="dxa"/>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100.2</w:t>
            </w:r>
          </w:p>
        </w:tc>
        <w:tc>
          <w:tcPr>
            <w:tcW w:w="525" w:type="dxa"/>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100.4</w:t>
            </w:r>
          </w:p>
        </w:tc>
      </w:tr>
      <w:tr>
        <w:tblPrEx>
          <w:tblCellMar>
            <w:top w:w="0" w:type="dxa"/>
            <w:left w:w="10" w:type="dxa"/>
            <w:bottom w:w="0" w:type="dxa"/>
            <w:right w:w="10" w:type="dxa"/>
          </w:tblCellMar>
        </w:tblPrEx>
        <w:trPr>
          <w:trHeight w:val="466" w:hRule="exact"/>
        </w:trPr>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bCs/>
                <w:sz w:val="13"/>
                <w:szCs w:val="13"/>
              </w:rPr>
            </w:pPr>
            <w:r>
              <w:rPr>
                <w:rFonts w:hint="eastAsia" w:ascii="华文细黑" w:hAnsi="华文细黑" w:eastAsia="华文细黑" w:cs="华文细黑"/>
                <w:b/>
                <w:bCs/>
                <w:color w:val="000000"/>
                <w:sz w:val="13"/>
                <w:szCs w:val="13"/>
              </w:rPr>
              <w:t>同比</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104.9</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105.4</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105.1</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105.5</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105.5</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105.7</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105.8</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105.9</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105.8</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105.5</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105.8</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106.1</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105.9</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105.7</w:t>
            </w:r>
          </w:p>
        </w:tc>
        <w:tc>
          <w:tcPr>
            <w:tcW w:w="517"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105.8</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eastAsia" w:ascii="华文细黑" w:hAnsi="华文细黑" w:eastAsia="华文细黑" w:cs="华文细黑"/>
                <w:b w:val="0"/>
                <w:bCs w:val="0"/>
                <w:color w:val="000000"/>
                <w:spacing w:val="0"/>
                <w:w w:val="100"/>
                <w:kern w:val="2"/>
                <w:position w:val="0"/>
                <w:sz w:val="13"/>
                <w:szCs w:val="13"/>
                <w:u w:val="none"/>
                <w:shd w:val="clear" w:color="auto" w:fill="auto"/>
                <w:lang w:val="zh-TW" w:eastAsia="zh-TW" w:bidi="zh-TW"/>
              </w:rPr>
            </w:pPr>
            <w:r>
              <w:rPr>
                <w:rFonts w:hint="eastAsia" w:ascii="华文细黑" w:hAnsi="华文细黑" w:eastAsia="华文细黑" w:cs="华文细黑"/>
                <w:b w:val="0"/>
                <w:bCs w:val="0"/>
                <w:color w:val="000000"/>
                <w:sz w:val="13"/>
                <w:szCs w:val="13"/>
              </w:rPr>
              <w:t>105.2</w:t>
            </w:r>
          </w:p>
        </w:tc>
      </w:tr>
    </w:tbl>
    <w:p>
      <w:pPr>
        <w:spacing w:line="360" w:lineRule="auto"/>
        <w:ind w:firstLine="420" w:firstLineChars="200"/>
      </w:pPr>
    </w:p>
    <w:p>
      <w:pPr>
        <w:spacing w:line="360" w:lineRule="auto"/>
        <w:jc w:val="center"/>
        <w:rPr>
          <w:rFonts w:hint="eastAsia" w:ascii="Arial" w:hAnsi="Arial" w:cs="Arial"/>
          <w:lang w:val="en-US" w:eastAsia="zh-CN"/>
        </w:rPr>
      </w:pPr>
      <w:r>
        <w:drawing>
          <wp:inline distT="0" distB="0" distL="114300" distR="114300">
            <wp:extent cx="5602605" cy="3743960"/>
            <wp:effectExtent l="0" t="0" r="17145" b="889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408"/>
                    <pic:cNvPicPr>
                      <a:picLocks noChangeAspect="1"/>
                    </pic:cNvPicPr>
                  </pic:nvPicPr>
                  <pic:blipFill>
                    <a:blip r:embed="rId14"/>
                    <a:stretch>
                      <a:fillRect/>
                    </a:stretch>
                  </pic:blipFill>
                  <pic:spPr>
                    <a:xfrm rot="21600000">
                      <a:off x="0" y="0"/>
                      <a:ext cx="5602605" cy="3744468"/>
                    </a:xfrm>
                    <a:prstGeom prst="rect">
                      <a:avLst/>
                    </a:prstGeom>
                  </pic:spPr>
                </pic:pic>
              </a:graphicData>
            </a:graphic>
          </wp:inline>
        </w:drawing>
      </w:r>
    </w:p>
    <w:p>
      <w:pPr>
        <w:spacing w:line="360" w:lineRule="auto"/>
        <w:jc w:val="left"/>
        <w:rPr>
          <w:rFonts w:ascii="Arial" w:hAnsi="Arial" w:cs="Arial"/>
        </w:rPr>
      </w:pPr>
    </w:p>
    <w:p>
      <w:pPr>
        <w:spacing w:line="360" w:lineRule="auto"/>
        <w:ind w:firstLine="420" w:firstLineChars="200"/>
        <w:rPr>
          <w:rFonts w:ascii="Arial" w:hAnsi="Arial" w:cs="Arial"/>
        </w:rPr>
      </w:pPr>
      <w:r>
        <w:rPr>
          <w:rFonts w:ascii="Arial" w:hAnsi="Arial" w:cs="Arial"/>
        </w:rPr>
        <w:t>（2）</w:t>
      </w:r>
      <w:r>
        <w:rPr>
          <w:rFonts w:hint="eastAsia" w:ascii="Arial" w:hAnsi="Arial" w:cs="Arial"/>
        </w:rPr>
        <w:t>新建商品住宅——不含保障房、回迁房，含共有产权房</w:t>
      </w:r>
    </w:p>
    <w:p>
      <w:pPr>
        <w:spacing w:line="360" w:lineRule="auto"/>
        <w:ind w:firstLine="420" w:firstLineChars="200"/>
        <w:rPr>
          <w:rFonts w:hint="eastAsia" w:ascii="Arial" w:hAnsi="Arial" w:cs="Arial"/>
        </w:rPr>
      </w:pPr>
      <w:r>
        <w:rPr>
          <w:rFonts w:hint="eastAsia" w:ascii="Arial" w:hAnsi="Arial" w:cs="Arial"/>
        </w:rPr>
        <w:t>根据中国指数研究院数据，2022年，新建住宅销售57789套，同比减少28.9%，销售面积693.59万平方米，减少27.6%，均价54281元/平方米，上涨8.3%。</w:t>
      </w:r>
    </w:p>
    <w:p>
      <w:pPr>
        <w:spacing w:line="360" w:lineRule="auto"/>
        <w:ind w:firstLine="420" w:firstLineChars="200"/>
        <w:rPr>
          <w:rFonts w:hint="eastAsia" w:ascii="Arial" w:hAnsi="Arial" w:cs="Arial"/>
        </w:rPr>
      </w:pPr>
      <w:r>
        <w:rPr>
          <w:rFonts w:hint="eastAsia" w:ascii="Arial" w:hAnsi="Arial" w:cs="Arial"/>
        </w:rPr>
        <w:t>2023年1月，销售40.41万平方米，环比、同比减少；均价58585元/平方米，比上季度均价上涨12%。其 中共有产权房占比减少是均价上涨的影响因素之一。</w:t>
      </w:r>
    </w:p>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p>
      <w:pPr>
        <w:spacing w:line="360" w:lineRule="auto"/>
        <w:ind w:firstLine="420" w:firstLineChars="200"/>
        <w:rPr>
          <w:rFonts w:hint="eastAsia" w:ascii="Arial" w:hAnsi="Arial" w:cs="Arial"/>
        </w:rPr>
      </w:pPr>
    </w:p>
    <w:tbl>
      <w:tblPr>
        <w:tblStyle w:val="19"/>
        <w:tblW w:w="8814" w:type="dxa"/>
        <w:tblInd w:w="0" w:type="dxa"/>
        <w:tblLayout w:type="fixed"/>
        <w:tblCellMar>
          <w:top w:w="0" w:type="dxa"/>
          <w:left w:w="10" w:type="dxa"/>
          <w:bottom w:w="0" w:type="dxa"/>
          <w:right w:w="10" w:type="dxa"/>
        </w:tblCellMar>
      </w:tblPr>
      <w:tblGrid>
        <w:gridCol w:w="1417"/>
        <w:gridCol w:w="1417"/>
        <w:gridCol w:w="1417"/>
        <w:gridCol w:w="1417"/>
        <w:gridCol w:w="1418"/>
        <w:gridCol w:w="1728"/>
      </w:tblGrid>
      <w:tr>
        <w:tblPrEx>
          <w:tblCellMar>
            <w:top w:w="0" w:type="dxa"/>
            <w:left w:w="10" w:type="dxa"/>
            <w:bottom w:w="0" w:type="dxa"/>
            <w:right w:w="10" w:type="dxa"/>
          </w:tblCellMar>
        </w:tblPrEx>
        <w:trPr>
          <w:trHeight w:val="677"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时间</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销售套数（套）</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销售面积</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（万</w:t>
            </w:r>
            <w:r>
              <w:rPr>
                <w:rFonts w:hint="default" w:ascii="Arial" w:hAnsi="Arial" w:eastAsia="华文细黑" w:cs="Arial"/>
                <w:b w:val="0"/>
                <w:bCs w:val="0"/>
                <w:color w:val="000000"/>
                <w:spacing w:val="0"/>
                <w:w w:val="100"/>
                <w:position w:val="0"/>
                <w:sz w:val="18"/>
                <w:szCs w:val="18"/>
                <w:lang w:eastAsia="zh-CN"/>
              </w:rPr>
              <w:t>平方米</w:t>
            </w:r>
            <w:r>
              <w:rPr>
                <w:rFonts w:hint="default" w:ascii="Arial" w:hAnsi="Arial" w:eastAsia="华文细黑" w:cs="Arial"/>
                <w:b w:val="0"/>
                <w:bCs w:val="0"/>
                <w:color w:val="000000"/>
                <w:spacing w:val="0"/>
                <w:w w:val="100"/>
                <w:position w:val="0"/>
                <w:sz w:val="18"/>
                <w:szCs w:val="18"/>
              </w:rPr>
              <w:t>）</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销售价格</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（元/</w:t>
            </w:r>
            <w:r>
              <w:rPr>
                <w:rFonts w:hint="default" w:ascii="Arial" w:hAnsi="Arial" w:eastAsia="华文细黑" w:cs="Arial"/>
                <w:b w:val="0"/>
                <w:bCs w:val="0"/>
                <w:color w:val="000000"/>
                <w:spacing w:val="0"/>
                <w:w w:val="100"/>
                <w:position w:val="0"/>
                <w:sz w:val="18"/>
                <w:szCs w:val="18"/>
                <w:lang w:eastAsia="zh-CN"/>
              </w:rPr>
              <w:t>平方米</w:t>
            </w:r>
            <w:r>
              <w:rPr>
                <w:rFonts w:hint="default" w:ascii="Arial" w:hAnsi="Arial" w:eastAsia="华文细黑" w:cs="Arial"/>
                <w:b w:val="0"/>
                <w:bCs w:val="0"/>
                <w:color w:val="000000"/>
                <w:spacing w:val="0"/>
                <w:w w:val="100"/>
                <w:position w:val="0"/>
                <w:sz w:val="18"/>
                <w:szCs w:val="18"/>
              </w:rPr>
              <w:t>）</w:t>
            </w:r>
          </w:p>
        </w:tc>
        <w:tc>
          <w:tcPr>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均价</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lang w:eastAsia="zh-CN"/>
              </w:rPr>
            </w:pPr>
            <w:r>
              <w:rPr>
                <w:rFonts w:hint="default" w:ascii="Arial" w:hAnsi="Arial" w:eastAsia="华文细黑" w:cs="Arial"/>
                <w:b w:val="0"/>
                <w:bCs w:val="0"/>
                <w:color w:val="000000"/>
                <w:spacing w:val="0"/>
                <w:w w:val="100"/>
                <w:position w:val="0"/>
                <w:sz w:val="18"/>
                <w:szCs w:val="18"/>
              </w:rPr>
              <w:t>（元</w:t>
            </w:r>
            <w:r>
              <w:rPr>
                <w:rFonts w:hint="default" w:ascii="Arial" w:hAnsi="Arial" w:eastAsia="华文细黑" w:cs="Arial"/>
                <w:b w:val="0"/>
                <w:bCs w:val="0"/>
                <w:color w:val="000000"/>
                <w:spacing w:val="0"/>
                <w:w w:val="100"/>
                <w:position w:val="0"/>
                <w:sz w:val="18"/>
                <w:szCs w:val="18"/>
                <w:lang w:val="en-US" w:eastAsia="en-US" w:bidi="en-US"/>
              </w:rPr>
              <w:t>/</w:t>
            </w:r>
            <w:r>
              <w:rPr>
                <w:rFonts w:hint="default" w:ascii="Arial" w:hAnsi="Arial" w:eastAsia="华文细黑" w:cs="Arial"/>
                <w:b w:val="0"/>
                <w:bCs w:val="0"/>
                <w:color w:val="000000"/>
                <w:spacing w:val="0"/>
                <w:w w:val="100"/>
                <w:position w:val="0"/>
                <w:sz w:val="18"/>
                <w:szCs w:val="18"/>
                <w:lang w:val="en-US" w:eastAsia="zh-CN" w:bidi="en-US"/>
              </w:rPr>
              <w:t>平方米）</w:t>
            </w:r>
          </w:p>
        </w:tc>
        <w:tc>
          <w:tcPr>
            <w:tcW w:w="1728"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sz w:val="18"/>
                <w:szCs w:val="18"/>
              </w:rPr>
            </w:pPr>
            <w:r>
              <w:rPr>
                <w:rFonts w:hint="default" w:ascii="Arial" w:hAnsi="Arial" w:eastAsia="华文细黑" w:cs="Arial"/>
                <w:b w:val="0"/>
                <w:bCs w:val="0"/>
                <w:color w:val="000000"/>
                <w:spacing w:val="0"/>
                <w:w w:val="100"/>
                <w:position w:val="0"/>
                <w:sz w:val="18"/>
                <w:szCs w:val="18"/>
              </w:rPr>
              <w:t>涨幅</w:t>
            </w: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2022-1</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5065</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60.69</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50249</w:t>
            </w:r>
          </w:p>
        </w:tc>
        <w:tc>
          <w:tcPr>
            <w:tcW w:w="1418" w:type="dxa"/>
            <w:vMerge w:val="restart"/>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t>51</w:t>
            </w: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167</w:t>
            </w:r>
          </w:p>
        </w:tc>
        <w:tc>
          <w:tcPr>
            <w:tcW w:w="1728"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0.9%</w:t>
            </w:r>
          </w:p>
        </w:tc>
      </w:tr>
      <w:tr>
        <w:tblPrEx>
          <w:tblCellMar>
            <w:top w:w="0" w:type="dxa"/>
            <w:left w:w="10" w:type="dxa"/>
            <w:bottom w:w="0" w:type="dxa"/>
            <w:right w:w="10" w:type="dxa"/>
          </w:tblCellMar>
        </w:tblPrEx>
        <w:trPr>
          <w:trHeight w:val="466"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2</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2447</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29.98</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53065</w:t>
            </w:r>
          </w:p>
        </w:tc>
        <w:tc>
          <w:tcPr>
            <w:vMerge w:val="continue"/>
            <w:tcBorders>
              <w:lef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c>
          <w:tcPr>
            <w:tcW w:w="1728"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3</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4430</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54.50</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51144</w:t>
            </w:r>
          </w:p>
        </w:tc>
        <w:tc>
          <w:tcPr>
            <w:vMerge w:val="continue"/>
            <w:tcBorders>
              <w:lef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c>
          <w:tcPr>
            <w:tcW w:w="1728"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4</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5231</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58.15</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53744</w:t>
            </w:r>
          </w:p>
        </w:tc>
        <w:tc>
          <w:tcPr>
            <w:tcW w:w="1418" w:type="dxa"/>
            <w:vMerge w:val="restart"/>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57976</w:t>
            </w:r>
          </w:p>
        </w:tc>
        <w:tc>
          <w:tcPr>
            <w:tcW w:w="1728"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13.3%</w:t>
            </w:r>
          </w:p>
        </w:tc>
      </w:tr>
      <w:tr>
        <w:tblPrEx>
          <w:tblCellMar>
            <w:top w:w="0" w:type="dxa"/>
            <w:left w:w="10" w:type="dxa"/>
            <w:bottom w:w="0" w:type="dxa"/>
            <w:right w:w="10" w:type="dxa"/>
          </w:tblCellMar>
        </w:tblPrEx>
        <w:trPr>
          <w:trHeight w:val="466"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3314</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40.38</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56945</w:t>
            </w:r>
          </w:p>
        </w:tc>
        <w:tc>
          <w:tcPr>
            <w:vMerge w:val="continue"/>
            <w:tcBorders>
              <w:lef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c>
          <w:tcPr>
            <w:tcW w:w="1728"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6</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5322</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69.23</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62132</w:t>
            </w:r>
          </w:p>
        </w:tc>
        <w:tc>
          <w:tcPr>
            <w:vMerge w:val="continue"/>
            <w:tcBorders>
              <w:lef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c>
          <w:tcPr>
            <w:tcW w:w="1728"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7</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4096</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53.73</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61902</w:t>
            </w:r>
          </w:p>
        </w:tc>
        <w:tc>
          <w:tcPr>
            <w:tcW w:w="1418" w:type="dxa"/>
            <w:vMerge w:val="restart"/>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55431</w:t>
            </w:r>
          </w:p>
        </w:tc>
        <w:tc>
          <w:tcPr>
            <w:tcW w:w="1728"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-4.4%</w:t>
            </w:r>
          </w:p>
        </w:tc>
      </w:tr>
      <w:tr>
        <w:tblPrEx>
          <w:tblCellMar>
            <w:top w:w="0" w:type="dxa"/>
            <w:left w:w="10" w:type="dxa"/>
            <w:bottom w:w="0" w:type="dxa"/>
            <w:right w:w="10" w:type="dxa"/>
          </w:tblCellMar>
        </w:tblPrEx>
        <w:trPr>
          <w:trHeight w:val="466"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8</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4487</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56.09</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55387</w:t>
            </w:r>
          </w:p>
        </w:tc>
        <w:tc>
          <w:tcPr>
            <w:vMerge w:val="continue"/>
            <w:tcBorders>
              <w:lef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c>
          <w:tcPr>
            <w:tcW w:w="1728"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9</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6120</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71.33</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50591</w:t>
            </w:r>
          </w:p>
        </w:tc>
        <w:tc>
          <w:tcPr>
            <w:vMerge w:val="continue"/>
            <w:tcBorders>
              <w:lef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c>
          <w:tcPr>
            <w:tcW w:w="1728"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10</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7505</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84.06</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49733</w:t>
            </w:r>
          </w:p>
        </w:tc>
        <w:tc>
          <w:tcPr>
            <w:tcW w:w="1418" w:type="dxa"/>
            <w:vMerge w:val="restart"/>
            <w:tcBorders>
              <w:top w:val="single" w:color="auto" w:sz="4" w:space="0"/>
              <w:lef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52395</w:t>
            </w:r>
          </w:p>
        </w:tc>
        <w:tc>
          <w:tcPr>
            <w:tcW w:w="1728" w:type="dxa"/>
            <w:vMerge w:val="restart"/>
            <w:tcBorders>
              <w:top w:val="single" w:color="auto" w:sz="4" w:space="0"/>
              <w:left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-5.5%</w:t>
            </w:r>
          </w:p>
        </w:tc>
      </w:tr>
      <w:tr>
        <w:tblPrEx>
          <w:tblCellMar>
            <w:top w:w="0" w:type="dxa"/>
            <w:left w:w="10" w:type="dxa"/>
            <w:bottom w:w="0" w:type="dxa"/>
            <w:right w:w="10" w:type="dxa"/>
          </w:tblCellMar>
        </w:tblPrEx>
        <w:trPr>
          <w:trHeight w:val="466"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eastAsia" w:ascii="Arial" w:hAnsi="Arial" w:eastAsia="华文细黑" w:cs="Arial"/>
                <w:b w:val="0"/>
                <w:bCs w:val="0"/>
                <w:color w:val="000000"/>
                <w:spacing w:val="0"/>
                <w:w w:val="100"/>
                <w:position w:val="0"/>
                <w:sz w:val="18"/>
                <w:szCs w:val="18"/>
              </w:rPr>
              <w:t>11</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4622</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55.49</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53761</w:t>
            </w:r>
          </w:p>
        </w:tc>
        <w:tc>
          <w:tcPr>
            <w:vMerge w:val="continue"/>
            <w:tcBorders>
              <w:lef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c>
          <w:tcPr>
            <w:tcW w:w="1728"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r>
      <w:tr>
        <w:tblPrEx>
          <w:tblCellMar>
            <w:top w:w="0" w:type="dxa"/>
            <w:left w:w="10" w:type="dxa"/>
            <w:bottom w:w="0" w:type="dxa"/>
            <w:right w:w="10" w:type="dxa"/>
          </w:tblCellMar>
        </w:tblPrEx>
        <w:trPr>
          <w:trHeight w:val="470" w:hRule="exact"/>
        </w:trPr>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eastAsia" w:ascii="Arial" w:hAnsi="Arial" w:eastAsia="华文细黑" w:cs="Arial"/>
                <w:b w:val="0"/>
                <w:bCs w:val="0"/>
                <w:color w:val="000000"/>
                <w:spacing w:val="0"/>
                <w:w w:val="100"/>
                <w:position w:val="0"/>
                <w:sz w:val="18"/>
                <w:szCs w:val="18"/>
              </w:rPr>
              <w:t>12</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5150</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59.97</w:t>
            </w:r>
          </w:p>
        </w:tc>
        <w:tc>
          <w:tcPr>
            <w:tcW w:w="1417"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default" w:ascii="Arial" w:hAnsi="Arial" w:eastAsia="华文细黑" w:cs="Arial"/>
                <w:b w:val="0"/>
                <w:bCs w:val="0"/>
                <w:color w:val="000000"/>
                <w:spacing w:val="0"/>
                <w:w w:val="100"/>
                <w:position w:val="0"/>
                <w:sz w:val="18"/>
                <w:szCs w:val="18"/>
              </w:rPr>
              <w:t>54864</w:t>
            </w:r>
          </w:p>
        </w:tc>
        <w:tc>
          <w:tcPr>
            <w:vMerge w:val="continue"/>
            <w:tcBorders>
              <w:lef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c>
          <w:tcPr>
            <w:tcW w:w="1728" w:type="dxa"/>
            <w:vMerge w:val="continue"/>
            <w:tcBorders>
              <w:left w:val="single" w:color="auto" w:sz="4" w:space="0"/>
              <w:right w:val="single" w:color="auto" w:sz="4" w:space="0"/>
            </w:tcBorders>
            <w:shd w:val="clear" w:color="auto" w:fill="FFFFFF"/>
            <w:vAlign w:val="center"/>
          </w:tcPr>
          <w:p>
            <w:pPr>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p>
        </w:tc>
      </w:tr>
      <w:tr>
        <w:tblPrEx>
          <w:tblCellMar>
            <w:top w:w="0" w:type="dxa"/>
            <w:left w:w="10" w:type="dxa"/>
            <w:bottom w:w="0" w:type="dxa"/>
            <w:right w:w="10" w:type="dxa"/>
          </w:tblCellMar>
        </w:tblPrEx>
        <w:trPr>
          <w:trHeight w:val="523" w:hRule="exact"/>
        </w:trPr>
        <w:tc>
          <w:tcPr>
            <w:tcW w:w="14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eastAsia" w:ascii="Arial" w:hAnsi="Arial" w:eastAsia="华文细黑" w:cs="Arial"/>
                <w:b w:val="0"/>
                <w:bCs w:val="0"/>
                <w:color w:val="000000"/>
                <w:spacing w:val="0"/>
                <w:w w:val="100"/>
                <w:position w:val="0"/>
                <w:sz w:val="18"/>
                <w:szCs w:val="18"/>
              </w:rPr>
              <w:t>2023-1</w:t>
            </w:r>
          </w:p>
        </w:tc>
        <w:tc>
          <w:tcPr>
            <w:tcW w:w="14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eastAsia" w:ascii="Arial" w:hAnsi="Arial" w:eastAsia="华文细黑" w:cs="Arial"/>
                <w:b w:val="0"/>
                <w:bCs w:val="0"/>
                <w:color w:val="000000"/>
                <w:spacing w:val="0"/>
                <w:w w:val="100"/>
                <w:position w:val="0"/>
                <w:sz w:val="18"/>
                <w:szCs w:val="18"/>
              </w:rPr>
              <w:t>3249</w:t>
            </w:r>
          </w:p>
        </w:tc>
        <w:tc>
          <w:tcPr>
            <w:tcW w:w="14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eastAsia" w:ascii="Arial" w:hAnsi="Arial" w:eastAsia="华文细黑" w:cs="Arial"/>
                <w:b w:val="0"/>
                <w:bCs w:val="0"/>
                <w:color w:val="000000"/>
                <w:spacing w:val="0"/>
                <w:w w:val="100"/>
                <w:position w:val="0"/>
                <w:sz w:val="18"/>
                <w:szCs w:val="18"/>
              </w:rPr>
              <w:t>40.41</w:t>
            </w:r>
          </w:p>
        </w:tc>
        <w:tc>
          <w:tcPr>
            <w:tcW w:w="1417"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b w:val="0"/>
                <w:bCs w:val="0"/>
                <w:color w:val="000000"/>
                <w:spacing w:val="0"/>
                <w:w w:val="100"/>
                <w:position w:val="0"/>
                <w:sz w:val="18"/>
                <w:szCs w:val="18"/>
              </w:rPr>
            </w:pPr>
            <w:r>
              <w:rPr>
                <w:rFonts w:hint="eastAsia" w:ascii="Arial" w:hAnsi="Arial" w:eastAsia="华文细黑" w:cs="Arial"/>
                <w:b w:val="0"/>
                <w:bCs w:val="0"/>
                <w:color w:val="000000"/>
                <w:spacing w:val="0"/>
                <w:w w:val="100"/>
                <w:position w:val="0"/>
                <w:sz w:val="18"/>
                <w:szCs w:val="18"/>
              </w:rPr>
              <w:t>58585</w:t>
            </w:r>
          </w:p>
        </w:tc>
        <w:tc>
          <w:tcPr>
            <w:tcW w:w="1418" w:type="dxa"/>
            <w:tcBorders>
              <w:top w:val="single" w:color="auto" w:sz="4" w:space="0"/>
              <w:left w:val="single" w:color="auto" w:sz="4" w:space="0"/>
              <w:bottom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w:t>
            </w:r>
          </w:p>
        </w:tc>
        <w:tc>
          <w:tcPr>
            <w:tcW w:w="172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color w:val="000000"/>
                <w:spacing w:val="0"/>
                <w:w w:val="100"/>
                <w:kern w:val="2"/>
                <w:position w:val="0"/>
                <w:sz w:val="18"/>
                <w:szCs w:val="18"/>
                <w:u w:val="none"/>
                <w:shd w:val="clear" w:color="auto" w:fill="auto"/>
                <w:lang w:val="zh-TW" w:eastAsia="zh-TW" w:bidi="zh-TW"/>
              </w:rPr>
            </w:pPr>
            <w:r>
              <w:rPr>
                <w:rFonts w:hint="eastAsia" w:ascii="Arial" w:hAnsi="Arial" w:eastAsia="华文细黑" w:cs="Arial"/>
                <w:b w:val="0"/>
                <w:bCs w:val="0"/>
                <w:color w:val="000000"/>
                <w:spacing w:val="0"/>
                <w:w w:val="100"/>
                <w:kern w:val="2"/>
                <w:position w:val="0"/>
                <w:sz w:val="18"/>
                <w:szCs w:val="18"/>
                <w:u w:val="none"/>
                <w:shd w:val="clear" w:color="auto" w:fill="auto"/>
                <w:lang w:val="zh-TW" w:eastAsia="zh-TW" w:bidi="zh-TW"/>
              </w:rPr>
              <w:t>12%</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hAnsi="Arial" w:cs="Arial"/>
          <w:sz w:val="18"/>
          <w:szCs w:val="18"/>
        </w:rPr>
      </w:pPr>
    </w:p>
    <w:p>
      <w:pPr>
        <w:spacing w:line="360" w:lineRule="auto"/>
        <w:ind w:firstLine="420" w:firstLineChars="200"/>
        <w:rPr>
          <w:rFonts w:ascii="Arial" w:hAnsi="Arial" w:cs="Arial"/>
        </w:rPr>
      </w:pPr>
      <w:r>
        <w:rPr>
          <w:rFonts w:ascii="Arial" w:hAnsi="Arial" w:cs="Arial"/>
        </w:rPr>
        <w:t>（3）</w:t>
      </w:r>
      <w:r>
        <w:rPr>
          <w:rFonts w:hint="eastAsia" w:ascii="Arial" w:hAnsi="Arial" w:cs="Arial"/>
        </w:rPr>
        <w:t>新建商品住宅——共有产权房销量及占比情况</w:t>
      </w:r>
    </w:p>
    <w:p>
      <w:pPr>
        <w:spacing w:line="360" w:lineRule="auto"/>
        <w:ind w:firstLine="420" w:firstLineChars="200"/>
        <w:rPr>
          <w:rFonts w:hint="eastAsia" w:ascii="Arial" w:hAnsi="Arial" w:cs="Arial"/>
        </w:rPr>
      </w:pPr>
      <w:r>
        <w:rPr>
          <w:rFonts w:hint="eastAsia" w:ascii="Arial" w:hAnsi="Arial" w:cs="Arial"/>
        </w:rPr>
        <w:t>2022年，共有产权房销售108.49万平方米，比2021年减少23.2%，销量占新建住宅销售面积比例为15.6%，比2021年略增加，销售均价下跌17.1%。共有产权房均价下跌主要是备案项目的区位差异较大。2021年位于海淀、丰台、朝阳的项目销量较大，2022年位 于大兴、昌平、平谷的项目销量较大。</w:t>
      </w:r>
    </w:p>
    <w:p>
      <w:pPr>
        <w:spacing w:line="360" w:lineRule="auto"/>
        <w:ind w:firstLine="420" w:firstLineChars="200"/>
        <w:rPr>
          <w:rFonts w:hint="eastAsia" w:ascii="Arial" w:hAnsi="Arial" w:cs="Arial"/>
        </w:rPr>
      </w:pPr>
      <w:r>
        <w:rPr>
          <w:rFonts w:hint="eastAsia" w:ascii="Arial" w:hAnsi="Arial" w:cs="Arial"/>
        </w:rPr>
        <w:t>2023年1月，共有产权房销售3.11万平方米，占总量的7.7%，比上季度各月减少。</w:t>
      </w:r>
    </w:p>
    <w:tbl>
      <w:tblPr>
        <w:tblStyle w:val="19"/>
        <w:tblW w:w="88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1482"/>
        <w:gridCol w:w="2543"/>
        <w:gridCol w:w="2544"/>
        <w:gridCol w:w="2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746" w:hRule="exact"/>
          <w:tblHeader/>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时间</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共有产权房销售面积</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（万</w:t>
            </w:r>
            <w:r>
              <w:rPr>
                <w:rFonts w:hint="eastAsia" w:ascii="Arial" w:hAnsi="Arial" w:eastAsia="华文细黑" w:cs="Arial"/>
                <w:color w:val="000000"/>
                <w:spacing w:val="0"/>
                <w:w w:val="100"/>
                <w:position w:val="0"/>
                <w:sz w:val="18"/>
                <w:szCs w:val="18"/>
                <w:lang w:eastAsia="zh-CN"/>
              </w:rPr>
              <w:t>平方米</w:t>
            </w:r>
            <w:r>
              <w:rPr>
                <w:rFonts w:hint="default" w:ascii="Arial" w:hAnsi="Arial" w:eastAsia="华文细黑" w:cs="Arial"/>
                <w:color w:val="000000"/>
                <w:spacing w:val="0"/>
                <w:w w:val="100"/>
                <w:position w:val="0"/>
                <w:sz w:val="18"/>
                <w:szCs w:val="18"/>
              </w:rPr>
              <w:t>）</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共有产权房销量/</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新建商品住宅销量</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共有产权房销售价格</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sz w:val="18"/>
                <w:szCs w:val="18"/>
              </w:rPr>
            </w:pPr>
            <w:r>
              <w:rPr>
                <w:rFonts w:hint="default" w:ascii="Arial" w:hAnsi="Arial" w:eastAsia="华文细黑" w:cs="Arial"/>
                <w:color w:val="000000"/>
                <w:spacing w:val="0"/>
                <w:w w:val="100"/>
                <w:position w:val="0"/>
                <w:sz w:val="18"/>
                <w:szCs w:val="18"/>
              </w:rPr>
              <w:t>（元/</w:t>
            </w:r>
            <w:r>
              <w:rPr>
                <w:rFonts w:hint="eastAsia" w:ascii="Arial" w:hAnsi="Arial" w:eastAsia="华文细黑" w:cs="Arial"/>
                <w:color w:val="000000"/>
                <w:spacing w:val="0"/>
                <w:w w:val="100"/>
                <w:position w:val="0"/>
                <w:sz w:val="18"/>
                <w:szCs w:val="18"/>
                <w:lang w:eastAsia="zh-CN"/>
              </w:rPr>
              <w:t>平方米</w:t>
            </w:r>
            <w:r>
              <w:rPr>
                <w:rFonts w:hint="default" w:ascii="Arial" w:hAnsi="Arial" w:eastAsia="华文细黑" w:cs="Arial"/>
                <w:color w:val="000000"/>
                <w:spacing w:val="0"/>
                <w:w w:val="100"/>
                <w:positio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66"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2022-1</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13.90</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22.9%</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26528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0"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2.82</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9.4%</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32838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0"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4.42</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8. 1%</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25612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66"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4</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5.30</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9.1%</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32383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0"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5</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5.30</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13. 1%</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32383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0"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6</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7.60</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11.0%</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34635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66"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7</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2.11</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3.9%</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26649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0"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8</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3.51</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6.3%</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33467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0"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rPr>
              <w:t>9</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18.50</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25.9%</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29119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66"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rPr>
              <w:t>10</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30.50</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36.3%</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26464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0"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rPr>
              <w:t>11</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7.68</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13.8%</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28746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0"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rPr>
              <w:t>12</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6.85</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11.4%</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default" w:ascii="Arial" w:hAnsi="Arial" w:eastAsia="华文细黑" w:cs="Arial"/>
                <w:color w:val="000000"/>
                <w:spacing w:val="0"/>
                <w:w w:val="100"/>
                <w:position w:val="0"/>
                <w:sz w:val="18"/>
                <w:szCs w:val="18"/>
              </w:rPr>
              <w:t>31497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 w:type="dxa"/>
            <w:bottom w:w="0" w:type="dxa"/>
            <w:right w:w="10" w:type="dxa"/>
          </w:tblCellMar>
        </w:tblPrEx>
        <w:trPr>
          <w:trHeight w:val="475" w:hRule="exact"/>
        </w:trPr>
        <w:tc>
          <w:tcPr>
            <w:tcW w:w="1482"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rPr>
              <w:t>2023-1</w:t>
            </w:r>
          </w:p>
        </w:tc>
        <w:tc>
          <w:tcPr>
            <w:tcW w:w="2543"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rPr>
              <w:t>3.11</w:t>
            </w:r>
          </w:p>
        </w:tc>
        <w:tc>
          <w:tcPr>
            <w:tcW w:w="2544"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rPr>
              <w:t>7.7%</w:t>
            </w:r>
          </w:p>
        </w:tc>
        <w:tc>
          <w:tcPr>
            <w:tcW w:w="2245" w:type="dxa"/>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rPr>
              <w:t>28261</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hAnsi="Arial" w:cs="Arial"/>
          <w:sz w:val="18"/>
          <w:szCs w:val="18"/>
        </w:rPr>
      </w:pPr>
    </w:p>
    <w:p>
      <w:pPr>
        <w:spacing w:line="360" w:lineRule="auto"/>
        <w:ind w:firstLine="420" w:firstLineChars="200"/>
        <w:rPr>
          <w:rFonts w:ascii="Arial" w:hAnsi="Arial" w:cs="Arial"/>
        </w:rPr>
      </w:pPr>
      <w:r>
        <w:rPr>
          <w:rFonts w:ascii="Arial" w:hAnsi="Arial" w:cs="Arial"/>
        </w:rPr>
        <w:t>（4）</w:t>
      </w:r>
      <w:r>
        <w:rPr>
          <w:rFonts w:hint="eastAsia" w:ascii="Arial" w:hAnsi="Arial" w:cs="Arial"/>
        </w:rPr>
        <w:t>新建商品住宅——纯商品住宅（不含保障房、回迁房、共有产权房）</w:t>
      </w:r>
    </w:p>
    <w:p>
      <w:pPr>
        <w:spacing w:line="360" w:lineRule="auto"/>
        <w:ind w:firstLine="315" w:firstLineChars="150"/>
        <w:rPr>
          <w:rFonts w:hint="eastAsia" w:ascii="Arial" w:hAnsi="Arial" w:cs="Arial"/>
        </w:rPr>
      </w:pPr>
      <w:r>
        <w:rPr>
          <w:rFonts w:hint="eastAsia" w:ascii="Arial" w:hAnsi="Arial" w:cs="Arial"/>
        </w:rPr>
        <w:t>2022年，新建纯商品住宅共销售45919套，销售面积587.08万平方米，销售均价58905元/平方米。与2021年相比，销售面积减少28.1% ，均价上涨11.6%。</w:t>
      </w:r>
    </w:p>
    <w:p>
      <w:pPr>
        <w:spacing w:line="360" w:lineRule="auto"/>
        <w:ind w:firstLine="315" w:firstLineChars="150"/>
        <w:rPr>
          <w:rFonts w:ascii="Arial" w:hAnsi="Arial" w:cs="Arial"/>
        </w:rPr>
      </w:pPr>
      <w:r>
        <w:rPr>
          <w:rFonts w:hint="eastAsia" w:ascii="Arial" w:hAnsi="Arial" w:cs="Arial"/>
        </w:rPr>
        <w:t>2023年1月，纯商品住宅销售37.30万平方米，环比、同比均减少，均价61117元/平方米，比上季度均价上涨2.5%。</w:t>
      </w:r>
    </w:p>
    <w:tbl>
      <w:tblPr>
        <w:tblStyle w:val="19"/>
        <w:tblW w:w="8813" w:type="dxa"/>
        <w:tblInd w:w="0" w:type="dxa"/>
        <w:tblLayout w:type="fixed"/>
        <w:tblCellMar>
          <w:top w:w="0" w:type="dxa"/>
          <w:left w:w="10" w:type="dxa"/>
          <w:bottom w:w="0" w:type="dxa"/>
          <w:right w:w="10" w:type="dxa"/>
        </w:tblCellMar>
      </w:tblPr>
      <w:tblGrid>
        <w:gridCol w:w="1064"/>
        <w:gridCol w:w="1549"/>
        <w:gridCol w:w="1550"/>
        <w:gridCol w:w="1550"/>
        <w:gridCol w:w="1550"/>
        <w:gridCol w:w="1550"/>
      </w:tblGrid>
      <w:tr>
        <w:tblPrEx>
          <w:tblCellMar>
            <w:top w:w="0" w:type="dxa"/>
            <w:left w:w="10" w:type="dxa"/>
            <w:bottom w:w="0" w:type="dxa"/>
            <w:right w:w="10" w:type="dxa"/>
          </w:tblCellMar>
        </w:tblPrEx>
        <w:trPr>
          <w:trHeight w:val="622"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时间</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销售套数（套）</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销售面积</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w:t>
            </w:r>
            <w:r>
              <w:rPr>
                <w:rFonts w:hint="eastAsia" w:ascii="Arial" w:hAnsi="Arial" w:eastAsia="华文细黑" w:cs="Arial"/>
                <w:color w:val="auto"/>
                <w:spacing w:val="0"/>
                <w:w w:val="100"/>
                <w:position w:val="0"/>
                <w:sz w:val="18"/>
                <w:szCs w:val="18"/>
                <w:lang w:eastAsia="zh-CN"/>
              </w:rPr>
              <w:t>万平方米</w:t>
            </w:r>
            <w:r>
              <w:rPr>
                <w:rFonts w:hint="default" w:ascii="Arial" w:hAnsi="Arial" w:eastAsia="华文细黑" w:cs="Arial"/>
                <w:color w:val="auto"/>
                <w:spacing w:val="0"/>
                <w:w w:val="100"/>
                <w:position w:val="0"/>
                <w:sz w:val="18"/>
                <w:szCs w:val="18"/>
              </w:rPr>
              <w:t>）</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销售价格</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（元/</w:t>
            </w:r>
            <w:r>
              <w:rPr>
                <w:rFonts w:hint="eastAsia" w:ascii="Arial" w:hAnsi="Arial" w:eastAsia="华文细黑" w:cs="Arial"/>
                <w:color w:val="auto"/>
                <w:spacing w:val="0"/>
                <w:w w:val="100"/>
                <w:position w:val="0"/>
                <w:sz w:val="18"/>
                <w:szCs w:val="18"/>
                <w:lang w:eastAsia="zh-CN"/>
              </w:rPr>
              <w:t>平方米</w:t>
            </w:r>
            <w:r>
              <w:rPr>
                <w:rFonts w:hint="default" w:ascii="Arial" w:hAnsi="Arial" w:eastAsia="华文细黑" w:cs="Arial"/>
                <w:color w:val="auto"/>
                <w:spacing w:val="0"/>
                <w:w w:val="100"/>
                <w:position w:val="0"/>
                <w:sz w:val="18"/>
                <w:szCs w:val="18"/>
              </w:rPr>
              <w:t>）</w:t>
            </w:r>
          </w:p>
        </w:tc>
        <w:tc>
          <w:tcPr>
            <w:tcW w:w="1550" w:type="dxa"/>
            <w:tcBorders>
              <w:top w:val="single" w:color="auto" w:sz="4" w:space="0"/>
              <w:left w:val="single" w:color="auto" w:sz="4" w:space="0"/>
            </w:tcBorders>
            <w:shd w:val="clear" w:color="auto" w:fill="FFFFFF"/>
            <w:vAlign w:val="bottom"/>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均价</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w:t>
            </w:r>
            <w:r>
              <w:rPr>
                <w:rFonts w:hint="eastAsia" w:ascii="Arial" w:hAnsi="Arial" w:eastAsia="华文细黑" w:cs="Arial"/>
                <w:color w:val="auto"/>
                <w:spacing w:val="0"/>
                <w:w w:val="100"/>
                <w:position w:val="0"/>
                <w:sz w:val="18"/>
                <w:szCs w:val="18"/>
                <w:lang w:eastAsia="zh-CN"/>
              </w:rPr>
              <w:t>元</w:t>
            </w:r>
            <w:r>
              <w:rPr>
                <w:rFonts w:hint="eastAsia" w:ascii="Arial" w:hAnsi="Arial" w:eastAsia="华文细黑" w:cs="Arial"/>
                <w:color w:val="auto"/>
                <w:spacing w:val="0"/>
                <w:w w:val="100"/>
                <w:position w:val="0"/>
                <w:sz w:val="18"/>
                <w:szCs w:val="18"/>
                <w:lang w:val="en-US" w:eastAsia="zh-CN"/>
              </w:rPr>
              <w:t>/平方米</w:t>
            </w:r>
            <w:r>
              <w:rPr>
                <w:rFonts w:hint="default" w:ascii="Arial" w:hAnsi="Arial" w:eastAsia="华文细黑" w:cs="Arial"/>
                <w:color w:val="auto"/>
                <w:spacing w:val="0"/>
                <w:w w:val="100"/>
                <w:position w:val="0"/>
                <w:sz w:val="18"/>
                <w:szCs w:val="18"/>
              </w:rPr>
              <w:t>）</w:t>
            </w:r>
          </w:p>
        </w:tc>
        <w:tc>
          <w:tcPr>
            <w:tcW w:w="1550" w:type="dxa"/>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z w:val="18"/>
                <w:szCs w:val="18"/>
              </w:rPr>
            </w:pPr>
            <w:r>
              <w:rPr>
                <w:rFonts w:hint="default" w:ascii="Arial" w:hAnsi="Arial" w:eastAsia="华文细黑" w:cs="Arial"/>
                <w:color w:val="auto"/>
                <w:spacing w:val="0"/>
                <w:w w:val="100"/>
                <w:position w:val="0"/>
                <w:sz w:val="18"/>
                <w:szCs w:val="18"/>
              </w:rPr>
              <w:t>涨幅</w:t>
            </w: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2022-1</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3533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46.79</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57293</w:t>
            </w:r>
          </w:p>
        </w:tc>
        <w:tc>
          <w:tcPr>
            <w:tcW w:w="1550"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55</w:t>
            </w:r>
            <w:r>
              <w:rPr>
                <w:rFonts w:hint="eastAsia" w:ascii="Arial" w:hAnsi="Arial" w:eastAsia="华文细黑" w:cs="Arial"/>
                <w:color w:val="auto"/>
                <w:spacing w:val="0"/>
                <w:w w:val="100"/>
                <w:position w:val="0"/>
                <w:sz w:val="18"/>
                <w:szCs w:val="18"/>
              </w:rPr>
              <w:t>255</w:t>
            </w:r>
          </w:p>
        </w:tc>
        <w:tc>
          <w:tcPr>
            <w:tcW w:w="1550"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4.1%</w:t>
            </w: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2</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2125</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27.16</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55166</w:t>
            </w:r>
          </w:p>
        </w:tc>
        <w:tc>
          <w:tcPr>
            <w:tcW w:w="1550" w:type="dxa"/>
            <w:vMerge w:val="continue"/>
            <w:tcBorders>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c>
          <w:tcPr>
            <w:tcW w:w="1550" w:type="dxa"/>
            <w:vMerge w:val="continue"/>
            <w:tcBorders>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3</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3938</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50.08</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53398</w:t>
            </w:r>
          </w:p>
        </w:tc>
        <w:tc>
          <w:tcPr>
            <w:tcW w:w="1550" w:type="dxa"/>
            <w:vMerge w:val="continue"/>
            <w:tcBorders>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c>
          <w:tcPr>
            <w:tcW w:w="1550" w:type="dxa"/>
            <w:vMerge w:val="continue"/>
            <w:tcBorders>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4628</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52.86</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55884</w:t>
            </w:r>
          </w:p>
        </w:tc>
        <w:tc>
          <w:tcPr>
            <w:tcW w:w="1550"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60643</w:t>
            </w:r>
          </w:p>
        </w:tc>
        <w:tc>
          <w:tcPr>
            <w:tcW w:w="1550"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9.8%</w:t>
            </w: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2951</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37.06</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59317</w:t>
            </w:r>
          </w:p>
        </w:tc>
        <w:tc>
          <w:tcPr>
            <w:tcW w:w="1550" w:type="dxa"/>
            <w:vMerge w:val="continue"/>
            <w:tcBorders>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c>
          <w:tcPr>
            <w:tcW w:w="1550" w:type="dxa"/>
            <w:vMerge w:val="continue"/>
            <w:tcBorders>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r>
      <w:tr>
        <w:tblPrEx>
          <w:tblCellMar>
            <w:top w:w="0" w:type="dxa"/>
            <w:left w:w="10" w:type="dxa"/>
            <w:bottom w:w="0" w:type="dxa"/>
            <w:right w:w="10" w:type="dxa"/>
          </w:tblCellMar>
        </w:tblPrEx>
        <w:trPr>
          <w:trHeight w:val="461"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6</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4417</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61.63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65523</w:t>
            </w:r>
          </w:p>
        </w:tc>
        <w:tc>
          <w:tcPr>
            <w:tcW w:w="1550" w:type="dxa"/>
            <w:vMerge w:val="continue"/>
            <w:tcBorders>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c>
          <w:tcPr>
            <w:tcW w:w="1550" w:type="dxa"/>
            <w:vMerge w:val="continue"/>
            <w:tcBorders>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r>
      <w:tr>
        <w:tblPrEx>
          <w:tblCellMar>
            <w:top w:w="0" w:type="dxa"/>
            <w:left w:w="10" w:type="dxa"/>
            <w:bottom w:w="0" w:type="dxa"/>
            <w:right w:w="10" w:type="dxa"/>
          </w:tblCellMar>
        </w:tblPrEx>
        <w:trPr>
          <w:trHeight w:val="408"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7</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3868</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51.61</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63346</w:t>
            </w:r>
          </w:p>
        </w:tc>
        <w:tc>
          <w:tcPr>
            <w:tcW w:w="1550"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59410</w:t>
            </w:r>
          </w:p>
        </w:tc>
        <w:tc>
          <w:tcPr>
            <w:tcW w:w="1550"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-2.0%</w:t>
            </w:r>
          </w:p>
        </w:tc>
      </w:tr>
      <w:tr>
        <w:tblPrEx>
          <w:tblCellMar>
            <w:top w:w="0" w:type="dxa"/>
            <w:left w:w="10" w:type="dxa"/>
            <w:bottom w:w="0" w:type="dxa"/>
            <w:right w:w="10" w:type="dxa"/>
          </w:tblCellMar>
        </w:tblPrEx>
        <w:trPr>
          <w:trHeight w:val="408"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8</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4079</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52.59</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56850</w:t>
            </w:r>
          </w:p>
        </w:tc>
        <w:tc>
          <w:tcPr>
            <w:tcW w:w="1550" w:type="dxa"/>
            <w:vMerge w:val="continue"/>
            <w:tcBorders>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c>
          <w:tcPr>
            <w:tcW w:w="1550" w:type="dxa"/>
            <w:vMerge w:val="continue"/>
            <w:tcBorders>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r>
      <w:tr>
        <w:tblPrEx>
          <w:tblCellMar>
            <w:top w:w="0" w:type="dxa"/>
            <w:left w:w="10" w:type="dxa"/>
            <w:bottom w:w="0" w:type="dxa"/>
            <w:right w:w="10" w:type="dxa"/>
          </w:tblCellMar>
        </w:tblPrEx>
        <w:trPr>
          <w:trHeight w:val="413"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9</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4098</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52.83</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58113</w:t>
            </w:r>
          </w:p>
        </w:tc>
        <w:tc>
          <w:tcPr>
            <w:tcW w:w="1550" w:type="dxa"/>
            <w:vMerge w:val="continue"/>
            <w:tcBorders>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c>
          <w:tcPr>
            <w:tcW w:w="1550" w:type="dxa"/>
            <w:vMerge w:val="continue"/>
            <w:tcBorders>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r>
      <w:tr>
        <w:tblPrEx>
          <w:tblCellMar>
            <w:top w:w="0" w:type="dxa"/>
            <w:left w:w="10" w:type="dxa"/>
            <w:bottom w:w="0" w:type="dxa"/>
            <w:right w:w="10" w:type="dxa"/>
          </w:tblCellMar>
        </w:tblPrEx>
        <w:trPr>
          <w:trHeight w:val="403"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10</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4148</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53.56</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62980</w:t>
            </w:r>
          </w:p>
        </w:tc>
        <w:tc>
          <w:tcPr>
            <w:tcW w:w="1550" w:type="dxa"/>
            <w:vMerge w:val="restart"/>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59617</w:t>
            </w:r>
          </w:p>
        </w:tc>
        <w:tc>
          <w:tcPr>
            <w:tcW w:w="1550" w:type="dxa"/>
            <w:vMerge w:val="restart"/>
            <w:tcBorders>
              <w:top w:val="single" w:color="auto" w:sz="4" w:space="0"/>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0.3%</w:t>
            </w:r>
          </w:p>
        </w:tc>
      </w:tr>
      <w:tr>
        <w:tblPrEx>
          <w:tblCellMar>
            <w:top w:w="0" w:type="dxa"/>
            <w:left w:w="10" w:type="dxa"/>
            <w:bottom w:w="0" w:type="dxa"/>
            <w:right w:w="10" w:type="dxa"/>
          </w:tblCellMar>
        </w:tblPrEx>
        <w:trPr>
          <w:trHeight w:val="403"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11</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3787</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47.80</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57780</w:t>
            </w:r>
          </w:p>
        </w:tc>
        <w:tc>
          <w:tcPr>
            <w:tcW w:w="1550" w:type="dxa"/>
            <w:vMerge w:val="continue"/>
            <w:tcBorders>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c>
          <w:tcPr>
            <w:tcW w:w="1550" w:type="dxa"/>
            <w:vMerge w:val="continue"/>
            <w:tcBorders>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r>
      <w:tr>
        <w:tblPrEx>
          <w:tblCellMar>
            <w:top w:w="0" w:type="dxa"/>
            <w:left w:w="10" w:type="dxa"/>
            <w:bottom w:w="0" w:type="dxa"/>
            <w:right w:w="10" w:type="dxa"/>
          </w:tblCellMar>
        </w:tblPrEx>
        <w:trPr>
          <w:trHeight w:val="408" w:hRule="exact"/>
        </w:trPr>
        <w:tc>
          <w:tcPr>
            <w:tcW w:w="1064"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12</w:t>
            </w:r>
          </w:p>
        </w:tc>
        <w:tc>
          <w:tcPr>
            <w:tcW w:w="1549"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4347</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53.11</w:t>
            </w:r>
          </w:p>
        </w:tc>
        <w:tc>
          <w:tcPr>
            <w:tcW w:w="1550" w:type="dxa"/>
            <w:tcBorders>
              <w:top w:val="single" w:color="auto" w:sz="4" w:space="0"/>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default" w:ascii="Arial" w:hAnsi="Arial" w:eastAsia="华文细黑" w:cs="Arial"/>
                <w:color w:val="auto"/>
                <w:spacing w:val="0"/>
                <w:w w:val="100"/>
                <w:position w:val="0"/>
                <w:sz w:val="18"/>
                <w:szCs w:val="18"/>
              </w:rPr>
              <w:t>57878</w:t>
            </w:r>
          </w:p>
        </w:tc>
        <w:tc>
          <w:tcPr>
            <w:tcW w:w="1550" w:type="dxa"/>
            <w:vMerge w:val="continue"/>
            <w:tcBorders>
              <w:lef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c>
          <w:tcPr>
            <w:tcW w:w="1550" w:type="dxa"/>
            <w:vMerge w:val="continue"/>
            <w:tcBorders>
              <w:left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p>
        </w:tc>
      </w:tr>
      <w:tr>
        <w:tblPrEx>
          <w:tblCellMar>
            <w:top w:w="0" w:type="dxa"/>
            <w:left w:w="10" w:type="dxa"/>
            <w:bottom w:w="0" w:type="dxa"/>
            <w:right w:w="10" w:type="dxa"/>
          </w:tblCellMar>
        </w:tblPrEx>
        <w:trPr>
          <w:trHeight w:val="413" w:hRule="exact"/>
        </w:trPr>
        <w:tc>
          <w:tcPr>
            <w:tcW w:w="1064"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2023-1</w:t>
            </w:r>
          </w:p>
        </w:tc>
        <w:tc>
          <w:tcPr>
            <w:tcW w:w="1549"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2892</w:t>
            </w:r>
          </w:p>
        </w:tc>
        <w:tc>
          <w:tcPr>
            <w:tcW w:w="1550"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37.30</w:t>
            </w:r>
          </w:p>
        </w:tc>
        <w:tc>
          <w:tcPr>
            <w:tcW w:w="1550"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61117</w:t>
            </w:r>
          </w:p>
        </w:tc>
        <w:tc>
          <w:tcPr>
            <w:tcW w:w="1550" w:type="dxa"/>
            <w:tcBorders>
              <w:top w:val="single" w:color="auto" w:sz="4" w:space="0"/>
              <w:left w:val="single" w:color="auto" w:sz="4" w:space="0"/>
              <w:bottom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w:t>
            </w:r>
          </w:p>
        </w:tc>
        <w:tc>
          <w:tcPr>
            <w:tcW w:w="15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auto"/>
                <w:spacing w:val="0"/>
                <w:w w:val="100"/>
                <w:position w:val="0"/>
                <w:sz w:val="18"/>
                <w:szCs w:val="18"/>
              </w:rPr>
            </w:pPr>
            <w:r>
              <w:rPr>
                <w:rFonts w:hint="eastAsia" w:ascii="Arial" w:hAnsi="Arial" w:eastAsia="华文细黑" w:cs="Arial"/>
                <w:color w:val="auto"/>
                <w:spacing w:val="0"/>
                <w:w w:val="100"/>
                <w:position w:val="0"/>
                <w:sz w:val="18"/>
                <w:szCs w:val="18"/>
              </w:rPr>
              <w:t>2.5%</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270" w:firstLineChars="150"/>
        <w:textAlignment w:val="auto"/>
        <w:rPr>
          <w:rFonts w:ascii="Arial" w:hAnsi="Arial" w:cs="Arial"/>
          <w:sz w:val="18"/>
          <w:szCs w:val="18"/>
        </w:rPr>
      </w:pPr>
    </w:p>
    <w:p>
      <w:pPr>
        <w:spacing w:line="360" w:lineRule="auto"/>
        <w:ind w:firstLine="420" w:firstLineChars="200"/>
        <w:rPr>
          <w:rFonts w:ascii="Arial" w:hAnsi="Arial" w:cs="Arial"/>
        </w:rPr>
      </w:pPr>
      <w:r>
        <w:rPr>
          <w:rFonts w:ascii="Arial" w:hAnsi="Arial" w:cs="Arial"/>
        </w:rPr>
        <w:t>（5）</w:t>
      </w:r>
      <w:r>
        <w:rPr>
          <w:rFonts w:hint="eastAsia" w:ascii="Arial" w:hAnsi="Arial" w:cs="Arial"/>
        </w:rPr>
        <w:t>新建商品住宅——高单价新房销售情况</w:t>
      </w:r>
    </w:p>
    <w:p>
      <w:pPr>
        <w:spacing w:line="360" w:lineRule="auto"/>
        <w:ind w:firstLine="420" w:firstLineChars="200"/>
        <w:rPr>
          <w:rFonts w:hint="eastAsia" w:ascii="Arial" w:hAnsi="Arial" w:cs="Arial"/>
          <w:lang w:val="en-US" w:eastAsia="zh-CN"/>
        </w:rPr>
      </w:pPr>
      <w:r>
        <w:rPr>
          <w:rFonts w:hint="eastAsia" w:ascii="Arial" w:hAnsi="Arial" w:cs="Arial"/>
          <w:lang w:val="en-US" w:eastAsia="zh-CN"/>
        </w:rPr>
        <w:t>根据中国指数研究院提供的数据，2022年，在商品住宅总销售面积比上年下降的情况下，单价8万元/平方米以上的项目销售面积124.54万平方米，比上年增长44.1%，销量占比由2021年的10.6%大幅升至21.2%。其中单价10万元/平方米以上的项目销售占比由5.0%升至9.7%。</w:t>
      </w:r>
    </w:p>
    <w:p>
      <w:pPr>
        <w:spacing w:line="360" w:lineRule="auto"/>
        <w:ind w:firstLine="420" w:firstLineChars="200"/>
        <w:rPr>
          <w:rFonts w:hint="eastAsia" w:ascii="Arial" w:hAnsi="Arial" w:cs="Arial"/>
        </w:rPr>
      </w:pPr>
      <w:r>
        <w:rPr>
          <w:rFonts w:hint="eastAsia" w:ascii="Arial" w:hAnsi="Arial" w:cs="Arial"/>
          <w:lang w:val="en-US" w:eastAsia="zh-CN"/>
        </w:rPr>
        <w:t>2023年1月，高单价的项目销售面积占比进一步提高，尤其10万元/平方米以上项目占比达到12.9%。</w:t>
      </w:r>
    </w:p>
    <w:tbl>
      <w:tblPr>
        <w:tblStyle w:val="19"/>
        <w:tblW w:w="8299" w:type="dxa"/>
        <w:tblInd w:w="0" w:type="dxa"/>
        <w:tblLayout w:type="fixed"/>
        <w:tblCellMar>
          <w:top w:w="0" w:type="dxa"/>
          <w:left w:w="10" w:type="dxa"/>
          <w:bottom w:w="0" w:type="dxa"/>
          <w:right w:w="10" w:type="dxa"/>
        </w:tblCellMar>
      </w:tblPr>
      <w:tblGrid>
        <w:gridCol w:w="1099"/>
        <w:gridCol w:w="1200"/>
        <w:gridCol w:w="1200"/>
        <w:gridCol w:w="1200"/>
        <w:gridCol w:w="1200"/>
        <w:gridCol w:w="1200"/>
        <w:gridCol w:w="1200"/>
      </w:tblGrid>
      <w:tr>
        <w:tblPrEx>
          <w:tblCellMar>
            <w:top w:w="0" w:type="dxa"/>
            <w:left w:w="10" w:type="dxa"/>
            <w:bottom w:w="0" w:type="dxa"/>
            <w:right w:w="10" w:type="dxa"/>
          </w:tblCellMar>
        </w:tblPrEx>
        <w:trPr>
          <w:trHeight w:val="425" w:hRule="exac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b w:val="0"/>
                <w:bCs w:val="0"/>
                <w:color w:val="auto"/>
                <w:sz w:val="18"/>
                <w:szCs w:val="18"/>
              </w:rPr>
            </w:pPr>
            <w:r>
              <w:rPr>
                <w:rFonts w:hint="eastAsia" w:ascii="华文细黑" w:hAnsi="华文细黑" w:eastAsia="华文细黑" w:cs="华文细黑"/>
                <w:color w:val="auto"/>
                <w:sz w:val="18"/>
                <w:szCs w:val="18"/>
              </w:rPr>
              <w:t>时间</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b w:val="0"/>
                <w:bCs w:val="0"/>
                <w:color w:val="auto"/>
                <w:sz w:val="18"/>
                <w:szCs w:val="18"/>
              </w:rPr>
            </w:pPr>
            <w:r>
              <w:rPr>
                <w:rFonts w:hint="eastAsia" w:ascii="华文细黑" w:hAnsi="华文细黑" w:eastAsia="华文细黑" w:cs="华文细黑"/>
                <w:color w:val="auto"/>
                <w:sz w:val="18"/>
                <w:szCs w:val="18"/>
              </w:rPr>
              <w:t>单价8万元/平方米以上</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b w:val="0"/>
                <w:bCs w:val="0"/>
                <w:color w:val="auto"/>
                <w:spacing w:val="0"/>
                <w:w w:val="100"/>
                <w:position w:val="0"/>
                <w:sz w:val="18"/>
                <w:szCs w:val="18"/>
              </w:rPr>
            </w:pPr>
            <w:r>
              <w:rPr>
                <w:rFonts w:hint="eastAsia" w:ascii="华文细黑" w:hAnsi="华文细黑" w:eastAsia="华文细黑" w:cs="华文细黑"/>
                <w:color w:val="auto"/>
                <w:sz w:val="18"/>
                <w:szCs w:val="18"/>
              </w:rPr>
              <w:t>单价10万元/平方米以上</w:t>
            </w:r>
          </w:p>
        </w:tc>
      </w:tr>
      <w:tr>
        <w:tblPrEx>
          <w:tblCellMar>
            <w:top w:w="0" w:type="dxa"/>
            <w:left w:w="10" w:type="dxa"/>
            <w:bottom w:w="0" w:type="dxa"/>
            <w:right w:w="10" w:type="dxa"/>
          </w:tblCellMar>
        </w:tblPrEx>
        <w:trPr>
          <w:trHeight w:val="748" w:hRule="exac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销售面积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(万m</w:t>
            </w:r>
            <w:r>
              <w:rPr>
                <w:rFonts w:hint="eastAsia" w:ascii="华文细黑" w:hAnsi="华文细黑" w:eastAsia="华文细黑" w:cs="华文细黑"/>
                <w:color w:val="auto"/>
                <w:sz w:val="18"/>
                <w:szCs w:val="18"/>
                <w:vertAlign w:val="superscript"/>
              </w:rPr>
              <w:t>2 </w:t>
            </w:r>
            <w:r>
              <w:rPr>
                <w:rFonts w:hint="eastAsia" w:ascii="华文细黑" w:hAnsi="华文细黑" w:eastAsia="华文细黑" w:cs="华文细黑"/>
                <w:color w:val="auto"/>
                <w:sz w:val="18"/>
                <w:szCs w:val="18"/>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销量占比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销售均价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(元/m</w:t>
            </w:r>
            <w:r>
              <w:rPr>
                <w:rFonts w:hint="eastAsia" w:ascii="华文细黑" w:hAnsi="华文细黑" w:eastAsia="华文细黑" w:cs="华文细黑"/>
                <w:color w:val="auto"/>
                <w:sz w:val="18"/>
                <w:szCs w:val="18"/>
                <w:vertAlign w:val="superscript"/>
              </w:rPr>
              <w:t>2 </w:t>
            </w:r>
            <w:r>
              <w:rPr>
                <w:rFonts w:hint="eastAsia" w:ascii="华文细黑" w:hAnsi="华文细黑" w:eastAsia="华文细黑" w:cs="华文细黑"/>
                <w:color w:val="auto"/>
                <w:sz w:val="18"/>
                <w:szCs w:val="18"/>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销售面积</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(万m</w:t>
            </w:r>
            <w:r>
              <w:rPr>
                <w:rFonts w:hint="eastAsia" w:ascii="华文细黑" w:hAnsi="华文细黑" w:eastAsia="华文细黑" w:cs="华文细黑"/>
                <w:color w:val="auto"/>
                <w:sz w:val="18"/>
                <w:szCs w:val="18"/>
                <w:vertAlign w:val="superscript"/>
              </w:rPr>
              <w:t>2 </w:t>
            </w:r>
            <w:r>
              <w:rPr>
                <w:rFonts w:hint="eastAsia" w:ascii="华文细黑" w:hAnsi="华文细黑" w:eastAsia="华文细黑" w:cs="华文细黑"/>
                <w:color w:val="auto"/>
                <w:sz w:val="18"/>
                <w:szCs w:val="18"/>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销量占比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销售均价</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(元/m</w:t>
            </w:r>
            <w:r>
              <w:rPr>
                <w:rFonts w:hint="eastAsia" w:ascii="华文细黑" w:hAnsi="华文细黑" w:eastAsia="华文细黑" w:cs="华文细黑"/>
                <w:color w:val="auto"/>
                <w:sz w:val="18"/>
                <w:szCs w:val="18"/>
                <w:vertAlign w:val="superscript"/>
              </w:rPr>
              <w:t>2</w:t>
            </w:r>
            <w:r>
              <w:rPr>
                <w:rFonts w:hint="eastAsia" w:ascii="华文细黑" w:hAnsi="华文细黑" w:eastAsia="华文细黑" w:cs="华文细黑"/>
                <w:color w:val="auto"/>
                <w:sz w:val="18"/>
                <w:szCs w:val="18"/>
              </w:rPr>
              <w:t> )</w:t>
            </w:r>
          </w:p>
        </w:tc>
      </w:tr>
      <w:tr>
        <w:tblPrEx>
          <w:tblCellMar>
            <w:top w:w="0" w:type="dxa"/>
            <w:left w:w="10" w:type="dxa"/>
            <w:bottom w:w="0" w:type="dxa"/>
            <w:right w:w="10" w:type="dxa"/>
          </w:tblCellMar>
        </w:tblPrEx>
        <w:trPr>
          <w:trHeight w:val="432"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2021年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86.44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99988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40.57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114321</w:t>
            </w:r>
          </w:p>
        </w:tc>
      </w:tr>
      <w:tr>
        <w:tblPrEx>
          <w:tblCellMar>
            <w:top w:w="0" w:type="dxa"/>
            <w:left w:w="10" w:type="dxa"/>
            <w:bottom w:w="0" w:type="dxa"/>
            <w:right w:w="10" w:type="dxa"/>
          </w:tblCellMar>
        </w:tblPrEx>
        <w:trPr>
          <w:trHeight w:val="437"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2022年</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124.54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21.2%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99518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57.13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9.7%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114194</w:t>
            </w:r>
          </w:p>
        </w:tc>
      </w:tr>
      <w:tr>
        <w:tblPrEx>
          <w:tblCellMar>
            <w:top w:w="0" w:type="dxa"/>
            <w:left w:w="10" w:type="dxa"/>
            <w:bottom w:w="0" w:type="dxa"/>
            <w:right w:w="10" w:type="dxa"/>
          </w:tblCellMar>
        </w:tblPrEx>
        <w:trPr>
          <w:trHeight w:val="437"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变化幅度</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44. 1%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40.8%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-0. 1%</w:t>
            </w:r>
          </w:p>
        </w:tc>
      </w:tr>
      <w:tr>
        <w:tblPrEx>
          <w:tblCellMar>
            <w:top w:w="0" w:type="dxa"/>
            <w:left w:w="10" w:type="dxa"/>
            <w:bottom w:w="0" w:type="dxa"/>
            <w:right w:w="10" w:type="dxa"/>
          </w:tblCellMar>
        </w:tblPrEx>
        <w:trPr>
          <w:trHeight w:val="437"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2023-1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8.20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104450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4.83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12.9%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eastAsia" w:ascii="华文细黑" w:hAnsi="华文细黑" w:eastAsia="华文细黑" w:cs="华文细黑"/>
                <w:color w:val="auto"/>
                <w:spacing w:val="0"/>
                <w:w w:val="100"/>
                <w:position w:val="0"/>
                <w:sz w:val="18"/>
                <w:szCs w:val="18"/>
              </w:rPr>
            </w:pPr>
            <w:r>
              <w:rPr>
                <w:rFonts w:hint="eastAsia" w:ascii="华文细黑" w:hAnsi="华文细黑" w:eastAsia="华文细黑" w:cs="华文细黑"/>
                <w:color w:val="auto"/>
                <w:sz w:val="18"/>
                <w:szCs w:val="18"/>
              </w:rPr>
              <w:t>117034</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ascii="Arial" w:hAnsi="Arial" w:cs="Arial"/>
          <w:sz w:val="18"/>
          <w:szCs w:val="18"/>
        </w:rPr>
      </w:pPr>
    </w:p>
    <w:p>
      <w:pPr>
        <w:spacing w:line="360" w:lineRule="auto"/>
        <w:ind w:firstLine="420" w:firstLineChars="200"/>
        <w:rPr>
          <w:rFonts w:hint="eastAsia" w:ascii="Arial" w:hAnsi="Arial" w:cs="Arial"/>
          <w:highlight w:val="none"/>
        </w:rPr>
      </w:pPr>
      <w:r>
        <w:rPr>
          <w:rFonts w:hint="eastAsia" w:ascii="Arial" w:hAnsi="Arial" w:cs="Arial"/>
          <w:highlight w:val="none"/>
          <w:lang w:eastAsia="zh-CN"/>
        </w:rPr>
        <w:t>（</w:t>
      </w:r>
      <w:r>
        <w:rPr>
          <w:rFonts w:hint="eastAsia" w:ascii="Arial" w:hAnsi="Arial" w:cs="Arial"/>
          <w:highlight w:val="none"/>
          <w:lang w:val="en-US" w:eastAsia="zh-CN"/>
        </w:rPr>
        <w:t>6</w:t>
      </w:r>
      <w:r>
        <w:rPr>
          <w:rFonts w:hint="eastAsia" w:ascii="Arial" w:hAnsi="Arial" w:cs="Arial"/>
          <w:highlight w:val="none"/>
          <w:lang w:eastAsia="zh-CN"/>
        </w:rPr>
        <w:t>）</w:t>
      </w:r>
      <w:r>
        <w:rPr>
          <w:rFonts w:hint="eastAsia" w:ascii="Arial" w:hAnsi="Arial" w:cs="Arial"/>
          <w:highlight w:val="none"/>
        </w:rPr>
        <w:t>住宅——分圈层新房销售情况</w:t>
      </w:r>
    </w:p>
    <w:p>
      <w:pPr>
        <w:spacing w:line="360" w:lineRule="auto"/>
        <w:ind w:firstLine="420" w:firstLineChars="200"/>
        <w:rPr>
          <w:rFonts w:hint="eastAsia" w:ascii="Arial" w:hAnsi="Arial" w:cs="Arial"/>
          <w:highlight w:val="none"/>
        </w:rPr>
      </w:pPr>
      <w:r>
        <w:rPr>
          <w:rFonts w:hint="eastAsia" w:ascii="Arial" w:hAnsi="Arial" w:cs="Arial"/>
          <w:highlight w:val="none"/>
        </w:rPr>
        <w:t>2022年，中心城区(城六区) 销量占比为41.5%，比2021年增加10.1个百分点，其中首都功能核心区因“北京城建天坛府”项目的开盘销售，销量占比也提升。</w:t>
      </w:r>
    </w:p>
    <w:p>
      <w:pPr>
        <w:spacing w:line="360" w:lineRule="auto"/>
        <w:ind w:firstLine="420" w:firstLineChars="200"/>
        <w:rPr>
          <w:rFonts w:hint="eastAsia" w:ascii="Arial" w:hAnsi="Arial" w:cs="Arial"/>
          <w:highlight w:val="none"/>
        </w:rPr>
      </w:pPr>
      <w:r>
        <w:rPr>
          <w:rFonts w:hint="eastAsia" w:ascii="Arial" w:hAnsi="Arial" w:cs="Arial"/>
          <w:highlight w:val="none"/>
        </w:rPr>
        <w:t>2023年1月，因东城“信达中心.東外39號”项目盘活入市，销售备案1.96万平方米， 核心区占比进一步提高，多点和中心城区仍为主要销售区域，生态涵养区占比减少。</w:t>
      </w:r>
    </w:p>
    <w:tbl>
      <w:tblPr>
        <w:tblStyle w:val="19"/>
        <w:tblW w:w="8299" w:type="dxa"/>
        <w:tblInd w:w="0" w:type="dxa"/>
        <w:tblLayout w:type="fixed"/>
        <w:tblCellMar>
          <w:top w:w="0" w:type="dxa"/>
          <w:left w:w="10" w:type="dxa"/>
          <w:bottom w:w="0" w:type="dxa"/>
          <w:right w:w="10" w:type="dxa"/>
        </w:tblCellMar>
      </w:tblPr>
      <w:tblGrid>
        <w:gridCol w:w="1099"/>
        <w:gridCol w:w="1200"/>
        <w:gridCol w:w="1200"/>
        <w:gridCol w:w="1200"/>
        <w:gridCol w:w="1200"/>
        <w:gridCol w:w="1200"/>
        <w:gridCol w:w="1200"/>
      </w:tblGrid>
      <w:tr>
        <w:tblPrEx>
          <w:tblCellMar>
            <w:top w:w="0" w:type="dxa"/>
            <w:left w:w="10" w:type="dxa"/>
            <w:bottom w:w="0" w:type="dxa"/>
            <w:right w:w="10" w:type="dxa"/>
          </w:tblCellMar>
        </w:tblPrEx>
        <w:trPr>
          <w:trHeight w:val="425" w:hRule="exac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区域</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2021年</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2022</w:t>
            </w:r>
            <w:r>
              <w:rPr>
                <w:rFonts w:hint="eastAsia" w:ascii="华文细黑" w:hAnsi="华文细黑" w:eastAsia="华文细黑" w:cs="华文细黑"/>
                <w:color w:val="auto"/>
                <w:sz w:val="18"/>
                <w:szCs w:val="18"/>
              </w:rPr>
              <w:t>年</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2023年1月</w:t>
            </w:r>
          </w:p>
        </w:tc>
      </w:tr>
      <w:tr>
        <w:tblPrEx>
          <w:tblCellMar>
            <w:top w:w="0" w:type="dxa"/>
            <w:left w:w="10" w:type="dxa"/>
            <w:bottom w:w="0" w:type="dxa"/>
            <w:right w:w="10" w:type="dxa"/>
          </w:tblCellMar>
        </w:tblPrEx>
        <w:trPr>
          <w:trHeight w:val="502" w:hRule="exac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销量</w:t>
            </w:r>
            <w:r>
              <w:rPr>
                <w:rFonts w:hint="default" w:ascii="华文细黑" w:hAnsi="华文细黑" w:eastAsia="华文细黑" w:cs="华文细黑"/>
                <w:color w:val="auto"/>
                <w:sz w:val="18"/>
                <w:szCs w:val="18"/>
              </w:rPr>
              <w:t>(</w:t>
            </w:r>
            <w:r>
              <w:rPr>
                <w:rFonts w:hint="eastAsia" w:ascii="华文细黑" w:hAnsi="华文细黑" w:eastAsia="华文细黑" w:cs="华文细黑"/>
                <w:color w:val="auto"/>
                <w:sz w:val="18"/>
                <w:szCs w:val="18"/>
              </w:rPr>
              <w:t>万㎡</w:t>
            </w:r>
            <w:r>
              <w:rPr>
                <w:rFonts w:hint="default" w:ascii="华文细黑" w:hAnsi="华文细黑" w:eastAsia="华文细黑" w:cs="华文细黑"/>
                <w:color w:val="auto"/>
                <w:sz w:val="18"/>
                <w:szCs w:val="18"/>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占比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销量</w:t>
            </w:r>
            <w:r>
              <w:rPr>
                <w:rFonts w:hint="default" w:ascii="华文细黑" w:hAnsi="华文细黑" w:eastAsia="华文细黑" w:cs="华文细黑"/>
                <w:color w:val="auto"/>
                <w:sz w:val="18"/>
                <w:szCs w:val="18"/>
              </w:rPr>
              <w:t>(</w:t>
            </w:r>
            <w:r>
              <w:rPr>
                <w:rFonts w:hint="eastAsia" w:ascii="华文细黑" w:hAnsi="华文细黑" w:eastAsia="华文细黑" w:cs="华文细黑"/>
                <w:color w:val="auto"/>
                <w:sz w:val="18"/>
                <w:szCs w:val="18"/>
              </w:rPr>
              <w:t>万㎡</w:t>
            </w:r>
            <w:r>
              <w:rPr>
                <w:rFonts w:hint="default" w:ascii="华文细黑" w:hAnsi="华文细黑" w:eastAsia="华文细黑" w:cs="华文细黑"/>
                <w:color w:val="auto"/>
                <w:sz w:val="18"/>
                <w:szCs w:val="18"/>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占比</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销量</w:t>
            </w:r>
            <w:r>
              <w:rPr>
                <w:rFonts w:hint="default" w:ascii="华文细黑" w:hAnsi="华文细黑" w:eastAsia="华文细黑" w:cs="华文细黑"/>
                <w:color w:val="auto"/>
                <w:sz w:val="18"/>
                <w:szCs w:val="18"/>
              </w:rPr>
              <w:t>(</w:t>
            </w:r>
            <w:r>
              <w:rPr>
                <w:rFonts w:hint="eastAsia" w:ascii="华文细黑" w:hAnsi="华文细黑" w:eastAsia="华文细黑" w:cs="华文细黑"/>
                <w:color w:val="auto"/>
                <w:sz w:val="18"/>
                <w:szCs w:val="18"/>
              </w:rPr>
              <w:t>万㎡</w:t>
            </w:r>
            <w:r>
              <w:rPr>
                <w:rFonts w:hint="default" w:ascii="华文细黑" w:hAnsi="华文细黑" w:eastAsia="华文细黑" w:cs="华文细黑"/>
                <w:color w:val="auto"/>
                <w:sz w:val="18"/>
                <w:szCs w:val="18"/>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占比</w:t>
            </w:r>
          </w:p>
        </w:tc>
      </w:tr>
      <w:tr>
        <w:tblPrEx>
          <w:tblCellMar>
            <w:top w:w="0" w:type="dxa"/>
            <w:left w:w="10" w:type="dxa"/>
            <w:bottom w:w="0" w:type="dxa"/>
            <w:right w:w="10" w:type="dxa"/>
          </w:tblCellMar>
        </w:tblPrEx>
        <w:trPr>
          <w:trHeight w:val="696"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首都功能核心区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6.65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18.34</w:t>
            </w:r>
            <w:bookmarkStart w:id="15" w:name="_GoBack"/>
            <w:bookmarkEnd w:id="15"/>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3. 1%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2.77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7.4%</w:t>
            </w:r>
          </w:p>
        </w:tc>
      </w:tr>
      <w:tr>
        <w:tblPrEx>
          <w:tblCellMar>
            <w:top w:w="0" w:type="dxa"/>
            <w:left w:w="10" w:type="dxa"/>
            <w:bottom w:w="0" w:type="dxa"/>
            <w:right w:w="10" w:type="dxa"/>
          </w:tblCellMar>
        </w:tblPrEx>
        <w:trPr>
          <w:trHeight w:val="765"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中心城区</w:t>
            </w:r>
          </w:p>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w:t>
            </w:r>
            <w:r>
              <w:rPr>
                <w:rFonts w:hint="eastAsia" w:ascii="华文细黑" w:hAnsi="华文细黑" w:eastAsia="华文细黑" w:cs="华文细黑"/>
                <w:color w:val="auto"/>
                <w:sz w:val="18"/>
                <w:szCs w:val="18"/>
              </w:rPr>
              <w:t>含核心区</w:t>
            </w:r>
            <w:r>
              <w:rPr>
                <w:rFonts w:hint="default" w:ascii="华文细黑" w:hAnsi="华文细黑" w:eastAsia="华文细黑" w:cs="华文细黑"/>
                <w:color w:val="auto"/>
                <w:sz w:val="18"/>
                <w:szCs w:val="18"/>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256.19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31.4%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243.43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41.5%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14.64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39.3%</w:t>
            </w:r>
          </w:p>
        </w:tc>
      </w:tr>
      <w:tr>
        <w:tblPrEx>
          <w:tblCellMar>
            <w:top w:w="0" w:type="dxa"/>
            <w:left w:w="10" w:type="dxa"/>
            <w:bottom w:w="0" w:type="dxa"/>
            <w:right w:w="10" w:type="dxa"/>
          </w:tblCellMar>
        </w:tblPrEx>
        <w:trPr>
          <w:trHeight w:val="465"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副中心</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71.34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8.7%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51.10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8.7%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3.28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8.8%</w:t>
            </w:r>
          </w:p>
        </w:tc>
      </w:tr>
      <w:tr>
        <w:tblPrEx>
          <w:tblCellMar>
            <w:top w:w="0" w:type="dxa"/>
            <w:left w:w="10" w:type="dxa"/>
            <w:bottom w:w="0" w:type="dxa"/>
            <w:right w:w="10" w:type="dxa"/>
          </w:tblCellMar>
        </w:tblPrEx>
        <w:trPr>
          <w:trHeight w:val="437"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多点</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408.11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235.16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40. 1%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16.84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45. 1%</w:t>
            </w:r>
          </w:p>
        </w:tc>
      </w:tr>
      <w:tr>
        <w:tblPrEx>
          <w:tblCellMar>
            <w:top w:w="0" w:type="dxa"/>
            <w:left w:w="10" w:type="dxa"/>
            <w:bottom w:w="0" w:type="dxa"/>
            <w:right w:w="10" w:type="dxa"/>
          </w:tblCellMar>
        </w:tblPrEx>
        <w:trPr>
          <w:trHeight w:val="437"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生态涵养区</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80.41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9.9%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57.39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9.8%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2.54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6.8%</w:t>
            </w:r>
          </w:p>
        </w:tc>
      </w:tr>
      <w:tr>
        <w:tblPrEx>
          <w:tblCellMar>
            <w:top w:w="0" w:type="dxa"/>
            <w:left w:w="10" w:type="dxa"/>
            <w:bottom w:w="0" w:type="dxa"/>
            <w:right w:w="10" w:type="dxa"/>
          </w:tblCellMar>
        </w:tblPrEx>
        <w:trPr>
          <w:trHeight w:val="437" w:hRule="exact"/>
        </w:trPr>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816.05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587.08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37.30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hint="eastAsia" w:ascii="Arial" w:hAnsi="Arial" w:cs="Arial"/>
          <w:sz w:val="18"/>
          <w:szCs w:val="18"/>
          <w:highlight w:val="none"/>
        </w:rPr>
      </w:pPr>
    </w:p>
    <w:p>
      <w:pPr>
        <w:spacing w:line="360" w:lineRule="auto"/>
        <w:ind w:firstLine="420" w:firstLineChars="200"/>
        <w:rPr>
          <w:rFonts w:ascii="Arial" w:hAnsi="Arial" w:cs="Arial"/>
          <w:highlight w:val="none"/>
        </w:rPr>
      </w:pPr>
      <w:r>
        <w:rPr>
          <w:rFonts w:ascii="Arial" w:hAnsi="Arial" w:cs="Arial"/>
          <w:highlight w:val="none"/>
        </w:rPr>
        <w:t>（6）</w:t>
      </w:r>
      <w:r>
        <w:rPr>
          <w:rFonts w:hint="eastAsia" w:ascii="Arial" w:hAnsi="Arial" w:cs="Arial"/>
          <w:highlight w:val="none"/>
        </w:rPr>
        <w:t>二手住宅——价格指数</w:t>
      </w:r>
    </w:p>
    <w:p>
      <w:pPr>
        <w:spacing w:line="360" w:lineRule="auto"/>
        <w:ind w:firstLine="420" w:firstLineChars="200"/>
        <w:jc w:val="both"/>
        <w:rPr>
          <w:rFonts w:hint="eastAsia" w:ascii="Arial" w:hAnsi="Arial" w:cs="Arial"/>
          <w:highlight w:val="none"/>
        </w:rPr>
      </w:pPr>
      <w:r>
        <w:rPr>
          <w:rFonts w:hint="eastAsia" w:ascii="Arial" w:hAnsi="Arial" w:cs="Arial"/>
          <w:highlight w:val="none"/>
        </w:rPr>
        <w:t>2022年各月，二手住宅价格环比指数围绕100略有波动， 年中 的5月以及年底的11、 12月份环比微降，其余月份为上涨。同比保持小幅上涨，1-8月同比涨幅连续缩窄，9- 11月回升，12月再次下滑至同比涨幅3.9%。</w:t>
      </w:r>
    </w:p>
    <w:p>
      <w:pPr>
        <w:spacing w:line="360" w:lineRule="auto"/>
        <w:ind w:firstLine="420" w:firstLineChars="200"/>
        <w:jc w:val="both"/>
        <w:rPr>
          <w:rFonts w:hint="eastAsia" w:ascii="Arial" w:hAnsi="Arial" w:cs="Arial"/>
          <w:highlight w:val="none"/>
        </w:rPr>
      </w:pPr>
      <w:r>
        <w:rPr>
          <w:rFonts w:hint="eastAsia" w:ascii="Arial" w:hAnsi="Arial" w:cs="Arial"/>
          <w:highlight w:val="none"/>
        </w:rPr>
        <w:t>2023年1月，二手住宅价格环比回升，涨幅为0.9%，同比上涨速度比上月加快，涨幅为4.3%。</w:t>
      </w:r>
    </w:p>
    <w:tbl>
      <w:tblPr>
        <w:tblStyle w:val="19"/>
        <w:tblW w:w="8814" w:type="dxa"/>
        <w:tblInd w:w="0" w:type="dxa"/>
        <w:tblLayout w:type="fixed"/>
        <w:tblCellMar>
          <w:top w:w="0" w:type="dxa"/>
          <w:left w:w="10" w:type="dxa"/>
          <w:bottom w:w="0" w:type="dxa"/>
          <w:right w:w="10" w:type="dxa"/>
        </w:tblCellMar>
      </w:tblPr>
      <w:tblGrid>
        <w:gridCol w:w="518"/>
        <w:gridCol w:w="518"/>
        <w:gridCol w:w="518"/>
        <w:gridCol w:w="518"/>
        <w:gridCol w:w="518"/>
        <w:gridCol w:w="518"/>
        <w:gridCol w:w="518"/>
        <w:gridCol w:w="518"/>
        <w:gridCol w:w="518"/>
        <w:gridCol w:w="518"/>
        <w:gridCol w:w="518"/>
        <w:gridCol w:w="518"/>
        <w:gridCol w:w="518"/>
        <w:gridCol w:w="518"/>
        <w:gridCol w:w="518"/>
        <w:gridCol w:w="518"/>
        <w:gridCol w:w="526"/>
      </w:tblGrid>
      <w:tr>
        <w:tblPrEx>
          <w:tblCellMar>
            <w:top w:w="0" w:type="dxa"/>
            <w:left w:w="10" w:type="dxa"/>
            <w:bottom w:w="0" w:type="dxa"/>
            <w:right w:w="10" w:type="dxa"/>
          </w:tblCellMar>
        </w:tblPrEx>
        <w:trPr>
          <w:trHeight w:val="613" w:hRule="atLeast"/>
        </w:trPr>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项目</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10</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default" w:ascii="华文细黑" w:hAnsi="华文细黑" w:eastAsia="华文细黑" w:cs="华文细黑"/>
                <w:color w:val="auto"/>
                <w:sz w:val="18"/>
                <w:szCs w:val="18"/>
                <w:highlight w:val="none"/>
              </w:rPr>
              <w:t>11</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default" w:ascii="华文细黑" w:hAnsi="华文细黑" w:eastAsia="华文细黑" w:cs="华文细黑"/>
                <w:color w:val="auto"/>
                <w:sz w:val="18"/>
                <w:szCs w:val="18"/>
                <w:highlight w:val="none"/>
              </w:rPr>
              <w:t>12</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2022/1</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2</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3</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4</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5</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6</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7</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8</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9</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10</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11</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12</w:t>
            </w:r>
          </w:p>
        </w:tc>
        <w:tc>
          <w:tcPr>
            <w:tcW w:w="526" w:type="dxa"/>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highlight w:val="none"/>
              </w:rPr>
            </w:pPr>
            <w:r>
              <w:rPr>
                <w:rFonts w:hint="eastAsia" w:ascii="华文细黑" w:hAnsi="华文细黑" w:eastAsia="华文细黑" w:cs="华文细黑"/>
                <w:color w:val="auto"/>
                <w:sz w:val="18"/>
                <w:szCs w:val="18"/>
                <w:highlight w:val="none"/>
              </w:rPr>
              <w:t>2023/1</w:t>
            </w:r>
          </w:p>
        </w:tc>
      </w:tr>
      <w:tr>
        <w:tblPrEx>
          <w:tblCellMar>
            <w:top w:w="0" w:type="dxa"/>
            <w:left w:w="10" w:type="dxa"/>
            <w:bottom w:w="0" w:type="dxa"/>
            <w:right w:w="10" w:type="dxa"/>
          </w:tblCellMar>
        </w:tblPrEx>
        <w:trPr>
          <w:trHeight w:val="613" w:hRule="atLeast"/>
        </w:trPr>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环比</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99.5</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99.8</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100.8</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100.5</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100.7</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101.2</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100.6</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99.9</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100.5</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100.2</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100.2</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100.4</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100.1</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99.8</w:t>
            </w:r>
          </w:p>
        </w:tc>
        <w:tc>
          <w:tcPr>
            <w:tcW w:w="518" w:type="dxa"/>
            <w:tcBorders>
              <w:top w:val="single" w:color="auto" w:sz="4" w:space="0"/>
              <w:lef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99.6</w:t>
            </w:r>
          </w:p>
        </w:tc>
        <w:tc>
          <w:tcPr>
            <w:tcW w:w="526" w:type="dxa"/>
            <w:tcBorders>
              <w:top w:val="single" w:color="auto" w:sz="4" w:space="0"/>
              <w:left w:val="single" w:color="auto" w:sz="4" w:space="0"/>
              <w:righ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100.9</w:t>
            </w:r>
          </w:p>
        </w:tc>
      </w:tr>
      <w:tr>
        <w:tblPrEx>
          <w:tblCellMar>
            <w:top w:w="0" w:type="dxa"/>
            <w:left w:w="10" w:type="dxa"/>
            <w:bottom w:w="0" w:type="dxa"/>
            <w:right w:w="10" w:type="dxa"/>
          </w:tblCellMar>
        </w:tblPrEx>
        <w:trPr>
          <w:trHeight w:val="613" w:hRule="atLeast"/>
        </w:trPr>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同比</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108.8</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108.1</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108.5</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108</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107.4</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107.2</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106.5</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105.3</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104.5</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104.1</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103.9</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default" w:ascii="华文细黑" w:hAnsi="华文细黑" w:eastAsia="华文细黑" w:cs="华文细黑"/>
                <w:color w:val="auto"/>
                <w:sz w:val="18"/>
                <w:szCs w:val="18"/>
              </w:rPr>
              <w:t>104.6</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105.2</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105.2</w:t>
            </w:r>
          </w:p>
        </w:tc>
        <w:tc>
          <w:tcPr>
            <w:tcW w:w="518" w:type="dxa"/>
            <w:tcBorders>
              <w:top w:val="single" w:color="auto" w:sz="4" w:space="0"/>
              <w:left w:val="single" w:color="auto" w:sz="4" w:space="0"/>
              <w:bottom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103.9</w:t>
            </w:r>
          </w:p>
        </w:tc>
        <w:tc>
          <w:tcPr>
            <w:tcW w:w="5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华文细黑" w:hAnsi="华文细黑" w:eastAsia="华文细黑" w:cs="华文细黑"/>
                <w:color w:val="auto"/>
                <w:sz w:val="18"/>
                <w:szCs w:val="18"/>
              </w:rPr>
            </w:pPr>
            <w:r>
              <w:rPr>
                <w:rFonts w:hint="eastAsia" w:ascii="华文细黑" w:hAnsi="华文细黑" w:eastAsia="华文细黑" w:cs="华文细黑"/>
                <w:color w:val="auto"/>
                <w:sz w:val="18"/>
                <w:szCs w:val="18"/>
              </w:rPr>
              <w:t>104.3</w:t>
            </w:r>
          </w:p>
        </w:tc>
      </w:tr>
    </w:tbl>
    <w:p>
      <w:pPr>
        <w:pStyle w:val="1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华文细黑" w:hAnsi="华文细黑" w:eastAsia="华文细黑" w:cs="华文细黑"/>
          <w:color w:val="auto"/>
          <w:sz w:val="18"/>
          <w:szCs w:val="18"/>
        </w:rPr>
      </w:pPr>
    </w:p>
    <w:p>
      <w:pPr>
        <w:spacing w:line="360" w:lineRule="auto"/>
        <w:rPr>
          <w:rFonts w:ascii="Arial" w:hAnsi="Arial" w:cs="Arial"/>
        </w:rPr>
      </w:pPr>
      <w:r>
        <w:drawing>
          <wp:inline distT="0" distB="0" distL="114300" distR="114300">
            <wp:extent cx="5297805" cy="2846705"/>
            <wp:effectExtent l="0" t="0" r="17145" b="10795"/>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450"/>
                    <pic:cNvPicPr>
                      <a:picLocks noChangeAspect="1"/>
                    </pic:cNvPicPr>
                  </pic:nvPicPr>
                  <pic:blipFill>
                    <a:blip r:embed="rId15"/>
                    <a:stretch>
                      <a:fillRect/>
                    </a:stretch>
                  </pic:blipFill>
                  <pic:spPr>
                    <a:xfrm rot="21600000">
                      <a:off x="0" y="0"/>
                      <a:ext cx="5297805" cy="2846705"/>
                    </a:xfrm>
                    <a:prstGeom prst="rect">
                      <a:avLst/>
                    </a:prstGeom>
                  </pic:spPr>
                </pic:pic>
              </a:graphicData>
            </a:graphic>
          </wp:inline>
        </w:drawing>
      </w:r>
    </w:p>
    <w:p>
      <w:pPr>
        <w:spacing w:line="360" w:lineRule="auto"/>
        <w:ind w:firstLine="420" w:firstLineChars="200"/>
        <w:rPr>
          <w:rFonts w:ascii="Arial" w:hAnsi="Arial" w:cs="Arial"/>
        </w:rPr>
      </w:pPr>
      <w:r>
        <w:rPr>
          <w:rFonts w:ascii="Arial" w:hAnsi="Arial" w:cs="Arial"/>
        </w:rPr>
        <w:t>（7）</w:t>
      </w:r>
      <w:r>
        <w:rPr>
          <w:rFonts w:hint="eastAsia" w:ascii="Arial" w:hAnsi="Arial" w:cs="Arial"/>
        </w:rPr>
        <w:t>二手房——存量住宅签约量</w:t>
      </w:r>
    </w:p>
    <w:p>
      <w:pPr>
        <w:spacing w:line="360" w:lineRule="auto"/>
        <w:ind w:firstLine="420" w:firstLineChars="200"/>
        <w:rPr>
          <w:rFonts w:hint="eastAsia" w:ascii="Arial" w:hAnsi="Arial" w:cs="Arial"/>
        </w:rPr>
      </w:pPr>
      <w:r>
        <w:rPr>
          <w:rFonts w:hint="eastAsia" w:ascii="Arial" w:hAnsi="Arial" w:cs="Arial"/>
        </w:rPr>
        <w:t>2022年，存量房签约套数比2021年减少26.3%，去年4季度月签约量连续下滑，12月跌破万套。</w:t>
      </w:r>
    </w:p>
    <w:p>
      <w:pPr>
        <w:spacing w:line="360" w:lineRule="auto"/>
        <w:ind w:firstLine="420" w:firstLineChars="200"/>
        <w:rPr>
          <w:rFonts w:hint="eastAsia" w:ascii="Arial" w:hAnsi="Arial" w:cs="Arial"/>
        </w:rPr>
      </w:pPr>
      <w:r>
        <w:rPr>
          <w:rFonts w:hint="eastAsia" w:ascii="Arial" w:hAnsi="Arial" w:cs="Arial"/>
        </w:rPr>
        <w:t>2023年1月，存量房签约8308套， 因春节假期因素，签约量下滑，高于去年2月</w:t>
      </w:r>
      <w:r>
        <w:rPr>
          <w:rFonts w:hint="eastAsia" w:ascii="Arial" w:hAnsi="Arial" w:cs="Arial"/>
          <w:lang w:eastAsia="zh-CN"/>
        </w:rPr>
        <w:t>（</w:t>
      </w:r>
      <w:r>
        <w:rPr>
          <w:rFonts w:hint="eastAsia" w:ascii="Arial" w:hAnsi="Arial" w:cs="Arial"/>
        </w:rPr>
        <w:t>春节假期</w:t>
      </w:r>
      <w:r>
        <w:rPr>
          <w:rFonts w:hint="eastAsia" w:ascii="Arial" w:hAnsi="Arial" w:cs="Arial"/>
          <w:lang w:eastAsia="zh-CN"/>
        </w:rPr>
        <w:t>）</w:t>
      </w:r>
      <w:r>
        <w:rPr>
          <w:rFonts w:hint="eastAsia" w:ascii="Arial" w:hAnsi="Arial" w:cs="Arial"/>
        </w:rPr>
        <w:t>。</w:t>
      </w:r>
    </w:p>
    <w:tbl>
      <w:tblPr>
        <w:tblStyle w:val="19"/>
        <w:tblW w:w="882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0"/>
        <w:gridCol w:w="980"/>
        <w:gridCol w:w="980"/>
        <w:gridCol w:w="980"/>
        <w:gridCol w:w="980"/>
        <w:gridCol w:w="980"/>
        <w:gridCol w:w="980"/>
        <w:gridCol w:w="98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Arial" w:hAnsi="Arial" w:eastAsia="华文细黑" w:cs="Arial"/>
                <w:i w:val="0"/>
                <w:iCs w:val="0"/>
                <w:color w:val="000000"/>
                <w:sz w:val="18"/>
                <w:szCs w:val="18"/>
                <w:u w:val="none"/>
                <w:lang w:val="en-US" w:eastAsia="zh-CN"/>
              </w:rPr>
            </w:pPr>
            <w:r>
              <w:rPr>
                <w:rFonts w:hint="eastAsia" w:ascii="Arial" w:hAnsi="Arial" w:eastAsia="华文细黑" w:cs="Arial"/>
                <w:i w:val="0"/>
                <w:iCs w:val="0"/>
                <w:color w:val="000000"/>
                <w:sz w:val="18"/>
                <w:szCs w:val="18"/>
                <w:u w:val="none"/>
                <w:lang w:val="en-US" w:eastAsia="zh-CN"/>
              </w:rPr>
              <w:t>月份</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2021/10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2022/1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4</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default" w:ascii="Arial" w:hAnsi="Arial" w:eastAsia="华文细黑" w:cs="Arial"/>
                <w:i w:val="0"/>
                <w:iCs w:val="0"/>
                <w:color w:val="000000"/>
                <w:sz w:val="18"/>
                <w:szCs w:val="18"/>
                <w:u w:val="none"/>
              </w:rPr>
            </w:pPr>
            <w:r>
              <w:rPr>
                <w:rStyle w:val="51"/>
                <w:rFonts w:hint="default" w:ascii="Arial" w:hAnsi="Arial" w:eastAsia="华文细黑" w:cs="Arial"/>
                <w:sz w:val="18"/>
                <w:szCs w:val="18"/>
                <w:lang w:val="en-US" w:eastAsia="zh-CN" w:bidi="ar"/>
              </w:rPr>
              <w:t>套数</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9340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11851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15442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11875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8260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17085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14239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8599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Style w:val="51"/>
                <w:rFonts w:hint="default" w:ascii="Arial" w:hAnsi="Arial" w:eastAsia="华文细黑" w:cs="Arial"/>
                <w:sz w:val="18"/>
                <w:szCs w:val="18"/>
                <w:lang w:val="en-US" w:eastAsia="zh-CN" w:bidi="ar"/>
              </w:rPr>
            </w:pPr>
            <w:r>
              <w:rPr>
                <w:rFonts w:hint="eastAsia" w:ascii="Arial" w:hAnsi="Arial" w:eastAsia="华文细黑" w:cs="Arial"/>
                <w:i w:val="0"/>
                <w:iCs w:val="0"/>
                <w:color w:val="000000"/>
                <w:sz w:val="18"/>
                <w:szCs w:val="18"/>
                <w:u w:val="none"/>
                <w:lang w:val="en-US" w:eastAsia="zh-CN"/>
              </w:rPr>
              <w:t>月份</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7</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2023/1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Style w:val="51"/>
                <w:rFonts w:hint="default" w:ascii="Arial" w:hAnsi="Arial" w:eastAsia="华文细黑" w:cs="Arial"/>
                <w:sz w:val="18"/>
                <w:szCs w:val="18"/>
                <w:lang w:val="en-US" w:eastAsia="zh-CN" w:bidi="ar"/>
              </w:rPr>
            </w:pPr>
            <w:r>
              <w:rPr>
                <w:rStyle w:val="51"/>
                <w:rFonts w:hint="default" w:ascii="Arial" w:hAnsi="Arial" w:eastAsia="华文细黑" w:cs="Arial"/>
                <w:sz w:val="18"/>
                <w:szCs w:val="18"/>
                <w:lang w:val="en-US" w:eastAsia="zh-CN" w:bidi="ar"/>
              </w:rPr>
              <w:t>套数</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11009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12338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13920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14329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11209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10750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8773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8308</w:t>
            </w:r>
          </w:p>
        </w:tc>
      </w:tr>
    </w:tbl>
    <w:p>
      <w:pPr>
        <w:spacing w:line="360" w:lineRule="auto"/>
      </w:pPr>
    </w:p>
    <w:p>
      <w:pPr>
        <w:spacing w:line="360" w:lineRule="auto"/>
        <w:rPr>
          <w:rFonts w:ascii="Arial" w:hAnsi="Arial" w:cs="Arial"/>
        </w:rPr>
      </w:pPr>
    </w:p>
    <w:p>
      <w:pPr>
        <w:spacing w:line="360" w:lineRule="auto"/>
      </w:pPr>
      <w:r>
        <w:drawing>
          <wp:inline distT="0" distB="0" distL="114300" distR="114300">
            <wp:extent cx="5392420" cy="2874010"/>
            <wp:effectExtent l="0" t="0" r="17780" b="254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443"/>
                    <pic:cNvPicPr>
                      <a:picLocks noChangeAspect="1"/>
                    </pic:cNvPicPr>
                  </pic:nvPicPr>
                  <pic:blipFill>
                    <a:blip r:embed="rId16"/>
                    <a:stretch>
                      <a:fillRect/>
                    </a:stretch>
                  </pic:blipFill>
                  <pic:spPr>
                    <a:xfrm rot="21600000">
                      <a:off x="0" y="0"/>
                      <a:ext cx="5392420" cy="2874010"/>
                    </a:xfrm>
                    <a:prstGeom prst="rect">
                      <a:avLst/>
                    </a:prstGeom>
                  </pic:spPr>
                </pic:pic>
              </a:graphicData>
            </a:graphic>
          </wp:inline>
        </w:drawing>
      </w:r>
    </w:p>
    <w:p>
      <w:pPr>
        <w:spacing w:line="360" w:lineRule="auto"/>
      </w:pPr>
    </w:p>
    <w:p>
      <w:pPr>
        <w:spacing w:line="360" w:lineRule="auto"/>
        <w:ind w:firstLine="420" w:firstLineChars="200"/>
        <w:rPr>
          <w:rFonts w:ascii="Arial" w:hAnsi="Arial" w:cs="Arial"/>
        </w:rPr>
      </w:pPr>
      <w:r>
        <w:rPr>
          <w:rFonts w:ascii="Arial" w:hAnsi="Arial" w:cs="Arial"/>
        </w:rPr>
        <w:t>（8）</w:t>
      </w:r>
      <w:r>
        <w:rPr>
          <w:rFonts w:hint="eastAsia" w:ascii="Arial" w:hAnsi="Arial" w:cs="Arial"/>
        </w:rPr>
        <w:t>住房租金——价格指数</w:t>
      </w:r>
    </w:p>
    <w:p>
      <w:pPr>
        <w:spacing w:line="360" w:lineRule="auto"/>
        <w:ind w:firstLine="420" w:firstLineChars="200"/>
        <w:rPr>
          <w:rFonts w:hint="eastAsia" w:ascii="Arial" w:hAnsi="Arial" w:cs="Arial"/>
        </w:rPr>
      </w:pPr>
      <w:r>
        <w:rPr>
          <w:rFonts w:hint="eastAsia" w:ascii="Arial" w:hAnsi="Arial" w:cs="Arial"/>
        </w:rPr>
        <w:t>2022年，住房租金环比基本保持平稳，涨跌波动幅度较小；同比以上涨为主，涨幅从年初的1.6%连续下滑至6 月份的同比下跌，下半年保持较稳定的微弱涨幅。</w:t>
      </w:r>
    </w:p>
    <w:p>
      <w:pPr>
        <w:spacing w:line="360" w:lineRule="auto"/>
        <w:ind w:firstLine="420" w:firstLineChars="200"/>
        <w:rPr>
          <w:rFonts w:hint="eastAsia" w:ascii="Arial" w:hAnsi="Arial" w:cs="Arial"/>
        </w:rPr>
      </w:pPr>
      <w:r>
        <w:rPr>
          <w:rFonts w:hint="eastAsia" w:ascii="Arial" w:hAnsi="Arial" w:cs="Arial"/>
        </w:rPr>
        <w:t>2023年1月，住房租金环比平稳，同比0.5%，租赁市场基本稳定。</w:t>
      </w:r>
    </w:p>
    <w:tbl>
      <w:tblPr>
        <w:tblStyle w:val="19"/>
        <w:tblW w:w="8820"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0"/>
        <w:gridCol w:w="980"/>
        <w:gridCol w:w="980"/>
        <w:gridCol w:w="980"/>
        <w:gridCol w:w="980"/>
        <w:gridCol w:w="980"/>
        <w:gridCol w:w="980"/>
        <w:gridCol w:w="98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Fonts w:hint="eastAsia" w:ascii="Arial" w:hAnsi="Arial" w:eastAsia="华文细黑" w:cs="Arial"/>
                <w:i w:val="0"/>
                <w:iCs w:val="0"/>
                <w:color w:val="000000"/>
                <w:sz w:val="18"/>
                <w:szCs w:val="18"/>
                <w:u w:val="none"/>
                <w:lang w:val="en-US" w:eastAsia="zh-CN"/>
              </w:rPr>
              <w:t>月份</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2021/10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2022/1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4</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Arial" w:hAnsi="Arial" w:eastAsia="华文细黑" w:cs="Arial"/>
                <w:i w:val="0"/>
                <w:iCs w:val="0"/>
                <w:color w:val="000000"/>
                <w:sz w:val="18"/>
                <w:szCs w:val="18"/>
                <w:u w:val="none"/>
              </w:rPr>
            </w:pPr>
            <w:r>
              <w:rPr>
                <w:rStyle w:val="51"/>
                <w:rFonts w:hint="eastAsia" w:ascii="Arial" w:hAnsi="Arial" w:eastAsia="华文细黑" w:cs="Arial"/>
                <w:sz w:val="18"/>
                <w:szCs w:val="18"/>
                <w:lang w:val="en-US" w:eastAsia="zh-CN" w:bidi="ar"/>
              </w:rPr>
              <w:t>环比</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99.7</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99.7</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99.8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99.9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Style w:val="51"/>
                <w:rFonts w:hint="eastAsia" w:ascii="Arial" w:hAnsi="Arial" w:eastAsia="华文细黑" w:cs="Arial"/>
                <w:sz w:val="18"/>
                <w:szCs w:val="18"/>
                <w:lang w:val="en-US" w:eastAsia="zh-CN" w:bidi="ar"/>
              </w:rPr>
              <w:t>同比</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101.9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101.6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101.6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101.6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101.6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100.6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Fonts w:hint="eastAsia" w:ascii="Arial" w:hAnsi="Arial" w:eastAsia="华文细黑" w:cs="Arial"/>
                <w:i w:val="0"/>
                <w:iCs w:val="0"/>
                <w:color w:val="000000"/>
                <w:sz w:val="18"/>
                <w:szCs w:val="18"/>
                <w:u w:val="none"/>
                <w:lang w:val="en-US" w:eastAsia="zh-CN"/>
              </w:rPr>
              <w:t>月份</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7</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12</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2023/1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Style w:val="51"/>
                <w:rFonts w:hint="eastAsia" w:ascii="Arial" w:hAnsi="Arial" w:eastAsia="华文细黑" w:cs="Arial"/>
                <w:sz w:val="18"/>
                <w:szCs w:val="18"/>
                <w:lang w:val="en-US" w:eastAsia="zh-CN" w:bidi="ar"/>
              </w:rPr>
              <w:t>环比</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100.1</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99.6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99.9</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99.7</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99.8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51"/>
                <w:rFonts w:hint="default" w:ascii="Arial" w:hAnsi="Arial" w:eastAsia="华文细黑" w:cs="Arial"/>
                <w:sz w:val="18"/>
                <w:szCs w:val="18"/>
                <w:lang w:val="en-US" w:eastAsia="zh-CN" w:bidi="ar"/>
              </w:rPr>
            </w:pPr>
            <w:r>
              <w:rPr>
                <w:rStyle w:val="51"/>
                <w:rFonts w:hint="eastAsia" w:ascii="Arial" w:hAnsi="Arial" w:eastAsia="华文细黑" w:cs="Arial"/>
                <w:sz w:val="18"/>
                <w:szCs w:val="18"/>
                <w:lang w:val="en-US" w:eastAsia="zh-CN" w:bidi="ar"/>
              </w:rPr>
              <w:t>同比</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99.8</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default" w:ascii="Arial" w:hAnsi="Arial" w:eastAsia="华文细黑" w:cs="Arial"/>
                <w:i w:val="0"/>
                <w:iCs w:val="0"/>
                <w:color w:val="000000"/>
                <w:kern w:val="2"/>
                <w:sz w:val="18"/>
                <w:szCs w:val="18"/>
                <w:u w:val="none"/>
                <w:lang w:val="en-US" w:eastAsia="zh-CN" w:bidi="ar-SA"/>
              </w:rPr>
              <w:t>100.3</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100.5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100.6</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100.5</w:t>
            </w:r>
          </w:p>
        </w:tc>
        <w:tc>
          <w:tcPr>
            <w:tcW w:w="9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pStyle w:val="17"/>
              <w:keepNext w:val="0"/>
              <w:keepLines w:val="0"/>
              <w:widowControl/>
              <w:suppressLineNumbers w:val="0"/>
              <w:jc w:val="center"/>
              <w:rPr>
                <w:rFonts w:hint="default" w:ascii="Arial" w:hAnsi="Arial" w:eastAsia="华文细黑" w:cs="Arial"/>
                <w:i w:val="0"/>
                <w:iCs w:val="0"/>
                <w:color w:val="000000"/>
                <w:kern w:val="2"/>
                <w:sz w:val="18"/>
                <w:szCs w:val="18"/>
                <w:u w:val="none"/>
                <w:lang w:val="en-US" w:eastAsia="zh-CN" w:bidi="ar-SA"/>
              </w:rPr>
            </w:pPr>
            <w:r>
              <w:rPr>
                <w:rFonts w:hint="eastAsia" w:ascii="Arial" w:hAnsi="Arial" w:eastAsia="华文细黑" w:cs="Arial"/>
                <w:i w:val="0"/>
                <w:iCs w:val="0"/>
                <w:color w:val="000000"/>
                <w:kern w:val="2"/>
                <w:sz w:val="18"/>
                <w:szCs w:val="18"/>
                <w:u w:val="none"/>
                <w:lang w:val="en-US" w:eastAsia="zh-CN" w:bidi="ar-SA"/>
              </w:rPr>
              <w:t>100.5</w:t>
            </w:r>
          </w:p>
        </w:tc>
      </w:tr>
    </w:tbl>
    <w:p>
      <w:pPr>
        <w:spacing w:line="360" w:lineRule="auto"/>
        <w:ind w:firstLine="420" w:firstLineChars="200"/>
      </w:pPr>
    </w:p>
    <w:p>
      <w:pPr>
        <w:spacing w:line="360" w:lineRule="auto"/>
        <w:rPr>
          <w:rFonts w:hint="eastAsia" w:ascii="Arial" w:hAnsi="Arial" w:cs="Arial"/>
        </w:rPr>
      </w:pPr>
      <w:r>
        <w:drawing>
          <wp:inline distT="0" distB="0" distL="114300" distR="114300">
            <wp:extent cx="5259705" cy="2764790"/>
            <wp:effectExtent l="0" t="0" r="1714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59705" cy="2764790"/>
                    </a:xfrm>
                    <a:prstGeom prst="rect">
                      <a:avLst/>
                    </a:prstGeom>
                    <a:noFill/>
                    <a:ln>
                      <a:noFill/>
                    </a:ln>
                  </pic:spPr>
                </pic:pic>
              </a:graphicData>
            </a:graphic>
          </wp:inline>
        </w:drawing>
      </w:r>
    </w:p>
    <w:p>
      <w:pPr>
        <w:spacing w:line="360" w:lineRule="auto"/>
        <w:rPr>
          <w:rFonts w:ascii="Arial" w:hAnsi="Arial" w:cs="Arial"/>
        </w:rPr>
      </w:pPr>
    </w:p>
    <w:p>
      <w:pPr>
        <w:spacing w:line="360" w:lineRule="auto"/>
        <w:ind w:firstLine="420" w:firstLineChars="200"/>
        <w:rPr>
          <w:rFonts w:ascii="Arial" w:hAnsi="Arial" w:cs="Arial"/>
        </w:rPr>
      </w:pPr>
      <w:r>
        <w:rPr>
          <w:rFonts w:hint="eastAsia" w:ascii="Arial" w:hAnsi="Arial" w:cs="Arial"/>
        </w:rPr>
        <w:t>3</w:t>
      </w:r>
      <w:r>
        <w:rPr>
          <w:rFonts w:ascii="Arial" w:hAnsi="Arial" w:cs="Arial"/>
        </w:rPr>
        <w:t>.</w:t>
      </w:r>
      <w:r>
        <w:rPr>
          <w:rFonts w:hint="eastAsia" w:ascii="Arial" w:hAnsi="Arial" w:cs="Arial"/>
        </w:rPr>
        <w:t>商业——销售情况</w:t>
      </w:r>
    </w:p>
    <w:p>
      <w:pPr>
        <w:spacing w:line="360" w:lineRule="auto"/>
        <w:ind w:firstLine="420" w:firstLineChars="200"/>
        <w:rPr>
          <w:rFonts w:hint="eastAsia" w:ascii="Arial" w:hAnsi="Arial" w:cs="Arial"/>
        </w:rPr>
      </w:pPr>
      <w:r>
        <w:rPr>
          <w:rFonts w:hint="eastAsia" w:ascii="Arial" w:hAnsi="Arial" w:cs="Arial"/>
        </w:rPr>
        <w:t>2022年，</w:t>
      </w:r>
      <w:r>
        <w:rPr>
          <w:rFonts w:hint="eastAsia" w:ascii="Arial" w:hAnsi="Arial" w:cs="Arial"/>
          <w:lang w:eastAsia="zh-CN"/>
        </w:rPr>
        <w:t>北京</w:t>
      </w:r>
      <w:r>
        <w:rPr>
          <w:rFonts w:hint="eastAsia" w:ascii="Arial" w:hAnsi="Arial" w:cs="Arial"/>
        </w:rPr>
        <w:t>市销售新建商业房地产78.57万平方米，月均销量6.55万平方米，比2021年增加23.45%；均价20927元/平方米，下跌25.15%。</w:t>
      </w:r>
    </w:p>
    <w:p>
      <w:pPr>
        <w:spacing w:line="360" w:lineRule="auto"/>
        <w:ind w:firstLine="420" w:firstLineChars="200"/>
        <w:rPr>
          <w:rFonts w:hint="eastAsia" w:ascii="Arial" w:hAnsi="Arial" w:cs="Arial"/>
        </w:rPr>
      </w:pPr>
      <w:r>
        <w:rPr>
          <w:rFonts w:hint="eastAsia" w:ascii="Arial" w:hAnsi="Arial" w:cs="Arial"/>
        </w:rPr>
        <w:t>2023年1月，</w:t>
      </w:r>
      <w:r>
        <w:rPr>
          <w:rFonts w:hint="eastAsia" w:ascii="Arial" w:hAnsi="Arial" w:cs="Arial"/>
          <w:lang w:eastAsia="zh-CN"/>
        </w:rPr>
        <w:t>北京</w:t>
      </w:r>
      <w:r>
        <w:rPr>
          <w:rFonts w:hint="eastAsia" w:ascii="Arial" w:hAnsi="Arial" w:cs="Arial"/>
        </w:rPr>
        <w:t>市销售新建商业房1.35万平方米，大幅低于上月，也低于去年同期， 均价24334元/平方米，比上季度均价上涨9.5%。</w:t>
      </w:r>
    </w:p>
    <w:tbl>
      <w:tblPr>
        <w:tblStyle w:val="19"/>
        <w:tblW w:w="8531" w:type="dxa"/>
        <w:tblInd w:w="0" w:type="dxa"/>
        <w:tblLayout w:type="fixed"/>
        <w:tblCellMar>
          <w:top w:w="0" w:type="dxa"/>
          <w:left w:w="10" w:type="dxa"/>
          <w:bottom w:w="0" w:type="dxa"/>
          <w:right w:w="10" w:type="dxa"/>
        </w:tblCellMar>
      </w:tblPr>
      <w:tblGrid>
        <w:gridCol w:w="1123"/>
        <w:gridCol w:w="1468"/>
        <w:gridCol w:w="1485"/>
        <w:gridCol w:w="1485"/>
        <w:gridCol w:w="1485"/>
        <w:gridCol w:w="1485"/>
      </w:tblGrid>
      <w:tr>
        <w:tblPrEx>
          <w:tblCellMar>
            <w:top w:w="0" w:type="dxa"/>
            <w:left w:w="10" w:type="dxa"/>
            <w:bottom w:w="0" w:type="dxa"/>
            <w:right w:w="10" w:type="dxa"/>
          </w:tblCellMar>
        </w:tblPrEx>
        <w:trPr>
          <w:trHeight w:val="682" w:hRule="exact"/>
          <w:tblHeader/>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时</w:t>
            </w:r>
            <w:r>
              <w:rPr>
                <w:rFonts w:hint="eastAsia" w:ascii="Arial" w:hAnsi="Arial" w:eastAsia="华文细黑" w:cs="Arial"/>
                <w:color w:val="000000"/>
                <w:spacing w:val="0"/>
                <w:w w:val="100"/>
                <w:position w:val="0"/>
                <w:sz w:val="18"/>
                <w:szCs w:val="18"/>
                <w:lang w:val="en-US" w:eastAsia="en-US"/>
              </w:rPr>
              <w:t>间</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销售套数</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销售面积(万㎡)</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销售价格(元/㎡)</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zh-CN"/>
              </w:rPr>
            </w:pPr>
            <w:r>
              <w:rPr>
                <w:rFonts w:hint="eastAsia" w:ascii="Arial" w:hAnsi="Arial" w:eastAsia="华文细黑" w:cs="Arial"/>
                <w:color w:val="000000"/>
                <w:spacing w:val="0"/>
                <w:w w:val="100"/>
                <w:position w:val="0"/>
                <w:sz w:val="18"/>
                <w:szCs w:val="18"/>
                <w:lang w:val="en-US" w:eastAsia="zh-CN"/>
              </w:rPr>
              <w:t>均价</w:t>
            </w:r>
          </w:p>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lang w:val="en-US" w:eastAsia="zh-CN"/>
              </w:rPr>
              <w:t>(元/㎡)</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rPr>
            </w:pPr>
            <w:r>
              <w:rPr>
                <w:rFonts w:hint="eastAsia" w:ascii="Arial" w:hAnsi="Arial" w:eastAsia="华文细黑" w:cs="Arial"/>
                <w:color w:val="000000"/>
                <w:spacing w:val="0"/>
                <w:w w:val="100"/>
                <w:position w:val="0"/>
                <w:sz w:val="18"/>
                <w:szCs w:val="18"/>
                <w:lang w:val="en-US" w:eastAsia="zh-CN"/>
              </w:rPr>
              <w:t>涨幅</w:t>
            </w: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2022-1</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184</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3.63</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22001</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23188</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-11.5%</w:t>
            </w:r>
          </w:p>
        </w:tc>
      </w:tr>
      <w:tr>
        <w:tblPrEx>
          <w:tblCellMar>
            <w:top w:w="0" w:type="dxa"/>
            <w:left w:w="10" w:type="dxa"/>
            <w:bottom w:w="0" w:type="dxa"/>
            <w:right w:w="10" w:type="dxa"/>
          </w:tblCellMar>
        </w:tblPrEx>
        <w:trPr>
          <w:trHeight w:val="451"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45</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1.34</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22621</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3</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176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6.16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24010</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4</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192</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4.10</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21454</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25926</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11.8%</w:t>
            </w: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5</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181</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2.55</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13166</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r>
      <w:tr>
        <w:tblPrEx>
          <w:tblCellMar>
            <w:top w:w="0" w:type="dxa"/>
            <w:left w:w="10" w:type="dxa"/>
            <w:bottom w:w="0" w:type="dxa"/>
            <w:right w:w="10" w:type="dxa"/>
          </w:tblCellMar>
        </w:tblPrEx>
        <w:trPr>
          <w:trHeight w:val="446"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6</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138</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16.28</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29051</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r>
      <w:tr>
        <w:tblPrEx>
          <w:tblCellMar>
            <w:top w:w="0" w:type="dxa"/>
            <w:left w:w="10" w:type="dxa"/>
            <w:bottom w:w="0" w:type="dxa"/>
            <w:right w:w="10" w:type="dxa"/>
          </w:tblCellMar>
        </w:tblPrEx>
        <w:trPr>
          <w:trHeight w:val="418"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7</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149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4.86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25049</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14695</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-43.38%</w:t>
            </w:r>
          </w:p>
        </w:tc>
      </w:tr>
      <w:tr>
        <w:tblPrEx>
          <w:tblCellMar>
            <w:top w:w="0" w:type="dxa"/>
            <w:left w:w="10" w:type="dxa"/>
            <w:bottom w:w="0" w:type="dxa"/>
            <w:right w:w="10" w:type="dxa"/>
          </w:tblCellMar>
        </w:tblPrEx>
        <w:trPr>
          <w:trHeight w:val="413"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8</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308</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17.96</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10696</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r>
      <w:tr>
        <w:tblPrEx>
          <w:tblCellMar>
            <w:top w:w="0" w:type="dxa"/>
            <w:left w:w="10" w:type="dxa"/>
            <w:bottom w:w="0" w:type="dxa"/>
            <w:right w:w="10" w:type="dxa"/>
          </w:tblCellMar>
        </w:tblPrEx>
        <w:trPr>
          <w:trHeight w:val="413"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9</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157</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3.39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21023</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r>
      <w:tr>
        <w:tblPrEx>
          <w:tblCellMar>
            <w:top w:w="0" w:type="dxa"/>
            <w:left w:w="10" w:type="dxa"/>
            <w:bottom w:w="0" w:type="dxa"/>
            <w:right w:w="10" w:type="dxa"/>
          </w:tblCellMar>
        </w:tblPrEx>
        <w:trPr>
          <w:trHeight w:val="432"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10</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175</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2.82</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28585</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22214</w:t>
            </w:r>
          </w:p>
        </w:tc>
        <w:tc>
          <w:tcPr>
            <w:tcW w:w="14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51.2%</w:t>
            </w:r>
          </w:p>
        </w:tc>
      </w:tr>
      <w:tr>
        <w:tblPrEx>
          <w:tblCellMar>
            <w:top w:w="0" w:type="dxa"/>
            <w:left w:w="10" w:type="dxa"/>
            <w:bottom w:w="0" w:type="dxa"/>
            <w:right w:w="10" w:type="dxa"/>
          </w:tblCellMar>
        </w:tblPrEx>
        <w:trPr>
          <w:trHeight w:val="437"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11</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139</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5.27</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20651</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r>
      <w:tr>
        <w:tblPrEx>
          <w:tblCellMar>
            <w:top w:w="0" w:type="dxa"/>
            <w:left w:w="10" w:type="dxa"/>
            <w:bottom w:w="0" w:type="dxa"/>
            <w:right w:w="10" w:type="dxa"/>
          </w:tblCellMar>
        </w:tblPrEx>
        <w:trPr>
          <w:trHeight w:val="432"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12</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161</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10.20</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21262</w:t>
            </w: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c>
          <w:tcPr>
            <w:tcW w:w="148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p>
        </w:tc>
      </w:tr>
      <w:tr>
        <w:tblPrEx>
          <w:tblCellMar>
            <w:top w:w="0" w:type="dxa"/>
            <w:left w:w="10" w:type="dxa"/>
            <w:bottom w:w="0" w:type="dxa"/>
            <w:right w:w="10" w:type="dxa"/>
          </w:tblCellMar>
        </w:tblPrEx>
        <w:trPr>
          <w:trHeight w:val="485" w:hRule="exact"/>
        </w:trPr>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2023-1</w:t>
            </w:r>
          </w:p>
        </w:tc>
        <w:tc>
          <w:tcPr>
            <w:tcW w:w="146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82</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1.35</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50"/>
              <w:keepNext w:val="0"/>
              <w:keepLines w:val="0"/>
              <w:widowControl w:val="0"/>
              <w:shd w:val="clear" w:color="auto" w:fill="auto"/>
              <w:bidi w:val="0"/>
              <w:spacing w:before="0" w:after="0" w:line="240" w:lineRule="auto"/>
              <w:ind w:left="0" w:right="0" w:firstLine="0"/>
              <w:jc w:val="center"/>
              <w:rPr>
                <w:rFonts w:hint="default"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24334</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7"/>
              <w:keepNext w:val="0"/>
              <w:keepLines w:val="0"/>
              <w:widowControl/>
              <w:suppressLineNumbers w:val="0"/>
              <w:jc w:val="center"/>
              <w:rPr>
                <w:rFonts w:hint="default"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9.5%</w:t>
            </w:r>
          </w:p>
        </w:tc>
      </w:tr>
    </w:tbl>
    <w:p>
      <w:pPr>
        <w:spacing w:line="360" w:lineRule="auto"/>
        <w:ind w:firstLine="420" w:firstLineChars="200"/>
        <w:rPr>
          <w:rFonts w:hint="eastAsia" w:ascii="Arial" w:hAnsi="Arial" w:cs="Arial"/>
        </w:rPr>
      </w:pPr>
      <w:r>
        <w:rPr>
          <w:rFonts w:hint="eastAsia" w:ascii="Arial" w:hAnsi="Arial" w:cs="Arial"/>
        </w:rPr>
        <w:t>2022年，生态涵养区销量占比由2021年的8.9%增加至20.3%，中心城区则由2021年的48.2%减少至42%，成交区域的差异是影响整体均价的重要原因。</w:t>
      </w:r>
    </w:p>
    <w:p>
      <w:pPr>
        <w:spacing w:line="360" w:lineRule="auto"/>
        <w:ind w:firstLine="420" w:firstLineChars="200"/>
        <w:rPr>
          <w:rFonts w:hint="eastAsia" w:ascii="Arial" w:hAnsi="Arial" w:cs="Arial"/>
        </w:rPr>
      </w:pPr>
      <w:r>
        <w:rPr>
          <w:rFonts w:hint="eastAsia" w:ascii="Arial" w:hAnsi="Arial" w:cs="Arial"/>
        </w:rPr>
        <w:t>2023年1月， 中心城区和多点区域销售占比提高，生态涵养区占比大幅减少，整体均价上涨。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区域</w:t>
            </w:r>
          </w:p>
        </w:tc>
        <w:tc>
          <w:tcPr>
            <w:tcW w:w="2434" w:type="dxa"/>
            <w:gridSpan w:val="2"/>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2021年</w:t>
            </w:r>
          </w:p>
        </w:tc>
        <w:tc>
          <w:tcPr>
            <w:tcW w:w="2435" w:type="dxa"/>
            <w:gridSpan w:val="2"/>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2022</w:t>
            </w:r>
            <w:r>
              <w:rPr>
                <w:rFonts w:hint="eastAsia" w:ascii="Arial" w:hAnsi="Arial" w:eastAsia="华文细黑" w:cs="Arial"/>
                <w:color w:val="000000"/>
                <w:spacing w:val="0"/>
                <w:w w:val="100"/>
                <w:position w:val="0"/>
                <w:sz w:val="18"/>
                <w:szCs w:val="18"/>
                <w:lang w:val="en-US" w:eastAsia="en-US"/>
              </w:rPr>
              <w:t>年</w:t>
            </w:r>
          </w:p>
        </w:tc>
        <w:tc>
          <w:tcPr>
            <w:tcW w:w="2436" w:type="dxa"/>
            <w:gridSpan w:val="2"/>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2023年1月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销量</w:t>
            </w:r>
            <w:r>
              <w:rPr>
                <w:rFonts w:hint="default" w:ascii="Arial" w:hAnsi="Arial" w:eastAsia="华文细黑" w:cs="Arial"/>
                <w:color w:val="000000"/>
                <w:spacing w:val="0"/>
                <w:w w:val="100"/>
                <w:position w:val="0"/>
                <w:sz w:val="18"/>
                <w:szCs w:val="18"/>
                <w:lang w:val="en-US" w:eastAsia="en-US"/>
              </w:rPr>
              <w:t>(</w:t>
            </w:r>
            <w:r>
              <w:rPr>
                <w:rFonts w:hint="eastAsia" w:ascii="Arial" w:hAnsi="Arial" w:eastAsia="华文细黑" w:cs="Arial"/>
                <w:color w:val="000000"/>
                <w:spacing w:val="0"/>
                <w:w w:val="100"/>
                <w:position w:val="0"/>
                <w:sz w:val="18"/>
                <w:szCs w:val="18"/>
                <w:lang w:val="en-US" w:eastAsia="en-US"/>
              </w:rPr>
              <w:t>万㎡</w:t>
            </w:r>
            <w:r>
              <w:rPr>
                <w:rFonts w:hint="default" w:ascii="Arial" w:hAnsi="Arial" w:eastAsia="华文细黑" w:cs="Arial"/>
                <w:color w:val="000000"/>
                <w:spacing w:val="0"/>
                <w:w w:val="100"/>
                <w:position w:val="0"/>
                <w:sz w:val="18"/>
                <w:szCs w:val="18"/>
                <w:lang w:val="en-US" w:eastAsia="en-US"/>
              </w:rPr>
              <w:t>)</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占比</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销量</w:t>
            </w:r>
            <w:r>
              <w:rPr>
                <w:rFonts w:hint="default" w:ascii="Arial" w:hAnsi="Arial" w:eastAsia="华文细黑" w:cs="Arial"/>
                <w:color w:val="000000"/>
                <w:spacing w:val="0"/>
                <w:w w:val="100"/>
                <w:position w:val="0"/>
                <w:sz w:val="18"/>
                <w:szCs w:val="18"/>
                <w:lang w:val="en-US" w:eastAsia="en-US"/>
              </w:rPr>
              <w:t>(</w:t>
            </w:r>
            <w:r>
              <w:rPr>
                <w:rFonts w:hint="eastAsia" w:ascii="Arial" w:hAnsi="Arial" w:eastAsia="华文细黑" w:cs="Arial"/>
                <w:color w:val="000000"/>
                <w:spacing w:val="0"/>
                <w:w w:val="100"/>
                <w:position w:val="0"/>
                <w:sz w:val="18"/>
                <w:szCs w:val="18"/>
                <w:lang w:val="en-US" w:eastAsia="en-US"/>
              </w:rPr>
              <w:t>万㎡</w:t>
            </w:r>
            <w:r>
              <w:rPr>
                <w:rFonts w:hint="default" w:ascii="Arial" w:hAnsi="Arial" w:eastAsia="华文细黑" w:cs="Arial"/>
                <w:color w:val="000000"/>
                <w:spacing w:val="0"/>
                <w:w w:val="100"/>
                <w:position w:val="0"/>
                <w:sz w:val="18"/>
                <w:szCs w:val="18"/>
                <w:lang w:val="en-US" w:eastAsia="en-US"/>
              </w:rPr>
              <w:t>)</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占比</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销量</w:t>
            </w:r>
            <w:r>
              <w:rPr>
                <w:rFonts w:hint="default" w:ascii="Arial" w:hAnsi="Arial" w:eastAsia="华文细黑" w:cs="Arial"/>
                <w:color w:val="000000"/>
                <w:spacing w:val="0"/>
                <w:w w:val="100"/>
                <w:position w:val="0"/>
                <w:sz w:val="18"/>
                <w:szCs w:val="18"/>
                <w:lang w:val="en-US" w:eastAsia="en-US"/>
              </w:rPr>
              <w:t>(</w:t>
            </w:r>
            <w:r>
              <w:rPr>
                <w:rFonts w:hint="eastAsia" w:ascii="Arial" w:hAnsi="Arial" w:eastAsia="华文细黑" w:cs="Arial"/>
                <w:color w:val="000000"/>
                <w:spacing w:val="0"/>
                <w:w w:val="100"/>
                <w:position w:val="0"/>
                <w:sz w:val="18"/>
                <w:szCs w:val="18"/>
                <w:lang w:val="en-US" w:eastAsia="en-US"/>
              </w:rPr>
              <w:t>万㎡</w:t>
            </w:r>
            <w:r>
              <w:rPr>
                <w:rFonts w:hint="default" w:ascii="Arial" w:hAnsi="Arial" w:eastAsia="华文细黑" w:cs="Arial"/>
                <w:color w:val="000000"/>
                <w:spacing w:val="0"/>
                <w:w w:val="100"/>
                <w:position w:val="0"/>
                <w:sz w:val="18"/>
                <w:szCs w:val="18"/>
                <w:lang w:val="en-US" w:eastAsia="en-US"/>
              </w:rPr>
              <w:t>)</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中心城区</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30.70</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48.2%</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32.97</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42.0%</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0.68</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副中心</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4.82</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7.6%</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4.12</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5.2%</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0.10</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多点</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22.45</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35.3%</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25.50</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32.5%</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0.55</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生态涵养区</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5.68</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8.9%</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15.97</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20.3%</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0.02</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合计</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63.64</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100%</w:t>
            </w:r>
          </w:p>
        </w:tc>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78.57</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100%</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1.35</w:t>
            </w:r>
          </w:p>
        </w:tc>
        <w:tc>
          <w:tcPr>
            <w:tcW w:w="1218"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default" w:ascii="Arial" w:hAnsi="Arial" w:eastAsia="华文细黑" w:cs="Arial"/>
                <w:color w:val="000000"/>
                <w:spacing w:val="0"/>
                <w:w w:val="100"/>
                <w:position w:val="0"/>
                <w:sz w:val="18"/>
                <w:szCs w:val="18"/>
                <w:lang w:val="en-US" w:eastAsia="en-US"/>
              </w:rPr>
              <w:t>100%</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ascii="Arial" w:hAnsi="Arial" w:cs="Arial"/>
          <w:sz w:val="18"/>
          <w:szCs w:val="18"/>
        </w:rPr>
      </w:pPr>
    </w:p>
    <w:p>
      <w:pPr>
        <w:spacing w:line="360" w:lineRule="auto"/>
        <w:ind w:firstLine="420" w:firstLineChars="200"/>
        <w:rPr>
          <w:rFonts w:ascii="Arial" w:hAnsi="Arial" w:cs="Arial"/>
        </w:rPr>
      </w:pPr>
      <w:r>
        <w:rPr>
          <w:rFonts w:ascii="Arial" w:hAnsi="Arial" w:cs="Arial"/>
        </w:rPr>
        <w:t>4.</w:t>
      </w:r>
      <w:r>
        <w:rPr>
          <w:rFonts w:hint="eastAsia" w:ascii="Arial" w:hAnsi="Arial" w:cs="Arial"/>
        </w:rPr>
        <w:t>写字楼——销售情况</w:t>
      </w:r>
    </w:p>
    <w:p>
      <w:pPr>
        <w:spacing w:line="360" w:lineRule="auto"/>
        <w:ind w:firstLine="420" w:firstLineChars="200"/>
        <w:rPr>
          <w:rFonts w:hint="eastAsia" w:ascii="Arial" w:hAnsi="Arial" w:cs="Arial"/>
        </w:rPr>
      </w:pPr>
      <w:r>
        <w:rPr>
          <w:rFonts w:hint="eastAsia" w:ascii="Arial" w:hAnsi="Arial" w:cs="Arial"/>
        </w:rPr>
        <w:t>2022年，</w:t>
      </w:r>
      <w:r>
        <w:rPr>
          <w:rFonts w:hint="eastAsia" w:ascii="Arial" w:hAnsi="Arial" w:cs="Arial"/>
          <w:lang w:eastAsia="zh-CN"/>
        </w:rPr>
        <w:t>北京</w:t>
      </w:r>
      <w:r>
        <w:rPr>
          <w:rFonts w:hint="eastAsia" w:ascii="Arial" w:hAnsi="Arial" w:cs="Arial"/>
        </w:rPr>
        <w:t>市销售新建写字楼68.4万平方米，月均销量5.7万平方米，比2021年同比减少23.2%；均价27041元/平方米，同比下跌3.22%。</w:t>
      </w:r>
    </w:p>
    <w:p>
      <w:pPr>
        <w:spacing w:line="360" w:lineRule="auto"/>
        <w:ind w:firstLine="420" w:firstLineChars="200"/>
        <w:rPr>
          <w:rFonts w:ascii="Arial" w:hAnsi="Arial" w:cs="Arial"/>
        </w:rPr>
      </w:pPr>
      <w:r>
        <w:rPr>
          <w:rFonts w:hint="eastAsia" w:ascii="Arial" w:hAnsi="Arial" w:cs="Arial"/>
        </w:rPr>
        <w:t>2023年1月，写字楼销售4.08万平方米，环比、同比减少，均价16738元/平方米，比上季度均价下跌44%。</w:t>
      </w:r>
    </w:p>
    <w:tbl>
      <w:tblPr>
        <w:tblStyle w:val="19"/>
        <w:tblW w:w="8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2"/>
        <w:gridCol w:w="1422"/>
        <w:gridCol w:w="1422"/>
        <w:gridCol w:w="1422"/>
        <w:gridCol w:w="1422"/>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时间</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销售套数（套）</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销售面积</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（万</w:t>
            </w:r>
            <w:r>
              <w:rPr>
                <w:rFonts w:hint="eastAsia" w:ascii="Arial" w:hAnsi="Arial" w:eastAsia="华文细黑" w:cs="Arial"/>
                <w:i w:val="0"/>
                <w:iCs w:val="0"/>
                <w:color w:val="000000"/>
                <w:kern w:val="0"/>
                <w:sz w:val="18"/>
                <w:szCs w:val="18"/>
                <w:u w:val="none"/>
                <w:lang w:val="en-US" w:eastAsia="zh-CN" w:bidi="ar"/>
              </w:rPr>
              <w:t>平方米</w:t>
            </w:r>
            <w:r>
              <w:rPr>
                <w:rFonts w:hint="default" w:ascii="Arial" w:hAnsi="Arial" w:eastAsia="华文细黑" w:cs="Arial"/>
                <w:i w:val="0"/>
                <w:iCs w:val="0"/>
                <w:color w:val="000000"/>
                <w:kern w:val="0"/>
                <w:sz w:val="18"/>
                <w:szCs w:val="18"/>
                <w:u w:val="none"/>
                <w:lang w:val="en-US" w:eastAsia="zh-CN" w:bidi="ar"/>
              </w:rPr>
              <w:t>）</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销售价格</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（元/</w:t>
            </w:r>
            <w:r>
              <w:rPr>
                <w:rFonts w:hint="eastAsia" w:ascii="Arial" w:hAnsi="Arial" w:eastAsia="华文细黑" w:cs="Arial"/>
                <w:i w:val="0"/>
                <w:iCs w:val="0"/>
                <w:color w:val="000000"/>
                <w:kern w:val="0"/>
                <w:sz w:val="18"/>
                <w:szCs w:val="18"/>
                <w:u w:val="none"/>
                <w:lang w:val="en-US" w:eastAsia="zh-CN" w:bidi="ar"/>
              </w:rPr>
              <w:t>平方米</w:t>
            </w:r>
            <w:r>
              <w:rPr>
                <w:rFonts w:hint="default" w:ascii="Arial" w:hAnsi="Arial" w:eastAsia="华文细黑" w:cs="Arial"/>
                <w:i w:val="0"/>
                <w:iCs w:val="0"/>
                <w:color w:val="000000"/>
                <w:kern w:val="0"/>
                <w:sz w:val="18"/>
                <w:szCs w:val="18"/>
                <w:u w:val="none"/>
                <w:lang w:val="en-US" w:eastAsia="zh-CN" w:bidi="ar"/>
              </w:rPr>
              <w:t>）</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kern w:val="0"/>
                <w:sz w:val="18"/>
                <w:szCs w:val="18"/>
                <w:u w:val="none"/>
                <w:lang w:val="en-US" w:eastAsia="zh-CN" w:bidi="ar"/>
              </w:rPr>
            </w:pPr>
            <w:r>
              <w:rPr>
                <w:rFonts w:hint="default" w:ascii="Arial" w:hAnsi="Arial" w:eastAsia="华文细黑" w:cs="Arial"/>
                <w:i w:val="0"/>
                <w:iCs w:val="0"/>
                <w:color w:val="000000"/>
                <w:kern w:val="0"/>
                <w:sz w:val="18"/>
                <w:szCs w:val="18"/>
                <w:u w:val="none"/>
                <w:lang w:val="en-US" w:eastAsia="zh-CN" w:bidi="ar"/>
              </w:rPr>
              <w:t>均价</w:t>
            </w:r>
          </w:p>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（元/</w:t>
            </w:r>
            <w:r>
              <w:rPr>
                <w:rFonts w:hint="eastAsia" w:ascii="Arial" w:hAnsi="Arial" w:eastAsia="华文细黑" w:cs="Arial"/>
                <w:i w:val="0"/>
                <w:iCs w:val="0"/>
                <w:color w:val="000000"/>
                <w:kern w:val="0"/>
                <w:sz w:val="18"/>
                <w:szCs w:val="18"/>
                <w:u w:val="none"/>
                <w:lang w:val="en-US" w:eastAsia="zh-CN" w:bidi="ar"/>
              </w:rPr>
              <w:t>平方米）</w:t>
            </w:r>
          </w:p>
        </w:tc>
        <w:tc>
          <w:tcPr>
            <w:tcW w:w="1427"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bottom"/>
              <w:rPr>
                <w:rFonts w:hint="default" w:ascii="Arial" w:hAnsi="Arial" w:eastAsia="华文细黑" w:cs="Arial"/>
                <w:i w:val="0"/>
                <w:iCs w:val="0"/>
                <w:color w:val="000000"/>
                <w:sz w:val="18"/>
                <w:szCs w:val="18"/>
                <w:u w:val="none"/>
              </w:rPr>
            </w:pPr>
            <w:r>
              <w:rPr>
                <w:rFonts w:hint="default" w:ascii="Arial" w:hAnsi="Arial" w:eastAsia="华文细黑" w:cs="Arial"/>
                <w:i w:val="0"/>
                <w:iCs w:val="0"/>
                <w:color w:val="000000"/>
                <w:kern w:val="0"/>
                <w:sz w:val="18"/>
                <w:szCs w:val="18"/>
                <w:u w:val="none"/>
                <w:lang w:val="en-US" w:eastAsia="zh-CN" w:bidi="ar"/>
              </w:rPr>
              <w:t>涨幅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2022-1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368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4.65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24675</w:t>
            </w:r>
          </w:p>
        </w:tc>
        <w:tc>
          <w:tcPr>
            <w:tcW w:w="1422" w:type="dxa"/>
            <w:vMerge w:val="restart"/>
            <w:tcBorders>
              <w:top w:val="single" w:color="000000" w:sz="8" w:space="0"/>
              <w:left w:val="single" w:color="000000" w:sz="8" w:space="0"/>
              <w:bottom w:val="nil"/>
              <w:right w:val="nil"/>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2303</w:t>
            </w:r>
            <w:r>
              <w:rPr>
                <w:rFonts w:hint="eastAsia" w:ascii="Arial" w:hAnsi="Arial" w:eastAsia="华文细黑" w:cs="Arial"/>
                <w:b w:val="0"/>
                <w:bCs w:val="0"/>
                <w:i w:val="0"/>
                <w:iCs w:val="0"/>
                <w:color w:val="auto"/>
                <w:kern w:val="0"/>
                <w:sz w:val="18"/>
                <w:szCs w:val="18"/>
                <w:u w:val="none"/>
                <w:lang w:val="en-US" w:eastAsia="zh-CN" w:bidi="ar"/>
              </w:rPr>
              <w:t>8</w:t>
            </w:r>
          </w:p>
        </w:tc>
        <w:tc>
          <w:tcPr>
            <w:tcW w:w="1427"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206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1.78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24388</w:t>
            </w:r>
          </w:p>
        </w:tc>
        <w:tc>
          <w:tcPr>
            <w:tcW w:w="1422" w:type="dxa"/>
            <w:vMerge w:val="continue"/>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365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2.21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18515</w:t>
            </w:r>
          </w:p>
        </w:tc>
        <w:tc>
          <w:tcPr>
            <w:tcW w:w="1422" w:type="dxa"/>
            <w:vMerge w:val="continue"/>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4</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341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8.46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27679</w:t>
            </w:r>
          </w:p>
        </w:tc>
        <w:tc>
          <w:tcPr>
            <w:tcW w:w="1422" w:type="dxa"/>
            <w:vMerge w:val="restart"/>
            <w:tcBorders>
              <w:top w:val="single" w:color="000000" w:sz="8" w:space="0"/>
              <w:left w:val="single" w:color="000000" w:sz="8" w:space="0"/>
              <w:bottom w:val="nil"/>
              <w:right w:val="nil"/>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25981</w:t>
            </w:r>
          </w:p>
        </w:tc>
        <w:tc>
          <w:tcPr>
            <w:tcW w:w="1427"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214</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2.36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22305</w:t>
            </w:r>
          </w:p>
        </w:tc>
        <w:tc>
          <w:tcPr>
            <w:tcW w:w="1422" w:type="dxa"/>
            <w:vMerge w:val="continue"/>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6</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193</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1.74</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22711</w:t>
            </w:r>
          </w:p>
        </w:tc>
        <w:tc>
          <w:tcPr>
            <w:tcW w:w="1422" w:type="dxa"/>
            <w:vMerge w:val="continue"/>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7</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225</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8.28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26084</w:t>
            </w:r>
          </w:p>
        </w:tc>
        <w:tc>
          <w:tcPr>
            <w:tcW w:w="1422" w:type="dxa"/>
            <w:vMerge w:val="restart"/>
            <w:tcBorders>
              <w:top w:val="single" w:color="000000" w:sz="8" w:space="0"/>
              <w:left w:val="single" w:color="000000" w:sz="8" w:space="0"/>
              <w:bottom w:val="nil"/>
              <w:right w:val="nil"/>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26253</w:t>
            </w:r>
          </w:p>
        </w:tc>
        <w:tc>
          <w:tcPr>
            <w:tcW w:w="1427"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288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3.48</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28771</w:t>
            </w:r>
          </w:p>
        </w:tc>
        <w:tc>
          <w:tcPr>
            <w:tcW w:w="1422" w:type="dxa"/>
            <w:vMerge w:val="continue"/>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9</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309</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12.92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25684</w:t>
            </w:r>
          </w:p>
        </w:tc>
        <w:tc>
          <w:tcPr>
            <w:tcW w:w="1422" w:type="dxa"/>
            <w:vMerge w:val="continue"/>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10</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473</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7.92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34914</w:t>
            </w:r>
          </w:p>
        </w:tc>
        <w:tc>
          <w:tcPr>
            <w:tcW w:w="1422" w:type="dxa"/>
            <w:vMerge w:val="restart"/>
            <w:tcBorders>
              <w:top w:val="single" w:color="000000" w:sz="8" w:space="0"/>
              <w:left w:val="single" w:color="000000" w:sz="8" w:space="0"/>
              <w:bottom w:val="nil"/>
              <w:right w:val="nil"/>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30030</w:t>
            </w:r>
          </w:p>
        </w:tc>
        <w:tc>
          <w:tcPr>
            <w:tcW w:w="1427" w:type="dxa"/>
            <w:vMerge w:val="restart"/>
            <w:tcBorders>
              <w:top w:val="single" w:color="000000" w:sz="8" w:space="0"/>
              <w:left w:val="single" w:color="000000" w:sz="8" w:space="0"/>
              <w:bottom w:val="nil"/>
              <w:right w:val="single" w:color="000000" w:sz="8"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11</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247</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4.22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32922</w:t>
            </w:r>
          </w:p>
        </w:tc>
        <w:tc>
          <w:tcPr>
            <w:tcW w:w="1422" w:type="dxa"/>
            <w:vMerge w:val="continue"/>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12</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393</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10.39</w:t>
            </w:r>
          </w:p>
        </w:tc>
        <w:tc>
          <w:tcPr>
            <w:tcW w:w="1422"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default" w:ascii="Arial" w:hAnsi="Arial" w:eastAsia="华文细黑" w:cs="Arial"/>
                <w:b w:val="0"/>
                <w:bCs w:val="0"/>
                <w:i w:val="0"/>
                <w:iCs w:val="0"/>
                <w:color w:val="auto"/>
                <w:kern w:val="0"/>
                <w:sz w:val="18"/>
                <w:szCs w:val="18"/>
                <w:u w:val="none"/>
                <w:lang w:val="en-US" w:eastAsia="zh-CN" w:bidi="ar"/>
              </w:rPr>
              <w:t>25128</w:t>
            </w:r>
          </w:p>
        </w:tc>
        <w:tc>
          <w:tcPr>
            <w:tcW w:w="1422" w:type="dxa"/>
            <w:vMerge w:val="continue"/>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c>
          <w:tcPr>
            <w:tcW w:w="1427" w:type="dxa"/>
            <w:vMerge w:val="continue"/>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2023-1</w:t>
            </w:r>
          </w:p>
        </w:tc>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301</w:t>
            </w:r>
          </w:p>
        </w:tc>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4.08</w:t>
            </w:r>
          </w:p>
        </w:tc>
        <w:tc>
          <w:tcPr>
            <w:tcW w:w="142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suppressLineNumbers w:val="0"/>
              <w:jc w:val="center"/>
              <w:textAlignment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16738</w:t>
            </w:r>
          </w:p>
        </w:tc>
        <w:tc>
          <w:tcPr>
            <w:tcW w:w="1422" w:type="dxa"/>
            <w:tcBorders>
              <w:top w:val="single" w:color="000000" w:sz="8" w:space="0"/>
              <w:left w:val="single" w:color="000000" w:sz="8" w:space="0"/>
              <w:bottom w:val="single" w:color="000000" w:sz="8" w:space="0"/>
              <w:right w:val="nil"/>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w:t>
            </w:r>
          </w:p>
        </w:tc>
        <w:tc>
          <w:tcPr>
            <w:tcW w:w="14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7"/>
              <w:keepNext w:val="0"/>
              <w:keepLines w:val="0"/>
              <w:widowControl/>
              <w:suppressLineNumbers w:val="0"/>
              <w:jc w:val="center"/>
              <w:rPr>
                <w:rFonts w:hint="default" w:ascii="Arial" w:hAnsi="Arial" w:eastAsia="华文细黑" w:cs="Arial"/>
                <w:b w:val="0"/>
                <w:bCs w:val="0"/>
                <w:i w:val="0"/>
                <w:iCs w:val="0"/>
                <w:color w:val="auto"/>
                <w:kern w:val="0"/>
                <w:sz w:val="18"/>
                <w:szCs w:val="18"/>
                <w:u w:val="none"/>
                <w:lang w:val="en-US" w:eastAsia="zh-CN" w:bidi="ar"/>
              </w:rPr>
            </w:pPr>
            <w:r>
              <w:rPr>
                <w:rFonts w:hint="eastAsia" w:ascii="Arial" w:hAnsi="Arial" w:eastAsia="华文细黑" w:cs="Arial"/>
                <w:b w:val="0"/>
                <w:bCs w:val="0"/>
                <w:i w:val="0"/>
                <w:iCs w:val="0"/>
                <w:color w:val="auto"/>
                <w:kern w:val="0"/>
                <w:sz w:val="18"/>
                <w:szCs w:val="18"/>
                <w:u w:val="none"/>
                <w:lang w:val="en-US" w:eastAsia="zh-CN" w:bidi="ar"/>
              </w:rPr>
              <w:t>-44%</w:t>
            </w: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Arial" w:hAnsi="Arial" w:cs="Arial"/>
          <w:sz w:val="18"/>
          <w:szCs w:val="18"/>
        </w:rPr>
      </w:pPr>
    </w:p>
    <w:p>
      <w:pPr>
        <w:spacing w:line="360" w:lineRule="auto"/>
        <w:ind w:firstLine="420" w:firstLineChars="200"/>
        <w:rPr>
          <w:rFonts w:hint="eastAsia" w:ascii="Arial" w:hAnsi="Arial" w:cs="Arial"/>
          <w:highlight w:val="none"/>
        </w:rPr>
      </w:pPr>
      <w:r>
        <w:rPr>
          <w:rFonts w:hint="eastAsia" w:ascii="Arial" w:hAnsi="Arial" w:cs="Arial"/>
          <w:highlight w:val="none"/>
        </w:rPr>
        <w:t>2022年，中心城区销量占比高于其余区域，由2021年的28%提升至40.9%；副中心和生态涵养区的占比均有提高，多点区域销量占比减少。</w:t>
      </w:r>
    </w:p>
    <w:p>
      <w:pPr>
        <w:spacing w:line="360" w:lineRule="auto"/>
        <w:ind w:firstLine="420" w:firstLineChars="200"/>
        <w:rPr>
          <w:rFonts w:hint="eastAsia" w:ascii="Arial" w:hAnsi="Arial" w:cs="Arial"/>
          <w:highlight w:val="none"/>
        </w:rPr>
      </w:pPr>
      <w:r>
        <w:rPr>
          <w:rFonts w:hint="eastAsia" w:ascii="Arial" w:hAnsi="Arial" w:cs="Arial"/>
          <w:highlight w:val="none"/>
        </w:rPr>
        <w:t>2023年1月，中心城区销售占比大幅减少，多点区域销售增加，影响均价下跌。丰台“天下儒寓” (位于丰台科技园) 备案0.46万平方米，均价12452元/平方米，“西山甲一号” (位于长辛店) 备案0.37万平方米，均价18099元/平方米，使得中心城区均价偏低。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23"/>
        <w:gridCol w:w="1212"/>
        <w:gridCol w:w="1207"/>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区域</w:t>
            </w:r>
          </w:p>
        </w:tc>
        <w:tc>
          <w:tcPr>
            <w:tcW w:w="2434" w:type="dxa"/>
            <w:gridSpan w:val="2"/>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2021年</w:t>
            </w:r>
          </w:p>
        </w:tc>
        <w:tc>
          <w:tcPr>
            <w:tcW w:w="2435" w:type="dxa"/>
            <w:gridSpan w:val="2"/>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2022</w:t>
            </w:r>
            <w:r>
              <w:rPr>
                <w:rFonts w:hint="eastAsia" w:ascii="Arial" w:hAnsi="Arial" w:eastAsia="华文细黑" w:cs="Arial"/>
                <w:color w:val="000000"/>
                <w:spacing w:val="0"/>
                <w:w w:val="100"/>
                <w:kern w:val="2"/>
                <w:position w:val="0"/>
                <w:sz w:val="18"/>
                <w:szCs w:val="18"/>
                <w:u w:val="none"/>
                <w:shd w:val="clear" w:color="auto" w:fill="auto"/>
                <w:lang w:val="en-US" w:eastAsia="en-US" w:bidi="zh-TW"/>
              </w:rPr>
              <w:t>年</w:t>
            </w:r>
          </w:p>
        </w:tc>
        <w:tc>
          <w:tcPr>
            <w:tcW w:w="2436" w:type="dxa"/>
            <w:gridSpan w:val="2"/>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2023年1月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销量</w:t>
            </w:r>
            <w:r>
              <w:rPr>
                <w:rFonts w:hint="default" w:ascii="Arial" w:hAnsi="Arial" w:eastAsia="华文细黑" w:cs="Arial"/>
                <w:color w:val="000000"/>
                <w:spacing w:val="0"/>
                <w:w w:val="100"/>
                <w:kern w:val="2"/>
                <w:position w:val="0"/>
                <w:sz w:val="18"/>
                <w:szCs w:val="18"/>
                <w:u w:val="none"/>
                <w:shd w:val="clear" w:color="auto" w:fill="auto"/>
                <w:lang w:val="en-US" w:eastAsia="en-US" w:bidi="zh-TW"/>
              </w:rPr>
              <w:t>(</w:t>
            </w:r>
            <w:r>
              <w:rPr>
                <w:rFonts w:hint="eastAsia" w:ascii="Arial" w:hAnsi="Arial" w:eastAsia="华文细黑" w:cs="Arial"/>
                <w:color w:val="000000"/>
                <w:spacing w:val="0"/>
                <w:w w:val="100"/>
                <w:kern w:val="2"/>
                <w:position w:val="0"/>
                <w:sz w:val="18"/>
                <w:szCs w:val="18"/>
                <w:u w:val="none"/>
                <w:shd w:val="clear" w:color="auto" w:fill="auto"/>
                <w:lang w:val="en-US" w:eastAsia="en-US" w:bidi="zh-TW"/>
              </w:rPr>
              <w:t>万㎡</w:t>
            </w:r>
            <w:r>
              <w:rPr>
                <w:rFonts w:hint="default" w:ascii="Arial" w:hAnsi="Arial" w:eastAsia="华文细黑" w:cs="Arial"/>
                <w:color w:val="000000"/>
                <w:spacing w:val="0"/>
                <w:w w:val="100"/>
                <w:kern w:val="2"/>
                <w:position w:val="0"/>
                <w:sz w:val="18"/>
                <w:szCs w:val="18"/>
                <w:u w:val="none"/>
                <w:shd w:val="clear" w:color="auto" w:fill="auto"/>
                <w:lang w:val="en-US" w:eastAsia="en-US" w:bidi="zh-TW"/>
              </w:rPr>
              <w:t>)</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占比</w:t>
            </w:r>
          </w:p>
        </w:tc>
        <w:tc>
          <w:tcPr>
            <w:tcW w:w="1223"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销量</w:t>
            </w:r>
            <w:r>
              <w:rPr>
                <w:rFonts w:hint="default" w:ascii="Arial" w:hAnsi="Arial" w:eastAsia="华文细黑" w:cs="Arial"/>
                <w:color w:val="000000"/>
                <w:spacing w:val="0"/>
                <w:w w:val="100"/>
                <w:kern w:val="2"/>
                <w:position w:val="0"/>
                <w:sz w:val="18"/>
                <w:szCs w:val="18"/>
                <w:u w:val="none"/>
                <w:shd w:val="clear" w:color="auto" w:fill="auto"/>
                <w:lang w:val="en-US" w:eastAsia="en-US" w:bidi="zh-TW"/>
              </w:rPr>
              <w:t>(</w:t>
            </w:r>
            <w:r>
              <w:rPr>
                <w:rFonts w:hint="eastAsia" w:ascii="Arial" w:hAnsi="Arial" w:eastAsia="华文细黑" w:cs="Arial"/>
                <w:color w:val="000000"/>
                <w:spacing w:val="0"/>
                <w:w w:val="100"/>
                <w:kern w:val="2"/>
                <w:position w:val="0"/>
                <w:sz w:val="18"/>
                <w:szCs w:val="18"/>
                <w:u w:val="none"/>
                <w:shd w:val="clear" w:color="auto" w:fill="auto"/>
                <w:lang w:val="en-US" w:eastAsia="en-US" w:bidi="zh-TW"/>
              </w:rPr>
              <w:t>万㎡</w:t>
            </w:r>
            <w:r>
              <w:rPr>
                <w:rFonts w:hint="default" w:ascii="Arial" w:hAnsi="Arial" w:eastAsia="华文细黑" w:cs="Arial"/>
                <w:color w:val="000000"/>
                <w:spacing w:val="0"/>
                <w:w w:val="100"/>
                <w:kern w:val="2"/>
                <w:position w:val="0"/>
                <w:sz w:val="18"/>
                <w:szCs w:val="18"/>
                <w:u w:val="none"/>
                <w:shd w:val="clear" w:color="auto" w:fill="auto"/>
                <w:lang w:val="en-US" w:eastAsia="en-US" w:bidi="zh-TW"/>
              </w:rPr>
              <w:t>)</w:t>
            </w:r>
          </w:p>
        </w:tc>
        <w:tc>
          <w:tcPr>
            <w:tcW w:w="1212"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占比</w:t>
            </w:r>
          </w:p>
        </w:tc>
        <w:tc>
          <w:tcPr>
            <w:tcW w:w="120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销量</w:t>
            </w:r>
            <w:r>
              <w:rPr>
                <w:rFonts w:hint="default" w:ascii="Arial" w:hAnsi="Arial" w:eastAsia="华文细黑" w:cs="Arial"/>
                <w:color w:val="000000"/>
                <w:spacing w:val="0"/>
                <w:w w:val="100"/>
                <w:kern w:val="2"/>
                <w:position w:val="0"/>
                <w:sz w:val="18"/>
                <w:szCs w:val="18"/>
                <w:u w:val="none"/>
                <w:shd w:val="clear" w:color="auto" w:fill="auto"/>
                <w:lang w:val="en-US" w:eastAsia="en-US" w:bidi="zh-TW"/>
              </w:rPr>
              <w:t>(</w:t>
            </w:r>
            <w:r>
              <w:rPr>
                <w:rFonts w:hint="eastAsia" w:ascii="Arial" w:hAnsi="Arial" w:eastAsia="华文细黑" w:cs="Arial"/>
                <w:color w:val="000000"/>
                <w:spacing w:val="0"/>
                <w:w w:val="100"/>
                <w:kern w:val="2"/>
                <w:position w:val="0"/>
                <w:sz w:val="18"/>
                <w:szCs w:val="18"/>
                <w:u w:val="none"/>
                <w:shd w:val="clear" w:color="auto" w:fill="auto"/>
                <w:lang w:val="en-US" w:eastAsia="en-US" w:bidi="zh-TW"/>
              </w:rPr>
              <w:t>万㎡</w:t>
            </w:r>
            <w:r>
              <w:rPr>
                <w:rFonts w:hint="default" w:ascii="Arial" w:hAnsi="Arial" w:eastAsia="华文细黑" w:cs="Arial"/>
                <w:color w:val="000000"/>
                <w:spacing w:val="0"/>
                <w:w w:val="100"/>
                <w:kern w:val="2"/>
                <w:position w:val="0"/>
                <w:sz w:val="18"/>
                <w:szCs w:val="18"/>
                <w:u w:val="none"/>
                <w:shd w:val="clear" w:color="auto" w:fill="auto"/>
                <w:lang w:val="en-US" w:eastAsia="en-US" w:bidi="zh-TW"/>
              </w:rPr>
              <w:t>)</w:t>
            </w:r>
          </w:p>
        </w:tc>
        <w:tc>
          <w:tcPr>
            <w:tcW w:w="1229"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eastAsia" w:ascii="Arial" w:hAnsi="Arial" w:eastAsia="华文细黑" w:cs="Arial"/>
                <w:color w:val="000000"/>
                <w:spacing w:val="0"/>
                <w:w w:val="100"/>
                <w:kern w:val="2"/>
                <w:position w:val="0"/>
                <w:sz w:val="18"/>
                <w:szCs w:val="18"/>
                <w:u w:val="none"/>
                <w:shd w:val="clear" w:color="auto" w:fill="auto"/>
                <w:lang w:val="en-US" w:eastAsia="en-US" w:bidi="zh-TW"/>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中心城区</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24.95</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28.0%</w:t>
            </w:r>
          </w:p>
        </w:tc>
        <w:tc>
          <w:tcPr>
            <w:tcW w:w="1223"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27.95</w:t>
            </w:r>
          </w:p>
        </w:tc>
        <w:tc>
          <w:tcPr>
            <w:tcW w:w="1212"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40.9%</w:t>
            </w:r>
          </w:p>
        </w:tc>
        <w:tc>
          <w:tcPr>
            <w:tcW w:w="120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0.88</w:t>
            </w:r>
          </w:p>
        </w:tc>
        <w:tc>
          <w:tcPr>
            <w:tcW w:w="1229"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副中心</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11.75</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13.2%</w:t>
            </w:r>
          </w:p>
        </w:tc>
        <w:tc>
          <w:tcPr>
            <w:tcW w:w="1223"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11.38</w:t>
            </w:r>
          </w:p>
        </w:tc>
        <w:tc>
          <w:tcPr>
            <w:tcW w:w="1212"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16.6%</w:t>
            </w:r>
          </w:p>
        </w:tc>
        <w:tc>
          <w:tcPr>
            <w:tcW w:w="120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0.39</w:t>
            </w:r>
          </w:p>
        </w:tc>
        <w:tc>
          <w:tcPr>
            <w:tcW w:w="1229"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多点</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42.79</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48. 1%</w:t>
            </w:r>
          </w:p>
        </w:tc>
        <w:tc>
          <w:tcPr>
            <w:tcW w:w="1223"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20.95</w:t>
            </w:r>
          </w:p>
        </w:tc>
        <w:tc>
          <w:tcPr>
            <w:tcW w:w="1212"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30.6%</w:t>
            </w:r>
          </w:p>
        </w:tc>
        <w:tc>
          <w:tcPr>
            <w:tcW w:w="120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2.59</w:t>
            </w:r>
          </w:p>
        </w:tc>
        <w:tc>
          <w:tcPr>
            <w:tcW w:w="1229"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生态涵养区</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9.53</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10.7%</w:t>
            </w:r>
          </w:p>
        </w:tc>
        <w:tc>
          <w:tcPr>
            <w:tcW w:w="1223"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8.12</w:t>
            </w:r>
          </w:p>
        </w:tc>
        <w:tc>
          <w:tcPr>
            <w:tcW w:w="1212"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11.9%</w:t>
            </w:r>
          </w:p>
        </w:tc>
        <w:tc>
          <w:tcPr>
            <w:tcW w:w="120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0.26</w:t>
            </w:r>
          </w:p>
        </w:tc>
        <w:tc>
          <w:tcPr>
            <w:tcW w:w="1229"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50"/>
              <w:keepNext w:val="0"/>
              <w:keepLines w:val="0"/>
              <w:widowControl w:val="0"/>
              <w:shd w:val="clear" w:color="auto" w:fill="auto"/>
              <w:bidi w:val="0"/>
              <w:spacing w:before="0" w:after="0" w:line="240" w:lineRule="auto"/>
              <w:ind w:left="0" w:right="0" w:firstLine="0"/>
              <w:jc w:val="center"/>
              <w:rPr>
                <w:rFonts w:hint="eastAsia" w:ascii="Arial" w:hAnsi="Arial" w:eastAsia="华文细黑" w:cs="Arial"/>
                <w:color w:val="000000"/>
                <w:spacing w:val="0"/>
                <w:w w:val="100"/>
                <w:position w:val="0"/>
                <w:sz w:val="18"/>
                <w:szCs w:val="18"/>
                <w:lang w:val="en-US" w:eastAsia="en-US"/>
              </w:rPr>
            </w:pPr>
            <w:r>
              <w:rPr>
                <w:rFonts w:hint="eastAsia" w:ascii="Arial" w:hAnsi="Arial" w:eastAsia="华文细黑" w:cs="Arial"/>
                <w:color w:val="000000"/>
                <w:spacing w:val="0"/>
                <w:w w:val="100"/>
                <w:position w:val="0"/>
                <w:sz w:val="18"/>
                <w:szCs w:val="18"/>
                <w:lang w:val="en-US" w:eastAsia="en-US"/>
              </w:rPr>
              <w:t>合计</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89.02</w:t>
            </w:r>
          </w:p>
        </w:tc>
        <w:tc>
          <w:tcPr>
            <w:tcW w:w="121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100%</w:t>
            </w:r>
          </w:p>
        </w:tc>
        <w:tc>
          <w:tcPr>
            <w:tcW w:w="1223"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68.40</w:t>
            </w:r>
          </w:p>
        </w:tc>
        <w:tc>
          <w:tcPr>
            <w:tcW w:w="1212"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100%</w:t>
            </w:r>
          </w:p>
        </w:tc>
        <w:tc>
          <w:tcPr>
            <w:tcW w:w="1207"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4.11</w:t>
            </w:r>
          </w:p>
        </w:tc>
        <w:tc>
          <w:tcPr>
            <w:tcW w:w="1229" w:type="dxa"/>
            <w:vAlign w:val="center"/>
          </w:tcPr>
          <w:p>
            <w:pPr>
              <w:pStyle w:val="17"/>
              <w:keepNext w:val="0"/>
              <w:keepLines w:val="0"/>
              <w:widowControl/>
              <w:suppressLineNumbers w:val="0"/>
              <w:jc w:val="center"/>
              <w:rPr>
                <w:rFonts w:hint="eastAsia" w:ascii="Arial" w:hAnsi="Arial" w:eastAsia="华文细黑" w:cs="Arial"/>
                <w:color w:val="000000"/>
                <w:spacing w:val="0"/>
                <w:w w:val="100"/>
                <w:kern w:val="2"/>
                <w:position w:val="0"/>
                <w:sz w:val="18"/>
                <w:szCs w:val="18"/>
                <w:u w:val="none"/>
                <w:shd w:val="clear" w:color="auto" w:fill="auto"/>
                <w:lang w:val="en-US" w:eastAsia="en-US" w:bidi="zh-TW"/>
              </w:rPr>
            </w:pPr>
            <w:r>
              <w:rPr>
                <w:rFonts w:hint="default" w:ascii="Arial" w:hAnsi="Arial" w:eastAsia="华文细黑" w:cs="Arial"/>
                <w:color w:val="000000"/>
                <w:spacing w:val="0"/>
                <w:w w:val="100"/>
                <w:kern w:val="2"/>
                <w:position w:val="0"/>
                <w:sz w:val="18"/>
                <w:szCs w:val="18"/>
                <w:u w:val="none"/>
                <w:shd w:val="clear" w:color="auto" w:fill="auto"/>
                <w:lang w:val="en-US" w:eastAsia="en-US" w:bidi="zh-TW"/>
              </w:rPr>
              <w:t>100%</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180" w:firstLineChars="100"/>
        <w:textAlignment w:val="auto"/>
        <w:rPr>
          <w:rFonts w:ascii="Arial" w:hAnsi="Arial" w:cs="Arial"/>
          <w:sz w:val="18"/>
          <w:szCs w:val="18"/>
        </w:rPr>
      </w:pPr>
    </w:p>
    <w:p>
      <w:pPr>
        <w:widowControl/>
        <w:spacing w:line="360" w:lineRule="auto"/>
        <w:ind w:firstLine="420" w:firstLineChars="200"/>
        <w:jc w:val="left"/>
        <w:rPr>
          <w:rFonts w:ascii="Arial" w:hAnsi="Arial" w:cs="Arial"/>
        </w:rPr>
      </w:pPr>
      <w:r>
        <w:rPr>
          <w:rFonts w:ascii="Arial" w:hAnsi="Arial" w:cs="Arial"/>
        </w:rPr>
        <w:t>5.小结</w:t>
      </w:r>
    </w:p>
    <w:p>
      <w:pPr>
        <w:widowControl/>
        <w:spacing w:line="360" w:lineRule="auto"/>
        <w:ind w:firstLine="420" w:firstLineChars="200"/>
        <w:jc w:val="left"/>
        <w:rPr>
          <w:rFonts w:hint="eastAsia" w:ascii="Arial" w:hAnsi="Arial" w:cs="Arial"/>
          <w:lang w:val="en-US" w:eastAsia="zh-CN"/>
        </w:rPr>
      </w:pPr>
      <w:r>
        <w:rPr>
          <w:rFonts w:ascii="Wingdings" w:hAnsi="Wingdings" w:cs="Arial"/>
        </w:rPr>
        <w:t></w:t>
      </w:r>
      <w:r>
        <w:rPr>
          <w:rFonts w:hint="eastAsia" w:ascii="Arial" w:hAnsi="Arial" w:cs="Arial"/>
          <w:lang w:val="en-US" w:eastAsia="zh-CN"/>
        </w:rPr>
        <w:t>新建住宅销售面积同比降幅缩窄，市场趋于好转，高单价项目销量占比提升，整体均价上涨。</w:t>
      </w:r>
    </w:p>
    <w:p>
      <w:pPr>
        <w:widowControl/>
        <w:spacing w:line="360" w:lineRule="auto"/>
        <w:ind w:firstLine="420" w:firstLineChars="200"/>
        <w:jc w:val="left"/>
        <w:rPr>
          <w:rFonts w:hint="eastAsia" w:ascii="Arial" w:hAnsi="Arial" w:cs="Arial"/>
          <w:lang w:val="en-US" w:eastAsia="zh-CN"/>
        </w:rPr>
      </w:pPr>
      <w:r>
        <w:rPr>
          <w:rFonts w:ascii="Wingdings" w:hAnsi="Wingdings" w:cs="Arial"/>
        </w:rPr>
        <w:t></w:t>
      </w:r>
      <w:r>
        <w:rPr>
          <w:rFonts w:hint="eastAsia" w:ascii="Arial" w:hAnsi="Arial" w:cs="Arial"/>
          <w:lang w:val="en-US" w:eastAsia="zh-CN"/>
        </w:rPr>
        <w:t>因春节假期因素，二手房签约量减少，但高于去年春节月份，价格环比回涨，同比涨幅加快。</w:t>
      </w:r>
    </w:p>
    <w:p>
      <w:pPr>
        <w:widowControl/>
        <w:spacing w:line="360" w:lineRule="auto"/>
        <w:ind w:firstLine="420" w:firstLineChars="200"/>
        <w:jc w:val="left"/>
        <w:rPr>
          <w:rFonts w:hint="eastAsia" w:ascii="Arial" w:hAnsi="Arial" w:cs="Arial"/>
          <w:lang w:val="en-US" w:eastAsia="zh-CN"/>
        </w:rPr>
      </w:pPr>
      <w:r>
        <w:rPr>
          <w:rFonts w:ascii="Wingdings" w:hAnsi="Wingdings" w:cs="Arial"/>
        </w:rPr>
        <w:t></w:t>
      </w:r>
      <w:r>
        <w:rPr>
          <w:rFonts w:hint="eastAsia" w:ascii="Arial" w:hAnsi="Arial" w:cs="Arial"/>
          <w:lang w:val="en-US" w:eastAsia="zh-CN"/>
        </w:rPr>
        <w:t>随着经济恢复、服务业发展和消费复苏，商办房地产市场需求端趋暖，但新增入市供应量增加，市场压力较大。</w:t>
      </w:r>
    </w:p>
    <w:p>
      <w:pPr>
        <w:pStyle w:val="2"/>
        <w:rPr>
          <w:rFonts w:ascii="Arial" w:hAnsi="Arial" w:cs="Arial"/>
        </w:rPr>
      </w:pPr>
      <w:r>
        <w:rPr>
          <w:rFonts w:ascii="Arial" w:hAnsi="Arial" w:cs="Arial"/>
        </w:rPr>
        <w:br w:type="page"/>
      </w:r>
    </w:p>
    <w:p>
      <w:pPr>
        <w:pStyle w:val="2"/>
        <w:rPr>
          <w:rFonts w:ascii="Arial" w:hAnsi="Arial" w:cs="Arial"/>
        </w:rPr>
      </w:pPr>
      <w:bookmarkStart w:id="13" w:name="_Toc106720185"/>
      <w:bookmarkStart w:id="14" w:name="_Toc106718940"/>
      <w:r>
        <w:rPr>
          <w:rFonts w:ascii="Arial" w:hAnsi="Arial" w:cs="Arial"/>
        </w:rPr>
        <w:t>三、市场展望</w:t>
      </w:r>
      <w:bookmarkEnd w:id="13"/>
      <w:bookmarkEnd w:id="14"/>
    </w:p>
    <w:p>
      <w:pPr>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ascii="Arial" w:hAnsi="Arial" w:cs="Arial"/>
        </w:rPr>
      </w:pPr>
      <w:r>
        <w:rPr>
          <w:rFonts w:hint="eastAsia" w:ascii="Arial" w:hAnsi="Arial" w:cs="Arial"/>
        </w:rPr>
        <w:t>新建商品住宅在高单价项目销售拉动下均价上涨；年初二手房签约量受春节影响减   少，随着政策环境宽松，收入预期改善，积压购房需求释放，预计签约量将回升，房价稳中有升。本季度成交的集中供地因多点区域供地规模和规划非住宅用途规模占比提高，成交均价下跌；宗地交易分化，优质地块竞争激烈，预计住宅地价整体变化较小，但呈区域性波动。</w:t>
      </w:r>
      <w:r>
        <w:rPr>
          <w:rFonts w:hint="eastAsia" w:ascii="Arial" w:hAnsi="Arial" w:cs="Arial"/>
        </w:rPr>
        <w:tab/>
      </w:r>
      <w:r>
        <w:rPr>
          <w:rFonts w:hint="eastAsia" w:ascii="Arial" w:hAnsi="Arial" w:cs="Arial"/>
        </w:rPr>
        <w:t>疫情消减、消费复苏下，商业、办公房地产市场需求回暖，但新建项目竣工入市量增加幅度较大，供需博弈下，新兴商圈商办房地产可能小幅波动，预计商办地价以稳为主。</w:t>
      </w:r>
      <w:r>
        <w:rPr>
          <w:rFonts w:hint="eastAsia" w:ascii="Arial" w:hAnsi="Arial" w:cs="Arial"/>
        </w:rPr>
        <w:tab/>
      </w:r>
      <w:r>
        <w:rPr>
          <w:rFonts w:hint="eastAsia" w:ascii="Arial" w:hAnsi="Arial" w:cs="Arial"/>
        </w:rPr>
        <w:t>各项助企纾困措施推进，产业用地平稳供应，支持实体经济，  预计工业地价保持稳定。</w:t>
      </w:r>
    </w:p>
    <w:p>
      <w:pPr>
        <w:keepNext w:val="0"/>
        <w:keepLines w:val="0"/>
        <w:pageBreakBefore w:val="0"/>
        <w:widowControl w:val="0"/>
        <w:kinsoku/>
        <w:wordWrap/>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tabs>
          <w:tab w:val="left" w:pos="426"/>
        </w:tabs>
        <w:kinsoku/>
        <w:wordWrap/>
        <w:overflowPunct w:val="0"/>
        <w:topLinePunct w:val="0"/>
        <w:autoSpaceDE/>
        <w:autoSpaceDN/>
        <w:bidi w:val="0"/>
        <w:adjustRightInd/>
        <w:snapToGrid/>
        <w:spacing w:line="360" w:lineRule="auto"/>
        <w:ind w:firstLine="420" w:firstLineChars="200"/>
        <w:textAlignment w:val="auto"/>
        <w:rPr>
          <w:rFonts w:ascii="Arial" w:hAnsi="Arial" w:cs="Arial"/>
        </w:rPr>
      </w:pPr>
    </w:p>
    <w:sectPr>
      <w:headerReference r:id="rId3" w:type="default"/>
      <w:footerReference r:id="rId5" w:type="default"/>
      <w:headerReference r:id="rId4"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548962424"/>
      <w:docPartObj>
        <w:docPartGallery w:val="autotext"/>
      </w:docPartObj>
    </w:sdtPr>
    <w:sdtEndPr>
      <w:rPr>
        <w:rStyle w:val="23"/>
      </w:rPr>
    </w:sdtEndPr>
    <w:sdtContent>
      <w:p>
        <w:pPr>
          <w:pStyle w:val="12"/>
          <w:framePr w:wrap="auto" w:vAnchor="text" w:hAnchor="margin" w:xAlign="center" w:y="1"/>
          <w:rPr>
            <w:rStyle w:val="23"/>
          </w:rPr>
        </w:pPr>
        <w:r>
          <w:rPr>
            <w:rStyle w:val="23"/>
          </w:rPr>
          <w:fldChar w:fldCharType="begin"/>
        </w:r>
        <w:r>
          <w:rPr>
            <w:rStyle w:val="23"/>
          </w:rPr>
          <w:instrText xml:space="preserve"> PAGE </w:instrText>
        </w:r>
        <w:r>
          <w:rPr>
            <w:rStyle w:val="23"/>
          </w:rPr>
          <w:fldChar w:fldCharType="separate"/>
        </w:r>
        <w:r>
          <w:rPr>
            <w:rStyle w:val="23"/>
          </w:rPr>
          <w:t>19</w:t>
        </w:r>
        <w:r>
          <w:rPr>
            <w:rStyle w:val="23"/>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3"/>
      </w:rPr>
      <w:id w:val="537479439"/>
      <w:docPartObj>
        <w:docPartGallery w:val="autotext"/>
      </w:docPartObj>
    </w:sdtPr>
    <w:sdtEndPr>
      <w:rPr>
        <w:rStyle w:val="23"/>
      </w:rPr>
    </w:sdtEndPr>
    <w:sdtContent>
      <w:p>
        <w:pPr>
          <w:pStyle w:val="12"/>
          <w:framePr w:wrap="auto" w:vAnchor="text" w:hAnchor="margin" w:xAlign="center" w:y="1"/>
          <w:rPr>
            <w:rStyle w:val="23"/>
          </w:rPr>
        </w:pPr>
        <w:r>
          <w:rPr>
            <w:rStyle w:val="23"/>
          </w:rPr>
          <w:fldChar w:fldCharType="begin"/>
        </w:r>
        <w:r>
          <w:rPr>
            <w:rStyle w:val="23"/>
          </w:rPr>
          <w:instrText xml:space="preserve"> PAGE </w:instrText>
        </w:r>
        <w:r>
          <w:rPr>
            <w:rStyle w:val="23"/>
          </w:rPr>
          <w:fldChar w:fldCharType="separate"/>
        </w:r>
        <w:r>
          <w:rPr>
            <w:rStyle w:val="23"/>
          </w:rPr>
          <w:t>18</w:t>
        </w:r>
        <w:r>
          <w:rPr>
            <w:rStyle w:val="23"/>
          </w:rP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5274310" cy="256540"/>
          <wp:effectExtent l="0" t="0" r="0" b="0"/>
          <wp:docPr id="20"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0" name="图片 0" descr="评估报告内页页眉.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274310" cy="25710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5274310" cy="256540"/>
          <wp:effectExtent l="0" t="0" r="2540" b="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274310" cy="2565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700E8"/>
    <w:multiLevelType w:val="multilevel"/>
    <w:tmpl w:val="09A700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032FC5"/>
    <w:multiLevelType w:val="multilevel"/>
    <w:tmpl w:val="12032FC5"/>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08636F"/>
    <w:multiLevelType w:val="multilevel"/>
    <w:tmpl w:val="1D0863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B8775A9"/>
    <w:multiLevelType w:val="multilevel"/>
    <w:tmpl w:val="6B8775A9"/>
    <w:lvl w:ilvl="0" w:tentative="0">
      <w:start w:val="1"/>
      <w:numFmt w:val="bullet"/>
      <w:lvlText w:val=""/>
      <w:lvlJc w:val="left"/>
      <w:pPr>
        <w:ind w:left="420" w:hanging="420"/>
      </w:pPr>
      <w:rPr>
        <w:rFonts w:hint="default" w:ascii="Wingdings" w:hAnsi="Wingdings"/>
        <w:lang w:val="zh-CN" w:eastAsia="zh-CN" w:bidi="zh-C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0YTgwZWFlNTQxODE0NTkyNTBkYjM5YTFhYzFlZTgifQ=="/>
  </w:docVars>
  <w:rsids>
    <w:rsidRoot w:val="00E52F77"/>
    <w:rsid w:val="00001F59"/>
    <w:rsid w:val="000103FC"/>
    <w:rsid w:val="0002106C"/>
    <w:rsid w:val="00026A0A"/>
    <w:rsid w:val="00031C6F"/>
    <w:rsid w:val="00040A0E"/>
    <w:rsid w:val="000410FF"/>
    <w:rsid w:val="00064962"/>
    <w:rsid w:val="00067E61"/>
    <w:rsid w:val="00067F81"/>
    <w:rsid w:val="00076306"/>
    <w:rsid w:val="0008322D"/>
    <w:rsid w:val="00083991"/>
    <w:rsid w:val="00084B0E"/>
    <w:rsid w:val="000855E4"/>
    <w:rsid w:val="0009665F"/>
    <w:rsid w:val="00097EFA"/>
    <w:rsid w:val="000A3461"/>
    <w:rsid w:val="000A59EB"/>
    <w:rsid w:val="000B0938"/>
    <w:rsid w:val="000B6422"/>
    <w:rsid w:val="000D1A11"/>
    <w:rsid w:val="000D6300"/>
    <w:rsid w:val="000E2ACA"/>
    <w:rsid w:val="000E33C8"/>
    <w:rsid w:val="000E5E60"/>
    <w:rsid w:val="00105BDB"/>
    <w:rsid w:val="001174A9"/>
    <w:rsid w:val="00132C81"/>
    <w:rsid w:val="00136818"/>
    <w:rsid w:val="001424EC"/>
    <w:rsid w:val="00145048"/>
    <w:rsid w:val="001565DA"/>
    <w:rsid w:val="00162C44"/>
    <w:rsid w:val="00171C8F"/>
    <w:rsid w:val="00177DB4"/>
    <w:rsid w:val="00181AF6"/>
    <w:rsid w:val="00181B57"/>
    <w:rsid w:val="0018410A"/>
    <w:rsid w:val="001959B0"/>
    <w:rsid w:val="001A25BB"/>
    <w:rsid w:val="001A6BAE"/>
    <w:rsid w:val="001B0393"/>
    <w:rsid w:val="001B1BC9"/>
    <w:rsid w:val="001B302B"/>
    <w:rsid w:val="001C0A2E"/>
    <w:rsid w:val="001C6730"/>
    <w:rsid w:val="001D073E"/>
    <w:rsid w:val="001D5051"/>
    <w:rsid w:val="001E6D06"/>
    <w:rsid w:val="001F0286"/>
    <w:rsid w:val="001F2A2A"/>
    <w:rsid w:val="00207BFE"/>
    <w:rsid w:val="00214C32"/>
    <w:rsid w:val="002222A3"/>
    <w:rsid w:val="00227E1B"/>
    <w:rsid w:val="00236822"/>
    <w:rsid w:val="00236A98"/>
    <w:rsid w:val="00251FBF"/>
    <w:rsid w:val="00263B32"/>
    <w:rsid w:val="00284527"/>
    <w:rsid w:val="002A0807"/>
    <w:rsid w:val="002A6C74"/>
    <w:rsid w:val="002C232B"/>
    <w:rsid w:val="002C3D85"/>
    <w:rsid w:val="002C7ABA"/>
    <w:rsid w:val="002D397B"/>
    <w:rsid w:val="002F12B5"/>
    <w:rsid w:val="00317DD5"/>
    <w:rsid w:val="00323350"/>
    <w:rsid w:val="00324C35"/>
    <w:rsid w:val="0032524B"/>
    <w:rsid w:val="00325283"/>
    <w:rsid w:val="0033450C"/>
    <w:rsid w:val="00342492"/>
    <w:rsid w:val="0034342B"/>
    <w:rsid w:val="0034380F"/>
    <w:rsid w:val="00351248"/>
    <w:rsid w:val="0035792E"/>
    <w:rsid w:val="00360FBA"/>
    <w:rsid w:val="00364EF8"/>
    <w:rsid w:val="00367D40"/>
    <w:rsid w:val="00374152"/>
    <w:rsid w:val="0038579B"/>
    <w:rsid w:val="00390B06"/>
    <w:rsid w:val="00393E83"/>
    <w:rsid w:val="003A3FE7"/>
    <w:rsid w:val="003B2087"/>
    <w:rsid w:val="003B4BB5"/>
    <w:rsid w:val="003B5592"/>
    <w:rsid w:val="003F0C92"/>
    <w:rsid w:val="003F20C6"/>
    <w:rsid w:val="003F2828"/>
    <w:rsid w:val="00422B94"/>
    <w:rsid w:val="004424AB"/>
    <w:rsid w:val="004558E4"/>
    <w:rsid w:val="004650E7"/>
    <w:rsid w:val="004753C7"/>
    <w:rsid w:val="00475864"/>
    <w:rsid w:val="00482D92"/>
    <w:rsid w:val="00491989"/>
    <w:rsid w:val="004A067B"/>
    <w:rsid w:val="004A2422"/>
    <w:rsid w:val="004C47C9"/>
    <w:rsid w:val="004D2FE7"/>
    <w:rsid w:val="004D4D43"/>
    <w:rsid w:val="004E121B"/>
    <w:rsid w:val="004E5DE0"/>
    <w:rsid w:val="004F6B86"/>
    <w:rsid w:val="00501F9D"/>
    <w:rsid w:val="0050476D"/>
    <w:rsid w:val="0050749D"/>
    <w:rsid w:val="00511637"/>
    <w:rsid w:val="00522B72"/>
    <w:rsid w:val="00526DDC"/>
    <w:rsid w:val="0054337F"/>
    <w:rsid w:val="00561908"/>
    <w:rsid w:val="00563EE1"/>
    <w:rsid w:val="0057634E"/>
    <w:rsid w:val="00576E23"/>
    <w:rsid w:val="00582799"/>
    <w:rsid w:val="00584CC6"/>
    <w:rsid w:val="00587407"/>
    <w:rsid w:val="00591D34"/>
    <w:rsid w:val="005954E8"/>
    <w:rsid w:val="005A18CB"/>
    <w:rsid w:val="005A1BEE"/>
    <w:rsid w:val="005A449D"/>
    <w:rsid w:val="005B6A2A"/>
    <w:rsid w:val="005B6E87"/>
    <w:rsid w:val="005B76D0"/>
    <w:rsid w:val="005C1A5D"/>
    <w:rsid w:val="005C1D9B"/>
    <w:rsid w:val="005D5D39"/>
    <w:rsid w:val="005D6F13"/>
    <w:rsid w:val="005E506E"/>
    <w:rsid w:val="005E736B"/>
    <w:rsid w:val="005F0145"/>
    <w:rsid w:val="005F2C71"/>
    <w:rsid w:val="00604D88"/>
    <w:rsid w:val="00610F51"/>
    <w:rsid w:val="00615B40"/>
    <w:rsid w:val="006302D5"/>
    <w:rsid w:val="00630B7F"/>
    <w:rsid w:val="006414DD"/>
    <w:rsid w:val="006579DC"/>
    <w:rsid w:val="00662E19"/>
    <w:rsid w:val="00690EF8"/>
    <w:rsid w:val="00691371"/>
    <w:rsid w:val="00691596"/>
    <w:rsid w:val="006A37EC"/>
    <w:rsid w:val="006C7D62"/>
    <w:rsid w:val="006D37DC"/>
    <w:rsid w:val="006E0CF6"/>
    <w:rsid w:val="006E141B"/>
    <w:rsid w:val="006E15B6"/>
    <w:rsid w:val="006F19D6"/>
    <w:rsid w:val="0070314D"/>
    <w:rsid w:val="00721F54"/>
    <w:rsid w:val="00723088"/>
    <w:rsid w:val="0073160D"/>
    <w:rsid w:val="00740569"/>
    <w:rsid w:val="00743ADC"/>
    <w:rsid w:val="00747929"/>
    <w:rsid w:val="007601E4"/>
    <w:rsid w:val="007771AA"/>
    <w:rsid w:val="007810D4"/>
    <w:rsid w:val="0078446D"/>
    <w:rsid w:val="007850FC"/>
    <w:rsid w:val="0079013F"/>
    <w:rsid w:val="0079291F"/>
    <w:rsid w:val="00797B5A"/>
    <w:rsid w:val="007B13AC"/>
    <w:rsid w:val="007B1EDB"/>
    <w:rsid w:val="007B2120"/>
    <w:rsid w:val="007B2BC8"/>
    <w:rsid w:val="007C1066"/>
    <w:rsid w:val="007C1D21"/>
    <w:rsid w:val="007D1533"/>
    <w:rsid w:val="007D1601"/>
    <w:rsid w:val="007E170A"/>
    <w:rsid w:val="007E3B47"/>
    <w:rsid w:val="007E3FEC"/>
    <w:rsid w:val="007F3B17"/>
    <w:rsid w:val="007F658B"/>
    <w:rsid w:val="00810C38"/>
    <w:rsid w:val="00815B28"/>
    <w:rsid w:val="00816B52"/>
    <w:rsid w:val="008324B0"/>
    <w:rsid w:val="00832618"/>
    <w:rsid w:val="00844B51"/>
    <w:rsid w:val="0086221B"/>
    <w:rsid w:val="008625B6"/>
    <w:rsid w:val="00863878"/>
    <w:rsid w:val="00863C08"/>
    <w:rsid w:val="008704E4"/>
    <w:rsid w:val="00871C05"/>
    <w:rsid w:val="00892CB3"/>
    <w:rsid w:val="00894ABB"/>
    <w:rsid w:val="008A6254"/>
    <w:rsid w:val="008A6FAE"/>
    <w:rsid w:val="008D272F"/>
    <w:rsid w:val="008E0D10"/>
    <w:rsid w:val="008E110D"/>
    <w:rsid w:val="008E117C"/>
    <w:rsid w:val="008E4904"/>
    <w:rsid w:val="00904AA1"/>
    <w:rsid w:val="00913511"/>
    <w:rsid w:val="009138E3"/>
    <w:rsid w:val="00913B72"/>
    <w:rsid w:val="00924584"/>
    <w:rsid w:val="00934EA3"/>
    <w:rsid w:val="00944AF1"/>
    <w:rsid w:val="009509C8"/>
    <w:rsid w:val="00956B95"/>
    <w:rsid w:val="009664CF"/>
    <w:rsid w:val="00990285"/>
    <w:rsid w:val="00995467"/>
    <w:rsid w:val="00995D70"/>
    <w:rsid w:val="009A3FE1"/>
    <w:rsid w:val="009C4843"/>
    <w:rsid w:val="009E4FA6"/>
    <w:rsid w:val="009E5770"/>
    <w:rsid w:val="009F3152"/>
    <w:rsid w:val="009F7C62"/>
    <w:rsid w:val="00A17862"/>
    <w:rsid w:val="00A37240"/>
    <w:rsid w:val="00A4311A"/>
    <w:rsid w:val="00A54F8D"/>
    <w:rsid w:val="00A55C2B"/>
    <w:rsid w:val="00A61C0C"/>
    <w:rsid w:val="00A71EAC"/>
    <w:rsid w:val="00A74C14"/>
    <w:rsid w:val="00A75540"/>
    <w:rsid w:val="00A84FAC"/>
    <w:rsid w:val="00A90864"/>
    <w:rsid w:val="00A934FE"/>
    <w:rsid w:val="00A959ED"/>
    <w:rsid w:val="00A97C9B"/>
    <w:rsid w:val="00AF2760"/>
    <w:rsid w:val="00B026A3"/>
    <w:rsid w:val="00B116D3"/>
    <w:rsid w:val="00B14850"/>
    <w:rsid w:val="00B2460B"/>
    <w:rsid w:val="00B30DD5"/>
    <w:rsid w:val="00B3282F"/>
    <w:rsid w:val="00B35CDB"/>
    <w:rsid w:val="00B36617"/>
    <w:rsid w:val="00B569F9"/>
    <w:rsid w:val="00B57F30"/>
    <w:rsid w:val="00B64198"/>
    <w:rsid w:val="00B85F4E"/>
    <w:rsid w:val="00B91388"/>
    <w:rsid w:val="00BA178D"/>
    <w:rsid w:val="00BA2981"/>
    <w:rsid w:val="00BB7EC4"/>
    <w:rsid w:val="00BE3246"/>
    <w:rsid w:val="00BE34AC"/>
    <w:rsid w:val="00BE5A6E"/>
    <w:rsid w:val="00BE7BF5"/>
    <w:rsid w:val="00BF17C0"/>
    <w:rsid w:val="00C05DF3"/>
    <w:rsid w:val="00C16478"/>
    <w:rsid w:val="00C22AEA"/>
    <w:rsid w:val="00C2484F"/>
    <w:rsid w:val="00C321E9"/>
    <w:rsid w:val="00C35D21"/>
    <w:rsid w:val="00C378A5"/>
    <w:rsid w:val="00C47378"/>
    <w:rsid w:val="00C4784C"/>
    <w:rsid w:val="00C515E9"/>
    <w:rsid w:val="00C52AC3"/>
    <w:rsid w:val="00C56875"/>
    <w:rsid w:val="00C5717D"/>
    <w:rsid w:val="00C57D43"/>
    <w:rsid w:val="00C81DC9"/>
    <w:rsid w:val="00C94990"/>
    <w:rsid w:val="00C95C05"/>
    <w:rsid w:val="00CA0F67"/>
    <w:rsid w:val="00CA2656"/>
    <w:rsid w:val="00CA28B5"/>
    <w:rsid w:val="00CB09F6"/>
    <w:rsid w:val="00CB1646"/>
    <w:rsid w:val="00CB1A12"/>
    <w:rsid w:val="00CB3BB0"/>
    <w:rsid w:val="00CB7A46"/>
    <w:rsid w:val="00CD1DFF"/>
    <w:rsid w:val="00CE1118"/>
    <w:rsid w:val="00CE2FB4"/>
    <w:rsid w:val="00CE656E"/>
    <w:rsid w:val="00D00741"/>
    <w:rsid w:val="00D05B9D"/>
    <w:rsid w:val="00D1046B"/>
    <w:rsid w:val="00D14204"/>
    <w:rsid w:val="00D32E00"/>
    <w:rsid w:val="00D626DE"/>
    <w:rsid w:val="00D6365E"/>
    <w:rsid w:val="00D7103E"/>
    <w:rsid w:val="00D711EF"/>
    <w:rsid w:val="00D717E9"/>
    <w:rsid w:val="00D87DB4"/>
    <w:rsid w:val="00D90D23"/>
    <w:rsid w:val="00DB36B9"/>
    <w:rsid w:val="00DB7BCE"/>
    <w:rsid w:val="00DC3495"/>
    <w:rsid w:val="00DC7484"/>
    <w:rsid w:val="00DD42D1"/>
    <w:rsid w:val="00DE015B"/>
    <w:rsid w:val="00DE3A17"/>
    <w:rsid w:val="00E000D1"/>
    <w:rsid w:val="00E0469E"/>
    <w:rsid w:val="00E0571D"/>
    <w:rsid w:val="00E12289"/>
    <w:rsid w:val="00E14DAC"/>
    <w:rsid w:val="00E17FCA"/>
    <w:rsid w:val="00E20DC0"/>
    <w:rsid w:val="00E43A4C"/>
    <w:rsid w:val="00E52F77"/>
    <w:rsid w:val="00E65762"/>
    <w:rsid w:val="00E74850"/>
    <w:rsid w:val="00E90E00"/>
    <w:rsid w:val="00E922E1"/>
    <w:rsid w:val="00E97B8E"/>
    <w:rsid w:val="00EB5347"/>
    <w:rsid w:val="00EB591D"/>
    <w:rsid w:val="00EB5F0D"/>
    <w:rsid w:val="00EB7990"/>
    <w:rsid w:val="00EC0305"/>
    <w:rsid w:val="00ED1D21"/>
    <w:rsid w:val="00ED3FD2"/>
    <w:rsid w:val="00EE1898"/>
    <w:rsid w:val="00EE64D5"/>
    <w:rsid w:val="00EE6C2C"/>
    <w:rsid w:val="00EF709C"/>
    <w:rsid w:val="00F022A9"/>
    <w:rsid w:val="00F02C70"/>
    <w:rsid w:val="00F14DE8"/>
    <w:rsid w:val="00F16C43"/>
    <w:rsid w:val="00F20316"/>
    <w:rsid w:val="00F22E81"/>
    <w:rsid w:val="00F262E1"/>
    <w:rsid w:val="00F33814"/>
    <w:rsid w:val="00F531AF"/>
    <w:rsid w:val="00F609BA"/>
    <w:rsid w:val="00F63FDC"/>
    <w:rsid w:val="00F73135"/>
    <w:rsid w:val="00F819CF"/>
    <w:rsid w:val="00FB5836"/>
    <w:rsid w:val="00FC40EF"/>
    <w:rsid w:val="00FC4EDA"/>
    <w:rsid w:val="00FD6B5E"/>
    <w:rsid w:val="00FE4D09"/>
    <w:rsid w:val="00FF57C9"/>
    <w:rsid w:val="00FF7A84"/>
    <w:rsid w:val="02AB4A54"/>
    <w:rsid w:val="0EA96901"/>
    <w:rsid w:val="194A2DD6"/>
    <w:rsid w:val="1A836FE4"/>
    <w:rsid w:val="1BA44667"/>
    <w:rsid w:val="214E5B76"/>
    <w:rsid w:val="2E0E0AA0"/>
    <w:rsid w:val="31426297"/>
    <w:rsid w:val="401A163F"/>
    <w:rsid w:val="457C3A01"/>
    <w:rsid w:val="4AD05F64"/>
    <w:rsid w:val="4BFC24EE"/>
    <w:rsid w:val="54FA7CEC"/>
    <w:rsid w:val="5B7F4C94"/>
    <w:rsid w:val="62030E3A"/>
    <w:rsid w:val="63052CFE"/>
    <w:rsid w:val="748B5618"/>
    <w:rsid w:val="79B078F9"/>
    <w:rsid w:val="7AE24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9"/>
    <w:pPr>
      <w:keepNext/>
      <w:keepLines/>
      <w:spacing w:line="360" w:lineRule="auto"/>
      <w:jc w:val="left"/>
      <w:outlineLvl w:val="0"/>
    </w:pPr>
    <w:rPr>
      <w:b/>
      <w:bCs/>
      <w:kern w:val="44"/>
      <w:sz w:val="30"/>
      <w:szCs w:val="44"/>
    </w:rPr>
  </w:style>
  <w:style w:type="paragraph" w:styleId="3">
    <w:name w:val="heading 2"/>
    <w:basedOn w:val="1"/>
    <w:next w:val="1"/>
    <w:link w:val="40"/>
    <w:unhideWhenUsed/>
    <w:qFormat/>
    <w:uiPriority w:val="9"/>
    <w:pPr>
      <w:spacing w:line="360" w:lineRule="auto"/>
      <w:outlineLvl w:val="1"/>
    </w:pPr>
  </w:style>
  <w:style w:type="paragraph" w:styleId="4">
    <w:name w:val="heading 3"/>
    <w:basedOn w:val="1"/>
    <w:next w:val="1"/>
    <w:link w:val="4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5"/>
    <w:unhideWhenUsed/>
    <w:qFormat/>
    <w:uiPriority w:val="9"/>
    <w:pPr>
      <w:autoSpaceDE w:val="0"/>
      <w:autoSpaceDN w:val="0"/>
      <w:spacing w:before="100"/>
      <w:ind w:left="276"/>
      <w:jc w:val="left"/>
      <w:outlineLvl w:val="4"/>
    </w:pPr>
    <w:rPr>
      <w:rFonts w:ascii="宋体" w:hAnsi="宋体" w:eastAsia="宋体" w:cs="宋体"/>
      <w:kern w:val="0"/>
      <w:sz w:val="24"/>
      <w:szCs w:val="24"/>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5"/>
    <w:semiHidden/>
    <w:unhideWhenUsed/>
    <w:qFormat/>
    <w:uiPriority w:val="99"/>
    <w:pPr>
      <w:jc w:val="left"/>
    </w:pPr>
  </w:style>
  <w:style w:type="paragraph" w:styleId="8">
    <w:name w:val="Body Text"/>
    <w:basedOn w:val="1"/>
    <w:link w:val="34"/>
    <w:qFormat/>
    <w:uiPriority w:val="1"/>
    <w:pPr>
      <w:autoSpaceDE w:val="0"/>
      <w:autoSpaceDN w:val="0"/>
      <w:jc w:val="left"/>
    </w:pPr>
    <w:rPr>
      <w:rFonts w:ascii="微软雅黑" w:hAnsi="微软雅黑" w:eastAsia="微软雅黑" w:cs="微软雅黑"/>
      <w:kern w:val="0"/>
      <w:sz w:val="20"/>
      <w:szCs w:val="20"/>
      <w:lang w:val="zh-CN" w:bidi="zh-CN"/>
    </w:rPr>
  </w:style>
  <w:style w:type="paragraph" w:styleId="9">
    <w:name w:val="toc 3"/>
    <w:basedOn w:val="1"/>
    <w:next w:val="1"/>
    <w:semiHidden/>
    <w:unhideWhenUsed/>
    <w:qFormat/>
    <w:uiPriority w:val="39"/>
    <w:pPr>
      <w:widowControl/>
      <w:spacing w:after="100" w:line="276" w:lineRule="auto"/>
      <w:ind w:left="440"/>
      <w:jc w:val="left"/>
    </w:pPr>
    <w:rPr>
      <w:kern w:val="0"/>
      <w:sz w:val="22"/>
    </w:rPr>
  </w:style>
  <w:style w:type="paragraph" w:styleId="10">
    <w:name w:val="Date"/>
    <w:basedOn w:val="1"/>
    <w:next w:val="1"/>
    <w:link w:val="48"/>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80" w:lineRule="auto"/>
      <w:jc w:val="center"/>
    </w:pPr>
    <w:rPr>
      <w:rFonts w:asciiTheme="minorEastAsia" w:hAnsiTheme="minorEastAsia"/>
      <w:b/>
      <w:kern w:val="0"/>
      <w:sz w:val="22"/>
    </w:rPr>
  </w:style>
  <w:style w:type="paragraph" w:styleId="15">
    <w:name w:val="footnote text"/>
    <w:basedOn w:val="1"/>
    <w:link w:val="33"/>
    <w:semiHidden/>
    <w:unhideWhenUsed/>
    <w:qFormat/>
    <w:uiPriority w:val="99"/>
    <w:pPr>
      <w:snapToGrid w:val="0"/>
      <w:jc w:val="left"/>
    </w:pPr>
    <w:rPr>
      <w:sz w:val="18"/>
      <w:szCs w:val="18"/>
    </w:rPr>
  </w:style>
  <w:style w:type="paragraph" w:styleId="16">
    <w:name w:val="toc 2"/>
    <w:basedOn w:val="1"/>
    <w:next w:val="1"/>
    <w:unhideWhenUsed/>
    <w:qFormat/>
    <w:uiPriority w:val="39"/>
    <w:pPr>
      <w:widowControl/>
      <w:spacing w:after="100" w:line="276" w:lineRule="auto"/>
      <w:ind w:left="220"/>
      <w:jc w:val="left"/>
    </w:pPr>
    <w:rPr>
      <w:kern w:val="0"/>
      <w:sz w:val="22"/>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semiHidden/>
    <w:unhideWhenUsed/>
    <w:qFormat/>
    <w:uiPriority w:val="99"/>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semiHidden/>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页眉 字符"/>
    <w:basedOn w:val="21"/>
    <w:link w:val="13"/>
    <w:qFormat/>
    <w:uiPriority w:val="99"/>
    <w:rPr>
      <w:sz w:val="18"/>
      <w:szCs w:val="18"/>
    </w:rPr>
  </w:style>
  <w:style w:type="character" w:customStyle="1" w:styleId="28">
    <w:name w:val="页脚 字符"/>
    <w:basedOn w:val="21"/>
    <w:link w:val="12"/>
    <w:qFormat/>
    <w:uiPriority w:val="99"/>
    <w:rPr>
      <w:sz w:val="18"/>
      <w:szCs w:val="18"/>
    </w:rPr>
  </w:style>
  <w:style w:type="paragraph" w:styleId="29">
    <w:name w:val="List Paragraph"/>
    <w:basedOn w:val="1"/>
    <w:qFormat/>
    <w:uiPriority w:val="1"/>
    <w:pPr>
      <w:ind w:firstLine="420" w:firstLineChars="200"/>
    </w:pPr>
  </w:style>
  <w:style w:type="character" w:customStyle="1" w:styleId="30">
    <w:name w:val="批注框文本 字符"/>
    <w:basedOn w:val="21"/>
    <w:link w:val="11"/>
    <w:semiHidden/>
    <w:qFormat/>
    <w:uiPriority w:val="99"/>
    <w:rPr>
      <w:sz w:val="18"/>
      <w:szCs w:val="18"/>
    </w:rPr>
  </w:style>
  <w:style w:type="table" w:customStyle="1" w:styleId="31">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32">
    <w:name w:val="Table Paragraph"/>
    <w:basedOn w:val="1"/>
    <w:qFormat/>
    <w:uiPriority w:val="1"/>
    <w:pPr>
      <w:autoSpaceDE w:val="0"/>
      <w:autoSpaceDN w:val="0"/>
      <w:spacing w:line="419" w:lineRule="exact"/>
      <w:jc w:val="center"/>
    </w:pPr>
    <w:rPr>
      <w:rFonts w:ascii="微软雅黑" w:hAnsi="微软雅黑" w:eastAsia="微软雅黑" w:cs="微软雅黑"/>
      <w:kern w:val="0"/>
      <w:sz w:val="22"/>
      <w:lang w:val="zh-CN" w:bidi="zh-CN"/>
    </w:rPr>
  </w:style>
  <w:style w:type="character" w:customStyle="1" w:styleId="33">
    <w:name w:val="脚注文本 字符"/>
    <w:basedOn w:val="21"/>
    <w:link w:val="15"/>
    <w:semiHidden/>
    <w:qFormat/>
    <w:uiPriority w:val="99"/>
    <w:rPr>
      <w:sz w:val="18"/>
      <w:szCs w:val="18"/>
    </w:rPr>
  </w:style>
  <w:style w:type="character" w:customStyle="1" w:styleId="34">
    <w:name w:val="正文文本 字符"/>
    <w:basedOn w:val="21"/>
    <w:link w:val="8"/>
    <w:qFormat/>
    <w:uiPriority w:val="1"/>
    <w:rPr>
      <w:rFonts w:ascii="微软雅黑" w:hAnsi="微软雅黑" w:eastAsia="微软雅黑" w:cs="微软雅黑"/>
      <w:kern w:val="0"/>
      <w:sz w:val="20"/>
      <w:szCs w:val="20"/>
      <w:lang w:val="zh-CN" w:bidi="zh-CN"/>
    </w:rPr>
  </w:style>
  <w:style w:type="character" w:customStyle="1" w:styleId="35">
    <w:name w:val="标题 5 字符"/>
    <w:basedOn w:val="21"/>
    <w:link w:val="6"/>
    <w:qFormat/>
    <w:uiPriority w:val="9"/>
    <w:rPr>
      <w:rFonts w:ascii="宋体" w:hAnsi="宋体" w:eastAsia="宋体" w:cs="宋体"/>
      <w:kern w:val="0"/>
      <w:sz w:val="24"/>
      <w:szCs w:val="24"/>
      <w:lang w:val="zh-CN" w:bidi="zh-CN"/>
    </w:rPr>
  </w:style>
  <w:style w:type="table" w:customStyle="1" w:styleId="36">
    <w:name w:val="Table Normal1"/>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table" w:customStyle="1" w:styleId="37">
    <w:name w:val="Table Normal2"/>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38">
    <w:name w:val="标题 4 字符"/>
    <w:basedOn w:val="21"/>
    <w:link w:val="5"/>
    <w:semiHidden/>
    <w:qFormat/>
    <w:uiPriority w:val="9"/>
    <w:rPr>
      <w:rFonts w:asciiTheme="majorHAnsi" w:hAnsiTheme="majorHAnsi" w:eastAsiaTheme="majorEastAsia" w:cstheme="majorBidi"/>
      <w:b/>
      <w:bCs/>
      <w:sz w:val="28"/>
      <w:szCs w:val="28"/>
    </w:rPr>
  </w:style>
  <w:style w:type="character" w:customStyle="1" w:styleId="39">
    <w:name w:val="标题 1 字符"/>
    <w:basedOn w:val="21"/>
    <w:link w:val="2"/>
    <w:qFormat/>
    <w:uiPriority w:val="9"/>
    <w:rPr>
      <w:b/>
      <w:bCs/>
      <w:kern w:val="44"/>
      <w:sz w:val="30"/>
      <w:szCs w:val="44"/>
    </w:rPr>
  </w:style>
  <w:style w:type="character" w:customStyle="1" w:styleId="40">
    <w:name w:val="标题 2 字符"/>
    <w:basedOn w:val="21"/>
    <w:link w:val="3"/>
    <w:qFormat/>
    <w:uiPriority w:val="9"/>
  </w:style>
  <w:style w:type="paragraph" w:styleId="41">
    <w:name w:val="No Spacing"/>
    <w:link w:val="42"/>
    <w:qFormat/>
    <w:uiPriority w:val="1"/>
    <w:rPr>
      <w:rFonts w:asciiTheme="minorHAnsi" w:hAnsiTheme="minorHAnsi" w:eastAsiaTheme="minorEastAsia" w:cstheme="minorBidi"/>
      <w:kern w:val="0"/>
      <w:sz w:val="22"/>
      <w:szCs w:val="22"/>
      <w:lang w:val="en-US" w:eastAsia="zh-CN" w:bidi="ar-SA"/>
    </w:rPr>
  </w:style>
  <w:style w:type="character" w:customStyle="1" w:styleId="42">
    <w:name w:val="无间隔 字符"/>
    <w:basedOn w:val="21"/>
    <w:link w:val="41"/>
    <w:qFormat/>
    <w:uiPriority w:val="1"/>
    <w:rPr>
      <w:kern w:val="0"/>
      <w:sz w:val="22"/>
    </w:rPr>
  </w:style>
  <w:style w:type="paragraph" w:customStyle="1" w:styleId="43">
    <w:name w:val="TOC Heading"/>
    <w:basedOn w:val="2"/>
    <w:next w:val="1"/>
    <w:semiHidden/>
    <w:unhideWhenUsed/>
    <w:qFormat/>
    <w:uiPriority w:val="39"/>
    <w:pPr>
      <w:widowControl/>
      <w:spacing w:before="48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44">
    <w:name w:val="1"/>
    <w:basedOn w:val="1"/>
    <w:next w:val="29"/>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45">
    <w:name w:val="批注文字 字符"/>
    <w:basedOn w:val="21"/>
    <w:link w:val="7"/>
    <w:semiHidden/>
    <w:qFormat/>
    <w:uiPriority w:val="99"/>
  </w:style>
  <w:style w:type="character" w:customStyle="1" w:styleId="46">
    <w:name w:val="批注主题 字符"/>
    <w:basedOn w:val="45"/>
    <w:link w:val="18"/>
    <w:semiHidden/>
    <w:qFormat/>
    <w:uiPriority w:val="99"/>
    <w:rPr>
      <w:b/>
      <w:bCs/>
    </w:rPr>
  </w:style>
  <w:style w:type="character" w:customStyle="1" w:styleId="47">
    <w:name w:val="标题 3 字符"/>
    <w:basedOn w:val="21"/>
    <w:link w:val="4"/>
    <w:qFormat/>
    <w:uiPriority w:val="9"/>
    <w:rPr>
      <w:b/>
      <w:bCs/>
      <w:sz w:val="32"/>
      <w:szCs w:val="32"/>
    </w:rPr>
  </w:style>
  <w:style w:type="character" w:customStyle="1" w:styleId="48">
    <w:name w:val="日期 字符"/>
    <w:basedOn w:val="21"/>
    <w:link w:val="10"/>
    <w:semiHidden/>
    <w:qFormat/>
    <w:uiPriority w:val="99"/>
  </w:style>
  <w:style w:type="paragraph" w:customStyle="1" w:styleId="49">
    <w:name w:val="Body text|1"/>
    <w:basedOn w:val="1"/>
    <w:qFormat/>
    <w:uiPriority w:val="0"/>
    <w:pPr>
      <w:widowControl w:val="0"/>
      <w:shd w:val="clear" w:color="auto" w:fill="auto"/>
      <w:spacing w:after="600"/>
      <w:jc w:val="right"/>
    </w:pPr>
    <w:rPr>
      <w:rFonts w:ascii="宋体" w:hAnsi="宋体" w:eastAsia="宋体" w:cs="宋体"/>
      <w:sz w:val="22"/>
      <w:szCs w:val="22"/>
      <w:u w:val="none"/>
      <w:shd w:val="clear" w:color="auto" w:fill="auto"/>
      <w:lang w:val="zh-TW" w:eastAsia="zh-TW" w:bidi="zh-TW"/>
    </w:rPr>
  </w:style>
  <w:style w:type="paragraph" w:customStyle="1" w:styleId="50">
    <w:name w:val="Other|1"/>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 w:type="character" w:customStyle="1" w:styleId="51">
    <w:name w:val="font01"/>
    <w:basedOn w:val="21"/>
    <w:qFormat/>
    <w:uiPriority w:val="0"/>
    <w:rPr>
      <w:rFonts w:hint="eastAsia" w:ascii="MingLiU" w:hAnsi="MingLiU" w:eastAsia="MingLiU" w:cs="MingLiU"/>
      <w:color w:val="000000"/>
      <w:sz w:val="28"/>
      <w:szCs w:val="28"/>
      <w:u w:val="none"/>
    </w:rPr>
  </w:style>
  <w:style w:type="character" w:customStyle="1" w:styleId="52">
    <w:name w:val="font21"/>
    <w:basedOn w:val="21"/>
    <w:qFormat/>
    <w:uiPriority w:val="0"/>
    <w:rPr>
      <w:rFonts w:hint="default" w:ascii="Times New Roman" w:hAnsi="Times New Roman" w:cs="Times New Roman"/>
      <w:color w:val="000000"/>
      <w:sz w:val="26"/>
      <w:szCs w:val="26"/>
      <w:u w:val="none"/>
    </w:rPr>
  </w:style>
  <w:style w:type="character" w:customStyle="1" w:styleId="53">
    <w:name w:val="font51"/>
    <w:basedOn w:val="21"/>
    <w:qFormat/>
    <w:uiPriority w:val="0"/>
    <w:rPr>
      <w:rFonts w:hint="default" w:ascii="Times New Roman" w:hAnsi="Times New Roman" w:cs="Times New Roman"/>
      <w:color w:val="000000"/>
      <w:sz w:val="20"/>
      <w:szCs w:val="20"/>
      <w:u w:val="none"/>
    </w:rPr>
  </w:style>
  <w:style w:type="character" w:customStyle="1" w:styleId="54">
    <w:name w:val="font11"/>
    <w:basedOn w:val="21"/>
    <w:qFormat/>
    <w:uiPriority w:val="0"/>
    <w:rPr>
      <w:rFonts w:hint="eastAsia" w:ascii="宋体" w:hAnsi="宋体" w:eastAsia="宋体" w:cs="宋体"/>
      <w:color w:val="000000"/>
      <w:sz w:val="20"/>
      <w:szCs w:val="20"/>
      <w:u w:val="none"/>
    </w:rPr>
  </w:style>
  <w:style w:type="character" w:customStyle="1" w:styleId="55">
    <w:name w:val="font101"/>
    <w:basedOn w:val="21"/>
    <w:qFormat/>
    <w:uiPriority w:val="0"/>
    <w:rPr>
      <w:rFonts w:hint="default" w:ascii="Times New Roman" w:hAnsi="Times New Roman" w:cs="Times New Roman"/>
      <w:b/>
      <w:bCs/>
      <w:color w:val="000000"/>
      <w:sz w:val="24"/>
      <w:szCs w:val="24"/>
      <w:u w:val="none"/>
    </w:rPr>
  </w:style>
  <w:style w:type="character" w:customStyle="1" w:styleId="56">
    <w:name w:val="font81"/>
    <w:basedOn w:val="21"/>
    <w:qFormat/>
    <w:uiPriority w:val="0"/>
    <w:rPr>
      <w:rFonts w:hint="default" w:ascii="Times New Roman" w:hAnsi="Times New Roman" w:cs="Times New Roman"/>
      <w:b/>
      <w:bCs/>
      <w:color w:val="000000"/>
      <w:sz w:val="24"/>
      <w:szCs w:val="24"/>
      <w:u w:val="none"/>
      <w:vertAlign w:val="superscript"/>
    </w:rPr>
  </w:style>
  <w:style w:type="character" w:customStyle="1" w:styleId="57">
    <w:name w:val="font71"/>
    <w:basedOn w:val="21"/>
    <w:qFormat/>
    <w:uiPriority w:val="0"/>
    <w:rPr>
      <w:rFonts w:hint="default" w:ascii="Times New Roman" w:hAnsi="Times New Roman" w:cs="Times New Roman"/>
      <w:b/>
      <w:bCs/>
      <w:color w:val="000000"/>
      <w:sz w:val="30"/>
      <w:szCs w:val="30"/>
      <w:u w:val="none"/>
    </w:rPr>
  </w:style>
  <w:style w:type="character" w:customStyle="1" w:styleId="58">
    <w:name w:val="font61"/>
    <w:basedOn w:val="21"/>
    <w:qFormat/>
    <w:uiPriority w:val="0"/>
    <w:rPr>
      <w:rFonts w:hint="default" w:ascii="Times New Roman" w:hAnsi="Times New Roman" w:cs="Times New Roman"/>
      <w:color w:val="000000"/>
      <w:sz w:val="24"/>
      <w:szCs w:val="24"/>
      <w:u w:val="none"/>
    </w:rPr>
  </w:style>
  <w:style w:type="character" w:customStyle="1" w:styleId="59">
    <w:name w:val="font91"/>
    <w:basedOn w:val="21"/>
    <w:qFormat/>
    <w:uiPriority w:val="0"/>
    <w:rPr>
      <w:rFonts w:hint="eastAsia" w:ascii="宋体" w:hAnsi="宋体" w:eastAsia="宋体" w:cs="宋体"/>
      <w:color w:val="FF0000"/>
      <w:sz w:val="22"/>
      <w:szCs w:val="22"/>
      <w:u w:val="none"/>
    </w:rPr>
  </w:style>
  <w:style w:type="character" w:customStyle="1" w:styleId="60">
    <w:name w:val="font31"/>
    <w:basedOn w:val="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F9EC-D6CD-4F2C-9F69-7EB5496B47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10180</Words>
  <Characters>14761</Characters>
  <Lines>82</Lines>
  <Paragraphs>23</Paragraphs>
  <TotalTime>3</TotalTime>
  <ScaleCrop>false</ScaleCrop>
  <LinksUpToDate>false</LinksUpToDate>
  <CharactersWithSpaces>14877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2022-06-21T08:02:00Z</dcterms:created>
  <dc:creator>kg</dc:creator>
  <cp:lastModifiedBy>俊然</cp:lastModifiedBy>
  <cp:lastPrinted>2020-09-22T07:58:00Z</cp:lastPrinted>
  <dcterms:modified xsi:type="dcterms:W3CDTF">2023-03-30T01:50:18Z</dcterms:modified>
  <dc:title>2020年上半年北京房地产市场形势分析</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AB2B1772C03C483092803FEE22DCEE1B</vt:lpwstr>
  </property>
</Properties>
</file>