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DB" w:rsidRPr="00465EAA" w:rsidRDefault="00276B85" w:rsidP="006A3427">
      <w:pPr>
        <w:spacing w:line="480" w:lineRule="auto"/>
        <w:jc w:val="center"/>
        <w:rPr>
          <w:rFonts w:ascii="Arial" w:eastAsia="宋体" w:hAnsi="Arial" w:cs="Arial"/>
          <w:b/>
          <w:sz w:val="32"/>
          <w:szCs w:val="32"/>
        </w:rPr>
      </w:pPr>
      <w:r w:rsidRPr="00465EAA">
        <w:rPr>
          <w:rFonts w:ascii="Arial" w:eastAsia="宋体" w:hAnsi="Arial" w:cs="Arial"/>
          <w:b/>
          <w:sz w:val="32"/>
          <w:szCs w:val="32"/>
        </w:rPr>
        <w:t>情况说明</w:t>
      </w:r>
    </w:p>
    <w:p w:rsidR="00276B85" w:rsidRPr="001C3169" w:rsidRDefault="00276B85" w:rsidP="006A3427">
      <w:pPr>
        <w:spacing w:line="480" w:lineRule="auto"/>
        <w:rPr>
          <w:rFonts w:ascii="Arial" w:eastAsia="宋体" w:hAnsi="Arial" w:cs="Arial"/>
          <w:szCs w:val="21"/>
        </w:rPr>
      </w:pPr>
    </w:p>
    <w:p w:rsidR="00591D4A" w:rsidRPr="001C3169" w:rsidRDefault="009573D8" w:rsidP="006A3427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建设银行北京市</w:t>
      </w:r>
      <w:r w:rsidR="00F142DB" w:rsidRPr="001C3169">
        <w:rPr>
          <w:rFonts w:ascii="Arial" w:eastAsia="宋体" w:hAnsi="Arial" w:cs="Arial"/>
          <w:szCs w:val="21"/>
        </w:rPr>
        <w:t>分行造价咨询中心：</w:t>
      </w:r>
    </w:p>
    <w:p w:rsidR="006A3427" w:rsidRPr="001C3169" w:rsidRDefault="006A3427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我公司于</w:t>
      </w:r>
      <w:r w:rsidRPr="001C3169">
        <w:rPr>
          <w:rFonts w:ascii="Arial" w:eastAsia="宋体" w:hAnsi="Arial" w:cs="Arial"/>
          <w:szCs w:val="21"/>
        </w:rPr>
        <w:t>2017</w:t>
      </w:r>
      <w:r w:rsidRPr="001C3169">
        <w:rPr>
          <w:rFonts w:ascii="Arial" w:eastAsia="宋体" w:hAnsi="Arial" w:cs="Arial"/>
          <w:szCs w:val="21"/>
        </w:rPr>
        <w:t>年</w:t>
      </w:r>
      <w:r w:rsidRPr="001C3169">
        <w:rPr>
          <w:rFonts w:ascii="Arial" w:eastAsia="宋体" w:hAnsi="Arial" w:cs="Arial"/>
          <w:szCs w:val="21"/>
        </w:rPr>
        <w:t>11</w:t>
      </w:r>
      <w:r w:rsidRPr="001C3169">
        <w:rPr>
          <w:rFonts w:ascii="Arial" w:eastAsia="宋体" w:hAnsi="Arial" w:cs="Arial"/>
          <w:szCs w:val="21"/>
        </w:rPr>
        <w:t>月</w:t>
      </w:r>
      <w:r w:rsidRPr="001C3169">
        <w:rPr>
          <w:rFonts w:ascii="Arial" w:eastAsia="宋体" w:hAnsi="Arial" w:cs="Arial"/>
          <w:szCs w:val="21"/>
        </w:rPr>
        <w:t>22</w:t>
      </w:r>
      <w:r w:rsidRPr="001C3169">
        <w:rPr>
          <w:rFonts w:ascii="Arial" w:eastAsia="宋体" w:hAnsi="Arial" w:cs="Arial"/>
          <w:szCs w:val="21"/>
        </w:rPr>
        <w:t>日依据估价委托人北京通瑞万华置业有限公司委托，出具《不动产估价报告书》，估价报告编号</w:t>
      </w:r>
      <w:bookmarkStart w:id="0" w:name="_GoBack"/>
      <w:bookmarkEnd w:id="0"/>
      <w:r w:rsidRPr="001C3169">
        <w:rPr>
          <w:rFonts w:ascii="Arial" w:eastAsia="宋体" w:hAnsi="Arial" w:cs="Arial"/>
          <w:szCs w:val="21"/>
        </w:rPr>
        <w:t>：</w:t>
      </w:r>
      <w:proofErr w:type="gramStart"/>
      <w:r w:rsidRPr="001C3169">
        <w:rPr>
          <w:rFonts w:ascii="Arial" w:eastAsia="宋体" w:hAnsi="Arial" w:cs="Arial"/>
          <w:szCs w:val="21"/>
        </w:rPr>
        <w:t>康正评</w:t>
      </w:r>
      <w:proofErr w:type="gramEnd"/>
      <w:r w:rsidRPr="001C3169">
        <w:rPr>
          <w:rFonts w:ascii="Arial" w:eastAsia="宋体" w:hAnsi="Arial" w:cs="Arial"/>
          <w:szCs w:val="21"/>
        </w:rPr>
        <w:t>字</w:t>
      </w:r>
      <w:r w:rsidRPr="001C3169">
        <w:rPr>
          <w:rFonts w:ascii="Arial" w:eastAsia="宋体" w:hAnsi="Arial" w:cs="Arial"/>
          <w:szCs w:val="21"/>
        </w:rPr>
        <w:tab/>
        <w:t>2017-1-1031-F01DYGJ2</w:t>
      </w:r>
      <w:r w:rsidRPr="001C3169">
        <w:rPr>
          <w:rFonts w:ascii="Arial" w:eastAsia="宋体" w:hAnsi="Arial" w:cs="Arial"/>
          <w:szCs w:val="21"/>
        </w:rPr>
        <w:t>号。估价时点为</w:t>
      </w:r>
      <w:r w:rsidRPr="001C3169">
        <w:rPr>
          <w:rFonts w:ascii="Arial" w:eastAsia="宋体" w:hAnsi="Arial" w:cs="Arial"/>
          <w:szCs w:val="21"/>
        </w:rPr>
        <w:t>2017</w:t>
      </w:r>
      <w:r w:rsidRPr="001C3169">
        <w:rPr>
          <w:rFonts w:ascii="Arial" w:eastAsia="宋体" w:hAnsi="Arial" w:cs="Arial"/>
          <w:szCs w:val="21"/>
        </w:rPr>
        <w:t>年</w:t>
      </w:r>
      <w:r w:rsidRPr="001C3169">
        <w:rPr>
          <w:rFonts w:ascii="Arial" w:eastAsia="宋体" w:hAnsi="Arial" w:cs="Arial"/>
          <w:szCs w:val="21"/>
        </w:rPr>
        <w:t>11</w:t>
      </w:r>
      <w:r w:rsidRPr="001C3169">
        <w:rPr>
          <w:rFonts w:ascii="Arial" w:eastAsia="宋体" w:hAnsi="Arial" w:cs="Arial"/>
          <w:szCs w:val="21"/>
        </w:rPr>
        <w:t>月</w:t>
      </w:r>
      <w:r w:rsidRPr="001C3169">
        <w:rPr>
          <w:rFonts w:ascii="Arial" w:eastAsia="宋体" w:hAnsi="Arial" w:cs="Arial"/>
          <w:szCs w:val="21"/>
        </w:rPr>
        <w:t>15</w:t>
      </w:r>
      <w:r w:rsidRPr="001C3169">
        <w:rPr>
          <w:rFonts w:ascii="Arial" w:eastAsia="宋体" w:hAnsi="Arial" w:cs="Arial"/>
          <w:szCs w:val="21"/>
        </w:rPr>
        <w:t>日。应贵行要求出具该《情况说明》，具体</w:t>
      </w:r>
      <w:r w:rsidR="009573D8">
        <w:rPr>
          <w:rFonts w:ascii="Arial" w:eastAsia="宋体" w:hAnsi="Arial" w:cs="Arial" w:hint="eastAsia"/>
          <w:szCs w:val="21"/>
        </w:rPr>
        <w:t>情况</w:t>
      </w:r>
      <w:r w:rsidRPr="001C3169">
        <w:rPr>
          <w:rFonts w:ascii="Arial" w:eastAsia="宋体" w:hAnsi="Arial" w:cs="Arial"/>
          <w:szCs w:val="21"/>
        </w:rPr>
        <w:t>如下：</w:t>
      </w:r>
    </w:p>
    <w:p w:rsidR="00240E49" w:rsidRPr="001C3169" w:rsidRDefault="006A3427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估价对象为北京通瑞万华置业有限公司所有的北京市朝阳区常通路</w:t>
      </w:r>
      <w:r w:rsidRPr="001C3169">
        <w:rPr>
          <w:rFonts w:ascii="Arial" w:eastAsia="宋体" w:hAnsi="Arial" w:cs="Arial"/>
          <w:szCs w:val="21"/>
        </w:rPr>
        <w:t>1</w:t>
      </w:r>
      <w:r w:rsidRPr="001C3169">
        <w:rPr>
          <w:rFonts w:ascii="Arial" w:eastAsia="宋体" w:hAnsi="Arial" w:cs="Arial"/>
          <w:szCs w:val="21"/>
        </w:rPr>
        <w:t>号院</w:t>
      </w:r>
      <w:r w:rsidRPr="001C3169">
        <w:rPr>
          <w:rFonts w:ascii="Arial" w:eastAsia="宋体" w:hAnsi="Arial" w:cs="Arial"/>
          <w:szCs w:val="21"/>
        </w:rPr>
        <w:t>1</w:t>
      </w:r>
      <w:r w:rsidRPr="001C3169">
        <w:rPr>
          <w:rFonts w:ascii="Arial" w:eastAsia="宋体" w:hAnsi="Arial" w:cs="Arial"/>
          <w:szCs w:val="21"/>
        </w:rPr>
        <w:t>号楼</w:t>
      </w:r>
      <w:r w:rsidRPr="001C3169">
        <w:rPr>
          <w:rFonts w:ascii="Arial" w:eastAsia="宋体" w:hAnsi="Arial" w:cs="Arial"/>
          <w:szCs w:val="21"/>
        </w:rPr>
        <w:t>-2</w:t>
      </w:r>
      <w:r w:rsidRPr="001C3169">
        <w:rPr>
          <w:rFonts w:ascii="Arial" w:eastAsia="宋体" w:hAnsi="Arial" w:cs="Arial"/>
          <w:szCs w:val="21"/>
        </w:rPr>
        <w:t>至</w:t>
      </w:r>
      <w:r w:rsidRPr="001C3169">
        <w:rPr>
          <w:rFonts w:ascii="Arial" w:eastAsia="宋体" w:hAnsi="Arial" w:cs="Arial"/>
          <w:szCs w:val="21"/>
        </w:rPr>
        <w:t>5</w:t>
      </w:r>
      <w:r w:rsidRPr="001C3169">
        <w:rPr>
          <w:rFonts w:ascii="Arial" w:eastAsia="宋体" w:hAnsi="Arial" w:cs="Arial"/>
          <w:szCs w:val="21"/>
        </w:rPr>
        <w:t>层</w:t>
      </w:r>
      <w:r w:rsidRPr="001C3169">
        <w:rPr>
          <w:rFonts w:ascii="Arial" w:eastAsia="宋体" w:hAnsi="Arial" w:cs="Arial"/>
          <w:szCs w:val="21"/>
        </w:rPr>
        <w:t>101</w:t>
      </w:r>
      <w:r w:rsidRPr="001C3169">
        <w:rPr>
          <w:rFonts w:ascii="Arial" w:eastAsia="宋体" w:hAnsi="Arial" w:cs="Arial"/>
          <w:szCs w:val="21"/>
        </w:rPr>
        <w:t>号商业、地下商业、仓储用房房地产。分摊土地面积为</w:t>
      </w:r>
      <w:r w:rsidRPr="001C3169">
        <w:rPr>
          <w:rFonts w:ascii="Arial" w:eastAsia="宋体" w:hAnsi="Arial" w:cs="Arial"/>
          <w:szCs w:val="21"/>
        </w:rPr>
        <w:t>29715.57</w:t>
      </w:r>
      <w:r w:rsidRPr="001C3169">
        <w:rPr>
          <w:rFonts w:ascii="Arial" w:eastAsia="宋体" w:hAnsi="Arial" w:cs="Arial"/>
          <w:szCs w:val="21"/>
        </w:rPr>
        <w:t>平方米，建筑面积为</w:t>
      </w:r>
      <w:r w:rsidRPr="001C3169">
        <w:rPr>
          <w:rFonts w:ascii="Arial" w:eastAsia="宋体" w:hAnsi="Arial" w:cs="Arial"/>
          <w:szCs w:val="21"/>
        </w:rPr>
        <w:t>103793.58</w:t>
      </w:r>
      <w:r w:rsidRPr="001C3169">
        <w:rPr>
          <w:rFonts w:ascii="Arial" w:eastAsia="宋体" w:hAnsi="Arial" w:cs="Arial"/>
          <w:szCs w:val="21"/>
        </w:rPr>
        <w:t>平方米。</w:t>
      </w:r>
    </w:p>
    <w:p w:rsidR="00240E49" w:rsidRDefault="006A3427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本次评估商业部分采用的估价方法为比较法和收益法；仓储部分采用的主估价方法为成本法和收益法。</w:t>
      </w:r>
    </w:p>
    <w:p w:rsidR="00AE27AB" w:rsidRDefault="00AE27AB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1.</w:t>
      </w:r>
      <w:r>
        <w:rPr>
          <w:rFonts w:ascii="Arial" w:eastAsia="宋体" w:hAnsi="Arial" w:cs="Arial" w:hint="eastAsia"/>
          <w:szCs w:val="21"/>
        </w:rPr>
        <w:t>商业部分方法选取如下</w:t>
      </w:r>
    </w:p>
    <w:p w:rsidR="00AE27AB" w:rsidRDefault="00AE27AB" w:rsidP="006A3427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比较法选取近期同一供需圈内邻近地区的三个销售案例进行比较，本次评估分别选取龙湖天</w:t>
      </w:r>
      <w:proofErr w:type="gramStart"/>
      <w:r w:rsidRPr="001C3169">
        <w:rPr>
          <w:rFonts w:ascii="Arial" w:eastAsia="宋体" w:hAnsi="Arial" w:cs="Arial"/>
          <w:szCs w:val="21"/>
        </w:rPr>
        <w:t>阶住宅底</w:t>
      </w:r>
      <w:proofErr w:type="gramEnd"/>
      <w:r w:rsidRPr="001C3169">
        <w:rPr>
          <w:rFonts w:ascii="Arial" w:eastAsia="宋体" w:hAnsi="Arial" w:cs="Arial"/>
          <w:szCs w:val="21"/>
        </w:rPr>
        <w:t>商（交易价格为建筑面积单价</w:t>
      </w:r>
      <w:r w:rsidRPr="001C3169">
        <w:rPr>
          <w:rFonts w:ascii="Arial" w:eastAsia="宋体" w:hAnsi="Arial" w:cs="Arial"/>
          <w:szCs w:val="21"/>
        </w:rPr>
        <w:t>54781</w:t>
      </w:r>
      <w:r w:rsidRPr="001C3169">
        <w:rPr>
          <w:rFonts w:ascii="Arial" w:eastAsia="宋体" w:hAnsi="Arial" w:cs="Arial"/>
          <w:szCs w:val="21"/>
        </w:rPr>
        <w:t>元</w:t>
      </w:r>
      <w:r w:rsidRPr="001C3169">
        <w:rPr>
          <w:rFonts w:ascii="Arial" w:eastAsia="宋体" w:hAnsi="Arial" w:cs="Arial"/>
          <w:szCs w:val="21"/>
        </w:rPr>
        <w:t>/</w:t>
      </w:r>
      <w:r w:rsidRPr="001C3169">
        <w:rPr>
          <w:rFonts w:ascii="Arial" w:eastAsia="宋体" w:hAnsi="Arial" w:cs="Arial"/>
          <w:szCs w:val="21"/>
        </w:rPr>
        <w:t>平方米）、万象新天（</w:t>
      </w:r>
      <w:r w:rsidRPr="001C3169">
        <w:rPr>
          <w:rFonts w:ascii="Arial" w:hAnsi="Arial" w:cs="Arial"/>
          <w:szCs w:val="21"/>
        </w:rPr>
        <w:t>交易价格为建筑面积单价</w:t>
      </w:r>
      <w:r w:rsidRPr="001C3169">
        <w:rPr>
          <w:rFonts w:ascii="Arial" w:hAnsi="Arial" w:cs="Arial"/>
          <w:szCs w:val="21"/>
        </w:rPr>
        <w:t>52970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平方米</w:t>
      </w:r>
      <w:r w:rsidRPr="001C3169">
        <w:rPr>
          <w:rFonts w:ascii="Arial" w:eastAsia="宋体" w:hAnsi="Arial" w:cs="Arial"/>
          <w:szCs w:val="21"/>
        </w:rPr>
        <w:t>）、北京像素（</w:t>
      </w:r>
      <w:r w:rsidRPr="001C3169">
        <w:rPr>
          <w:rFonts w:ascii="Arial" w:hAnsi="Arial" w:cs="Arial"/>
          <w:szCs w:val="21"/>
        </w:rPr>
        <w:t>交易价格为建筑面积单价</w:t>
      </w:r>
      <w:r w:rsidRPr="001C3169">
        <w:rPr>
          <w:rFonts w:ascii="Arial" w:hAnsi="Arial" w:cs="Arial"/>
          <w:szCs w:val="21"/>
        </w:rPr>
        <w:t>46429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平方米</w:t>
      </w:r>
      <w:r w:rsidRPr="001C3169">
        <w:rPr>
          <w:rFonts w:ascii="Arial" w:eastAsia="宋体" w:hAnsi="Arial" w:cs="Arial"/>
          <w:szCs w:val="21"/>
        </w:rPr>
        <w:t>），进行商业繁华度、交通便捷度等因素修正及调整，得出估价对象</w:t>
      </w:r>
      <w:r w:rsidRPr="001C3169">
        <w:rPr>
          <w:rFonts w:ascii="Arial" w:eastAsia="宋体" w:hAnsi="Arial" w:cs="Arial"/>
          <w:szCs w:val="21"/>
        </w:rPr>
        <w:t>1</w:t>
      </w:r>
      <w:r w:rsidRPr="001C3169">
        <w:rPr>
          <w:rFonts w:ascii="Arial" w:eastAsia="宋体" w:hAnsi="Arial" w:cs="Arial"/>
          <w:szCs w:val="21"/>
        </w:rPr>
        <w:t>层的比较价值为</w:t>
      </w:r>
      <w:r w:rsidRPr="001C3169">
        <w:rPr>
          <w:rFonts w:ascii="Arial" w:eastAsia="宋体" w:hAnsi="Arial" w:cs="Arial"/>
          <w:szCs w:val="21"/>
        </w:rPr>
        <w:t>50040</w:t>
      </w:r>
      <w:r w:rsidRPr="001C3169">
        <w:rPr>
          <w:rFonts w:ascii="Arial" w:eastAsia="宋体" w:hAnsi="Arial" w:cs="Arial"/>
          <w:szCs w:val="21"/>
        </w:rPr>
        <w:t>元</w:t>
      </w:r>
      <w:r w:rsidRPr="001C3169">
        <w:rPr>
          <w:rFonts w:ascii="Arial" w:eastAsia="宋体" w:hAnsi="Arial" w:cs="Arial"/>
          <w:szCs w:val="21"/>
        </w:rPr>
        <w:t>/</w:t>
      </w:r>
      <w:r w:rsidRPr="001C3169">
        <w:rPr>
          <w:rFonts w:ascii="Arial" w:eastAsia="宋体" w:hAnsi="Arial" w:cs="Arial"/>
          <w:szCs w:val="21"/>
        </w:rPr>
        <w:t>平方米，</w:t>
      </w:r>
      <w:r>
        <w:rPr>
          <w:rFonts w:ascii="Arial" w:eastAsia="宋体" w:hAnsi="Arial" w:cs="Arial" w:hint="eastAsia"/>
          <w:szCs w:val="21"/>
        </w:rPr>
        <w:t>以</w:t>
      </w:r>
      <w:r w:rsidRPr="001C3169">
        <w:rPr>
          <w:rFonts w:ascii="Arial" w:eastAsia="宋体" w:hAnsi="Arial" w:cs="Arial"/>
          <w:szCs w:val="21"/>
        </w:rPr>
        <w:t>1</w:t>
      </w:r>
      <w:r w:rsidRPr="001C3169">
        <w:rPr>
          <w:rFonts w:ascii="Arial" w:eastAsia="宋体" w:hAnsi="Arial" w:cs="Arial"/>
          <w:szCs w:val="21"/>
        </w:rPr>
        <w:t>层商业用房楼面单价为基准求取其余楼层价值</w:t>
      </w:r>
      <w:r w:rsidR="006F5A19">
        <w:rPr>
          <w:rFonts w:ascii="Arial" w:eastAsia="宋体" w:hAnsi="Arial" w:cs="Arial" w:hint="eastAsia"/>
          <w:szCs w:val="21"/>
        </w:rPr>
        <w:t>，经测算估价对象市场价值</w:t>
      </w:r>
      <w:r w:rsidRPr="001C3169">
        <w:rPr>
          <w:rFonts w:ascii="Arial" w:eastAsia="宋体" w:hAnsi="Arial" w:cs="Arial"/>
          <w:szCs w:val="21"/>
        </w:rPr>
        <w:t>为</w:t>
      </w:r>
      <w:r w:rsidRPr="001C3169">
        <w:rPr>
          <w:rFonts w:ascii="Arial" w:eastAsia="宋体" w:hAnsi="Arial" w:cs="Arial"/>
          <w:szCs w:val="21"/>
        </w:rPr>
        <w:t>329448</w:t>
      </w:r>
      <w:r w:rsidRPr="001C3169">
        <w:rPr>
          <w:rFonts w:ascii="Arial" w:eastAsia="宋体" w:hAnsi="Arial" w:cs="Arial"/>
          <w:szCs w:val="21"/>
        </w:rPr>
        <w:t>万元</w:t>
      </w:r>
      <w:r w:rsidRPr="001C3169">
        <w:rPr>
          <w:rFonts w:ascii="Arial" w:hAnsi="Arial" w:cs="Arial"/>
          <w:szCs w:val="21"/>
        </w:rPr>
        <w:t>。</w:t>
      </w:r>
    </w:p>
    <w:p w:rsidR="00BE793B" w:rsidRDefault="00BE793B" w:rsidP="006A3427">
      <w:pPr>
        <w:spacing w:line="480" w:lineRule="auto"/>
        <w:ind w:firstLine="648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（转下页）</w:t>
      </w:r>
    </w:p>
    <w:p w:rsidR="00BE793B" w:rsidRDefault="00BE793B" w:rsidP="006A3427">
      <w:pPr>
        <w:spacing w:line="480" w:lineRule="auto"/>
        <w:ind w:firstLine="648"/>
        <w:rPr>
          <w:rFonts w:ascii="Arial" w:hAnsi="Arial" w:cs="Arial"/>
          <w:szCs w:val="21"/>
        </w:rPr>
      </w:pPr>
    </w:p>
    <w:p w:rsidR="00BE793B" w:rsidRDefault="00BE793B" w:rsidP="006A3427">
      <w:pPr>
        <w:spacing w:line="480" w:lineRule="auto"/>
        <w:ind w:firstLine="648"/>
        <w:rPr>
          <w:rFonts w:ascii="Arial" w:hAnsi="Arial" w:cs="Arial"/>
          <w:szCs w:val="21"/>
        </w:rPr>
      </w:pPr>
    </w:p>
    <w:p w:rsidR="00BE793B" w:rsidRDefault="00BE793B" w:rsidP="006A3427">
      <w:pPr>
        <w:spacing w:line="480" w:lineRule="auto"/>
        <w:ind w:firstLine="648"/>
        <w:rPr>
          <w:rFonts w:ascii="Arial" w:hAnsi="Arial" w:cs="Arial"/>
          <w:szCs w:val="21"/>
        </w:rPr>
      </w:pPr>
    </w:p>
    <w:p w:rsidR="00AE27AB" w:rsidRDefault="00AE27AB" w:rsidP="00AE27AB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hAnsi="Arial" w:cs="Arial"/>
          <w:szCs w:val="21"/>
        </w:rPr>
        <w:lastRenderedPageBreak/>
        <w:t>收益法</w:t>
      </w:r>
      <w:r>
        <w:rPr>
          <w:rFonts w:ascii="Arial" w:hAnsi="Arial" w:cs="Arial" w:hint="eastAsia"/>
          <w:szCs w:val="21"/>
        </w:rPr>
        <w:t>根据估价委托人提供的</w:t>
      </w:r>
      <w:r>
        <w:rPr>
          <w:rFonts w:ascii="Arial" w:hAnsi="Arial" w:cs="Arial" w:hint="eastAsia"/>
          <w:szCs w:val="21"/>
        </w:rPr>
        <w:t>2015-2017</w:t>
      </w:r>
      <w:r>
        <w:rPr>
          <w:rFonts w:ascii="Arial" w:hAnsi="Arial" w:cs="Arial" w:hint="eastAsia"/>
          <w:szCs w:val="21"/>
        </w:rPr>
        <w:t>年营业收入情况，具体如下：</w:t>
      </w:r>
    </w:p>
    <w:tbl>
      <w:tblPr>
        <w:tblW w:w="8492" w:type="dxa"/>
        <w:jc w:val="center"/>
        <w:tblInd w:w="103" w:type="dxa"/>
        <w:tblLook w:val="04A0" w:firstRow="1" w:lastRow="0" w:firstColumn="1" w:lastColumn="0" w:noHBand="0" w:noVBand="1"/>
      </w:tblPr>
      <w:tblGrid>
        <w:gridCol w:w="2072"/>
        <w:gridCol w:w="1990"/>
        <w:gridCol w:w="2275"/>
        <w:gridCol w:w="2155"/>
      </w:tblGrid>
      <w:tr w:rsidR="00AE27AB" w:rsidRPr="00AE27AB" w:rsidTr="00AE27AB">
        <w:trPr>
          <w:trHeight w:val="119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BE793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年份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15年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16年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17年</w:t>
            </w:r>
          </w:p>
        </w:tc>
      </w:tr>
      <w:tr w:rsidR="00AE27AB" w:rsidRPr="00AE27AB" w:rsidTr="00AE27AB">
        <w:trPr>
          <w:trHeight w:val="358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客流量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周末10万，平时6万，店庆13万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 xml:space="preserve">11万，平时8万，店庆14万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周末12万，平时8万，店庆15万</w:t>
            </w:r>
          </w:p>
        </w:tc>
      </w:tr>
      <w:tr w:rsidR="00AE27AB" w:rsidRPr="00AE27AB" w:rsidTr="00AE27AB">
        <w:trPr>
          <w:trHeight w:val="119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销售额(亿）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51000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65000</w:t>
            </w:r>
          </w:p>
        </w:tc>
      </w:tr>
      <w:tr w:rsidR="00AE27AB" w:rsidRPr="00AE27AB" w:rsidTr="00AE27AB">
        <w:trPr>
          <w:trHeight w:val="119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招租率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99.50%</w:t>
            </w:r>
          </w:p>
        </w:tc>
      </w:tr>
      <w:tr w:rsidR="00AE27AB" w:rsidRPr="00AE27AB" w:rsidTr="00AE27AB">
        <w:trPr>
          <w:trHeight w:val="119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平均租金(元，含</w:t>
            </w:r>
            <w:proofErr w:type="gramStart"/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物业费</w:t>
            </w:r>
            <w:proofErr w:type="gramEnd"/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:rsidR="00AE27AB" w:rsidRPr="00AE27AB" w:rsidTr="00AE27AB">
        <w:trPr>
          <w:trHeight w:val="119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增长率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15.69%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AB" w:rsidRPr="00CC23D1" w:rsidRDefault="00AE27AB" w:rsidP="00FA6A8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C23D1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10.17%</w:t>
            </w:r>
          </w:p>
        </w:tc>
      </w:tr>
    </w:tbl>
    <w:p w:rsidR="00BE793B" w:rsidRDefault="006F5A19" w:rsidP="00AE27AB">
      <w:pPr>
        <w:spacing w:line="480" w:lineRule="auto"/>
        <w:ind w:firstLine="648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综上，</w:t>
      </w:r>
      <w:r w:rsidR="00AE27AB">
        <w:rPr>
          <w:rFonts w:ascii="Arial" w:hAnsi="Arial" w:cs="Arial" w:hint="eastAsia"/>
          <w:szCs w:val="21"/>
        </w:rPr>
        <w:t>确定估价对象</w:t>
      </w:r>
      <w:r>
        <w:rPr>
          <w:rFonts w:ascii="Arial" w:hAnsi="Arial" w:cs="Arial" w:hint="eastAsia"/>
          <w:szCs w:val="21"/>
        </w:rPr>
        <w:t>2017</w:t>
      </w:r>
      <w:r>
        <w:rPr>
          <w:rFonts w:ascii="Arial" w:hAnsi="Arial" w:cs="Arial" w:hint="eastAsia"/>
          <w:szCs w:val="21"/>
        </w:rPr>
        <w:t>年</w:t>
      </w:r>
      <w:r w:rsidR="00AE27AB">
        <w:rPr>
          <w:rFonts w:ascii="Arial" w:hAnsi="Arial" w:cs="Arial" w:hint="eastAsia"/>
          <w:szCs w:val="21"/>
        </w:rPr>
        <w:t>平均租金为</w:t>
      </w:r>
      <w:r w:rsidR="00AE27AB">
        <w:rPr>
          <w:rFonts w:ascii="Arial" w:hAnsi="Arial" w:cs="Arial" w:hint="eastAsia"/>
          <w:szCs w:val="21"/>
        </w:rPr>
        <w:t>6.3</w:t>
      </w:r>
      <w:r w:rsidR="00AE27AB">
        <w:rPr>
          <w:rFonts w:ascii="Arial" w:hAnsi="Arial" w:cs="Arial" w:hint="eastAsia"/>
          <w:szCs w:val="21"/>
        </w:rPr>
        <w:t>元</w:t>
      </w:r>
      <w:r w:rsidR="00AE27AB">
        <w:rPr>
          <w:rFonts w:ascii="Arial" w:hAnsi="Arial" w:cs="Arial" w:hint="eastAsia"/>
          <w:szCs w:val="21"/>
        </w:rPr>
        <w:t>/</w:t>
      </w:r>
      <w:r w:rsidR="00AE27AB">
        <w:rPr>
          <w:rFonts w:ascii="Arial" w:hAnsi="Arial" w:cs="Arial" w:hint="eastAsia"/>
          <w:szCs w:val="21"/>
        </w:rPr>
        <w:t>天·平方米。</w:t>
      </w:r>
    </w:p>
    <w:p w:rsidR="00BE793B" w:rsidRDefault="00AE27AB" w:rsidP="00AE27AB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hAnsi="Arial" w:cs="Arial"/>
          <w:szCs w:val="21"/>
        </w:rPr>
        <w:t>同时根据</w:t>
      </w:r>
      <w:r>
        <w:rPr>
          <w:rFonts w:ascii="Arial" w:hAnsi="Arial" w:cs="Arial" w:hint="eastAsia"/>
          <w:szCs w:val="21"/>
        </w:rPr>
        <w:t>评估专业人员</w:t>
      </w:r>
      <w:r w:rsidRPr="001C3169">
        <w:rPr>
          <w:rFonts w:ascii="Arial" w:hAnsi="Arial" w:cs="Arial"/>
          <w:szCs w:val="21"/>
        </w:rPr>
        <w:t>对租赁市场的调查，选取近期同一供需圈内邻近地区的三个租赁案例进行比较，求得租金水平平均为</w:t>
      </w:r>
      <w:r w:rsidRPr="001C3169">
        <w:rPr>
          <w:rFonts w:ascii="Arial" w:hAnsi="Arial" w:cs="Arial"/>
          <w:szCs w:val="21"/>
        </w:rPr>
        <w:t>5.39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天</w:t>
      </w:r>
      <w:r w:rsidRPr="001C3169">
        <w:rPr>
          <w:rFonts w:ascii="Arial" w:hAnsi="Arial" w:cs="Arial"/>
          <w:szCs w:val="21"/>
        </w:rPr>
        <w:t>•</w:t>
      </w:r>
      <w:r w:rsidRPr="001C3169">
        <w:rPr>
          <w:rFonts w:ascii="Arial" w:hAnsi="Arial" w:cs="Arial"/>
          <w:szCs w:val="21"/>
        </w:rPr>
        <w:t>平方米，</w:t>
      </w:r>
      <w:r>
        <w:rPr>
          <w:rFonts w:ascii="Arial" w:hAnsi="Arial" w:cs="Arial" w:hint="eastAsia"/>
          <w:szCs w:val="21"/>
        </w:rPr>
        <w:t>我公司认为估价委托人提供的</w:t>
      </w:r>
      <w:proofErr w:type="gramStart"/>
      <w:r>
        <w:rPr>
          <w:rFonts w:ascii="Arial" w:hAnsi="Arial" w:cs="Arial" w:hint="eastAsia"/>
          <w:szCs w:val="21"/>
        </w:rPr>
        <w:t>租赁台</w:t>
      </w:r>
      <w:proofErr w:type="gramEnd"/>
      <w:r>
        <w:rPr>
          <w:rFonts w:ascii="Arial" w:hAnsi="Arial" w:cs="Arial" w:hint="eastAsia"/>
          <w:szCs w:val="21"/>
        </w:rPr>
        <w:t>账高于市场租赁水平，依据谨慎性原则，我公司认为市场租金案例更符合估价对象及市场情况，故采用市场租金进行测算。</w:t>
      </w:r>
      <w:r w:rsidR="00BE793B" w:rsidRPr="00BE793B">
        <w:rPr>
          <w:rFonts w:ascii="Arial" w:hAnsi="Arial" w:cs="Arial" w:hint="eastAsia"/>
          <w:szCs w:val="21"/>
        </w:rPr>
        <w:t>根据相关房地产咨询机构发布的信息，</w:t>
      </w:r>
      <w:r w:rsidR="00BE793B" w:rsidRPr="00BE793B">
        <w:rPr>
          <w:rFonts w:ascii="Arial" w:hAnsi="Arial" w:cs="Arial" w:hint="eastAsia"/>
          <w:szCs w:val="21"/>
        </w:rPr>
        <w:t>2017</w:t>
      </w:r>
      <w:r w:rsidR="00BE793B" w:rsidRPr="00BE793B">
        <w:rPr>
          <w:rFonts w:ascii="Arial" w:hAnsi="Arial" w:cs="Arial" w:hint="eastAsia"/>
          <w:szCs w:val="21"/>
        </w:rPr>
        <w:t>年</w:t>
      </w:r>
      <w:r w:rsidR="00BE793B" w:rsidRPr="00BE793B">
        <w:rPr>
          <w:rFonts w:ascii="Arial" w:hAnsi="Arial" w:cs="Arial" w:hint="eastAsia"/>
          <w:szCs w:val="21"/>
        </w:rPr>
        <w:t xml:space="preserve"> 2</w:t>
      </w:r>
      <w:r w:rsidR="00BE793B" w:rsidRPr="00BE793B">
        <w:rPr>
          <w:rFonts w:ascii="Arial" w:hAnsi="Arial" w:cs="Arial" w:hint="eastAsia"/>
          <w:szCs w:val="21"/>
        </w:rPr>
        <w:t>季度，整体市场租金水平微幅上涨，全市购物中心首层平均租金</w:t>
      </w:r>
      <w:r w:rsidR="00BE793B" w:rsidRPr="00BE793B">
        <w:rPr>
          <w:rFonts w:ascii="Arial" w:hAnsi="Arial" w:cs="Arial" w:hint="eastAsia"/>
          <w:szCs w:val="21"/>
        </w:rPr>
        <w:t>30-35</w:t>
      </w:r>
      <w:r w:rsidR="00BE793B" w:rsidRPr="00BE793B">
        <w:rPr>
          <w:rFonts w:ascii="Arial" w:hAnsi="Arial" w:cs="Arial" w:hint="eastAsia"/>
          <w:szCs w:val="21"/>
        </w:rPr>
        <w:t>元</w:t>
      </w:r>
      <w:r w:rsidR="00BE793B" w:rsidRPr="00BE793B">
        <w:rPr>
          <w:rFonts w:ascii="Arial" w:hAnsi="Arial" w:cs="Arial" w:hint="eastAsia"/>
          <w:szCs w:val="21"/>
        </w:rPr>
        <w:t>/</w:t>
      </w:r>
      <w:r w:rsidR="00BE793B" w:rsidRPr="00BE793B">
        <w:rPr>
          <w:rFonts w:ascii="Arial" w:hAnsi="Arial" w:cs="Arial" w:hint="eastAsia"/>
          <w:szCs w:val="21"/>
        </w:rPr>
        <w:t>平方米（使用面积），整体空置率略有上浮，但仍保持在</w:t>
      </w:r>
      <w:r w:rsidR="00BE793B" w:rsidRPr="00BE793B">
        <w:rPr>
          <w:rFonts w:ascii="Arial" w:hAnsi="Arial" w:cs="Arial" w:hint="eastAsia"/>
          <w:szCs w:val="21"/>
        </w:rPr>
        <w:t>5%</w:t>
      </w:r>
      <w:r w:rsidR="00BE793B">
        <w:rPr>
          <w:rFonts w:ascii="Arial" w:hAnsi="Arial" w:cs="Arial" w:hint="eastAsia"/>
          <w:szCs w:val="21"/>
        </w:rPr>
        <w:t>左右。</w:t>
      </w:r>
      <w:r>
        <w:rPr>
          <w:rFonts w:ascii="Arial" w:hAnsi="Arial" w:cs="Arial" w:hint="eastAsia"/>
          <w:szCs w:val="21"/>
        </w:rPr>
        <w:t>增长率</w:t>
      </w:r>
      <w:r w:rsidR="00BE793B">
        <w:rPr>
          <w:rFonts w:ascii="Arial" w:hAnsi="Arial" w:cs="Arial" w:hint="eastAsia"/>
          <w:szCs w:val="21"/>
        </w:rPr>
        <w:t>选取依据为综合商业类物业增长水平</w:t>
      </w:r>
      <w:r>
        <w:rPr>
          <w:rFonts w:ascii="Arial" w:hAnsi="Arial" w:cs="Arial" w:hint="eastAsia"/>
          <w:szCs w:val="21"/>
        </w:rPr>
        <w:t>及</w:t>
      </w:r>
      <w:r w:rsidR="00BE793B">
        <w:rPr>
          <w:rFonts w:ascii="Arial" w:hAnsi="Arial" w:cs="Arial" w:hint="eastAsia"/>
          <w:szCs w:val="21"/>
        </w:rPr>
        <w:t>估价委托人提供上述增长情况，本次评估</w:t>
      </w:r>
      <w:r>
        <w:rPr>
          <w:rFonts w:ascii="Arial" w:hAnsi="Arial" w:cs="Arial" w:hint="eastAsia"/>
          <w:szCs w:val="21"/>
        </w:rPr>
        <w:t>增长率</w:t>
      </w:r>
      <w:r w:rsidR="006F5A19">
        <w:rPr>
          <w:rFonts w:ascii="Arial" w:hAnsi="Arial" w:cs="Arial" w:hint="eastAsia"/>
          <w:szCs w:val="21"/>
        </w:rPr>
        <w:t>确定为</w:t>
      </w:r>
      <w:r>
        <w:rPr>
          <w:rFonts w:ascii="Arial" w:hAnsi="Arial" w:cs="Arial" w:hint="eastAsia"/>
          <w:szCs w:val="21"/>
        </w:rPr>
        <w:t>2.5%</w:t>
      </w:r>
      <w:r w:rsidR="006F5A19">
        <w:rPr>
          <w:rFonts w:ascii="Arial" w:hAnsi="Arial" w:cs="Arial" w:hint="eastAsia"/>
          <w:szCs w:val="21"/>
        </w:rPr>
        <w:t>/</w:t>
      </w:r>
      <w:r w:rsidR="006F5A19">
        <w:rPr>
          <w:rFonts w:ascii="Arial" w:hAnsi="Arial" w:cs="Arial" w:hint="eastAsia"/>
          <w:szCs w:val="21"/>
        </w:rPr>
        <w:t>年</w:t>
      </w:r>
      <w:r w:rsidR="00BE793B">
        <w:rPr>
          <w:rFonts w:ascii="Arial" w:hAnsi="Arial" w:cs="Arial" w:hint="eastAsia"/>
          <w:szCs w:val="21"/>
        </w:rPr>
        <w:t>。</w:t>
      </w:r>
      <w:r>
        <w:rPr>
          <w:rFonts w:ascii="Arial" w:hAnsi="Arial" w:cs="Arial" w:hint="eastAsia"/>
          <w:szCs w:val="21"/>
        </w:rPr>
        <w:t>空置率考虑该项目整体经营出租情况及</w:t>
      </w:r>
      <w:r w:rsidR="00BE793B">
        <w:rPr>
          <w:rFonts w:ascii="Arial" w:hAnsi="Arial" w:cs="Arial" w:hint="eastAsia"/>
          <w:szCs w:val="21"/>
        </w:rPr>
        <w:t>商业类物业整体</w:t>
      </w:r>
      <w:r>
        <w:rPr>
          <w:rFonts w:ascii="Arial" w:hAnsi="Arial" w:cs="Arial" w:hint="eastAsia"/>
          <w:szCs w:val="21"/>
        </w:rPr>
        <w:t>出租情况取</w:t>
      </w:r>
      <w:r>
        <w:rPr>
          <w:rFonts w:ascii="Arial" w:hAnsi="Arial" w:cs="Arial" w:hint="eastAsia"/>
          <w:szCs w:val="21"/>
        </w:rPr>
        <w:t>15%</w:t>
      </w:r>
      <w:r w:rsidR="00BE793B">
        <w:rPr>
          <w:rFonts w:ascii="Arial" w:hAnsi="Arial" w:cs="Arial" w:hint="eastAsia"/>
          <w:szCs w:val="21"/>
        </w:rPr>
        <w:t>。</w:t>
      </w:r>
      <w:r w:rsidR="006F5A19">
        <w:rPr>
          <w:rFonts w:ascii="Arial" w:hAnsi="Arial" w:cs="Arial" w:hint="eastAsia"/>
          <w:szCs w:val="21"/>
        </w:rPr>
        <w:t>按照上述取值</w:t>
      </w:r>
      <w:r w:rsidR="00BE793B">
        <w:rPr>
          <w:rFonts w:ascii="Arial" w:hAnsi="Arial" w:cs="Arial" w:hint="eastAsia"/>
          <w:szCs w:val="21"/>
        </w:rPr>
        <w:t>，</w:t>
      </w:r>
      <w:r w:rsidR="006F5A19">
        <w:rPr>
          <w:rFonts w:ascii="Arial" w:hAnsi="Arial" w:cs="Arial" w:hint="eastAsia"/>
          <w:szCs w:val="21"/>
        </w:rPr>
        <w:t>经测算</w:t>
      </w:r>
      <w:r w:rsidRPr="001C3169">
        <w:rPr>
          <w:rFonts w:ascii="Arial" w:hAnsi="Arial" w:cs="Arial"/>
          <w:szCs w:val="21"/>
        </w:rPr>
        <w:t>估价对象收益价值为</w:t>
      </w:r>
      <w:r w:rsidRPr="001C3169">
        <w:rPr>
          <w:rFonts w:ascii="Arial" w:hAnsi="Arial" w:cs="Arial"/>
          <w:szCs w:val="21"/>
        </w:rPr>
        <w:t>285048</w:t>
      </w:r>
      <w:r w:rsidRPr="001C3169">
        <w:rPr>
          <w:rFonts w:ascii="Arial" w:hAnsi="Arial" w:cs="Arial"/>
          <w:szCs w:val="21"/>
        </w:rPr>
        <w:t>万元。</w:t>
      </w:r>
    </w:p>
    <w:p w:rsidR="00AE27AB" w:rsidRPr="00AE27AB" w:rsidRDefault="00AE27AB" w:rsidP="00AE27AB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hAnsi="Arial" w:cs="Arial"/>
          <w:szCs w:val="21"/>
        </w:rPr>
        <w:t>综合分析上述两种方法，进行采取加权算术平均法（比较法取</w:t>
      </w:r>
      <w:r w:rsidRPr="001C3169">
        <w:rPr>
          <w:rFonts w:ascii="Arial" w:hAnsi="Arial" w:cs="Arial"/>
          <w:szCs w:val="21"/>
        </w:rPr>
        <w:t>50%</w:t>
      </w:r>
      <w:r w:rsidRPr="001C3169">
        <w:rPr>
          <w:rFonts w:ascii="Arial" w:hAnsi="Arial" w:cs="Arial"/>
          <w:szCs w:val="21"/>
        </w:rPr>
        <w:t>、收益法取</w:t>
      </w:r>
      <w:r w:rsidRPr="001C3169">
        <w:rPr>
          <w:rFonts w:ascii="Arial" w:hAnsi="Arial" w:cs="Arial"/>
          <w:szCs w:val="21"/>
        </w:rPr>
        <w:t>50%</w:t>
      </w:r>
      <w:r w:rsidRPr="001C3169">
        <w:rPr>
          <w:rFonts w:ascii="Arial" w:hAnsi="Arial" w:cs="Arial"/>
          <w:szCs w:val="21"/>
        </w:rPr>
        <w:t>）求取估价对象商业部分房地产价值为</w:t>
      </w:r>
      <w:r w:rsidRPr="001C3169">
        <w:rPr>
          <w:rFonts w:ascii="Arial" w:hAnsi="Arial" w:cs="Arial"/>
          <w:szCs w:val="21"/>
        </w:rPr>
        <w:t>307248</w:t>
      </w:r>
      <w:r w:rsidRPr="001C3169">
        <w:rPr>
          <w:rFonts w:ascii="Arial" w:hAnsi="Arial" w:cs="Arial"/>
          <w:szCs w:val="21"/>
        </w:rPr>
        <w:t>万元，房地产楼面单价为</w:t>
      </w:r>
      <w:r w:rsidRPr="001C3169">
        <w:rPr>
          <w:rFonts w:ascii="Arial" w:hAnsi="Arial" w:cs="Arial"/>
          <w:szCs w:val="21"/>
        </w:rPr>
        <w:t>29998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平方米。</w:t>
      </w:r>
    </w:p>
    <w:p w:rsidR="00AE27AB" w:rsidRPr="001C3169" w:rsidRDefault="00AE27AB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2.</w:t>
      </w:r>
      <w:r>
        <w:rPr>
          <w:rFonts w:ascii="Arial" w:eastAsia="宋体" w:hAnsi="Arial" w:cs="Arial" w:hint="eastAsia"/>
          <w:szCs w:val="21"/>
        </w:rPr>
        <w:t>仓储部分方法选取如下</w:t>
      </w:r>
    </w:p>
    <w:p w:rsidR="00BE793B" w:rsidRDefault="008019BF" w:rsidP="008019BF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成本法的成本价值为土地价值与建筑物现值相加得出，土地价值采用基准地价修正法求取，建筑物现值为建造成本、管理费用等相加</w:t>
      </w:r>
      <w:proofErr w:type="gramStart"/>
      <w:r w:rsidRPr="001C3169">
        <w:rPr>
          <w:rFonts w:ascii="Arial" w:eastAsia="宋体" w:hAnsi="Arial" w:cs="Arial"/>
          <w:szCs w:val="21"/>
        </w:rPr>
        <w:t>后乘成新</w:t>
      </w:r>
      <w:proofErr w:type="gramEnd"/>
      <w:r w:rsidRPr="001C3169">
        <w:rPr>
          <w:rFonts w:ascii="Arial" w:eastAsia="宋体" w:hAnsi="Arial" w:cs="Arial"/>
          <w:szCs w:val="21"/>
        </w:rPr>
        <w:t>率</w:t>
      </w:r>
      <w:r w:rsidR="001C3169" w:rsidRPr="001C3169">
        <w:rPr>
          <w:rFonts w:ascii="Arial" w:eastAsia="宋体" w:hAnsi="Arial" w:cs="Arial"/>
          <w:szCs w:val="21"/>
        </w:rPr>
        <w:t>，计算得出估价对象成本法总价</w:t>
      </w:r>
      <w:r w:rsidR="001C3169" w:rsidRPr="001C3169">
        <w:rPr>
          <w:rFonts w:ascii="Arial" w:eastAsia="宋体" w:hAnsi="Arial" w:cs="Arial"/>
          <w:szCs w:val="21"/>
        </w:rPr>
        <w:t>1102</w:t>
      </w:r>
      <w:r w:rsidR="00731680">
        <w:rPr>
          <w:rFonts w:ascii="Arial" w:eastAsia="宋体" w:hAnsi="Arial" w:cs="Arial"/>
          <w:szCs w:val="21"/>
        </w:rPr>
        <w:t>万元</w:t>
      </w:r>
      <w:r w:rsidRPr="001C3169">
        <w:rPr>
          <w:rFonts w:ascii="Arial" w:eastAsia="宋体" w:hAnsi="Arial" w:cs="Arial"/>
          <w:szCs w:val="21"/>
        </w:rPr>
        <w:t>。</w:t>
      </w:r>
    </w:p>
    <w:p w:rsidR="00BE793B" w:rsidRDefault="008019BF" w:rsidP="008019BF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收益法为根据评估专业人员实地查勘及</w:t>
      </w:r>
      <w:r w:rsidR="00BE793B" w:rsidRPr="001C3169">
        <w:rPr>
          <w:rFonts w:ascii="Arial" w:hAnsi="Arial" w:cs="Arial"/>
          <w:szCs w:val="21"/>
        </w:rPr>
        <w:t>对租赁市场的调查</w:t>
      </w:r>
      <w:r w:rsidRPr="001C3169">
        <w:rPr>
          <w:rFonts w:ascii="Arial" w:eastAsia="宋体" w:hAnsi="Arial" w:cs="Arial"/>
          <w:szCs w:val="21"/>
        </w:rPr>
        <w:t>，确定估价对象租金水平平均为</w:t>
      </w:r>
      <w:r w:rsidRPr="001C3169">
        <w:rPr>
          <w:rFonts w:ascii="Arial" w:eastAsia="宋体" w:hAnsi="Arial" w:cs="Arial"/>
          <w:szCs w:val="21"/>
        </w:rPr>
        <w:t>1.8</w:t>
      </w:r>
      <w:r w:rsidRPr="001C3169">
        <w:rPr>
          <w:rFonts w:ascii="Arial" w:eastAsia="宋体" w:hAnsi="Arial" w:cs="Arial"/>
          <w:szCs w:val="21"/>
        </w:rPr>
        <w:t>元</w:t>
      </w:r>
      <w:r w:rsidRPr="001C3169">
        <w:rPr>
          <w:rFonts w:ascii="Arial" w:eastAsia="宋体" w:hAnsi="Arial" w:cs="Arial"/>
          <w:szCs w:val="21"/>
        </w:rPr>
        <w:t>/</w:t>
      </w:r>
      <w:r w:rsidRPr="001C3169">
        <w:rPr>
          <w:rFonts w:ascii="Arial" w:eastAsia="宋体" w:hAnsi="Arial" w:cs="Arial"/>
          <w:szCs w:val="21"/>
        </w:rPr>
        <w:t>天</w:t>
      </w:r>
      <w:r w:rsidRPr="001C3169">
        <w:rPr>
          <w:rFonts w:ascii="Arial" w:eastAsia="宋体" w:hAnsi="Arial" w:cs="Arial"/>
          <w:szCs w:val="21"/>
        </w:rPr>
        <w:t>•</w:t>
      </w:r>
      <w:r w:rsidRPr="001C3169">
        <w:rPr>
          <w:rFonts w:ascii="Arial" w:eastAsia="宋体" w:hAnsi="Arial" w:cs="Arial"/>
          <w:szCs w:val="21"/>
        </w:rPr>
        <w:t>平方米，</w:t>
      </w:r>
      <w:r w:rsidR="001C3169" w:rsidRPr="001C3169">
        <w:rPr>
          <w:rFonts w:ascii="Arial" w:hAnsi="Arial" w:cs="Arial"/>
          <w:szCs w:val="21"/>
        </w:rPr>
        <w:t>估价对象未来第一年的总收益为</w:t>
      </w:r>
      <w:r w:rsidR="001C3169" w:rsidRPr="001C3169">
        <w:rPr>
          <w:rFonts w:ascii="Arial" w:hAnsi="Arial" w:cs="Arial"/>
          <w:szCs w:val="21"/>
        </w:rPr>
        <w:t>791914</w:t>
      </w:r>
      <w:r w:rsidR="001C3169" w:rsidRPr="001C3169">
        <w:rPr>
          <w:rFonts w:ascii="Arial" w:hAnsi="Arial" w:cs="Arial"/>
          <w:szCs w:val="21"/>
        </w:rPr>
        <w:t>元。估价对象收益价值</w:t>
      </w:r>
      <w:r w:rsidR="001C3169" w:rsidRPr="001C3169">
        <w:rPr>
          <w:rFonts w:ascii="Arial" w:hAnsi="Arial" w:cs="Arial"/>
          <w:szCs w:val="21"/>
        </w:rPr>
        <w:lastRenderedPageBreak/>
        <w:t>为</w:t>
      </w:r>
      <w:r w:rsidR="001C3169" w:rsidRPr="001C3169">
        <w:rPr>
          <w:rFonts w:ascii="Arial" w:hAnsi="Arial" w:cs="Arial"/>
          <w:szCs w:val="21"/>
        </w:rPr>
        <w:t>1313</w:t>
      </w:r>
      <w:r w:rsidR="001C3169" w:rsidRPr="001C3169">
        <w:rPr>
          <w:rFonts w:ascii="Arial" w:hAnsi="Arial" w:cs="Arial"/>
          <w:szCs w:val="21"/>
        </w:rPr>
        <w:t>万元。</w:t>
      </w:r>
    </w:p>
    <w:p w:rsidR="006A3427" w:rsidRPr="001C3169" w:rsidRDefault="001C3169" w:rsidP="008019BF">
      <w:pPr>
        <w:spacing w:line="480" w:lineRule="auto"/>
        <w:ind w:firstLine="648"/>
        <w:rPr>
          <w:rFonts w:ascii="Arial" w:hAnsi="Arial" w:cs="Arial"/>
          <w:szCs w:val="21"/>
        </w:rPr>
      </w:pPr>
      <w:r w:rsidRPr="001C3169">
        <w:rPr>
          <w:rFonts w:ascii="Arial" w:hAnsi="Arial" w:cs="Arial"/>
          <w:szCs w:val="21"/>
        </w:rPr>
        <w:t>综合分析上述两种方法，进行采取加权算术平均法（成本法</w:t>
      </w:r>
      <w:r w:rsidRPr="001C3169">
        <w:rPr>
          <w:rFonts w:ascii="Arial" w:hAnsi="Arial" w:cs="Arial"/>
          <w:szCs w:val="21"/>
        </w:rPr>
        <w:t>50%</w:t>
      </w:r>
      <w:r w:rsidRPr="001C3169">
        <w:rPr>
          <w:rFonts w:ascii="Arial" w:hAnsi="Arial" w:cs="Arial"/>
          <w:szCs w:val="21"/>
        </w:rPr>
        <w:t>、收益法</w:t>
      </w:r>
      <w:r w:rsidRPr="001C3169">
        <w:rPr>
          <w:rFonts w:ascii="Arial" w:hAnsi="Arial" w:cs="Arial"/>
          <w:szCs w:val="21"/>
        </w:rPr>
        <w:t>50%</w:t>
      </w:r>
      <w:r w:rsidRPr="001C3169">
        <w:rPr>
          <w:rFonts w:ascii="Arial" w:hAnsi="Arial" w:cs="Arial"/>
          <w:szCs w:val="21"/>
        </w:rPr>
        <w:t>）求取估价对象仓储部分房地产价值为</w:t>
      </w:r>
      <w:r w:rsidRPr="001C3169">
        <w:rPr>
          <w:rFonts w:ascii="Arial" w:hAnsi="Arial" w:cs="Arial"/>
          <w:szCs w:val="21"/>
        </w:rPr>
        <w:t>1208</w:t>
      </w:r>
      <w:r w:rsidRPr="001C3169">
        <w:rPr>
          <w:rFonts w:ascii="Arial" w:hAnsi="Arial" w:cs="Arial"/>
          <w:szCs w:val="21"/>
        </w:rPr>
        <w:t>万元，房地产楼面单价为</w:t>
      </w:r>
      <w:r w:rsidRPr="001C3169">
        <w:rPr>
          <w:rFonts w:ascii="Arial" w:hAnsi="Arial" w:cs="Arial"/>
          <w:szCs w:val="21"/>
        </w:rPr>
        <w:t>8803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平方米。</w:t>
      </w:r>
    </w:p>
    <w:p w:rsidR="001C3169" w:rsidRPr="001C3169" w:rsidRDefault="001C3169" w:rsidP="008019BF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hAnsi="Arial" w:cs="Arial"/>
          <w:szCs w:val="21"/>
        </w:rPr>
        <w:t>上述两部分（商业部分及仓储部分）价值相加，估价对象总价为</w:t>
      </w:r>
      <w:r w:rsidRPr="001C3169">
        <w:rPr>
          <w:rFonts w:ascii="Arial" w:hAnsi="Arial" w:cs="Arial"/>
          <w:szCs w:val="21"/>
        </w:rPr>
        <w:t>308456</w:t>
      </w:r>
      <w:r w:rsidRPr="001C3169">
        <w:rPr>
          <w:rFonts w:ascii="Arial" w:hAnsi="Arial" w:cs="Arial"/>
          <w:szCs w:val="21"/>
        </w:rPr>
        <w:t>万元，楼面单价</w:t>
      </w:r>
      <w:r w:rsidRPr="001C3169">
        <w:rPr>
          <w:rFonts w:ascii="Arial" w:hAnsi="Arial" w:cs="Arial"/>
          <w:szCs w:val="21"/>
        </w:rPr>
        <w:t>29718</w:t>
      </w:r>
      <w:r w:rsidRPr="001C3169">
        <w:rPr>
          <w:rFonts w:ascii="Arial" w:hAnsi="Arial" w:cs="Arial"/>
          <w:szCs w:val="21"/>
        </w:rPr>
        <w:t>元</w:t>
      </w:r>
      <w:r w:rsidRPr="001C3169">
        <w:rPr>
          <w:rFonts w:ascii="Arial" w:hAnsi="Arial" w:cs="Arial"/>
          <w:szCs w:val="21"/>
        </w:rPr>
        <w:t>/</w:t>
      </w:r>
      <w:r w:rsidRPr="001C3169">
        <w:rPr>
          <w:rFonts w:ascii="Arial" w:hAnsi="Arial" w:cs="Arial"/>
          <w:szCs w:val="21"/>
        </w:rPr>
        <w:t>平方米。</w:t>
      </w:r>
    </w:p>
    <w:p w:rsidR="0058757A" w:rsidRPr="001C3169" w:rsidRDefault="0058757A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由于本次评估为同一抵押权人的续贷房地产抵押估价，故未将已抵押担保的债权数额（</w:t>
      </w:r>
      <w:r w:rsidRPr="001C3169">
        <w:rPr>
          <w:rFonts w:ascii="Arial" w:eastAsia="宋体" w:hAnsi="Arial" w:cs="Arial"/>
          <w:szCs w:val="21"/>
        </w:rPr>
        <w:t>160000</w:t>
      </w:r>
      <w:r w:rsidRPr="001C3169">
        <w:rPr>
          <w:rFonts w:ascii="Arial" w:eastAsia="宋体" w:hAnsi="Arial" w:cs="Arial"/>
          <w:szCs w:val="21"/>
        </w:rPr>
        <w:t>万元）作为法定优先受偿款予以扣减。本次评估不存在估价师所知悉的法定优先受偿款。则：</w:t>
      </w:r>
      <w:r w:rsidRPr="001C3169">
        <w:rPr>
          <w:rFonts w:ascii="Arial" w:eastAsia="宋体" w:hAnsi="Arial" w:cs="Arial"/>
          <w:szCs w:val="21"/>
        </w:rPr>
        <w:t xml:space="preserve"> </w:t>
      </w:r>
    </w:p>
    <w:p w:rsidR="0058757A" w:rsidRPr="001C3169" w:rsidRDefault="0058757A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房地产抵押价值</w:t>
      </w:r>
      <w:r w:rsidRPr="001C3169">
        <w:rPr>
          <w:rFonts w:ascii="Arial" w:eastAsia="宋体" w:hAnsi="Arial" w:cs="Arial"/>
          <w:szCs w:val="21"/>
        </w:rPr>
        <w:t xml:space="preserve"> </w:t>
      </w:r>
    </w:p>
    <w:p w:rsidR="0058757A" w:rsidRPr="001C3169" w:rsidRDefault="0058757A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＝房地产价值－估价师所知悉的法定优先受偿款</w:t>
      </w:r>
      <w:r w:rsidRPr="001C3169">
        <w:rPr>
          <w:rFonts w:ascii="Arial" w:eastAsia="宋体" w:hAnsi="Arial" w:cs="Arial"/>
          <w:szCs w:val="21"/>
        </w:rPr>
        <w:t xml:space="preserve"> </w:t>
      </w:r>
    </w:p>
    <w:p w:rsidR="0058757A" w:rsidRPr="001C3169" w:rsidRDefault="0058757A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＝</w:t>
      </w:r>
      <w:r w:rsidRPr="001C3169">
        <w:rPr>
          <w:rFonts w:ascii="Arial" w:eastAsia="宋体" w:hAnsi="Arial" w:cs="Arial"/>
          <w:szCs w:val="21"/>
        </w:rPr>
        <w:t>308456</w:t>
      </w:r>
      <w:r w:rsidRPr="001C3169">
        <w:rPr>
          <w:rFonts w:ascii="Arial" w:eastAsia="宋体" w:hAnsi="Arial" w:cs="Arial"/>
          <w:szCs w:val="21"/>
        </w:rPr>
        <w:t>－</w:t>
      </w:r>
      <w:r w:rsidRPr="001C3169">
        <w:rPr>
          <w:rFonts w:ascii="Arial" w:eastAsia="宋体" w:hAnsi="Arial" w:cs="Arial"/>
          <w:szCs w:val="21"/>
        </w:rPr>
        <w:t xml:space="preserve">0 </w:t>
      </w:r>
    </w:p>
    <w:p w:rsidR="00A416CF" w:rsidRPr="001C3169" w:rsidRDefault="0058757A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＝</w:t>
      </w:r>
      <w:r w:rsidRPr="001C3169">
        <w:rPr>
          <w:rFonts w:ascii="Arial" w:eastAsia="宋体" w:hAnsi="Arial" w:cs="Arial"/>
          <w:szCs w:val="21"/>
        </w:rPr>
        <w:t>308456</w:t>
      </w:r>
      <w:r w:rsidRPr="001C3169">
        <w:rPr>
          <w:rFonts w:ascii="Arial" w:eastAsia="宋体" w:hAnsi="Arial" w:cs="Arial"/>
          <w:szCs w:val="21"/>
        </w:rPr>
        <w:t>（万元）</w:t>
      </w:r>
    </w:p>
    <w:p w:rsidR="00A416CF" w:rsidRPr="001C3169" w:rsidRDefault="00A416CF" w:rsidP="006A3427">
      <w:pPr>
        <w:spacing w:line="480" w:lineRule="auto"/>
        <w:ind w:firstLine="648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 xml:space="preserve">  </w:t>
      </w:r>
      <w:r w:rsidRPr="001C3169">
        <w:rPr>
          <w:rFonts w:ascii="Arial" w:eastAsia="宋体" w:hAnsi="Arial" w:cs="Arial"/>
          <w:szCs w:val="21"/>
        </w:rPr>
        <w:t>特此说明</w:t>
      </w:r>
      <w:r w:rsidRPr="001C3169">
        <w:rPr>
          <w:rFonts w:ascii="Arial" w:eastAsia="宋体" w:hAnsi="Arial" w:cs="Arial"/>
          <w:szCs w:val="21"/>
        </w:rPr>
        <w:t xml:space="preserve"> </w:t>
      </w:r>
    </w:p>
    <w:p w:rsidR="00E63802" w:rsidRPr="001C3169" w:rsidRDefault="001C3169" w:rsidP="006A3427">
      <w:pPr>
        <w:spacing w:line="480" w:lineRule="auto"/>
        <w:ind w:firstLine="648"/>
        <w:jc w:val="right"/>
        <w:rPr>
          <w:rFonts w:ascii="Arial" w:eastAsia="宋体" w:hAnsi="Arial" w:cs="Arial"/>
          <w:szCs w:val="21"/>
        </w:rPr>
      </w:pPr>
      <w:proofErr w:type="gramStart"/>
      <w:r w:rsidRPr="001C3169">
        <w:rPr>
          <w:rFonts w:ascii="Arial" w:eastAsia="宋体" w:hAnsi="Arial" w:cs="Arial"/>
          <w:szCs w:val="21"/>
        </w:rPr>
        <w:t>北京康正宏</w:t>
      </w:r>
      <w:proofErr w:type="gramEnd"/>
      <w:r w:rsidRPr="001C3169">
        <w:rPr>
          <w:rFonts w:ascii="Arial" w:eastAsia="宋体" w:hAnsi="Arial" w:cs="Arial"/>
          <w:szCs w:val="21"/>
        </w:rPr>
        <w:t>基房地产评估有限公司</w:t>
      </w:r>
    </w:p>
    <w:p w:rsidR="00E63802" w:rsidRPr="001C3169" w:rsidRDefault="00E63802" w:rsidP="006A3427">
      <w:pPr>
        <w:spacing w:line="480" w:lineRule="auto"/>
        <w:ind w:firstLine="648"/>
        <w:jc w:val="right"/>
        <w:rPr>
          <w:rFonts w:ascii="Arial" w:eastAsia="宋体" w:hAnsi="Arial" w:cs="Arial"/>
          <w:szCs w:val="21"/>
        </w:rPr>
      </w:pPr>
      <w:r w:rsidRPr="001C3169">
        <w:rPr>
          <w:rFonts w:ascii="Arial" w:eastAsia="宋体" w:hAnsi="Arial" w:cs="Arial"/>
          <w:szCs w:val="21"/>
        </w:rPr>
        <w:t>2017</w:t>
      </w:r>
      <w:r w:rsidRPr="001C3169">
        <w:rPr>
          <w:rFonts w:ascii="Arial" w:eastAsia="宋体" w:hAnsi="Arial" w:cs="Arial"/>
          <w:szCs w:val="21"/>
        </w:rPr>
        <w:t>年</w:t>
      </w:r>
      <w:r w:rsidRPr="001C3169">
        <w:rPr>
          <w:rFonts w:ascii="Arial" w:eastAsia="宋体" w:hAnsi="Arial" w:cs="Arial"/>
          <w:szCs w:val="21"/>
        </w:rPr>
        <w:t>11</w:t>
      </w:r>
      <w:r w:rsidRPr="001C3169">
        <w:rPr>
          <w:rFonts w:ascii="Arial" w:eastAsia="宋体" w:hAnsi="Arial" w:cs="Arial"/>
          <w:szCs w:val="21"/>
        </w:rPr>
        <w:t>月</w:t>
      </w:r>
      <w:r w:rsidR="001C3169" w:rsidRPr="001C3169">
        <w:rPr>
          <w:rFonts w:ascii="Arial" w:eastAsia="宋体" w:hAnsi="Arial" w:cs="Arial"/>
          <w:szCs w:val="21"/>
        </w:rPr>
        <w:t>29</w:t>
      </w:r>
      <w:r w:rsidRPr="001C3169">
        <w:rPr>
          <w:rFonts w:ascii="Arial" w:eastAsia="宋体" w:hAnsi="Arial" w:cs="Arial"/>
          <w:szCs w:val="21"/>
        </w:rPr>
        <w:t>日</w:t>
      </w:r>
    </w:p>
    <w:sectPr w:rsidR="00E63802" w:rsidRPr="001C31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84" w:rsidRDefault="00570184" w:rsidP="00F142DB">
      <w:r>
        <w:separator/>
      </w:r>
    </w:p>
  </w:endnote>
  <w:endnote w:type="continuationSeparator" w:id="0">
    <w:p w:rsidR="00570184" w:rsidRDefault="00570184" w:rsidP="00F1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84" w:rsidRDefault="00570184" w:rsidP="00F142DB">
      <w:r>
        <w:separator/>
      </w:r>
    </w:p>
  </w:footnote>
  <w:footnote w:type="continuationSeparator" w:id="0">
    <w:p w:rsidR="00570184" w:rsidRDefault="00570184" w:rsidP="00F14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69" w:rsidRDefault="001C3169" w:rsidP="001C3169">
    <w:pPr>
      <w:pStyle w:val="a3"/>
    </w:pPr>
    <w:r>
      <w:rPr>
        <w:noProof/>
      </w:rPr>
      <w:drawing>
        <wp:inline distT="0" distB="0" distL="0" distR="0" wp14:anchorId="25027EC5" wp14:editId="6BC60FD3">
          <wp:extent cx="5274310" cy="255209"/>
          <wp:effectExtent l="0" t="0" r="0" b="0"/>
          <wp:docPr id="30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F4"/>
    <w:rsid w:val="00075C53"/>
    <w:rsid w:val="000C26E3"/>
    <w:rsid w:val="00135F6B"/>
    <w:rsid w:val="001C3169"/>
    <w:rsid w:val="001E3773"/>
    <w:rsid w:val="002111B0"/>
    <w:rsid w:val="0021319F"/>
    <w:rsid w:val="002350D8"/>
    <w:rsid w:val="00240E49"/>
    <w:rsid w:val="00245293"/>
    <w:rsid w:val="00276B85"/>
    <w:rsid w:val="00285F8A"/>
    <w:rsid w:val="002A393C"/>
    <w:rsid w:val="002A6445"/>
    <w:rsid w:val="002E1C47"/>
    <w:rsid w:val="002F29B0"/>
    <w:rsid w:val="003068E3"/>
    <w:rsid w:val="003B3D4A"/>
    <w:rsid w:val="003B6CB3"/>
    <w:rsid w:val="003D049C"/>
    <w:rsid w:val="003D62F5"/>
    <w:rsid w:val="00405D6F"/>
    <w:rsid w:val="00414227"/>
    <w:rsid w:val="00430784"/>
    <w:rsid w:val="00465EAA"/>
    <w:rsid w:val="00467089"/>
    <w:rsid w:val="0049484C"/>
    <w:rsid w:val="004C5E55"/>
    <w:rsid w:val="004F7A81"/>
    <w:rsid w:val="00570184"/>
    <w:rsid w:val="0058757A"/>
    <w:rsid w:val="00591D4A"/>
    <w:rsid w:val="005C2E8D"/>
    <w:rsid w:val="00656F95"/>
    <w:rsid w:val="00685013"/>
    <w:rsid w:val="006A3427"/>
    <w:rsid w:val="006E08EC"/>
    <w:rsid w:val="006E0A68"/>
    <w:rsid w:val="006F1A76"/>
    <w:rsid w:val="006F5A19"/>
    <w:rsid w:val="007025AD"/>
    <w:rsid w:val="00714982"/>
    <w:rsid w:val="00731680"/>
    <w:rsid w:val="00784C58"/>
    <w:rsid w:val="00801541"/>
    <w:rsid w:val="008019BF"/>
    <w:rsid w:val="008E4CCA"/>
    <w:rsid w:val="00926116"/>
    <w:rsid w:val="00955438"/>
    <w:rsid w:val="009573D8"/>
    <w:rsid w:val="00981BF4"/>
    <w:rsid w:val="00985194"/>
    <w:rsid w:val="009A1544"/>
    <w:rsid w:val="00A0416D"/>
    <w:rsid w:val="00A238E8"/>
    <w:rsid w:val="00A26AE4"/>
    <w:rsid w:val="00A40D73"/>
    <w:rsid w:val="00A416CF"/>
    <w:rsid w:val="00A87EDF"/>
    <w:rsid w:val="00AB2614"/>
    <w:rsid w:val="00AE27AB"/>
    <w:rsid w:val="00BE17D2"/>
    <w:rsid w:val="00BE793B"/>
    <w:rsid w:val="00BF3641"/>
    <w:rsid w:val="00C363A5"/>
    <w:rsid w:val="00C94FD4"/>
    <w:rsid w:val="00CA0EB1"/>
    <w:rsid w:val="00CC23D1"/>
    <w:rsid w:val="00CD1C07"/>
    <w:rsid w:val="00D03B54"/>
    <w:rsid w:val="00D25E3F"/>
    <w:rsid w:val="00D2683F"/>
    <w:rsid w:val="00D44544"/>
    <w:rsid w:val="00D46C7D"/>
    <w:rsid w:val="00DC45E0"/>
    <w:rsid w:val="00DD3761"/>
    <w:rsid w:val="00E50E84"/>
    <w:rsid w:val="00E63802"/>
    <w:rsid w:val="00E82183"/>
    <w:rsid w:val="00F142DB"/>
    <w:rsid w:val="00F202CC"/>
    <w:rsid w:val="00F47520"/>
    <w:rsid w:val="00F940CB"/>
    <w:rsid w:val="00FA7739"/>
    <w:rsid w:val="00FB0A6A"/>
    <w:rsid w:val="00FB0C1D"/>
    <w:rsid w:val="00FB50AD"/>
    <w:rsid w:val="00FE6220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2DB"/>
    <w:rPr>
      <w:sz w:val="18"/>
      <w:szCs w:val="18"/>
    </w:rPr>
  </w:style>
  <w:style w:type="paragraph" w:customStyle="1" w:styleId="Default">
    <w:name w:val="Default"/>
    <w:rsid w:val="0058757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C2E8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C2E8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C2E8D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C2E8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C2E8D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C2E8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C2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2DB"/>
    <w:rPr>
      <w:sz w:val="18"/>
      <w:szCs w:val="18"/>
    </w:rPr>
  </w:style>
  <w:style w:type="paragraph" w:customStyle="1" w:styleId="Default">
    <w:name w:val="Default"/>
    <w:rsid w:val="0058757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C2E8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C2E8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C2E8D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C2E8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C2E8D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C2E8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C2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250</Words>
  <Characters>1428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开发区支行公司业务部</dc:creator>
  <cp:lastModifiedBy>USER</cp:lastModifiedBy>
  <cp:revision>20</cp:revision>
  <cp:lastPrinted>2017-11-29T04:03:00Z</cp:lastPrinted>
  <dcterms:created xsi:type="dcterms:W3CDTF">2017-11-28T01:11:00Z</dcterms:created>
  <dcterms:modified xsi:type="dcterms:W3CDTF">2017-11-29T04:58:00Z</dcterms:modified>
</cp:coreProperties>
</file>