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宋体"/>
          <w:b/>
          <w:bCs/>
          <w:sz w:val="36"/>
          <w:szCs w:val="36"/>
        </w:rPr>
      </w:pPr>
      <w:bookmarkStart w:id="0" w:name="_Toc13220"/>
      <w:bookmarkStart w:id="1" w:name="_Toc17474"/>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2</w:t>
      </w:r>
      <w:r>
        <w:rPr>
          <w:rFonts w:hint="eastAsia" w:ascii="宋体" w:hAnsi="宋体" w:cs="宋体"/>
          <w:b/>
          <w:bCs/>
          <w:sz w:val="36"/>
          <w:szCs w:val="36"/>
        </w:rPr>
        <w:t>年05月资金计划</w:t>
      </w:r>
      <w:bookmarkEnd w:id="0"/>
      <w:bookmarkEnd w:id="1"/>
    </w:p>
    <w:p>
      <w:pPr>
        <w:jc w:val="center"/>
        <w:outlineLvl w:val="0"/>
        <w:rPr>
          <w:rFonts w:ascii="宋体" w:hAnsi="宋体" w:cs="宋体"/>
          <w:b/>
          <w:bCs/>
          <w:sz w:val="36"/>
          <w:szCs w:val="36"/>
        </w:rPr>
      </w:pPr>
      <w:bookmarkStart w:id="2" w:name="_Toc7913"/>
      <w:bookmarkStart w:id="3" w:name="_Toc2941"/>
      <w:r>
        <w:rPr>
          <w:rFonts w:hint="eastAsia" w:ascii="宋体" w:hAnsi="宋体" w:cs="宋体"/>
          <w:b/>
          <w:bCs/>
          <w:sz w:val="36"/>
          <w:szCs w:val="36"/>
        </w:rPr>
        <w:t>审核说明</w:t>
      </w:r>
      <w:bookmarkEnd w:id="2"/>
      <w:bookmarkEnd w:id="3"/>
    </w:p>
    <w:p>
      <w:pPr>
        <w:spacing w:line="360" w:lineRule="auto"/>
        <w:outlineLvl w:val="0"/>
        <w:rPr>
          <w:rFonts w:ascii="宋体" w:hAnsi="宋体"/>
          <w:b/>
          <w:bCs/>
          <w:sz w:val="28"/>
          <w:szCs w:val="28"/>
        </w:rPr>
      </w:pPr>
      <w:bookmarkStart w:id="4" w:name="_Toc22561"/>
      <w:bookmarkStart w:id="5" w:name="_Toc5360"/>
      <w:r>
        <w:rPr>
          <w:rFonts w:hint="eastAsia" w:ascii="宋体" w:hAnsi="宋体"/>
          <w:b/>
          <w:bCs/>
          <w:sz w:val="28"/>
          <w:szCs w:val="28"/>
        </w:rPr>
        <w:t>中航信托股份有限公司：</w:t>
      </w:r>
      <w:bookmarkEnd w:id="4"/>
      <w:bookmarkEnd w:id="5"/>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04</w:t>
      </w:r>
      <w:r>
        <w:rPr>
          <w:rFonts w:ascii="宋体" w:hAnsi="宋体"/>
          <w:sz w:val="24"/>
          <w:szCs w:val="24"/>
        </w:rPr>
        <w:t>月</w:t>
      </w:r>
      <w:r>
        <w:rPr>
          <w:rFonts w:hint="eastAsia" w:ascii="宋体" w:hAnsi="宋体"/>
          <w:sz w:val="24"/>
          <w:szCs w:val="24"/>
        </w:rPr>
        <w:t>27</w:t>
      </w:r>
      <w:r>
        <w:rPr>
          <w:rFonts w:ascii="宋体" w:hAnsi="宋体"/>
          <w:sz w:val="24"/>
          <w:szCs w:val="24"/>
        </w:rPr>
        <w:t>日</w:t>
      </w:r>
      <w:r>
        <w:rPr>
          <w:rFonts w:hint="eastAsia" w:ascii="宋体" w:hAnsi="宋体"/>
          <w:sz w:val="24"/>
          <w:szCs w:val="24"/>
        </w:rPr>
        <w:t>提交了2022年05月的资金计划，我司对项目公司申报的资金计划进行了审核，审核结果如下：</w:t>
      </w:r>
    </w:p>
    <w:p>
      <w:pPr>
        <w:numPr>
          <w:ilvl w:val="0"/>
          <w:numId w:val="1"/>
        </w:numPr>
        <w:spacing w:before="156" w:beforeLines="50" w:after="156" w:afterLines="50"/>
        <w:ind w:firstLine="120" w:firstLineChars="50"/>
        <w:outlineLvl w:val="0"/>
        <w:rPr>
          <w:rFonts w:ascii="宋体" w:hAnsi="宋体"/>
          <w:b/>
          <w:sz w:val="24"/>
          <w:szCs w:val="24"/>
        </w:rPr>
      </w:pPr>
      <w:bookmarkStart w:id="6" w:name="_Toc25752"/>
      <w:bookmarkStart w:id="7" w:name="_Toc29778"/>
      <w:r>
        <w:rPr>
          <w:rFonts w:ascii="宋体" w:hAnsi="宋体"/>
          <w:b/>
          <w:sz w:val="24"/>
          <w:szCs w:val="24"/>
          <w:lang w:bidi="zh-CN"/>
        </w:rPr>
        <w:t>福州螺洲TOD</w:t>
      </w:r>
      <w:r>
        <w:rPr>
          <w:rFonts w:hint="eastAsia" w:ascii="宋体" w:hAnsi="宋体"/>
          <w:b/>
          <w:sz w:val="24"/>
          <w:szCs w:val="24"/>
        </w:rPr>
        <w:t>项目公司2022年05月份资金汇总</w:t>
      </w:r>
      <w:bookmarkEnd w:id="6"/>
      <w:bookmarkEnd w:id="7"/>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2</w:t>
      </w:r>
      <w:r>
        <w:rPr>
          <w:rFonts w:ascii="宋体" w:hAnsi="宋体"/>
          <w:sz w:val="24"/>
          <w:szCs w:val="24"/>
        </w:rPr>
        <w:t>年</w:t>
      </w:r>
      <w:r>
        <w:rPr>
          <w:rFonts w:hint="eastAsia" w:ascii="宋体" w:hAnsi="宋体"/>
          <w:sz w:val="24"/>
          <w:szCs w:val="24"/>
        </w:rPr>
        <w:t>04</w:t>
      </w:r>
      <w:r>
        <w:rPr>
          <w:rFonts w:ascii="宋体" w:hAnsi="宋体"/>
          <w:sz w:val="24"/>
          <w:szCs w:val="24"/>
        </w:rPr>
        <w:t>月</w:t>
      </w:r>
      <w:r>
        <w:rPr>
          <w:rFonts w:hint="eastAsia" w:ascii="宋体" w:hAnsi="宋体"/>
          <w:sz w:val="24"/>
          <w:szCs w:val="24"/>
        </w:rPr>
        <w:t>27</w:t>
      </w:r>
      <w:r>
        <w:rPr>
          <w:rFonts w:ascii="宋体" w:hAnsi="宋体"/>
          <w:sz w:val="24"/>
          <w:szCs w:val="24"/>
        </w:rPr>
        <w:t>日</w:t>
      </w:r>
      <w:r>
        <w:rPr>
          <w:rFonts w:hint="eastAsia" w:ascii="宋体" w:hAnsi="宋体"/>
          <w:sz w:val="24"/>
          <w:szCs w:val="24"/>
        </w:rPr>
        <w:t>提交的2022年05月的资金支出计划，</w:t>
      </w:r>
      <w:r>
        <w:rPr>
          <w:rFonts w:ascii="宋体" w:hAnsi="宋体"/>
          <w:sz w:val="24"/>
          <w:szCs w:val="24"/>
        </w:rPr>
        <w:t>计划</w:t>
      </w:r>
      <w:r>
        <w:rPr>
          <w:rFonts w:hint="eastAsia" w:ascii="宋体" w:hAnsi="宋体"/>
          <w:sz w:val="24"/>
          <w:szCs w:val="24"/>
        </w:rPr>
        <w:t>资金支出共计233笔，合计6,565.73万元。其中</w:t>
      </w:r>
      <w:r>
        <w:rPr>
          <w:rFonts w:hint="eastAsia" w:ascii="宋体" w:hAnsi="宋体" w:cs="宋体"/>
          <w:sz w:val="24"/>
          <w:szCs w:val="24"/>
        </w:rPr>
        <w:t>：工程款支出</w:t>
      </w:r>
      <w:r>
        <w:rPr>
          <w:rFonts w:hint="eastAsia" w:ascii="宋体" w:hAnsi="宋体"/>
          <w:sz w:val="24"/>
          <w:szCs w:val="24"/>
        </w:rPr>
        <w:t>2,452.42</w:t>
      </w:r>
      <w:r>
        <w:rPr>
          <w:rFonts w:hint="eastAsia" w:ascii="宋体" w:hAnsi="宋体" w:cs="宋体"/>
          <w:sz w:val="24"/>
          <w:szCs w:val="24"/>
        </w:rPr>
        <w:t>万元，销售费用</w:t>
      </w:r>
      <w:r>
        <w:rPr>
          <w:rFonts w:hint="eastAsia" w:ascii="宋体" w:hAnsi="宋体" w:cs="宋体"/>
          <w:bCs/>
          <w:sz w:val="24"/>
          <w:szCs w:val="24"/>
          <w:lang w:bidi="zh-CN"/>
        </w:rPr>
        <w:t>1,232.21</w:t>
      </w:r>
      <w:r>
        <w:rPr>
          <w:rFonts w:hint="eastAsia" w:ascii="宋体" w:hAnsi="宋体" w:cs="宋体"/>
          <w:sz w:val="24"/>
          <w:szCs w:val="24"/>
        </w:rPr>
        <w:t>万</w:t>
      </w:r>
      <w:r>
        <w:rPr>
          <w:rFonts w:hint="eastAsia" w:ascii="宋体" w:hAnsi="宋体"/>
          <w:sz w:val="24"/>
          <w:szCs w:val="24"/>
        </w:rPr>
        <w:t>元，管理费用1,755.26万元，营业税金及附加336.10万元，土地增值税293.70万元，企业所得税296.04万元，不可预见费用200.00万元。</w:t>
      </w:r>
    </w:p>
    <w:tbl>
      <w:tblPr>
        <w:tblStyle w:val="11"/>
        <w:tblW w:w="9913" w:type="dxa"/>
        <w:tblInd w:w="0"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福州首融房地产开发有限公司螺洲TOD项目2022年05月资金计划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ind w:firstLine="241" w:firstLineChars="100"/>
              <w:jc w:val="left"/>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05月计划金额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2,452.42</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1,232.21</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24"/>
                <w:szCs w:val="24"/>
                <w:highlight w:val="none"/>
              </w:rPr>
            </w:pPr>
            <w:r>
              <w:rPr>
                <w:rFonts w:hint="eastAsia" w:ascii="Arial" w:hAnsi="Arial" w:cs="Arial"/>
                <w:sz w:val="24"/>
                <w:szCs w:val="24"/>
                <w:highlight w:val="none"/>
              </w:rPr>
              <w:t>1,755.26</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sz w:val="24"/>
                <w:szCs w:val="24"/>
                <w:highlight w:val="none"/>
              </w:rPr>
            </w:pPr>
            <w:r>
              <w:rPr>
                <w:rFonts w:hint="eastAsia" w:ascii="Arial" w:hAnsi="Arial" w:cs="Arial"/>
                <w:sz w:val="24"/>
                <w:szCs w:val="24"/>
                <w:highlight w:val="none"/>
              </w:rPr>
              <w:t>336.10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highlight w:val="none"/>
              </w:rPr>
            </w:pPr>
            <w:r>
              <w:rPr>
                <w:rFonts w:hint="eastAsia" w:ascii="Arial" w:hAnsi="Arial" w:cs="Arial"/>
                <w:sz w:val="24"/>
                <w:szCs w:val="24"/>
                <w:highlight w:val="none"/>
              </w:rPr>
              <w:t>293.70</w:t>
            </w:r>
          </w:p>
        </w:tc>
      </w:tr>
      <w:tr>
        <w:tblPrEx>
          <w:tblCellMar>
            <w:top w:w="0" w:type="dxa"/>
            <w:left w:w="0" w:type="dxa"/>
            <w:bottom w:w="0" w:type="dxa"/>
            <w:right w:w="0" w:type="dxa"/>
          </w:tblCellMar>
        </w:tblPrEx>
        <w:trPr>
          <w:trHeight w:val="39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highlight w:val="none"/>
              </w:rPr>
            </w:pPr>
            <w:r>
              <w:rPr>
                <w:rFonts w:hint="eastAsia" w:ascii="Arial" w:hAnsi="Arial" w:cs="Arial"/>
                <w:sz w:val="24"/>
                <w:szCs w:val="24"/>
                <w:highlight w:val="none"/>
              </w:rPr>
              <w:t>296.04</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sz w:val="24"/>
                <w:szCs w:val="24"/>
              </w:rPr>
            </w:pPr>
            <w:r>
              <w:rPr>
                <w:rFonts w:hint="eastAsia" w:ascii="Arial" w:hAnsi="Arial" w:cs="Arial"/>
                <w:sz w:val="24"/>
                <w:szCs w:val="24"/>
              </w:rPr>
              <w:t>200.00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FF0000"/>
                <w:sz w:val="24"/>
                <w:szCs w:val="24"/>
                <w:highlight w:val="none"/>
              </w:rPr>
            </w:pPr>
            <w:r>
              <w:rPr>
                <w:rFonts w:hint="eastAsia" w:ascii="Arial" w:hAnsi="Arial" w:cs="Arial"/>
                <w:sz w:val="24"/>
                <w:szCs w:val="24"/>
                <w:highlight w:val="none"/>
              </w:rPr>
              <w:t>6,565.73</w:t>
            </w:r>
          </w:p>
        </w:tc>
      </w:tr>
    </w:tbl>
    <w:p>
      <w:pPr>
        <w:pStyle w:val="10"/>
        <w:spacing w:after="0" w:line="360" w:lineRule="auto"/>
        <w:ind w:firstLine="0" w:firstLineChars="0"/>
        <w:rPr>
          <w:rFonts w:ascii="宋体" w:hAnsi="宋体"/>
          <w:b/>
          <w:sz w:val="24"/>
          <w:szCs w:val="24"/>
          <w:lang w:bidi="zh-CN"/>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ind w:firstLine="120" w:firstLineChars="50"/>
        <w:jc w:val="left"/>
        <w:outlineLvl w:val="0"/>
        <w:rPr>
          <w:rFonts w:ascii="宋体" w:hAnsi="宋体"/>
          <w:b/>
          <w:sz w:val="24"/>
          <w:szCs w:val="24"/>
          <w:lang w:bidi="zh-CN"/>
        </w:rPr>
      </w:pPr>
      <w:bookmarkStart w:id="8" w:name="_Toc23356"/>
      <w:bookmarkStart w:id="9" w:name="_Toc22396"/>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bookmarkEnd w:id="8"/>
      <w:bookmarkEnd w:id="9"/>
    </w:p>
    <w:p>
      <w:pPr>
        <w:numPr>
          <w:ilvl w:val="0"/>
          <w:numId w:val="2"/>
        </w:numPr>
        <w:spacing w:before="156" w:beforeLines="50" w:after="156" w:afterLines="50" w:line="360" w:lineRule="auto"/>
        <w:ind w:left="0" w:leftChars="0" w:firstLine="420" w:firstLineChars="0"/>
        <w:jc w:val="both"/>
        <w:outlineLvl w:val="1"/>
        <w:rPr>
          <w:rFonts w:ascii="宋体" w:hAnsi="宋体"/>
          <w:b/>
          <w:bCs/>
          <w:sz w:val="24"/>
          <w:szCs w:val="24"/>
          <w:lang w:bidi="zh-CN"/>
        </w:rPr>
      </w:pPr>
      <w:bookmarkStart w:id="10" w:name="_Toc6401"/>
      <w:bookmarkStart w:id="11" w:name="_Toc2475"/>
      <w:r>
        <w:rPr>
          <w:rFonts w:hint="eastAsia" w:ascii="宋体" w:hAnsi="宋体"/>
          <w:b/>
          <w:bCs/>
          <w:sz w:val="24"/>
          <w:szCs w:val="24"/>
          <w:lang w:bidi="zh-CN"/>
        </w:rPr>
        <w:t>工程款资金支出计划说明</w:t>
      </w:r>
      <w:bookmarkEnd w:id="10"/>
      <w:bookmarkEnd w:id="11"/>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项目公司在2022年05月</w:t>
      </w:r>
      <w:r>
        <w:rPr>
          <w:rFonts w:hint="eastAsia" w:ascii="宋体" w:hAnsi="宋体"/>
          <w:bCs/>
          <w:sz w:val="24"/>
          <w:szCs w:val="24"/>
          <w:lang w:bidi="zh-CN"/>
        </w:rPr>
        <w:t>工程款计划支出金额共计</w:t>
      </w:r>
      <w:r>
        <w:rPr>
          <w:rFonts w:hint="eastAsia" w:ascii="宋体" w:hAnsi="宋体"/>
          <w:sz w:val="24"/>
          <w:szCs w:val="24"/>
        </w:rPr>
        <w:t>24,524,208.17</w:t>
      </w:r>
      <w:r>
        <w:rPr>
          <w:rFonts w:hint="eastAsia" w:ascii="宋体" w:hAnsi="宋体"/>
          <w:bCs/>
          <w:sz w:val="24"/>
          <w:szCs w:val="24"/>
          <w:lang w:bidi="zh-CN"/>
        </w:rPr>
        <w:t>元,具体分析如下：</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4月27日与福建省建筑材料质量监督检验站签订的《桩基检测工程合同》，承包范围：项目桩基检测工程，具体内容及施工要求详见工程量清单及图纸描述；合同总价383,800元。土方开挖前，支付经监理及甲方现场工程师确认的桩基检测合格工程量价款的50%；完成检测工作并提交经质检站认可的质量桩基检测备案报告、基础验收合格且基础土方回填完成、结算手续办妥等条件同时具备后15个工作日内，支付工程结算总价款余款。预计结算总价款395,739元，已完成付款182,742元，本期计划付款212,997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5日与福建天天优运输有限公司签订的《土方工程合同》，福州市云洲郡项目土方工程委托实施；合同总价6,823,287.2元。(1)发包人在办理每一次付款手续前，承包人须向发包人开具与当期已完工并完成对应核算产值每次按确认产值的80%支付。已完成付款3,758,749.13元；本期预计完成产值1,824,384元，计划付款1,459,507.20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8月25日与福建省凡士建设集团有限公司签订的《B+C地块总承包工程（含机电）合同》，提供项目B+C地块总承包工程（含机电）；合同总价340,515,610.19元。按月度付款（安全文明施工费与实体工程款等比例支付）上部按月进度对应产值的80％。累计已完成付款50,034,069.14元；本期预计付款完成工程量23,125,000元,上部按月进度对应产值的80％支付，即18,500,000元；本期计划付款17,495,683.58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2022年3月31日与厦门科实照明有限公司签订的《C1#、C2#楼泛光照明工程合同》，供给福州云洲郡项目C1#、C2#楼泛光照明项目施工图设计文件及报价清单范围内的所有内容；合同总价280,283.14元。按月支付进度款，每期发包人根据实际完成工程量付至当月进度的85%；本期预计完成工程量255,820.92元，本期计划付款217,447.78元。</w:t>
      </w:r>
      <w:r>
        <w:rPr>
          <w:rFonts w:hint="eastAsia" w:ascii="宋体" w:hAnsi="宋体"/>
          <w:bCs/>
          <w:sz w:val="24"/>
          <w:szCs w:val="24"/>
          <w:lang w:bidi="zh-CN"/>
        </w:rPr>
        <w:t>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2022年3月4日与泉州市磊盛装饰工程有限公司签订的《C1#C2#门窗工程合同》，承包范围：铝合金门窗、耐火窗、玻璃栏板、铝线条（铝板、铝型材）、百叶（铝合金、锌钢）、石材幕墙等工程；合同总价2,345,451.39元。主体各楼栋按以下里程碑进行进度款的支付：①门窗框（含附框）、栏杆骨架全部完成，付至该栋楼合同价的35％；②门窗扇、玻璃及压条、五金配件、辅材等安装完成并提供所有质量技术资料后，付至该栋楼合同价的75％。本期计划完成合同约定工程，计划支付1,689,552.29元。未超出合同约定付款。</w:t>
      </w:r>
    </w:p>
    <w:p>
      <w:pPr>
        <w:pStyle w:val="21"/>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sz w:val="24"/>
          <w:szCs w:val="24"/>
          <w:lang w:bidi="zh-CN"/>
        </w:rPr>
        <w:t>计划支付深圳鹏城建科集团有限公司的65C样板房及架空层改造精装修工程款217,304.79元,</w:t>
      </w:r>
      <w:r>
        <w:rPr>
          <w:rFonts w:hint="eastAsia" w:ascii="宋体" w:hAnsi="宋体"/>
          <w:bCs/>
          <w:color w:val="000000"/>
          <w:sz w:val="24"/>
          <w:szCs w:val="24"/>
          <w:lang w:bidi="zh-CN"/>
        </w:rPr>
        <w:t>目前合同尚未签订，具体支付金额以实际签订的协议及完成产值为准。</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2022年3月31日与福州焱彤金属制品有限公司签订的《C1#C2#铁艺栏杆供货安装合同》，供给甲方栏杆百叶并负责安装；合同总价300,521.11元。根据形象进度支付当月完成工程量对应之工程款的80%，当月完成的工程量需经发包人及相关部门验收合格。本期预计完成工程量200,000元，计划支付160,000元。</w:t>
      </w:r>
      <w:r>
        <w:rPr>
          <w:rFonts w:hint="eastAsia" w:ascii="宋体" w:hAnsi="宋体"/>
          <w:bCs/>
          <w:sz w:val="24"/>
          <w:szCs w:val="24"/>
          <w:lang w:bidi="zh-CN"/>
        </w:rPr>
        <w:t>符合合同约定付款。</w:t>
      </w:r>
    </w:p>
    <w:p>
      <w:pPr>
        <w:pStyle w:val="21"/>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sz w:val="24"/>
          <w:szCs w:val="24"/>
          <w:lang w:bidi="zh-CN"/>
        </w:rPr>
        <w:t>计划支付深圳鹏城建科集团有限公司的样板房零星精装修工程款218,739.03元,</w:t>
      </w:r>
      <w:r>
        <w:rPr>
          <w:rFonts w:hint="eastAsia" w:ascii="宋体" w:hAnsi="宋体"/>
          <w:bCs/>
          <w:color w:val="000000"/>
          <w:sz w:val="24"/>
          <w:szCs w:val="24"/>
          <w:lang w:bidi="zh-CN"/>
        </w:rPr>
        <w:t>目前合同尚未签订，具体支付金额以实际签订的协议及完成产值为准。</w:t>
      </w:r>
    </w:p>
    <w:p>
      <w:pPr>
        <w:pStyle w:val="21"/>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sz w:val="24"/>
          <w:szCs w:val="24"/>
          <w:lang w:bidi="zh-CN"/>
        </w:rPr>
        <w:t>计划支付福建唯尚信息科技有限公司的65C样板房零星采购款244,077.50元,</w:t>
      </w:r>
      <w:r>
        <w:rPr>
          <w:rFonts w:hint="eastAsia" w:ascii="宋体" w:hAnsi="宋体"/>
          <w:bCs/>
          <w:color w:val="000000"/>
          <w:sz w:val="24"/>
          <w:szCs w:val="24"/>
          <w:lang w:bidi="zh-CN"/>
        </w:rPr>
        <w:t>目前合同尚未签订，具体支付金额以实际签订的协议及完成产值为准。</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与福建嘉博联合设计股份有限公司签订的《建设工程设计合同（施工图阶段）》，为云洲郡提供建设工程施工图阶段设计服务；合同总价10,497,000元。合同已完成付款5,847,880元；设计人提交完整施工图成果文件经审核确认并完成施工图纸会审后，支付设计费总额的40%，计4,198,800.00元，已完成付款2,698,780元，本期计划付款1,500,020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6月21日与上海中房建筑设计有限公司签订的《云洲郡建设工程设计合同（方案阶段）补充协议》，提交本轮所有方案报批所需的修改设计成果；合同总价900,000元。在完成报批且本合同生效后10个工作日内，一次性支付设计费用90万元；已完成合同付款70万元，本期计划付款20万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11月19日与上海中房建筑设计有限公司签订的《建设工程设计合同（方案阶段）》，承担项目方案阶段设计任务；合同总价7,129,242元。完成立面实体样板段通过联合评审后，支付结算款扣除已付款后的余额；预计合同结算价8,029,294元，已完成付款6,772,778元，本期计划付款556,464元。符合合同约定付款。</w:t>
      </w:r>
    </w:p>
    <w:p>
      <w:pPr>
        <w:pStyle w:val="21"/>
        <w:numPr>
          <w:ilvl w:val="0"/>
          <w:numId w:val="3"/>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2021年1月14日与杭州优辰建筑设计咨询有限公司签订的《室外管网BIM设计合同》，提供室外管网BIM设计服务；合同总价379,900元。设计人提交全部设计成果经发包人审核确认并获取外部批复后15天内支付服务费用总额的35%,即132,965元；本期申请付款132,965元。合同约定付款。</w:t>
      </w:r>
    </w:p>
    <w:p>
      <w:pPr>
        <w:pStyle w:val="21"/>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sz w:val="24"/>
          <w:szCs w:val="24"/>
          <w:lang w:bidi="zh-CN"/>
        </w:rPr>
        <w:t>根据2021年1月14日与杭州优辰建筑设计咨询有限公司签订的《地下室BIM设计合同》，提供地下室BIM设计服务；合同总价627,000元。设计人提交全部设计成果经发包人审核确认并获取外部批复后15天内支付服务费用总额的35%；即合同总价的95%。已完成付款376,200元，本期计划付款219,450元。符合合同约定付款。</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经审核，本月工程款</w:t>
      </w:r>
      <w:r>
        <w:rPr>
          <w:rFonts w:hint="eastAsia" w:ascii="宋体" w:hAnsi="宋体"/>
          <w:bCs/>
          <w:sz w:val="24"/>
          <w:szCs w:val="24"/>
          <w:lang w:bidi="zh-CN"/>
        </w:rPr>
        <w:t>涉及的合同中11项已经签订。根据项目公司</w:t>
      </w:r>
      <w:r>
        <w:rPr>
          <w:rFonts w:hint="eastAsia" w:ascii="宋体" w:hAnsi="宋体"/>
          <w:bCs/>
          <w:color w:val="000000"/>
          <w:sz w:val="24"/>
          <w:szCs w:val="24"/>
          <w:lang w:bidi="zh-CN"/>
        </w:rPr>
        <w:t>提供的《项目开发节奏表》，上述计划支付内容与计划开发进度基本相符，我司认为05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outlineLvl w:val="1"/>
        <w:rPr>
          <w:rFonts w:ascii="宋体" w:hAnsi="宋体"/>
          <w:b/>
          <w:bCs/>
          <w:sz w:val="24"/>
          <w:szCs w:val="24"/>
          <w:lang w:bidi="zh-CN"/>
        </w:rPr>
      </w:pPr>
      <w:bookmarkStart w:id="12" w:name="_Toc1688"/>
      <w:bookmarkStart w:id="13" w:name="_Toc21500"/>
      <w:r>
        <w:rPr>
          <w:rFonts w:hint="eastAsia" w:ascii="宋体" w:hAnsi="宋体"/>
          <w:b/>
          <w:bCs/>
          <w:sz w:val="24"/>
          <w:szCs w:val="24"/>
          <w:lang w:bidi="zh-CN"/>
        </w:rPr>
        <w:t>（二）销售费用资金支出计划说明</w:t>
      </w:r>
      <w:bookmarkEnd w:id="12"/>
      <w:bookmarkEnd w:id="13"/>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项目公司计划05月</w:t>
      </w:r>
      <w:r>
        <w:rPr>
          <w:rFonts w:hint="eastAsia" w:ascii="宋体" w:hAnsi="宋体"/>
          <w:bCs/>
          <w:sz w:val="24"/>
          <w:szCs w:val="24"/>
          <w:lang w:bidi="zh-CN"/>
        </w:rPr>
        <w:t>的销售费用支出共205笔，共计1,232.21万元，包括营销部员工的工资、奖金、福利及餐费报销以及广告宣传等费用，具体分析如下：</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计划支付给厦门大爱德文化传播有限公司的媒体礼品费用0.61万元，实消实报，具体支付金额以实际签订的协议及完成产值为准。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计划支付给杭州据象网络科技有限公司的微信推广续约费用17.50万元，实消实报，具体支付金额以实际签订的协议及完成产值为准。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计划支付给台江区优润日用品经营部的示范区物品采购费用0.20万元，实消实报，具体支付金额以实际签订的协议及完成产值为准。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计划支付给杭州迦密科技有限公司的售楼部香薰服务费用0.39万元，实消实报，具体支付金额以实际签订的协议及完成产值为准。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计划支付给福州榕鑫文化传播有限公司的拓客物料费用0.09万元，实消实报，具体支付金额以实际签订的协议及完成产值为准。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计划支付给台江区优润日用品经营部的拓客物料费用0.20万元，实消实报，具体支付金额以实际签订的协议及完成产值为准。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根据2021年7月16日与杭州臻挚标识有限公司签订的《标识标牌设计制作服务合同》，标识标牌制作，合同总价5.20万元。标识标牌制作验收合格后一次性支付。本期计划付款5.20万元。符合合同约定付款。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计划支付给福建飞达文化产业发展有限公司的榕耀之城横幅制作费用0.80万元，实消实报，具体支付金额以实际签订的协议及完成产值为准。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根据2021年8月27日与福州映榕环境工程有限公司签订的《消杀外包合同》，委托进行项目室内四害消杀服务，合同总价1.60万元。验收合格后一次性支付；本期计划付款1.60万元。符合合同约定付款。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计划支付给厦门大爱德文化传播有限公司的暖场活动费用0.46万元，实消实报，具体支付金额以实际签订的协议及完成产值为准。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计划支付给杭州天朗视觉科技有限公司的户型手绘增补费用0.48万元，实消实报，具体支付金额以实际签订的协议及完成产值为准。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计划支付给福州韦盛传媒有限公司的案场销售氛围包装物料制作费用0.78万元，实消实报，具体支付金额以实际签订的协议及完成产值为准。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根据2021年1月20日与福建长颈鹿文化传媒有限公司签订的《灯箱户外广告发布合同》，发布灯箱户外广告，合同总价5万元。广告发布验收合格后一次性支付。本期付款5万元。符合合同约定付款。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根据2022年3月10日与福州森特传媒有限公司签订的《社区桁架户外广告发布合同1》，社区桁架户外广告发布，合同总价2.25万元。验收合格后一次性支付。本期计划付款2.25万元。符合合同约定付款。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计划支付给福建千家万户传媒有限公司的社区灯箱投放服务费用0.99万元，实消实报，具体支付金额以实际签订的协议及完成产值为准。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计划支付给福州声画传媒有限公司的增补电梯内屏投放费用0.96万元，实消实报，具体支付金额以实际签订的协议及完成产值为准。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根据2021年7月16日与福建佑居房地产咨询服务有限公司签订的《网络视频、图文广告发布合同》，说房视频直播，合同总价5.5万元。验收合格后一次性支付。本期计划付款5.5万元。符合合同约定付款。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根据2022年3月3日与厦门大爱德文化传播有限公司签订的《员工摄像合同》，拍摄置业职业照，用于后期宣传；合同总价2.05万元。拍摄验收合格后一次性支付合同。本期计划付款2.05万元，符合合同约定付款。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根据2021年10月27日与福州壹家文化传播有限公司签订的《榕耀之城 “榕耀王者”活动委托服务合同》，结合游戏IP举办王者荣耀系列活动委托服务，合同总价29.80万元。验收合格后一次性支付。本期计划付款29.80万元。符合合同约定付款。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计划支付给福州城市道路传媒有限公司的高新区竞品拦截桁架费用1.69万元，目前合同尚未签订，具体支付金额以实际签订的协议及完成产值为准。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根据2021年8月27日与福建长颈鹿文化传媒有限公司签订的《灯箱户外广告发布合同》续约，发布灯箱户外广告，合同总价5万元。广告发布验收合格后一次性支付。本期付款5万元。符合合同约定付款。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计划支付给台江区优润日用品经营部的金蛋礼品费用1万元，实消实报，具体支付金额以实际签订的协议及完成产值为准。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根据2021年10月27日与台江区优润日用品经营部签订的《榕耀之城6月物料采购合同》，采购认筹砸金蛋物品及外拓物料，合同总价5.69万元。验收合格后一次性支付。本期计划付款5.69万元。符合合同约定付款。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计划支付给杭州视界光影像设计有限公司的项目效果图修改费用0.35万元，实消实报，具体支付金额以实际签订的协议及完成产值为准。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计划支付给福建省非选餐饮管理有限公司的美好事业员工关怀活动费用0.23万元，实消实报，具体支付金额以实际签订的协议及完成产值为准。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9月23日与瑞庭网络技术（上海）有限公司福州分公司签订的《2021年5月安居客广告投放广告发布合同》，2021年5月安居客广告投放广告发布，合同总价10.5万元。广告投放验收合格后一次性支付。本期计划付款10.5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计划支付给福州韦盛传媒有限公司的遮阳伞采购费用0.65万元，实消实报，具体支付金额以实际签订的协议及完成产值为准。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计划支付给莆田市涵江区顺航日用百货商行的地毯采购费用0.12万元，实消实报，具体支付金额以实际签订的协议及完成产值为准。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根据2021年11月11日与福州日报文化传播有限公司签订的《日报广告发布合同》，广告发布，合同总价5万元。广告发布验收合格后一次性支付。本期计划付款5万元。符合合同约定付款。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计划支付给杭州天朗视觉科技有限公司的三维视频制作费用0.96万元，实消实报，具体支付金额以实际签订的协议及完成产值为准。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根据2021年11月11日与福建蓝房网络科技有限公司签订的《蓝房网广告发布合同》，蓝房网广告发布，合同总价6万元。验收合格后一次性支付。本期计划付款6万元。符合合同约定付款。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计划支付给台江区优润日用品经营部的9月份金蛋制作费用0.99万元，实消实报，具体支付金额以实际签订的协议及完成产值为准。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计划支付给美高创意（厦门）文化传播有限公司的项目社群视频制作费用0.30万元，实消实报，具体支付金额以实际签订的协议及完成产值为准。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计划支付给福建大脑壳网络科技有限公司的直播资源整合费用0.30万元，实消实报，具体支付金额以实际签订的协议及完成产值为准。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计划支付给温州红果食品有限公司的案场瓶装水定制费用0.42万元，实消实报，具体支付金额以实际签订的协议及完成产值为准。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sz w:val="24"/>
          <w:szCs w:val="24"/>
          <w:lang w:bidi="zh-CN"/>
        </w:rPr>
      </w:pPr>
      <w:r>
        <w:rPr>
          <w:rFonts w:hint="eastAsia" w:ascii="宋体" w:hAnsi="宋体"/>
          <w:bCs/>
          <w:color w:val="000000"/>
          <w:sz w:val="24"/>
          <w:szCs w:val="24"/>
          <w:lang w:bidi="zh-CN"/>
        </w:rPr>
        <w:t>根据2021年6月21日与融创物业服务集团有限公司福州分公司签订的《福州云洲郡案场物业服务合同》，委托负责对案场进行物业服务工作；合同总价340.69万元。按编制签订框架协议后，每月根据考勤实际结算，1.考勤验收：策划线针对物业提交考勤，进行复核首开融创主策签字确认。2.验收方式：物业根据复核签字版考勤绘制《验收单》案场负责人签字后，签订对应金额子合同。3.结算方式：以实际考勤及签订合同金额为准。累计已完成付款289.26万元；本期计划支付2021年1-2020年3月份案场</w:t>
      </w:r>
      <w:r>
        <w:rPr>
          <w:rFonts w:hint="eastAsia" w:ascii="宋体" w:hAnsi="宋体"/>
          <w:bCs/>
          <w:sz w:val="24"/>
          <w:szCs w:val="24"/>
          <w:lang w:bidi="zh-CN"/>
        </w:rPr>
        <w:t>服务费支付53.96万元。具体支付时我司会严格审核考勤和审批资料，据实支付。</w:t>
      </w:r>
    </w:p>
    <w:p>
      <w:pPr>
        <w:pStyle w:val="21"/>
        <w:numPr>
          <w:ilvl w:val="0"/>
          <w:numId w:val="4"/>
        </w:numPr>
        <w:spacing w:before="156" w:beforeLines="50" w:after="156" w:afterLines="50" w:line="360" w:lineRule="auto"/>
        <w:ind w:left="1202" w:firstLineChars="0"/>
        <w:rPr>
          <w:rFonts w:ascii="宋体" w:hAnsi="宋体"/>
          <w:bCs/>
          <w:sz w:val="24"/>
          <w:szCs w:val="24"/>
          <w:lang w:bidi="zh-CN"/>
        </w:rPr>
      </w:pPr>
      <w:r>
        <w:rPr>
          <w:rFonts w:hint="eastAsia" w:ascii="宋体" w:hAnsi="宋体"/>
          <w:bCs/>
          <w:color w:val="000000"/>
          <w:sz w:val="24"/>
          <w:szCs w:val="24"/>
          <w:lang w:bidi="zh-CN"/>
        </w:rPr>
        <w:t>计划支付给莆田</w:t>
      </w:r>
      <w:r>
        <w:rPr>
          <w:rFonts w:hint="eastAsia" w:ascii="宋体" w:hAnsi="宋体"/>
          <w:bCs/>
          <w:sz w:val="24"/>
          <w:szCs w:val="24"/>
          <w:lang w:bidi="zh-CN"/>
        </w:rPr>
        <w:t>市涵江区顺航日用百货商行的10月日耗采购费用0.60万元，实消实报，具体支付金额以实际签订的协议及完成产值为准。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FF0000"/>
          <w:sz w:val="24"/>
          <w:szCs w:val="24"/>
          <w:lang w:bidi="zh-CN"/>
        </w:rPr>
      </w:pPr>
      <w:r>
        <w:rPr>
          <w:rFonts w:hint="eastAsia" w:ascii="宋体" w:hAnsi="宋体"/>
          <w:bCs/>
          <w:sz w:val="24"/>
          <w:szCs w:val="24"/>
          <w:lang w:bidi="zh-CN"/>
        </w:rPr>
        <w:t>根据2021年12月16日与福州韦盛传媒有限公司签订的《项目楼梯巨幅制作合同》，在已C1、C2#</w:t>
      </w:r>
      <w:r>
        <w:rPr>
          <w:rFonts w:hint="eastAsia" w:ascii="宋体" w:hAnsi="宋体"/>
          <w:bCs/>
          <w:color w:val="000000"/>
          <w:sz w:val="24"/>
          <w:szCs w:val="24"/>
          <w:lang w:bidi="zh-CN"/>
        </w:rPr>
        <w:t>楼挂巨幅画面，C1、C2#楼楼体巨幅画面制作；合同总价11,400元。验收合格后一次性支付；本期计划付款11,400元。</w:t>
      </w:r>
      <w:r>
        <w:rPr>
          <w:rFonts w:hint="eastAsia" w:ascii="宋体" w:hAnsi="宋体"/>
          <w:bCs/>
          <w:sz w:val="24"/>
          <w:szCs w:val="24"/>
          <w:lang w:bidi="zh-CN"/>
        </w:rPr>
        <w:t>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计划支付与安徽意识流文化传播有限公司的短视频制作费用0.9万元，实消实报，具体支付金额以实际签订的协议及完成产值为准。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计划支付给福建九宫格纸制品有限公司的拓客展架制作费用0.9万元，实消实报，具体支付金额以实际签订的协议及完成产值为准。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计划支付给台江区优润日用品经营部的示范区物品采购费用0.38万元，实消实报，具体支付金额以实际签订的协议及完成产值为准。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计划支付给福州韦盛传媒有限公司的10月零散物料制作费用0.96万元，实消实报，具体支付金额以实际签订的协议及完成产值为准。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计划支付给台江区优润日用品经营部的激励物品采购费用2.67万元，目前合同尚未签订，具体支付金额以实际签订的协议及完成产值为准。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计划支付给福州古田红文化传播有限公司的说商道市自媒体投放费用1.20万元，目前合同尚未签订，具体支付金额以实际签订的协议及完成产值为准。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根据2022年1月20日与福建九宫格纸制品有限公司签订的《榕耀之城11月印刷服务合同》，制作渠道物料；合同总价3.95元。验收合格后一次性支付；本期计划付款3.95万元。符合合同约定付款。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建省非选餐饮管理有限公司签订的《星空烧烤活动委托服务合同》，举行2021年11月“星空露台美食月”提供烧烤美食；合同总价2.8万元。验收合格后一次性支付；本期计划付款2.8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根据2021年10月27日与上海市山之田模型设计有限公司签订的《沙盘服务合同补充协议》，沙盘设计服务增补费用；合同总价11万元。验收合格后一次性支付。本期计划付款11万元。符合合同约定付款。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根据2021年7月23日与福建房房有道网络科技有限公司签订的《网络视频、图文广告发布合同》，房道大叔微信公号头条1篇幅合同；总价2万元。验收合格后一次性支付；本期计划付款2万元。符合合同约定付款。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根据2022年3月3日与福州双睿网络科技有限公司签订的《11月份道闸户外广告发布合同》，项目周边社区道闸投放；合同总价1.6万元。验收合格后一次性支付；本期计划付款1.6万元。符合合同约定付款。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计划支付给福州市鼓楼区创华贸易有限公司的持续性指标冲刺物品6.52万元，目前合同尚未签订，具体支付金额以实际签订的协议及完成产值为准。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计划支付给福州韦盛传媒有限公司的展架制作费用0.87万元，实消实报，具体支付金额以实际签订的协议及完成产值为准。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w:t>
      </w:r>
      <w:r>
        <w:rPr>
          <w:rFonts w:hint="eastAsia" w:ascii="宋体" w:hAnsi="宋体"/>
          <w:bCs/>
          <w:sz w:val="24"/>
          <w:szCs w:val="24"/>
          <w:lang w:bidi="zh-CN"/>
        </w:rPr>
        <w:t>给福州众翼传媒有限公司的11月阵</w:t>
      </w:r>
      <w:r>
        <w:rPr>
          <w:rFonts w:hint="eastAsia" w:ascii="宋体" w:hAnsi="宋体"/>
          <w:bCs/>
          <w:color w:val="000000"/>
          <w:sz w:val="24"/>
          <w:szCs w:val="24"/>
          <w:lang w:bidi="zh-CN"/>
        </w:rPr>
        <w:t>地包装投放费用7.9万元，实消实报，具体支付金额以实际签订的协议及完成产值为准。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w:t>
      </w:r>
      <w:r>
        <w:rPr>
          <w:rFonts w:hint="eastAsia" w:ascii="宋体" w:hAnsi="宋体"/>
          <w:bCs/>
          <w:sz w:val="24"/>
          <w:szCs w:val="24"/>
          <w:lang w:bidi="zh-CN"/>
        </w:rPr>
        <w:t>给福州市鼓楼区创华贸易有限公司的零散物料采购</w:t>
      </w:r>
      <w:r>
        <w:rPr>
          <w:rFonts w:hint="eastAsia" w:ascii="宋体" w:hAnsi="宋体"/>
          <w:bCs/>
          <w:color w:val="000000"/>
          <w:sz w:val="24"/>
          <w:szCs w:val="24"/>
          <w:lang w:bidi="zh-CN"/>
        </w:rPr>
        <w:t>费用0.20万元，实消实报，具体支付金额以实际签订的协议及完成产值为准。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根据2022年3月10日与福建闻天传媒有限公司的《11月天翼开机屏户外广告发布合同》，发布天翼开机屏户外广告；合同总价2.4万元。验收合格后一次性支付；本期计划付款2.4万元。符合合同约定付款。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瑞庭网络技术（上海）有限公司福州分公司签订的《2021年11月-12月安居客投放广告发布合同》，进行安居客投放；合同总价21万元。验收合格后一次性支付；本期计划付款21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根据2022年3月10日与福建省乐众传媒有限公司的《VR鸟瞰制作合同》，制作销售道具VR鸟瞰；合同总价2.16万元。验收合格后一次性支付；本期计划付款2.16万元。符合合同约定付款。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美高创意（厦门）文化传播有限公司签订的《11月首开前微信公司运营合同》，微信公众号运营补充项目推广形式、数量；合同总价2.8万元。验收合格后一次性支付合同；本期计划付款2.8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根据2022年1月20日与福建印响文化传播有限公司签订的《烟花秀活动委托服务合同》，举办烟火会夜场闪购及直播活动；合同总价1.39万元。验收合格后一次性支付；本期计划付款1.39万元。符合合同约定付款。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计划支付给福州智立方传媒有限公司的新天宇展点制作费用0.77万元，实消实报，具体支付金额以实际签订的协议及完成产值为准。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计划支付给厦门芳华正耀文化传媒有限公司的榕耀日媒体活动费用0.99万元，实消实报，具体支付金额以实际签订的协议及完成产值为准。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计划支付给福州智立方传媒有限公司的奥体永辉展点点位制作费用0.90万元，实消实报，具体支付金额以实际签订的协议及完成产值为准。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计划支付给福州韦盛传媒有限公司的横幅制作费用0.44万元，实消实报，具体支付金额以实际签订的协议及完成产值为准。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计划支付给厦门九房网文化传播有限公司的九房网视频发布费用0.80万元，实消实报，具体支付金额以实际签订的协议及完成产值为准。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计划支付给杭州角动量科技有限公司的11月沙盘增补费用0.75万元，实消实报，具体支付金额以实际签订的协议及完成产值为准。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计划支付给厦门芳华正耀文化传媒有限公司的礼品堆头制作费用0.73万元，实消实报，具体支付金额以实际签订的协议及完成产值为准。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计划支付给福州策元第文化传媒有限公司的未来海联动费用0.</w:t>
      </w:r>
      <w:r>
        <w:rPr>
          <w:rFonts w:ascii="宋体" w:hAnsi="宋体"/>
          <w:bCs/>
          <w:color w:val="000000"/>
          <w:sz w:val="24"/>
          <w:szCs w:val="24"/>
          <w:lang w:bidi="zh-CN"/>
        </w:rPr>
        <w:t>30</w:t>
      </w:r>
      <w:r>
        <w:rPr>
          <w:rFonts w:hint="eastAsia" w:ascii="宋体" w:hAnsi="宋体"/>
          <w:bCs/>
          <w:color w:val="000000"/>
          <w:sz w:val="24"/>
          <w:szCs w:val="24"/>
          <w:lang w:bidi="zh-CN"/>
        </w:rPr>
        <w:t>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根据2022年3月17日与福建省种子文化传媒有限公司签订的《榕耀脱口秀剧场活动委托服务合同》，安排脱口秀小剧场，合同总价11万元。验收合格后一次性支付；本期计划付款11万元。符合合同约定付款。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计划支付给厦门芳华正耀文化传媒有限公司的营销中心氛围包装费用4.55万元，实消实报，具体支付金额以实际签订的协议及完成产值为准。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策元第文化传媒有限公司签订的《城南置业论坛活动委托服务合同》，联合福州本地知名媒体yesir房谈宣传造势；合同总价1.85万元。验收合格后一次性支付；本期计划付款1.85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19日与福州聚小优网络科技有限公司签订的《抖音投放图文广告发布合同》，抖音上发布抖音信息流及相关工作事宜；合同总价10万元。验收合格后一次性支付；本期计划付款10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19日与杭州腾果网络科技有限公司签订的《朋友圈投放图文广告发布合同》，微信上发布朋友圈信息流广告及相关工作事宜；合同总价8万元。验收合格后一次性支付；本期计划付款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根据2022年1月24日与福州北明软件技术有限公司签订的《（楼市大侦探）公众号投放图文广告发布合同》；合同总价2万元。验收合格后一次性支付；本期计划付款2万元。符合合同约定付款。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根据2022年3月3日与福州颜肿撩房网络科技有限公司签订的《网络视频、图文广告发布合同》，投放聊房君自媒体；合同总价1.59万元。验收合格后一次性支付；本期计划付款1.59万元。符合合同约定付款。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根据2022年3月3日与西普（福州）传媒有限公司签订的《网络视频、图文广告发布合同》，投放海西房产网网络媒体；合同总价1.5万元。验收合格后一次性支付；本期计划付款1.5万元。符合合同约定付款。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根据与2022年3月3日与福州聚焦传媒有限公司签订的《Yesir房谈事件营销推广委托合同》，放yesir房谈自媒体；合同总价13.8万元。验收合格后一次性支付；本期计划付款13.8万元。符合合同约定付款。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计划支付给莆田市房网信息技术有限公司的莆田看房团活动费用0.99万元，实消实报，具体支付金额以实际签订的协议及完成产值为准。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根据2022年1月20日与福州韦盛传媒有限公司签订的《塔吊发光字制作合同》制作福州府联动软膜灯箱及榕耀之城洽谈区灯箱；合同总价1.6万元。验收合格后一次性支付；本期计划付款1.6万元。符合合同约定付款。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计划支付给福建九宫格纸制品有限公司的一次性纸杯定制费用0.26万元，实消实报，具体支付金额以实际签订的协议及完成产值为准。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计划支付给福州售点文化传媒有限公司的社区灯箱点位拓展费用0.96万元，实消实报，具体支付金额以实际签订的协议及完成产值为准。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根据2022年3月10日与福州伯乐传媒有限公司签订的《西二环高架户外广告发布合同》，增加市区西二环高架大牌广告投放；合同总价6.5万元。验收合格后一次性支付；本期计划付款6.5万元。符合合同约定付款。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计划支付给湖州视新传媒广告有限公司的公交车车身广告投放费用8.5万元，目前合同尚未签订，具体支付金额以实际签订的协议及完成产值为准。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根据2022年3月10日与福州叶子文化传播有限公司签订的《活动委托服务合同》，举办超级榕耀红宇宙好物节活动；合同总价3.8万元。验收合格后一次性支付；本期计划付款3.8万元。符合合同约定付款。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福建乐达城轨传媒有限公司签订的《福州地铁一号线、二号线车载广告发布合同》，增加地铁1/2号线出入口u型门楣广告；合同总价11.5万元。验收合格后一次性支付；本期计划付款11.5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建伍贰捌道闸传媒有限公司签订的《社区桁架户外广告发布合同》，增加市区写字楼、商业停车场道闸广告投放；合同总价8.2万元。验收合格后一次性支付；本期计划付款8.2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根据2022年1月20日与福建九宫格纸制品有限公司签订的《螺洲TOD项目12月印刷品制作合同》，制作及印刷费；合同总价4.01万元。验收合格后一次性支付；本期计划付款4.01万元。符合合同约定付款。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计划支付给福州策元第文化传媒有限公司的星球直播费用0.96万元，实消实报，具体支付金额以实际签订的协议及完成产值为准。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福建同行文化传媒有限公司签订的《高速收费站灯箱户外广告发布合同》，增马尾快安通往长乐及长乐营前收费站双向灯箱广告投放；合同总价5.4万元。验收合格后一次性支付，本期计划付款5.4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计划支付给福州火宴餐饮管理有限公司的夜闪购活动费用0.98万元，实消实报，具体支付金额以实际签订的协议及完成产值为准。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根据2022年4月14日与福州众翼传媒有限公司签订的《阵地户外广告发布合同》，阵地包装续约；合同总价18.1万元。验收合格后一次性支付，本期计划付款18.1万元。符合合同约定付款。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计划支付给台江区华胜日用品商行的12月日耗采购费用0.95万元，实消实报，具体支付金额以实际签订的协议及完成产值为准。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与厦门城市之眼文化传媒有限公司签订的《首开融创·榕耀之城抖音直播广告发布合同》，知名头部戎叔说房；合同总价10万元。验收合格后一次性支付，本期计划付款10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成都经典视线广告传媒有限公司签订的《公交候车亭户外广告发布合同》，增三江口南江滨东大道公交站牌广告投放，合同总价3.64万元。验收合格后一次性支付，本期计划付款3.64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根据2022年4月14日与福州海方网络技术有限公司签订的《榕耀之城项目彩信投放合同》，彩信投放广告，合同总价5万元。验收合格后一次性支付，本期计划付款5万元。符合合同约定付款。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根据2022年3月10日与福建千家万户传媒有限公司签订的《社区灯箱户外广告发布合同》，投放社区灯箱，合同总价2.08万元。验收合格后一次性支付，本期计划付款2.08万元。符合合同约定付款。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根据2022年3月10日与福州双睿网络科技有限公司签订的《榕耀之城户外广告发布合同》，投放社区道闸，合同总价1.6万元。验收合格后一次性支付，本期计划付款1.6万元。符合合同约定付款。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根据2022年3月10日与福州森特传媒有限公司签订的《社区桁架户外广告发布合同2》，投放社区道闸，合同总价2.25万元。验收合格后一次性支付，本期计划付款2.25万元。符合合同约定付款。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计划支付给福州远致文化传媒有限公司的周末导客活动费用0.95万元，实消实报，具体支付金额以实际签订的协议及完成产值为准。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计划支付给福州众翼传媒有限公司的12月阵地包装增补费用0.40万元，实消实报，具体支付金额以实际签订的协议及完成产值为准。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根据2022年3月10日与福州天歌文化传播有限公司签订的《出租车LED户外广告发布合同》，LED户外广告投放，合同总价6万元。验收合格后一次性支付，本期计划付款6万元。符合合同约定付款。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伯乐传媒有限公司签订的《福清沃尔玛和长乐高速口户外广告发布合同》，福清、长乐高速口户外广告投放，合同总价1.26万元。验收合格后一次性支付，本期计划付款1.26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根据2022年3月10日与福州首创广告有限公司签订的《公交站牌户外广告发布合同》，增项目周边公交站牌投放，合同总价4.9万元。验收合格后一次性支付，本期计划付款4.9万元。符合合同约定付款。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计划支付给福建省福州市闽江公正处的沙盘样板房证据现状保留费用0.65万元，实消实报，具体支付金额以实际签订的协议及完成产值为准。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计划支付给福州韦盛传媒有限公司的沙盘样板房证据现状保留费用0.65万元，实消实报，具体支付金额以实际签订的协议及完成产值为准。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计划支付给厦门芳华正耀文化传媒有限公司的泉州看房团专项活动费用0.46万元，实消实报，具体支付金额以实际签订的协议及完成产值为准。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计划支付给漳州嘉晋文化传媒有限公司的绘画机构资源导入活动费用0.49万元，实消实报，具体支付金额以实际签订的协议及完成产值为准。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根据2022年3月17日与福州造梦时代文化传媒有限公司签订的《圣诞节导客活动委托服务合同》，举行圣诞节导客活动，合同总价1.59万元。验收合格后一次性支付，本期计划付款1.59万元。符合合同约定付款。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根据2022年3月17日与台江区优润日用品经营部签订的《12月拓客拜访礼活动委托服务合同》，保温杯定制，合同总价1.54万元。验收合格后一次性支付，本期计划付款1.54万元。符合合同约定付款。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建灵动东南文化传播有限公司签订的《数字电视开机画面户外广告发布合同》，进行长乐、福清数字电视开机画面广告投放，合同总价7万元。验收合格后一次性支付，本期计划付款7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福州映城网络科技有限公司签订的《网络视频、图文广告发布合同》，拍摄弘哥说房推广视频及进行好房直播专场，合同总价6.16万元。验收合格后一次性支付，本期计划付款6.16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计划支付给厦门优思麓文化传播有限公司的元旦节日客户礼品互动活动费用0.66万元，实消实报，具体支付金额以实际签订的协议及完成产值为准。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远致文化传媒有限公司签订的《开运美食节活动委托服务合同》，举办2022年1月份活动内容主题美食活动，合同总价3.99万元。验收合格后一次性支付，本期计划付款3.99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计划支付给杭州捷群广告有限公司的2022年广告公司1-2月合作费用22万元，目前合同尚未签订，具体支付金额以实际签订的协议及完成产值为准。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根据2022年4月14日与台江区优润日用品经营部签订的《开运美食节活动委托服务合同》，经纪人带客专项活动，合同总价4.15万元。验收合格后一次性支付，本期计划付款4.15万元。符合合同约定付款。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深圳市联动精准科技有限公司签订的《1月朋友圈投放图文广告发布合同》，福州区域内投放朋友圈信息流图文/视频广告，合同总价5万元。验收合格后一次性支付，本期计划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成都品悦互动科技有限公司签订的《榕耀之城项目今日头条及抖音广告发布合同》，全福州区域内投放今日头条、抖音信息流广告，合同总价5万元。验收合格后一次性支付，本期计划付款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根据2022年3月3日与厦门芳华正耀文化传媒有限公司签订的《新年年货节活动委托服务合同》，举办年货节活动，合同总价3.85万元。验收合格后一次性支付，本期计划付款3.85万元。符合合同约定付款。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根据2022年3月10日与北京搜房科技发展有限公司签订的《房天下广告发布合同》，投放广告于搜房网，合同总价6万元。验收合格后一次性支付，本期计划付款6万元。符合合同约定付款。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根据2022年4月14日与厦门芳华正耀文化传媒有限公司签订的《活动委托服务合同》，举办1月导客及氛围包装专项活动，合同总价2.53万元。验收合格后一次性支付，本期计划付款2.53万元。符合合同约定付款。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福建闻天传媒有限公司签订的《鼓楼区闽侯区天翼开机户外广告发布合同》，闽侯区的天翼开机屏幕广告投放，合同总价2.6万元。验收合格后一次性支付，本期计划付款2.6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根据2022年3月17日与福州映榕环境工程有限公司签订的《消杀外包合同》，续约四害消杀，合同总价2万元。验收合格后一次性支付，本期计划付款2万元。符合合同约定付款。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根据2022年4月7日与福建优思文化发展有限公司签订的《榕耀之城活动委托服务合同》，榕耀之城大客户专项活动，合同总价2.40万元。验收合格后一次性支付，本期计划付款2.40万元。符合合同约定付款。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根据2022年3月17日与杭州迦密科技有限公司签订的《香薰设备租赁框架协议》，采购香薰续约，合同总价3.43万元。验收合格后一次性支付，本期计划付款3.43万元。符合合同约定付款。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根据2022年4月7日与福州印象五和印务有限公司签订的《螺洲TOD项目物料印刷制作合同》，1月印刷品及渠道展架费，合同总价3.6万元。验收合格后一次性支付，本期计划付款3.6万元。符合合同约定付款。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海派餐饮管理有限公司签订的《榕耀之城活动委托服务合同》，举行多国美食节周二至周五狂欢不打烊活动，合同总价1.90万元。验收合格后一次性支付，本期计划付款1.90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计划支付给福州市台江区华胜日用百货商行的1月日耗采购费用0.95万元，实消实报，具体支付金额以实际签订的协议及完成产值为准。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计划支付给福州众翼传媒有限公司的2022年1月阵地包装投放费用16.20万元，目前合同尚未签订，具体支付金额以实际签订的协议及完成产值为准。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根据2022年4月7日与福州韦盛传媒有限公司签订的《耀之城项目制作类合同》，制作及零散物料采购，合同总价2.3万元。验收合格后一次性支付，本期计划付款2.3万元。符合合同约定付款。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计划支付给福州市鼓楼区创华贸易有限公司的1月零散金蛋及礼花采购费用0.5万元，实消实报，具体支付金额以实际签订的协议及完成产值为准。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计划支付给福建九宫格纸制品有限公司的臻心公告制作费用0.42万元，实消实报，具体支付金额以实际签订的协议及完成产值为准。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根据2021年7月23日与福州壹家文化传播有限公司签订的《“福州开门红 榕耀在此刻”榕耀之城开盘活动委托服务合同》，榕耀之城开盘活动委托服务，合同总价19.88万元。验收合格后一次性支付，本期计划付款19.88万元。符合合同约定付款。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计划支付给福建九宫格纸制品有限公司的一次性纸杯定制费用0.39万元，实消实报，具体支付金额以实际签订的协议及完成产值为准。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根据2021年7月23日与福建九宫格纸制品有限公司签订的《1月物料印刷制作合同》，DM单页、展架、展架画面增补，合同总价1.82万元。验收合格后一次性支付，本期计划付款1.82万元。符合合同约定付款。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计划支付给福州印象五和印务有限公司的销售道具印刷增补费用0.78万元，实消实报，具体支付金额以实际签订的协议及完成产值为准。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计划支付给厦门芳华正耀文化传媒有限公司的玫瑰派送专项活动费用0.18万元，实消实报，具体支付金额以实际签订的协议及完成产值为准。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计划支付给福建九宫格纸制品有限公司的销售名片制作费用0.22万元，实消实报，具体支付金额以实际签订的协议及完成产值为准。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计划支付给杭州角动量科技有限公司的楼梯LED维修费用0.08万元，实消实报，具体支付金额以实际签订的协议及完成产值为准。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根据2022年4月7日与杭州捷群广告有限公司签订的《2022年3-6月广告服务合同》，2021年及2022年1-2月合作供应商，本次续约4个月，合同总价36万元。验收合格后一次性支付，本期计划付款36万元。符合合同约定付款。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计划支付给福州市台江区华胜日用百货商行的项目2月日耗采购费用0.5万元，实消实报，具体支付金额以实际签订的协议及完成产值为准。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计划支付给福州市台江区华胜日用百货商行的项目3月日耗采购费用0.5万元，实消实报，具体支付金额以实际签订的协议及完成产值为准。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福州众翼传媒有限公司签订的《1-2月阵地户外广告发布合同》，增灯杆旗、罗马旗、蓝牌及道路桁架投放，合同总价25.5万元。验收合格后一次性支付，本期计划付款25.5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计划支付给福州韦盛传媒有限公司的1月零散物料制作费用1.47万元，目前合同尚未签订，具体支付金额以实际签订的协议及完成产值为准。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首创广告有限公司签订的《榕耀之城项目阵地公交站牌户外广告发布合同》，项目附近公交站牌投放，合同总价2.63万元。验收合格后一次性支付，本期计划付款2.63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计划支付给福州市鼓楼区创华贸易有限公司的双11阶段性物料采购费用1万元，目前合同尚未签订，具体支付金额以实际签订的协议及完成产值为准。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计划支付给福州韦盛传媒有限公司的2月零散物料制作费用0.89万元，实消实报，具体支付金额以实际签订的协议及完成产值为准。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计划支付给福建九宫格纸制品有限公司的3月印刷物料制作费用1.95万元，目前合同尚未签订，具体支付金额以实际签订的协议及完成产值为准。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根据2022年4月7日与福州壹家文化传播有限公司签订的《“福州开门红 榕耀在此刻”榕耀之城开盘活动增补活动委托服务合同》，开盘活动增补活动委托服务，合同总价1.53万元。验收合格后一次性支付，本期计划付款1.53万元。符合合同约定付款。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计划支付给瑞庭网络技术（上海）有限公司福州分公司的3月安居客投放费用10.50万元，目前合同尚未签订，具体支付金额以实际签订的协议及完成产值为准。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1月20日福建乐达城轨传媒有限公司与签订的《福州地铁1号线、2号线车载广告发布合同》，增加地铁1/2号线出入口u型门楣广告，合同总价11.50万元。验收合格后一次性支付，本期计划付款11.50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计划支付给合肥多谷互动科技有限公司的IP设计费用2.60万元，目前合同尚未签订，具体支付金额以实际签订的协议及完成产值为准。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计划支付给福州韦盛传媒有限公司的3月渠道物料制作费用0.83万元，实消实报，具体支付金额以实际签订的协议及完成产值为准。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计划支付给福建九宫格纸制品有限公司的3月印刷物料制作增补费用1.61万元，目前合同尚未签订，具体支付金额以实际签订的协议及完成产值为准。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计划支付给福建快鱼网络有限公司的房产知事公众号投放费用0.80万元，实消实报，具体支付金额以实际签订的协议及完成产值为准。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计划支付给成都品悦互动科技有限公司的3月今日头条、抖音信息流广告投放费用5万元，目前合同尚未签订，具体支付金额以实际签订的协议及完成产值为准。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计划支付给福州叶子文化传播有限公司的3月防疫活动费用0.26万元，实消实报，具体支付金额以实际签订的协议及完成产值为准。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计划支付给福州鼓楼区创华贸易有限公司的3月防疫礼包增补费用0.43万元，实消实报，具体支付金额以实际签订的协议及完成产值为准。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根据2021年9月23日与上海良晓信息科技有限公司签订的《展厅服务合同补充协议》，展厅服务增补，合同总价12万元。验收合格后一次性支付，本期计划付款12万元。符合合同约定付款。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2020年11月19日与上海良晓信息科技有限公司签订的《TOD项目多媒体展厅服务合同》，展厅设计制作及安装，合同总价292万元。软硬件完成验收并履行完毕质保义务，支付至合同总价的100%；累计已付款277.4万元，本期计划付款14.6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计划支付给台江区优润日用经营部的柿子采购费用0.6万元，实消实报，具体支付金额以实际签订的协议及完成产值为准。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计划支付给台江区优润日用经营部的三只松鼠新增采购费用1万元，目前合同尚未签订，具体支付金额以实际签订的协议及完成产值为准。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计划支付给合肥多谷互动科技有限公司的互动H5制作费用2万元，目前合同尚未签订，具体支付金额以实际签订的协议及完成产值为准。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计划支付给福州韦盛传媒有限公司的3月零星物料制作费用0.46万元，实消实报，具体支付金额以实际签订的协议及完成产值为准。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计划支付给福州市鼓楼区创华贸易有限公司的3月物料采购费用1.65万元，目前合同尚未签订，具体支付金额以实际签订的协议及完成产值为准。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计划支付给台江区优润日用经营部的3月礼品互动活动费用0.94万元，实消实报，具体支付金额以实际签订的协议及完成产值为准。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计划支付给福州众翼传媒有限公司的4月阵地包装费用9.30万元，目前合同尚未签订，具体支付金额以实际签订的协议及完成产值为准。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计划支付给福州韦盛传媒有限公司的4月案场包装费用1.49万元，实消实报，具体支付金额以实际签订的协议及完成产值为准。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计划支付给合肥多谷互动科技有限公司的IP动作手绘延展费用0.2万元，实消实报，具体支付金额以实际签订的协议及完成产值为准。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计划支付给瑞庭网络技术（上海）有限公司福州分公司的4月安居客投放费用10.50万元，目前合同尚未签订，具体支付金额以实际签订的协议及完成产值为准。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计划支付给厦门优思麓文化传播有限公司的4月案场玻璃钢IP雕塑制作费用2.95万元，目前合同尚未签订，具体支付金额以实际签订的协议及完成产值为准。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计划支付给厦门优思麓文化传播有限公司的4月IP周边制作用7.29万元，目前合同尚未签订，具体支付金额以实际签订的协议及完成产值为准。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计划支付给福州韦盛传媒有限公司的2021年7月零星制作费用0.95万元，实消实报，具体支付金额以实际签订的协议及完成产值为准。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计划支付给福州韦盛传媒有限公司的2021年6月零星制作费用0.99万元，实消实报，具体支付金额以实际签订的协议及完成产值为准。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计划支付给福州韦盛传媒有限公司的6月氛围包装物料制作费用1.45万元，目前合同尚未签订，具体支付金额以实际签订的协议及完成产值为准。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计划支付给福州韦盛传媒有限公司的5月氛围包装物料制作费用0.78万元，实消实报，具体支付金额以实际签订的协议及完成产值为准。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计划支付给厦门大爱德文化传播有限公司的椰子礼盒活动费用0.73万元，实消实报，具体支付金额以实际签订的协议及完成产值为准。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计划支付给厦门大爱德文化传播有限公司的宝马MINI夜市活动费用0.98万元，实消实报，具体支付金额以实际签订的协议及完成产值为准。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计划支付给厦门大爱德文化传播有限公司的鲜花蛋糕主题活动费用0.95万元，实消实报，具体支付金额以实际签订的协议及完成产值为准。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根据2022年4月19日与厦门大爱德文化传播有限公司签订的《5月活动委托服务合同》，榕耀之城小龙虾啤酒节活动，合同总价1.1万元。验收合格后一次性支付，本期计划付款1.1万元。符合合同约定付款。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计划支付给厦门大爱德文化传播有限公司的情人节特别活动费用0.65万元，实消实报，具体支付金额以实际签订的协议及完成产值为准。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计划支付给厦门大爱德文化传播有限公司的推广视频拍摄活动费用0.61万元，实消实报，具体支付金额以实际签订的协议及完成产值为准。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计划支付给福州韦盛传媒有限公司的阵地户外广告发布费用7.9万元，目前合同尚未签订，具体支付金额以实际签订的协议及完成产值为准。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计划支付给厦门芳华正耀文化传媒有限公司的65㎡样板房焕新实景拍摄费用1.18万元，目前合同尚未签订，具体支付金额以实际签订的协议及完成产值为准。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计划支付给福建九宫格纸制品有限公司的4月印刷品制作费用0.7万元，实消实报，具体支付金额以实际签订的协议及完成产值为准。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计划支付给福州韦盛传媒有限公司的4月零散物料制作费用0.84万元，实消实报，具体支付金额以实际签订的协议及完成产值为准。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计划支付给福州韦盛传媒有限公司的阵地户外包装费用8万元，目前合同尚未签订，具体支付金额以实际签订的协议及完成产值为准。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计划支付给福州策元第文化传媒有限公司的架空层焕新开放活动费用5万元，目前合同尚未签订，具体支付金额以实际签订的协议及完成产值为准。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4月14日与福州四维德方商务信息咨询有限公司签订的《劳务派遣合同》，委托派遣（累计）470名员工派遣员工到临时性工作岗位；合同总价6.35万元。每月10日前，双方共同确认上月派遣员工工资、社保、劳务派遣服务费等费用，形成《工资、社保等费用明细》；本期计划付款6.35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计划支付给福建光大旅游汽车有限公司的12月份分销踩盘大巴费用1.32万元，目前合同尚未签订，具体支付金额以实际签订的协议及完成产值为准。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计划支付给福建光大旅游汽车有限公司的12月份渠道看房车租赁费用1.44万元，目前合同尚未签订，具体支付金额以实际签订的协议及完成产值为准。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计划支付给福建光大旅游汽车有限公司的11月份渠道看房车租赁费用1.85万元，目前合同尚未签订，具体支付金额以实际签订的协议及完成产值为准。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计划支付给福建光大旅游汽车有限公司的1月分销踩盘大巴费用5.3万元，目前合同尚未签订，具体支付金额以实际签订的协议及完成产值为准。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计划支付给福州海派餐饮管理有限公司的春日美食购房节费用0.64万元，实消实报，具体支付金额以实际签订的协议及完成产值为准。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计划支付给福州海派餐饮管理有限公司的地铁专项蛋糕DIY导客活动费用0.43万元，实消实报，具体支付金额以实际签订的协议及完成产值为准。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计划支付给福州海派餐饮管理有限公司的地铁集团专场导客活动费用0.60万元，实消实报，具体支付金额以实际签订的协议及完成产值为准。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计划支付给福州市鼓楼区创华贸易有限公司的项目拓展礼品费用0.91万元，实消实报，具体支付金额以实际签订的协议及完成产值为准。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计划支付给福州四维德方商务信息咨询有限公司的2月兼职小蜜蜂使用费用3.6万元，目前合同尚未签订，具体支付金额以实际签订的协议及完成产值为准。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2022年3月16日与办公设备服务租赁合同签订的《办公设备服务租赁合同》，打印机租赁服务，合同总价1.8万元。使用计数每月统计一次，费用每满1个季度（3个月）结算一次；已完成付款0.24万元，本期计划付款0.48万元。符合合同约定付款。</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计划支付与中国联合网络通信有限公司福州市分公司的售楼处宽带费用0.40万元，实消实报，具体支付金额以实际签订的协议及完成产值为准。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计划支付与中国联合网络通信有限公司福州市分公司的售楼处电话费用0.30万元，实消实报，具体支付金额以实际签订的协议及完成产值为准。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计划支付与福州市鼓楼区玉兰轩文化用品店的营销办公用品采购费用0.23万元，实消实报，具体支付金额以实际签订的协议及完成产值为准。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计划支付给分销预付佣金300万元，具体支付金额以实际签订的协议及完成产值为准。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2021年12月20日与福州大有三六伍网络科技有限公司签订的《商品房委托销售协议》，代理销售服务，拟合同总价255万元。确认归属于乙方的有效客户，如为一次性全款客户，客户签订网签版《商品房买卖合同》且缴纳购房合同全部价款至甲方账户结算100%代理服务费；确认归属于乙方的有效客户，如为分期付款客户及按揭付款客户，在签订网签版《商品房买卖合同》且客户交齐首付款后结算100%全额佣金。本期计划支付81.52万元，</w:t>
      </w:r>
      <w:r>
        <w:rPr>
          <w:rFonts w:hint="eastAsia" w:ascii="宋体" w:hAnsi="宋体"/>
          <w:bCs/>
          <w:sz w:val="24"/>
          <w:szCs w:val="24"/>
          <w:lang w:bidi="zh-CN"/>
        </w:rPr>
        <w:t>具体支付时我司会严格根据实际成交情况和审批资料，据实支付。</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计划支付芜湖/易居项目全民经纪代理服务的泛销售费用77.10万元，以实际签订的协议及完成产值为准。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计划支付给台江区中彩办公设备店的2022年开盘集中签约短期打印机、电脑租赁费用0.72万元，实消实报，具体支付金额以实际签订的协议及完成产值为准。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计划支付给中国邮政速递物流股份有限公司福州市分公司的营销中心EMS月结账户费用0.15万元，实消实报，具体支付金额以实际签订的协议及完成产值为准。</w:t>
      </w:r>
    </w:p>
    <w:p>
      <w:pPr>
        <w:pStyle w:val="21"/>
        <w:numPr>
          <w:ilvl w:val="0"/>
          <w:numId w:val="4"/>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计划支付给上海晨光科力普办公用品有限公司的营销办公用品采购费用0.09万元，实消实报，具体支付金额以实际签订的协议及完成产值为准。</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outlineLvl w:val="1"/>
        <w:rPr>
          <w:rFonts w:ascii="宋体" w:hAnsi="宋体"/>
          <w:b/>
          <w:bCs/>
          <w:sz w:val="24"/>
          <w:szCs w:val="24"/>
          <w:lang w:bidi="zh-CN"/>
        </w:rPr>
      </w:pPr>
      <w:bookmarkStart w:id="14" w:name="_Toc3534"/>
      <w:bookmarkStart w:id="15" w:name="_Toc3616"/>
      <w:r>
        <w:rPr>
          <w:rFonts w:hint="eastAsia" w:ascii="宋体" w:hAnsi="宋体"/>
          <w:b/>
          <w:bCs/>
          <w:sz w:val="24"/>
          <w:szCs w:val="24"/>
          <w:lang w:bidi="zh-CN"/>
        </w:rPr>
        <w:t>（三）管理费用资金支出计划说明</w:t>
      </w:r>
      <w:bookmarkEnd w:id="14"/>
      <w:bookmarkEnd w:id="15"/>
    </w:p>
    <w:p>
      <w:pPr>
        <w:spacing w:before="156" w:beforeLines="50" w:after="156" w:afterLines="50" w:line="360" w:lineRule="auto"/>
        <w:ind w:firstLine="480" w:firstLineChars="200"/>
        <w:rPr>
          <w:rFonts w:ascii="宋体" w:hAnsi="宋体"/>
          <w:bCs/>
          <w:color w:val="FF0000"/>
          <w:sz w:val="24"/>
          <w:szCs w:val="24"/>
          <w:lang w:bidi="zh-CN"/>
        </w:rPr>
      </w:pPr>
      <w:r>
        <w:rPr>
          <w:rFonts w:hint="eastAsia" w:ascii="宋体" w:hAnsi="宋体"/>
          <w:bCs/>
          <w:color w:val="000000"/>
          <w:sz w:val="24"/>
          <w:szCs w:val="24"/>
          <w:lang w:bidi="zh-CN"/>
        </w:rPr>
        <w:t>项目公司在05月</w:t>
      </w:r>
      <w:r>
        <w:rPr>
          <w:rFonts w:hint="eastAsia" w:ascii="宋体" w:hAnsi="宋体"/>
          <w:bCs/>
          <w:sz w:val="24"/>
          <w:szCs w:val="24"/>
          <w:lang w:bidi="zh-CN"/>
        </w:rPr>
        <w:t>的管理费用支出共11笔，共计1,755.26万元，包括月度招待费、水电物管及其他日常行政费用，具体分析如下：</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月度员工社保预计支付2.30万元；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月度员工医保预计支付1.30万元；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月度员工住房公积金预计支付1.80万元；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月度员工工资预计支付16万元；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计提2020年7月-2021年12月管理费1,671万元。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月度员工福利预计支付4.50万元；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月度招待费在预计支付7.00万元；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其他日常行政费用共计1.50万元；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月度印花税支付36.86万元；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城镇土地使用税支付8.53万元；</w:t>
      </w:r>
    </w:p>
    <w:p>
      <w:pPr>
        <w:pStyle w:val="21"/>
        <w:numPr>
          <w:ilvl w:val="0"/>
          <w:numId w:val="5"/>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房产税支付4.47万元。</w:t>
      </w:r>
    </w:p>
    <w:p>
      <w:pPr>
        <w:spacing w:before="156" w:beforeLines="50" w:after="156" w:afterLines="50" w:line="360" w:lineRule="auto"/>
        <w:ind w:firstLine="480" w:firstLineChars="200"/>
        <w:rPr>
          <w:rFonts w:ascii="宋体" w:hAnsi="宋体"/>
          <w:bCs/>
          <w:color w:val="000000"/>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项目公司05月份的管理费用资金支出计划表编制基本合理，公司的办公室房租及水电物管的支出符合企业情况，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6"/>
        </w:numPr>
        <w:spacing w:before="156" w:beforeLines="50" w:after="156" w:afterLines="50" w:line="360" w:lineRule="auto"/>
        <w:outlineLvl w:val="1"/>
        <w:rPr>
          <w:rFonts w:ascii="宋体" w:hAnsi="宋体"/>
          <w:b/>
          <w:bCs/>
          <w:sz w:val="24"/>
          <w:szCs w:val="24"/>
          <w:lang w:bidi="zh-CN"/>
        </w:rPr>
      </w:pPr>
      <w:bookmarkStart w:id="16" w:name="_Toc1695"/>
      <w:bookmarkStart w:id="17" w:name="_Toc5353"/>
      <w:r>
        <w:rPr>
          <w:rFonts w:hint="eastAsia" w:ascii="宋体" w:hAnsi="宋体"/>
          <w:b/>
          <w:bCs/>
          <w:sz w:val="24"/>
          <w:szCs w:val="24"/>
          <w:lang w:bidi="zh-CN"/>
        </w:rPr>
        <w:t>税金预估支出计划说明</w:t>
      </w:r>
      <w:bookmarkEnd w:id="16"/>
      <w:bookmarkEnd w:id="17"/>
    </w:p>
    <w:p>
      <w:pPr>
        <w:pStyle w:val="21"/>
        <w:numPr>
          <w:ilvl w:val="0"/>
          <w:numId w:val="7"/>
        </w:numPr>
        <w:spacing w:before="156" w:beforeLines="50" w:after="156" w:afterLines="50" w:line="360" w:lineRule="auto"/>
        <w:ind w:left="420" w:firstLine="0" w:firstLineChars="0"/>
        <w:jc w:val="left"/>
        <w:rPr>
          <w:rFonts w:ascii="宋体" w:hAnsi="宋体"/>
          <w:bCs/>
          <w:color w:val="000000"/>
          <w:sz w:val="24"/>
          <w:szCs w:val="24"/>
          <w:lang w:bidi="zh-CN"/>
        </w:rPr>
      </w:pPr>
      <w:r>
        <w:rPr>
          <w:rFonts w:hint="eastAsia" w:ascii="宋体" w:hAnsi="宋体"/>
          <w:bCs/>
          <w:color w:val="000000"/>
          <w:sz w:val="24"/>
          <w:szCs w:val="24"/>
          <w:lang w:bidi="zh-CN"/>
        </w:rPr>
        <w:t>营业税金及附加月度预计需缴纳336.10万元；</w:t>
      </w:r>
    </w:p>
    <w:p>
      <w:pPr>
        <w:pStyle w:val="21"/>
        <w:numPr>
          <w:ilvl w:val="0"/>
          <w:numId w:val="7"/>
        </w:numPr>
        <w:spacing w:before="156" w:beforeLines="50" w:after="156" w:afterLines="50" w:line="360" w:lineRule="auto"/>
        <w:ind w:left="420" w:firstLine="0" w:firstLineChars="0"/>
        <w:rPr>
          <w:rFonts w:ascii="宋体" w:hAnsi="宋体"/>
          <w:bCs/>
          <w:color w:val="000000"/>
          <w:sz w:val="24"/>
          <w:szCs w:val="24"/>
          <w:lang w:bidi="zh-CN"/>
        </w:rPr>
      </w:pPr>
      <w:r>
        <w:rPr>
          <w:rFonts w:hint="eastAsia" w:ascii="宋体" w:hAnsi="宋体"/>
          <w:bCs/>
          <w:color w:val="000000"/>
          <w:sz w:val="24"/>
          <w:szCs w:val="24"/>
          <w:lang w:bidi="zh-CN"/>
        </w:rPr>
        <w:t>土地增值税月度预计需缴纳293.70万元；</w:t>
      </w:r>
    </w:p>
    <w:p>
      <w:pPr>
        <w:pStyle w:val="21"/>
        <w:numPr>
          <w:ilvl w:val="0"/>
          <w:numId w:val="7"/>
        </w:numPr>
        <w:spacing w:before="156" w:beforeLines="50" w:after="156" w:afterLines="50" w:line="360" w:lineRule="auto"/>
        <w:ind w:left="420" w:firstLine="0" w:firstLineChars="0"/>
        <w:rPr>
          <w:rFonts w:ascii="宋体" w:hAnsi="宋体"/>
          <w:bCs/>
          <w:color w:val="000000"/>
          <w:sz w:val="24"/>
          <w:szCs w:val="24"/>
          <w:lang w:bidi="zh-CN"/>
        </w:rPr>
      </w:pPr>
      <w:r>
        <w:rPr>
          <w:rFonts w:hint="eastAsia" w:ascii="宋体" w:hAnsi="宋体"/>
          <w:bCs/>
          <w:color w:val="000000"/>
          <w:sz w:val="24"/>
          <w:szCs w:val="24"/>
          <w:lang w:bidi="zh-CN"/>
        </w:rPr>
        <w:t>企业所得税296.04万元。</w:t>
      </w:r>
    </w:p>
    <w:p>
      <w:pPr>
        <w:spacing w:before="156" w:beforeLines="50" w:after="156" w:afterLines="50" w:line="360" w:lineRule="auto"/>
        <w:outlineLvl w:val="1"/>
        <w:rPr>
          <w:rFonts w:ascii="宋体" w:hAnsi="宋体"/>
          <w:b/>
          <w:bCs/>
          <w:sz w:val="24"/>
          <w:szCs w:val="24"/>
          <w:lang w:bidi="zh-CN"/>
        </w:rPr>
      </w:pPr>
      <w:bookmarkStart w:id="18" w:name="_Toc17231"/>
      <w:bookmarkStart w:id="19" w:name="_Toc4559"/>
      <w:r>
        <w:rPr>
          <w:rFonts w:hint="eastAsia" w:ascii="宋体" w:hAnsi="宋体"/>
          <w:b/>
          <w:bCs/>
          <w:sz w:val="24"/>
          <w:szCs w:val="24"/>
          <w:lang w:bidi="zh-CN"/>
        </w:rPr>
        <w:t>（五）不可预见费用资金支出计划说明</w:t>
      </w:r>
      <w:bookmarkEnd w:id="18"/>
      <w:bookmarkEnd w:id="19"/>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项目公司在05月份的不可预见费用为200.00万元，以备一些不可预测的资金支付。</w:t>
      </w:r>
    </w:p>
    <w:p>
      <w:pPr>
        <w:numPr>
          <w:ilvl w:val="0"/>
          <w:numId w:val="1"/>
        </w:numPr>
        <w:spacing w:before="156" w:beforeLines="50" w:after="156" w:afterLines="50"/>
        <w:ind w:firstLine="120" w:firstLineChars="50"/>
        <w:outlineLvl w:val="0"/>
        <w:rPr>
          <w:rFonts w:ascii="宋体" w:hAnsi="宋体"/>
          <w:b/>
          <w:sz w:val="24"/>
          <w:szCs w:val="24"/>
          <w:lang w:bidi="zh-CN"/>
        </w:rPr>
      </w:pPr>
      <w:bookmarkStart w:id="20" w:name="_Toc24361"/>
      <w:bookmarkStart w:id="21" w:name="_Toc5607"/>
      <w:r>
        <w:rPr>
          <w:rFonts w:ascii="宋体" w:hAnsi="宋体"/>
          <w:b/>
          <w:sz w:val="24"/>
          <w:szCs w:val="24"/>
          <w:lang w:bidi="zh-CN"/>
        </w:rPr>
        <w:t>结论：</w:t>
      </w:r>
      <w:bookmarkEnd w:id="20"/>
      <w:bookmarkEnd w:id="21"/>
    </w:p>
    <w:p>
      <w:pPr>
        <w:pStyle w:val="21"/>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项目公司本次提交的2022年05月资金计划按款项类别分类，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我司拟同意项目公司2022年05月份的资金计划，并以此作为付款的依据。待实际支付时，我司人员将对相关付款资料的合理、合规性一一核实，据实支付，请审批。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outlineLvl w:val="0"/>
        <w:rPr>
          <w:rFonts w:ascii="宋体" w:hAnsi="宋体"/>
          <w:b/>
          <w:color w:val="000000"/>
          <w:sz w:val="24"/>
          <w:lang w:bidi="zh-CN"/>
        </w:rPr>
      </w:pPr>
      <w:r>
        <w:rPr>
          <w:rFonts w:hint="eastAsia" w:ascii="宋体" w:hAnsi="宋体"/>
          <w:b/>
          <w:color w:val="000000"/>
          <w:sz w:val="24"/>
          <w:lang w:bidi="zh-CN"/>
        </w:rPr>
        <w:t xml:space="preserve">       </w:t>
      </w:r>
      <w:bookmarkStart w:id="22" w:name="_Toc32743"/>
      <w:bookmarkStart w:id="23" w:name="_Toc19860"/>
      <w:r>
        <w:rPr>
          <w:rFonts w:hint="eastAsia" w:ascii="宋体" w:hAnsi="宋体"/>
          <w:b/>
          <w:color w:val="000000"/>
          <w:sz w:val="24"/>
          <w:lang w:bidi="zh-CN"/>
        </w:rPr>
        <w:t>北京康信君安资产管理有限公司</w:t>
      </w:r>
      <w:bookmarkEnd w:id="22"/>
      <w:bookmarkEnd w:id="23"/>
    </w:p>
    <w:p>
      <w:pPr>
        <w:spacing w:before="156" w:beforeLines="50" w:line="360" w:lineRule="auto"/>
        <w:ind w:left="420" w:leftChars="200" w:firstLine="482" w:firstLineChars="200"/>
        <w:outlineLvl w:val="0"/>
      </w:pPr>
      <w:r>
        <w:rPr>
          <w:rFonts w:hint="eastAsia" w:ascii="宋体" w:hAnsi="宋体"/>
          <w:b/>
          <w:color w:val="000000"/>
          <w:sz w:val="24"/>
          <w:lang w:bidi="zh-CN"/>
        </w:rPr>
        <w:t xml:space="preserve">                                              </w:t>
      </w:r>
      <w:r>
        <w:rPr>
          <w:rFonts w:hint="eastAsia" w:ascii="宋体" w:hAnsi="宋体"/>
          <w:b/>
          <w:bCs/>
          <w:color w:val="000000"/>
          <w:sz w:val="24"/>
          <w:lang w:bidi="zh-CN"/>
        </w:rPr>
        <w:t xml:space="preserve"> </w:t>
      </w:r>
      <w:bookmarkStart w:id="24" w:name="_Toc31706"/>
      <w:bookmarkStart w:id="25" w:name="_Toc17526"/>
      <w:r>
        <w:rPr>
          <w:rFonts w:hint="eastAsia" w:ascii="宋体" w:hAnsi="宋体"/>
          <w:b/>
          <w:bCs/>
          <w:color w:val="000000"/>
          <w:sz w:val="24"/>
          <w:lang w:bidi="zh-CN"/>
        </w:rPr>
        <w:t>20</w:t>
      </w:r>
      <w:r>
        <w:rPr>
          <w:rFonts w:ascii="宋体" w:hAnsi="宋体"/>
          <w:b/>
          <w:bCs/>
          <w:color w:val="000000"/>
          <w:sz w:val="24"/>
          <w:lang w:bidi="zh-CN"/>
        </w:rPr>
        <w:t>2</w:t>
      </w:r>
      <w:r>
        <w:rPr>
          <w:rFonts w:hint="eastAsia" w:ascii="宋体" w:hAnsi="宋体"/>
          <w:b/>
          <w:bCs/>
          <w:color w:val="000000"/>
          <w:sz w:val="24"/>
          <w:lang w:bidi="zh-CN"/>
        </w:rPr>
        <w:t>2年04</w:t>
      </w:r>
      <w:r>
        <w:rPr>
          <w:rFonts w:ascii="宋体" w:hAnsi="宋体"/>
          <w:b/>
          <w:bCs/>
          <w:color w:val="000000"/>
          <w:sz w:val="24"/>
          <w:lang w:bidi="zh-CN"/>
        </w:rPr>
        <w:t>月</w:t>
      </w:r>
      <w:r>
        <w:rPr>
          <w:rFonts w:hint="eastAsia" w:ascii="宋体" w:hAnsi="宋体"/>
          <w:b/>
          <w:bCs/>
          <w:color w:val="000000"/>
          <w:sz w:val="24"/>
          <w:lang w:bidi="zh-CN"/>
        </w:rPr>
        <w:t>27</w:t>
      </w:r>
      <w:r>
        <w:rPr>
          <w:rFonts w:ascii="宋体" w:hAnsi="宋体"/>
          <w:b/>
          <w:bCs/>
          <w:color w:val="000000"/>
          <w:sz w:val="24"/>
          <w:lang w:bidi="zh-CN"/>
        </w:rPr>
        <w:t>日</w:t>
      </w:r>
      <w:bookmarkEnd w:id="24"/>
      <w:bookmarkEnd w:id="25"/>
      <w:bookmarkStart w:id="26" w:name="_GoBack"/>
      <w:bookmarkEnd w:id="26"/>
    </w:p>
    <w:sectPr>
      <w:headerReference r:id="rId3" w:type="default"/>
      <w:footerReference r:id="rId4"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861781782"/>
                    </w:sdtPr>
                    <w:sdtContent>
                      <w:p>
                        <w:pPr>
                          <w:pStyle w:val="6"/>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2"/>
                    </w:pPr>
                  </w:p>
                </w:txbxContent>
              </v:textbox>
            </v:shape>
          </w:pict>
        </mc:Fallback>
      </mc:AlternateContent>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b/>
        <w:bCs/>
        <w:color w:val="A78458"/>
      </w:rPr>
    </w:pPr>
    <w:r>
      <w:rPr>
        <w:rFonts w:ascii="黑体" w:hAnsi="黑体" w:eastAsia="黑体"/>
        <w:color w:val="A78458"/>
        <w:sz w:val="15"/>
        <w:szCs w:val="15"/>
      </w:rPr>
      <w:drawing>
        <wp:anchor distT="0" distB="0" distL="114300" distR="114300" simplePos="0" relativeHeight="251659264" behindDoc="0" locked="0" layoutInCell="1" allowOverlap="1">
          <wp:simplePos x="0" y="0"/>
          <wp:positionH relativeFrom="column">
            <wp:posOffset>6350</wp:posOffset>
          </wp:positionH>
          <wp:positionV relativeFrom="paragraph">
            <wp:posOffset>-69215</wp:posOffset>
          </wp:positionV>
          <wp:extent cx="1330325" cy="433705"/>
          <wp:effectExtent l="0" t="0" r="381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78458"/>
      </w:rPr>
      <w:t>北京康信君安资产管理有限公司</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767171" w:themeColor="background2" w:themeShade="80"/>
        <w:sz w:val="15"/>
        <w:szCs w:val="15"/>
      </w:rPr>
    </w:pPr>
    <w:r>
      <w:rPr>
        <w:rFonts w:hint="eastAsia" w:ascii="黑体" w:hAnsi="黑体" w:eastAsia="黑体"/>
        <w:color w:val="767171" w:themeColor="background2" w:themeShade="80"/>
        <w:sz w:val="15"/>
        <w:szCs w:val="15"/>
      </w:rPr>
      <w:t>地址:北京市朝阳区裕民路</w:t>
    </w:r>
    <w:r>
      <w:rPr>
        <w:rFonts w:ascii="黑体" w:hAnsi="黑体" w:eastAsia="黑体"/>
        <w:color w:val="767171" w:themeColor="background2" w:themeShade="80"/>
        <w:sz w:val="15"/>
        <w:szCs w:val="15"/>
      </w:rPr>
      <w:t>12号中国国际科技会展中心A座1601</w:t>
    </w:r>
  </w:p>
  <w:p>
    <w:pPr>
      <w:pStyle w:val="7"/>
      <w:pBdr>
        <w:top w:val="none" w:color="auto" w:sz="0" w:space="0"/>
        <w:left w:val="none" w:color="auto" w:sz="0" w:space="0"/>
        <w:bottom w:val="single" w:color="auto" w:sz="4" w:space="1"/>
        <w:right w:val="none" w:color="auto" w:sz="0" w:space="0"/>
      </w:pBdr>
      <w:ind w:firstLine="300"/>
      <w:jc w:val="right"/>
      <w:rPr>
        <w:rFonts w:ascii="黑体" w:hAnsi="黑体" w:eastAsia="黑体"/>
        <w:color w:val="595959" w:themeColor="text1" w:themeTint="A6"/>
        <w:sz w:val="15"/>
        <w:szCs w:val="15"/>
        <w14:textFill>
          <w14:solidFill>
            <w14:schemeClr w14:val="tx1">
              <w14:lumMod w14:val="65000"/>
              <w14:lumOff w14:val="35000"/>
            </w14:schemeClr>
          </w14:solidFill>
        </w14:textFill>
      </w:rPr>
    </w:pPr>
    <w:r>
      <w:rPr>
        <w:rFonts w:hint="eastAsia" w:ascii="黑体" w:hAnsi="黑体" w:eastAsia="黑体"/>
        <w:color w:val="767171" w:themeColor="background2" w:themeShade="80"/>
        <w:sz w:val="15"/>
        <w:szCs w:val="15"/>
      </w:rPr>
      <w:t>电话:</w:t>
    </w:r>
    <w:r>
      <w:rPr>
        <w:rFonts w:ascii="黑体" w:hAnsi="黑体" w:eastAsia="黑体"/>
        <w:color w:val="767171" w:themeColor="background2" w:themeShade="80"/>
        <w:sz w:val="15"/>
        <w:szCs w:val="15"/>
      </w:rPr>
      <w:t>010-50911878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178F"/>
    <w:multiLevelType w:val="singleLevel"/>
    <w:tmpl w:val="C77C178F"/>
    <w:lvl w:ilvl="0" w:tentative="0">
      <w:start w:val="1"/>
      <w:numFmt w:val="chineseCounting"/>
      <w:suff w:val="nothing"/>
      <w:lvlText w:val="（%1）"/>
      <w:lvlJc w:val="left"/>
      <w:pPr>
        <w:ind w:left="0" w:firstLine="420"/>
      </w:pPr>
      <w:rPr>
        <w:rFonts w:hint="eastAsia"/>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4C624E7"/>
    <w:multiLevelType w:val="multilevel"/>
    <w:tmpl w:val="14C624E7"/>
    <w:lvl w:ilvl="0" w:tentative="0">
      <w:start w:val="1"/>
      <w:numFmt w:val="decimal"/>
      <w:lvlText w:val="（%1）"/>
      <w:lvlJc w:val="left"/>
      <w:pPr>
        <w:ind w:left="114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abstractNum w:abstractNumId="4">
    <w:nsid w:val="43768D9D"/>
    <w:multiLevelType w:val="multilevel"/>
    <w:tmpl w:val="43768D9D"/>
    <w:lvl w:ilvl="0" w:tentative="0">
      <w:start w:val="1"/>
      <w:numFmt w:val="decimal"/>
      <w:lvlText w:val="（%1）"/>
      <w:lvlJc w:val="left"/>
      <w:pPr>
        <w:ind w:left="1200" w:hanging="720"/>
      </w:pPr>
      <w:rPr>
        <w:rFonts w:hint="default"/>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6B48C5E"/>
    <w:multiLevelType w:val="singleLevel"/>
    <w:tmpl w:val="56B48C5E"/>
    <w:lvl w:ilvl="0" w:tentative="0">
      <w:start w:val="1"/>
      <w:numFmt w:val="decimal"/>
      <w:suff w:val="nothing"/>
      <w:lvlText w:val="（%1）"/>
      <w:lvlJc w:val="left"/>
    </w:lvl>
  </w:abstractNum>
  <w:abstractNum w:abstractNumId="6">
    <w:nsid w:val="64A19CB2"/>
    <w:multiLevelType w:val="singleLevel"/>
    <w:tmpl w:val="64A19CB2"/>
    <w:lvl w:ilvl="0" w:tentative="0">
      <w:start w:val="4"/>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NGY2NDgwODExMzgxNTY1N2I1ZDBjYzY3MWZhZGEifQ=="/>
  </w:docVars>
  <w:rsids>
    <w:rsidRoot w:val="00D01690"/>
    <w:rsid w:val="0029527F"/>
    <w:rsid w:val="003355D6"/>
    <w:rsid w:val="004E1D35"/>
    <w:rsid w:val="005566F8"/>
    <w:rsid w:val="005F0392"/>
    <w:rsid w:val="00746756"/>
    <w:rsid w:val="00763806"/>
    <w:rsid w:val="008E2185"/>
    <w:rsid w:val="00940531"/>
    <w:rsid w:val="00A017CC"/>
    <w:rsid w:val="00C77376"/>
    <w:rsid w:val="00CA27AB"/>
    <w:rsid w:val="00D01690"/>
    <w:rsid w:val="05F97A30"/>
    <w:rsid w:val="0FC91486"/>
    <w:rsid w:val="14902184"/>
    <w:rsid w:val="1EDD4E34"/>
    <w:rsid w:val="21832138"/>
    <w:rsid w:val="2D6D483C"/>
    <w:rsid w:val="322F1668"/>
    <w:rsid w:val="350E464D"/>
    <w:rsid w:val="39C22251"/>
    <w:rsid w:val="3CE15486"/>
    <w:rsid w:val="419D3E09"/>
    <w:rsid w:val="497F4AD1"/>
    <w:rsid w:val="4A8C39A9"/>
    <w:rsid w:val="4BEE3AC9"/>
    <w:rsid w:val="50C728B2"/>
    <w:rsid w:val="53E321CD"/>
    <w:rsid w:val="5589744D"/>
    <w:rsid w:val="5A211720"/>
    <w:rsid w:val="5CD73CC6"/>
    <w:rsid w:val="66BC2537"/>
    <w:rsid w:val="6CF65C69"/>
    <w:rsid w:val="72B32C22"/>
    <w:rsid w:val="796C21B2"/>
    <w:rsid w:val="7B6202DE"/>
    <w:rsid w:val="7C0A4F59"/>
    <w:rsid w:val="7E441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szCs w:val="2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4">
    <w:name w:val="annotation text"/>
    <w:basedOn w:val="1"/>
    <w:unhideWhenUsed/>
    <w:qFormat/>
    <w:uiPriority w:val="0"/>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nhideWhenUsed/>
    <w:qFormat/>
    <w:uiPriority w:val="39"/>
    <w:pPr>
      <w:spacing w:after="100" w:line="276" w:lineRule="auto"/>
    </w:pPr>
    <w:rPr>
      <w:sz w:val="22"/>
      <w:szCs w:val="22"/>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qFormat/>
    <w:uiPriority w:val="0"/>
    <w:pPr>
      <w:ind w:firstLine="420" w:firstLineChars="10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character" w:styleId="15">
    <w:name w:val="annotation reference"/>
    <w:basedOn w:val="13"/>
    <w:unhideWhenUsed/>
    <w:qFormat/>
    <w:uiPriority w:val="0"/>
    <w:rPr>
      <w:sz w:val="21"/>
      <w:szCs w:val="21"/>
    </w:rPr>
  </w:style>
  <w:style w:type="character" w:customStyle="1" w:styleId="16">
    <w:name w:val="页眉 字符"/>
    <w:basedOn w:val="13"/>
    <w:link w:val="7"/>
    <w:qFormat/>
    <w:uiPriority w:val="99"/>
    <w:rPr>
      <w:rFonts w:ascii="Calibri" w:hAnsi="Calibri"/>
      <w:kern w:val="2"/>
      <w:sz w:val="18"/>
      <w:szCs w:val="24"/>
    </w:rPr>
  </w:style>
  <w:style w:type="character" w:customStyle="1" w:styleId="17">
    <w:name w:val="font11"/>
    <w:basedOn w:val="13"/>
    <w:qFormat/>
    <w:uiPriority w:val="0"/>
    <w:rPr>
      <w:rFonts w:hint="eastAsia" w:ascii="宋体" w:hAnsi="宋体" w:eastAsia="宋体" w:cs="宋体"/>
      <w:color w:val="000000"/>
      <w:sz w:val="24"/>
      <w:szCs w:val="24"/>
      <w:u w:val="none"/>
    </w:rPr>
  </w:style>
  <w:style w:type="character" w:customStyle="1" w:styleId="18">
    <w:name w:val="font51"/>
    <w:basedOn w:val="13"/>
    <w:qFormat/>
    <w:uiPriority w:val="0"/>
    <w:rPr>
      <w:rFonts w:ascii="Arial" w:hAnsi="Arial" w:cs="Arial"/>
      <w:b/>
      <w:color w:val="000000"/>
      <w:sz w:val="18"/>
      <w:szCs w:val="18"/>
      <w:u w:val="none"/>
    </w:rPr>
  </w:style>
  <w:style w:type="character" w:customStyle="1" w:styleId="19">
    <w:name w:val="font31"/>
    <w:basedOn w:val="13"/>
    <w:qFormat/>
    <w:uiPriority w:val="0"/>
    <w:rPr>
      <w:rFonts w:hint="eastAsia" w:ascii="宋体" w:hAnsi="宋体" w:eastAsia="宋体" w:cs="宋体"/>
      <w:color w:val="C55911"/>
      <w:sz w:val="18"/>
      <w:szCs w:val="18"/>
      <w:u w:val="none"/>
    </w:rPr>
  </w:style>
  <w:style w:type="paragraph" w:customStyle="1" w:styleId="20">
    <w:name w:val="TOC Heading"/>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paragraph" w:styleId="21">
    <w:name w:val="List Paragraph"/>
    <w:basedOn w:val="1"/>
    <w:qFormat/>
    <w:uiPriority w:val="99"/>
    <w:pPr>
      <w:ind w:firstLine="420" w:firstLineChars="200"/>
    </w:pPr>
  </w:style>
  <w:style w:type="paragraph" w:customStyle="1" w:styleId="22">
    <w:name w:val="WPSOffice手动目录 1"/>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3160F-4727-4822-9A7E-F5AB81B2EECD}">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29</Pages>
  <Words>18703</Words>
  <Characters>20561</Characters>
  <Lines>100</Lines>
  <Paragraphs>28</Paragraphs>
  <TotalTime>0</TotalTime>
  <ScaleCrop>false</ScaleCrop>
  <LinksUpToDate>false</LinksUpToDate>
  <CharactersWithSpaces>20706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2018-02-20T15:36:00Z</dcterms:created>
  <dc:creator>Abu设计</dc:creator>
  <dc:description>更多Abu设计的信纸请访问
http://chn.docer.com/works?userid=415014680
谢谢支持</dc:description>
  <cp:keywords>信纸 信笺背景</cp:keywords>
  <cp:lastModifiedBy>紫色三色堇</cp:lastModifiedBy>
  <cp:lastPrinted>2022-04-27T01:39:00Z</cp:lastPrinted>
  <dcterms:modified xsi:type="dcterms:W3CDTF">2022-04-28T03:25:49Z</dcterms:modified>
  <dc:subject>信纸</dc:subject>
  <dc:title>信纸-Abu设计</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E624EB2009E74D638FC9B65F30CF3CEA</vt:lpwstr>
  </property>
</Properties>
</file>