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bCs/>
          <w:sz w:val="36"/>
          <w:szCs w:val="36"/>
        </w:rPr>
      </w:pPr>
      <w:r>
        <w:rPr>
          <w:rFonts w:hint="eastAsia" w:ascii="宋体" w:hAnsi="宋体" w:cs="宋体"/>
          <w:b/>
          <w:bCs/>
          <w:sz w:val="36"/>
          <w:szCs w:val="36"/>
        </w:rPr>
        <w:t>关于福州螺洲T</w:t>
      </w:r>
      <w:r>
        <w:rPr>
          <w:rFonts w:ascii="宋体" w:hAnsi="宋体" w:cs="宋体"/>
          <w:b/>
          <w:bCs/>
          <w:sz w:val="36"/>
          <w:szCs w:val="36"/>
        </w:rPr>
        <w:t>OD</w:t>
      </w:r>
      <w:r>
        <w:rPr>
          <w:rFonts w:hint="eastAsia" w:ascii="宋体" w:hAnsi="宋体" w:cs="宋体"/>
          <w:b/>
          <w:bCs/>
          <w:sz w:val="36"/>
          <w:szCs w:val="36"/>
        </w:rPr>
        <w:t>项目</w:t>
      </w:r>
      <w:r>
        <w:rPr>
          <w:rFonts w:cs="Arial" w:asciiTheme="minorEastAsia" w:hAnsiTheme="minorEastAsia" w:eastAsiaTheme="minorEastAsia"/>
          <w:b/>
          <w:bCs/>
          <w:sz w:val="36"/>
          <w:szCs w:val="36"/>
        </w:rPr>
        <w:t>202</w:t>
      </w:r>
      <w:r>
        <w:rPr>
          <w:rFonts w:hint="eastAsia" w:cs="Arial" w:asciiTheme="minorEastAsia" w:hAnsiTheme="minorEastAsia" w:eastAsiaTheme="minorEastAsia"/>
          <w:b/>
          <w:bCs/>
          <w:sz w:val="36"/>
          <w:szCs w:val="36"/>
        </w:rPr>
        <w:t>1</w:t>
      </w:r>
      <w:r>
        <w:rPr>
          <w:rFonts w:hint="eastAsia" w:ascii="宋体" w:hAnsi="宋体" w:cs="宋体"/>
          <w:b/>
          <w:bCs/>
          <w:sz w:val="36"/>
          <w:szCs w:val="36"/>
        </w:rPr>
        <w:t>年</w:t>
      </w:r>
      <w:r>
        <w:rPr>
          <w:rFonts w:hint="eastAsia" w:ascii="宋体" w:hAnsi="宋体" w:cs="宋体"/>
          <w:b/>
          <w:bCs/>
          <w:sz w:val="36"/>
          <w:szCs w:val="36"/>
          <w:lang w:val="en-US" w:eastAsia="zh-CN"/>
        </w:rPr>
        <w:t>11</w:t>
      </w:r>
      <w:r>
        <w:rPr>
          <w:rFonts w:hint="eastAsia" w:ascii="宋体" w:hAnsi="宋体" w:cs="宋体"/>
          <w:b/>
          <w:bCs/>
          <w:sz w:val="36"/>
          <w:szCs w:val="36"/>
        </w:rPr>
        <w:t>月资金计划</w:t>
      </w:r>
    </w:p>
    <w:p>
      <w:pPr>
        <w:jc w:val="center"/>
        <w:rPr>
          <w:rFonts w:ascii="宋体" w:hAnsi="宋体" w:cs="宋体"/>
          <w:b/>
          <w:bCs/>
          <w:sz w:val="36"/>
          <w:szCs w:val="36"/>
        </w:rPr>
      </w:pPr>
      <w:r>
        <w:rPr>
          <w:rFonts w:hint="eastAsia" w:ascii="宋体" w:hAnsi="宋体" w:cs="宋体"/>
          <w:b/>
          <w:bCs/>
          <w:sz w:val="36"/>
          <w:szCs w:val="36"/>
        </w:rPr>
        <w:t>审核说明</w:t>
      </w:r>
    </w:p>
    <w:p>
      <w:pPr>
        <w:spacing w:line="360" w:lineRule="auto"/>
        <w:rPr>
          <w:rFonts w:ascii="宋体" w:hAnsi="宋体"/>
          <w:b/>
          <w:bCs/>
          <w:sz w:val="28"/>
          <w:szCs w:val="28"/>
        </w:rPr>
      </w:pPr>
      <w:r>
        <w:rPr>
          <w:rFonts w:hint="eastAsia" w:ascii="宋体" w:hAnsi="宋体"/>
          <w:b/>
          <w:bCs/>
          <w:sz w:val="28"/>
          <w:szCs w:val="28"/>
        </w:rPr>
        <w:t>中航信托股份有限公司：</w:t>
      </w:r>
    </w:p>
    <w:p>
      <w:pPr>
        <w:spacing w:line="360" w:lineRule="auto"/>
        <w:ind w:firstLine="480" w:firstLineChars="200"/>
        <w:rPr>
          <w:rFonts w:ascii="宋体" w:hAnsi="宋体"/>
          <w:sz w:val="24"/>
          <w:szCs w:val="24"/>
        </w:rPr>
      </w:pPr>
      <w:r>
        <w:rPr>
          <w:rFonts w:hint="eastAsia" w:ascii="宋体" w:hAnsi="宋体"/>
          <w:sz w:val="24"/>
          <w:szCs w:val="24"/>
        </w:rPr>
        <w:t>福州首融房地产有限公司（以下简称“项目公司”）于</w:t>
      </w:r>
      <w:r>
        <w:rPr>
          <w:rFonts w:ascii="宋体" w:hAnsi="宋体"/>
          <w:sz w:val="24"/>
          <w:szCs w:val="24"/>
        </w:rPr>
        <w:t>202</w:t>
      </w:r>
      <w:r>
        <w:rPr>
          <w:rFonts w:hint="eastAsia" w:ascii="宋体" w:hAnsi="宋体"/>
          <w:sz w:val="24"/>
          <w:szCs w:val="24"/>
        </w:rPr>
        <w:t>1</w:t>
      </w:r>
      <w:r>
        <w:rPr>
          <w:rFonts w:ascii="宋体" w:hAnsi="宋体"/>
          <w:sz w:val="24"/>
          <w:szCs w:val="24"/>
        </w:rPr>
        <w:t>年</w:t>
      </w:r>
      <w:r>
        <w:rPr>
          <w:rFonts w:hint="eastAsia" w:ascii="宋体" w:hAnsi="宋体"/>
          <w:sz w:val="24"/>
          <w:szCs w:val="24"/>
          <w:lang w:val="en-US" w:eastAsia="zh-CN"/>
        </w:rPr>
        <w:t>10</w:t>
      </w:r>
      <w:r>
        <w:rPr>
          <w:rFonts w:ascii="宋体" w:hAnsi="宋体"/>
          <w:sz w:val="24"/>
          <w:szCs w:val="24"/>
        </w:rPr>
        <w:t>月</w:t>
      </w:r>
      <w:r>
        <w:rPr>
          <w:rFonts w:hint="eastAsia" w:ascii="宋体" w:hAnsi="宋体"/>
          <w:sz w:val="24"/>
          <w:szCs w:val="24"/>
        </w:rPr>
        <w:t>2</w:t>
      </w:r>
      <w:r>
        <w:rPr>
          <w:rFonts w:hint="eastAsia" w:ascii="宋体" w:hAnsi="宋体"/>
          <w:sz w:val="24"/>
          <w:szCs w:val="24"/>
          <w:lang w:val="en-US" w:eastAsia="zh-CN"/>
        </w:rPr>
        <w:t>5</w:t>
      </w:r>
      <w:r>
        <w:rPr>
          <w:rFonts w:ascii="宋体" w:hAnsi="宋体"/>
          <w:sz w:val="24"/>
          <w:szCs w:val="24"/>
        </w:rPr>
        <w:t>日</w:t>
      </w:r>
      <w:r>
        <w:rPr>
          <w:rFonts w:hint="eastAsia" w:ascii="宋体" w:hAnsi="宋体"/>
          <w:sz w:val="24"/>
          <w:szCs w:val="24"/>
        </w:rPr>
        <w:t>提交了2021年</w:t>
      </w:r>
      <w:r>
        <w:rPr>
          <w:rFonts w:hint="eastAsia" w:ascii="宋体" w:hAnsi="宋体"/>
          <w:sz w:val="24"/>
          <w:szCs w:val="24"/>
          <w:lang w:val="en-US" w:eastAsia="zh-CN"/>
        </w:rPr>
        <w:t>11</w:t>
      </w:r>
      <w:r>
        <w:rPr>
          <w:rFonts w:hint="eastAsia" w:ascii="宋体" w:hAnsi="宋体"/>
          <w:sz w:val="24"/>
          <w:szCs w:val="24"/>
        </w:rPr>
        <w:t>月的资金计划，我司对项目公司申报的资金计划进行了审核，审核结果如下：</w:t>
      </w:r>
    </w:p>
    <w:p>
      <w:pPr>
        <w:numPr>
          <w:ilvl w:val="0"/>
          <w:numId w:val="1"/>
        </w:numPr>
        <w:spacing w:before="156" w:beforeLines="50" w:after="156" w:afterLines="50"/>
        <w:ind w:firstLine="120" w:firstLineChars="50"/>
        <w:rPr>
          <w:rFonts w:ascii="宋体" w:hAnsi="宋体"/>
          <w:b/>
          <w:sz w:val="24"/>
          <w:szCs w:val="24"/>
        </w:rPr>
      </w:pPr>
      <w:r>
        <w:rPr>
          <w:rFonts w:ascii="宋体" w:hAnsi="宋体"/>
          <w:b/>
          <w:sz w:val="24"/>
          <w:szCs w:val="24"/>
          <w:lang w:bidi="zh-CN"/>
        </w:rPr>
        <w:t>福州螺洲TOD</w:t>
      </w:r>
      <w:r>
        <w:rPr>
          <w:rFonts w:hint="eastAsia" w:ascii="宋体" w:hAnsi="宋体"/>
          <w:b/>
          <w:sz w:val="24"/>
          <w:szCs w:val="24"/>
        </w:rPr>
        <w:t>项目公司2021年</w:t>
      </w:r>
      <w:r>
        <w:rPr>
          <w:rFonts w:hint="eastAsia" w:ascii="宋体" w:hAnsi="宋体"/>
          <w:b/>
          <w:sz w:val="24"/>
          <w:szCs w:val="24"/>
          <w:lang w:val="en-US" w:eastAsia="zh-CN"/>
        </w:rPr>
        <w:t>11</w:t>
      </w:r>
      <w:r>
        <w:rPr>
          <w:rFonts w:hint="eastAsia" w:ascii="宋体" w:hAnsi="宋体"/>
          <w:b/>
          <w:sz w:val="24"/>
          <w:szCs w:val="24"/>
        </w:rPr>
        <w:t>月份资金汇总</w:t>
      </w:r>
    </w:p>
    <w:p>
      <w:pPr>
        <w:spacing w:before="156" w:beforeLines="50" w:after="156" w:afterLines="50" w:line="360" w:lineRule="auto"/>
        <w:ind w:firstLine="480" w:firstLineChars="200"/>
        <w:rPr>
          <w:rFonts w:ascii="宋体" w:hAnsi="宋体"/>
          <w:color w:val="auto"/>
          <w:sz w:val="24"/>
          <w:szCs w:val="24"/>
        </w:rPr>
      </w:pPr>
      <w:r>
        <w:rPr>
          <w:rFonts w:hint="eastAsia" w:ascii="宋体" w:hAnsi="宋体"/>
          <w:sz w:val="24"/>
          <w:szCs w:val="24"/>
        </w:rPr>
        <w:t>项目公司于</w:t>
      </w:r>
      <w:r>
        <w:rPr>
          <w:rFonts w:ascii="宋体" w:hAnsi="宋体"/>
          <w:sz w:val="24"/>
          <w:szCs w:val="24"/>
        </w:rPr>
        <w:t>202</w:t>
      </w:r>
      <w:r>
        <w:rPr>
          <w:rFonts w:hint="eastAsia" w:ascii="宋体" w:hAnsi="宋体"/>
          <w:sz w:val="24"/>
          <w:szCs w:val="24"/>
        </w:rPr>
        <w:t>1</w:t>
      </w:r>
      <w:r>
        <w:rPr>
          <w:rFonts w:ascii="宋体" w:hAnsi="宋体"/>
          <w:sz w:val="24"/>
          <w:szCs w:val="24"/>
        </w:rPr>
        <w:t>年</w:t>
      </w:r>
      <w:r>
        <w:rPr>
          <w:rFonts w:hint="eastAsia" w:ascii="宋体" w:hAnsi="宋体"/>
          <w:sz w:val="24"/>
          <w:szCs w:val="24"/>
          <w:lang w:val="en-US" w:eastAsia="zh-CN"/>
        </w:rPr>
        <w:t>10</w:t>
      </w:r>
      <w:r>
        <w:rPr>
          <w:rFonts w:ascii="宋体" w:hAnsi="宋体"/>
          <w:sz w:val="24"/>
          <w:szCs w:val="24"/>
        </w:rPr>
        <w:t>月</w:t>
      </w:r>
      <w:r>
        <w:rPr>
          <w:rFonts w:hint="eastAsia" w:ascii="宋体" w:hAnsi="宋体"/>
          <w:sz w:val="24"/>
          <w:szCs w:val="24"/>
          <w:lang w:val="en-US" w:eastAsia="zh-CN"/>
        </w:rPr>
        <w:t>25</w:t>
      </w:r>
      <w:r>
        <w:rPr>
          <w:rFonts w:ascii="宋体" w:hAnsi="宋体"/>
          <w:sz w:val="24"/>
          <w:szCs w:val="24"/>
        </w:rPr>
        <w:t>日</w:t>
      </w:r>
      <w:r>
        <w:rPr>
          <w:rFonts w:hint="eastAsia" w:ascii="宋体" w:hAnsi="宋体"/>
          <w:sz w:val="24"/>
          <w:szCs w:val="24"/>
        </w:rPr>
        <w:t>提交的2021年</w:t>
      </w:r>
      <w:r>
        <w:rPr>
          <w:rFonts w:hint="eastAsia" w:ascii="宋体" w:hAnsi="宋体"/>
          <w:sz w:val="24"/>
          <w:szCs w:val="24"/>
          <w:lang w:val="en-US" w:eastAsia="zh-CN"/>
        </w:rPr>
        <w:t>11</w:t>
      </w:r>
      <w:r>
        <w:rPr>
          <w:rFonts w:hint="eastAsia" w:ascii="宋体" w:hAnsi="宋体"/>
          <w:color w:val="auto"/>
          <w:sz w:val="24"/>
          <w:szCs w:val="24"/>
        </w:rPr>
        <w:t>月的资金支出计划，</w:t>
      </w:r>
      <w:r>
        <w:rPr>
          <w:rFonts w:ascii="宋体" w:hAnsi="宋体"/>
          <w:color w:val="auto"/>
          <w:sz w:val="24"/>
          <w:szCs w:val="24"/>
        </w:rPr>
        <w:t>计划</w:t>
      </w:r>
      <w:r>
        <w:rPr>
          <w:rFonts w:hint="eastAsia" w:ascii="宋体" w:hAnsi="宋体"/>
          <w:color w:val="auto"/>
          <w:sz w:val="24"/>
          <w:szCs w:val="24"/>
        </w:rPr>
        <w:t>资金支出共计</w:t>
      </w:r>
      <w:r>
        <w:rPr>
          <w:rFonts w:hint="eastAsia" w:ascii="宋体" w:hAnsi="宋体"/>
          <w:color w:val="auto"/>
          <w:sz w:val="24"/>
          <w:szCs w:val="24"/>
          <w:highlight w:val="none"/>
          <w:lang w:val="en-US" w:eastAsia="zh-CN"/>
        </w:rPr>
        <w:t>39</w:t>
      </w:r>
      <w:r>
        <w:rPr>
          <w:rFonts w:hint="eastAsia" w:ascii="宋体" w:hAnsi="宋体"/>
          <w:color w:val="auto"/>
          <w:sz w:val="24"/>
          <w:szCs w:val="24"/>
          <w:highlight w:val="none"/>
        </w:rPr>
        <w:t>笔，合计</w:t>
      </w:r>
      <w:r>
        <w:rPr>
          <w:rFonts w:hint="eastAsia" w:ascii="宋体" w:hAnsi="宋体"/>
          <w:color w:val="auto"/>
          <w:sz w:val="24"/>
          <w:szCs w:val="24"/>
          <w:highlight w:val="none"/>
          <w:lang w:val="en-US" w:eastAsia="zh-CN"/>
        </w:rPr>
        <w:t>1,121.93</w:t>
      </w:r>
      <w:r>
        <w:rPr>
          <w:rFonts w:hint="eastAsia" w:ascii="宋体" w:hAnsi="宋体"/>
          <w:color w:val="auto"/>
          <w:sz w:val="24"/>
          <w:szCs w:val="24"/>
          <w:highlight w:val="none"/>
        </w:rPr>
        <w:t>万元。其中：工程款支出</w:t>
      </w:r>
      <w:r>
        <w:rPr>
          <w:rFonts w:hint="eastAsia" w:ascii="宋体" w:hAnsi="宋体"/>
          <w:color w:val="auto"/>
          <w:sz w:val="24"/>
          <w:szCs w:val="24"/>
          <w:lang w:val="en-US" w:eastAsia="zh-CN"/>
        </w:rPr>
        <w:t>859.04</w:t>
      </w:r>
      <w:r>
        <w:rPr>
          <w:rFonts w:hint="eastAsia" w:ascii="宋体" w:hAnsi="宋体"/>
          <w:color w:val="auto"/>
          <w:sz w:val="24"/>
          <w:szCs w:val="24"/>
        </w:rPr>
        <w:t>万元，</w:t>
      </w:r>
      <w:r>
        <w:rPr>
          <w:rFonts w:hint="eastAsia" w:ascii="宋体" w:hAnsi="宋体"/>
          <w:color w:val="auto"/>
          <w:sz w:val="24"/>
          <w:szCs w:val="24"/>
          <w:highlight w:val="none"/>
        </w:rPr>
        <w:t>销售费用</w:t>
      </w:r>
      <w:r>
        <w:rPr>
          <w:rFonts w:hint="eastAsia" w:ascii="宋体" w:hAnsi="宋体"/>
          <w:bCs/>
          <w:color w:val="auto"/>
          <w:sz w:val="24"/>
          <w:szCs w:val="24"/>
          <w:lang w:val="en-US" w:bidi="zh-CN"/>
        </w:rPr>
        <w:t>152.49</w:t>
      </w:r>
      <w:r>
        <w:rPr>
          <w:rFonts w:hint="eastAsia" w:ascii="宋体" w:hAnsi="宋体"/>
          <w:color w:val="auto"/>
          <w:sz w:val="24"/>
          <w:szCs w:val="24"/>
          <w:highlight w:val="none"/>
        </w:rPr>
        <w:t>万元，管理费用</w:t>
      </w:r>
      <w:r>
        <w:rPr>
          <w:rFonts w:hint="eastAsia" w:ascii="宋体" w:hAnsi="宋体"/>
          <w:bCs/>
          <w:color w:val="auto"/>
          <w:sz w:val="24"/>
          <w:szCs w:val="24"/>
          <w:highlight w:val="none"/>
          <w:lang w:val="en-US" w:bidi="zh-CN"/>
        </w:rPr>
        <w:t>10.40</w:t>
      </w:r>
      <w:r>
        <w:rPr>
          <w:rFonts w:hint="eastAsia" w:ascii="宋体" w:hAnsi="宋体"/>
          <w:color w:val="auto"/>
          <w:sz w:val="24"/>
          <w:szCs w:val="24"/>
          <w:highlight w:val="none"/>
        </w:rPr>
        <w:t>万元</w:t>
      </w:r>
      <w:r>
        <w:rPr>
          <w:rFonts w:hint="eastAsia" w:ascii="宋体" w:hAnsi="宋体"/>
          <w:color w:val="auto"/>
          <w:sz w:val="24"/>
          <w:szCs w:val="24"/>
          <w:highlight w:val="none"/>
          <w:lang w:val="en-US" w:eastAsia="zh-CN"/>
        </w:rPr>
        <w:t>，不可预</w:t>
      </w:r>
      <w:r>
        <w:rPr>
          <w:rFonts w:hint="eastAsia" w:ascii="宋体" w:hAnsi="宋体"/>
          <w:color w:val="auto"/>
          <w:sz w:val="24"/>
          <w:szCs w:val="24"/>
        </w:rPr>
        <w:t>见费用</w:t>
      </w:r>
      <w:r>
        <w:rPr>
          <w:rFonts w:hint="eastAsia" w:ascii="宋体" w:hAnsi="宋体"/>
          <w:color w:val="auto"/>
          <w:sz w:val="24"/>
          <w:szCs w:val="24"/>
          <w:lang w:val="en-US" w:eastAsia="zh-CN"/>
        </w:rPr>
        <w:t>1</w:t>
      </w:r>
      <w:r>
        <w:rPr>
          <w:rFonts w:hint="eastAsia" w:ascii="宋体" w:hAnsi="宋体"/>
          <w:color w:val="auto"/>
          <w:sz w:val="24"/>
          <w:szCs w:val="24"/>
        </w:rPr>
        <w:t>00.00万元。</w:t>
      </w:r>
    </w:p>
    <w:tbl>
      <w:tblPr>
        <w:tblStyle w:val="11"/>
        <w:tblpPr w:leftFromText="180" w:rightFromText="180" w:vertAnchor="text" w:horzAnchor="page" w:tblpX="1129" w:tblpY="625"/>
        <w:tblOverlap w:val="never"/>
        <w:tblW w:w="9913" w:type="dxa"/>
        <w:tblInd w:w="0" w:type="dxa"/>
        <w:tblLayout w:type="fixed"/>
        <w:tblCellMar>
          <w:top w:w="0" w:type="dxa"/>
          <w:left w:w="0" w:type="dxa"/>
          <w:bottom w:w="0" w:type="dxa"/>
          <w:right w:w="0" w:type="dxa"/>
        </w:tblCellMar>
      </w:tblPr>
      <w:tblGrid>
        <w:gridCol w:w="5837"/>
        <w:gridCol w:w="4076"/>
      </w:tblGrid>
      <w:tr>
        <w:tblPrEx>
          <w:tblCellMar>
            <w:top w:w="0" w:type="dxa"/>
            <w:left w:w="0" w:type="dxa"/>
            <w:bottom w:w="0" w:type="dxa"/>
            <w:right w:w="0" w:type="dxa"/>
          </w:tblCellMar>
        </w:tblPrEx>
        <w:trPr>
          <w:trHeight w:val="720" w:hRule="atLeast"/>
        </w:trPr>
        <w:tc>
          <w:tcPr>
            <w:tcW w:w="9913" w:type="dxa"/>
            <w:gridSpan w:val="2"/>
            <w:tcBorders>
              <w:top w:val="single" w:color="auto" w:sz="4" w:space="0"/>
              <w:left w:val="single" w:color="000000" w:sz="4" w:space="0"/>
              <w:bottom w:val="nil"/>
              <w:right w:val="single" w:color="auto" w:sz="4" w:space="0"/>
            </w:tcBorders>
            <w:shd w:val="clear" w:color="auto" w:fill="auto"/>
            <w:tcMar>
              <w:top w:w="12" w:type="dxa"/>
              <w:left w:w="12" w:type="dxa"/>
              <w:right w:w="12" w:type="dxa"/>
            </w:tcMar>
          </w:tcPr>
          <w:p>
            <w:pPr>
              <w:widowControl/>
              <w:jc w:val="center"/>
              <w:textAlignment w:val="top"/>
              <w:rPr>
                <w:rFonts w:ascii="宋体" w:hAnsi="宋体" w:cs="宋体"/>
                <w:b/>
                <w:color w:val="000000"/>
                <w:sz w:val="28"/>
                <w:szCs w:val="28"/>
              </w:rPr>
            </w:pPr>
            <w:r>
              <w:rPr>
                <w:rFonts w:hint="eastAsia" w:ascii="宋体" w:hAnsi="宋体" w:cs="宋体"/>
                <w:b/>
                <w:color w:val="000000"/>
                <w:kern w:val="0"/>
                <w:sz w:val="28"/>
                <w:szCs w:val="28"/>
                <w:lang w:bidi="ar"/>
              </w:rPr>
              <w:t>中航信托·天启【2020】201号福州螺洲TOD项目股权投资集合资金信托计划</w:t>
            </w:r>
          </w:p>
        </w:tc>
      </w:tr>
      <w:tr>
        <w:tblPrEx>
          <w:tblCellMar>
            <w:top w:w="0" w:type="dxa"/>
            <w:left w:w="0" w:type="dxa"/>
            <w:bottom w:w="0" w:type="dxa"/>
            <w:right w:w="0" w:type="dxa"/>
          </w:tblCellMar>
        </w:tblPrEx>
        <w:trPr>
          <w:trHeight w:val="375" w:hRule="atLeast"/>
        </w:trPr>
        <w:tc>
          <w:tcPr>
            <w:tcW w:w="9913" w:type="dxa"/>
            <w:gridSpan w:val="2"/>
            <w:tcBorders>
              <w:top w:val="nil"/>
              <w:left w:val="single" w:color="000000" w:sz="4" w:space="0"/>
              <w:bottom w:val="nil"/>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cs="宋体"/>
                <w:b/>
                <w:color w:val="000000"/>
                <w:sz w:val="24"/>
                <w:szCs w:val="24"/>
              </w:rPr>
            </w:pPr>
            <w:r>
              <w:rPr>
                <w:rFonts w:hint="eastAsia" w:ascii="宋体" w:hAnsi="宋体" w:cs="宋体"/>
                <w:b/>
                <w:color w:val="000000"/>
                <w:kern w:val="0"/>
                <w:sz w:val="24"/>
                <w:szCs w:val="24"/>
                <w:lang w:bidi="ar"/>
              </w:rPr>
              <w:t>福州首融房地产开发有限公司螺洲TOD项目2021年</w:t>
            </w:r>
            <w:r>
              <w:rPr>
                <w:rFonts w:hint="eastAsia" w:ascii="宋体" w:hAnsi="宋体" w:cs="宋体"/>
                <w:b/>
                <w:color w:val="000000"/>
                <w:kern w:val="0"/>
                <w:sz w:val="24"/>
                <w:szCs w:val="24"/>
                <w:lang w:val="en-US" w:eastAsia="zh-CN" w:bidi="ar"/>
              </w:rPr>
              <w:t>11</w:t>
            </w:r>
            <w:r>
              <w:rPr>
                <w:rFonts w:hint="eastAsia" w:ascii="宋体" w:hAnsi="宋体" w:cs="宋体"/>
                <w:b/>
                <w:color w:val="000000"/>
                <w:kern w:val="0"/>
                <w:sz w:val="24"/>
                <w:szCs w:val="24"/>
                <w:lang w:bidi="ar"/>
              </w:rPr>
              <w:t>月资金计划</w:t>
            </w:r>
          </w:p>
        </w:tc>
      </w:tr>
      <w:tr>
        <w:tblPrEx>
          <w:tblCellMar>
            <w:top w:w="0" w:type="dxa"/>
            <w:left w:w="0" w:type="dxa"/>
            <w:bottom w:w="0" w:type="dxa"/>
            <w:right w:w="0" w:type="dxa"/>
          </w:tblCellMar>
        </w:tblPrEx>
        <w:trPr>
          <w:trHeight w:val="453" w:hRule="atLeast"/>
        </w:trPr>
        <w:tc>
          <w:tcPr>
            <w:tcW w:w="9913" w:type="dxa"/>
            <w:gridSpan w:val="2"/>
            <w:tcBorders>
              <w:top w:val="nil"/>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widowControl/>
              <w:ind w:firstLine="241" w:firstLineChars="100"/>
              <w:jc w:val="left"/>
              <w:textAlignment w:val="center"/>
              <w:rPr>
                <w:rFonts w:ascii="宋体" w:hAnsi="宋体" w:cs="宋体"/>
                <w:b/>
                <w:color w:val="000000"/>
                <w:sz w:val="24"/>
                <w:szCs w:val="24"/>
              </w:rPr>
            </w:pPr>
            <w:r>
              <w:rPr>
                <w:rFonts w:hint="eastAsia" w:ascii="宋体" w:hAnsi="宋体" w:cs="宋体"/>
                <w:b/>
                <w:color w:val="000000"/>
                <w:kern w:val="0"/>
                <w:sz w:val="24"/>
                <w:szCs w:val="24"/>
                <w:lang w:bidi="ar"/>
              </w:rPr>
              <w:t>编制单位：福州首融房地产开发有限公司                                   单位：万元</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pPr>
              <w:widowControl/>
              <w:jc w:val="center"/>
              <w:textAlignment w:val="top"/>
              <w:rPr>
                <w:rFonts w:ascii="宋体" w:hAnsi="宋体" w:cs="宋体"/>
                <w:b/>
                <w:color w:val="000000"/>
                <w:sz w:val="24"/>
                <w:szCs w:val="24"/>
              </w:rPr>
            </w:pPr>
            <w:r>
              <w:rPr>
                <w:rFonts w:hint="eastAsia" w:ascii="宋体" w:hAnsi="宋体" w:cs="宋体"/>
                <w:b/>
                <w:color w:val="000000"/>
                <w:kern w:val="0"/>
                <w:sz w:val="24"/>
                <w:szCs w:val="24"/>
                <w:lang w:bidi="ar"/>
              </w:rPr>
              <w:t>项目</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pPr>
              <w:widowControl/>
              <w:jc w:val="center"/>
              <w:textAlignment w:val="top"/>
              <w:rPr>
                <w:rFonts w:ascii="宋体" w:hAnsi="宋体" w:cs="宋体"/>
                <w:b/>
                <w:color w:val="000000"/>
                <w:sz w:val="24"/>
                <w:szCs w:val="24"/>
              </w:rPr>
            </w:pPr>
            <w:r>
              <w:rPr>
                <w:rFonts w:hint="eastAsia" w:ascii="宋体" w:hAnsi="宋体" w:cs="宋体"/>
                <w:b/>
                <w:color w:val="000000"/>
                <w:kern w:val="0"/>
                <w:sz w:val="24"/>
                <w:szCs w:val="24"/>
                <w:lang w:val="en-US" w:eastAsia="zh-CN" w:bidi="ar"/>
              </w:rPr>
              <w:t>11</w:t>
            </w:r>
            <w:r>
              <w:rPr>
                <w:rFonts w:hint="eastAsia" w:ascii="宋体" w:hAnsi="宋体" w:cs="宋体"/>
                <w:b/>
                <w:color w:val="000000"/>
                <w:kern w:val="0"/>
                <w:sz w:val="24"/>
                <w:szCs w:val="24"/>
                <w:lang w:bidi="ar"/>
              </w:rPr>
              <w:t>月计划金额</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 xml:space="preserve"> 土地款支出 </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pPr>
              <w:jc w:val="center"/>
              <w:rPr>
                <w:rFonts w:ascii="Arial" w:hAnsi="Arial" w:cs="Arial"/>
                <w:color w:val="auto"/>
                <w:sz w:val="24"/>
                <w:szCs w:val="24"/>
              </w:rPr>
            </w:pPr>
            <w:r>
              <w:rPr>
                <w:rFonts w:ascii="Arial" w:hAnsi="Arial" w:cs="Arial"/>
                <w:color w:val="auto"/>
                <w:sz w:val="24"/>
                <w:szCs w:val="24"/>
              </w:rPr>
              <w:t>-</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 xml:space="preserve"> 大配套支出 </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pPr>
              <w:jc w:val="center"/>
              <w:rPr>
                <w:rFonts w:ascii="Arial" w:hAnsi="Arial" w:cs="Arial"/>
                <w:color w:val="auto"/>
                <w:sz w:val="24"/>
                <w:szCs w:val="24"/>
              </w:rPr>
            </w:pPr>
            <w:r>
              <w:rPr>
                <w:rFonts w:ascii="Arial" w:hAnsi="Arial" w:cs="Arial"/>
                <w:color w:val="auto"/>
                <w:sz w:val="24"/>
                <w:szCs w:val="24"/>
              </w:rPr>
              <w:t>-</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 xml:space="preserve"> 工程款支出 </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default" w:ascii="Arial" w:hAnsi="Arial" w:cs="Arial"/>
                <w:bCs/>
                <w:color w:val="auto"/>
                <w:sz w:val="24"/>
                <w:szCs w:val="24"/>
                <w:lang w:val="en-US"/>
              </w:rPr>
            </w:pPr>
            <w:r>
              <w:rPr>
                <w:rFonts w:hint="eastAsia" w:ascii="Arial" w:hAnsi="Arial" w:cs="Arial"/>
                <w:bCs/>
                <w:color w:val="auto"/>
                <w:sz w:val="24"/>
                <w:szCs w:val="24"/>
                <w:lang w:val="en-US" w:eastAsia="zh-CN"/>
              </w:rPr>
              <w:t>859.04</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 xml:space="preserve"> 销售费用 </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default" w:ascii="Arial" w:hAnsi="Arial" w:cs="Arial"/>
                <w:bCs/>
                <w:color w:val="auto"/>
                <w:sz w:val="24"/>
                <w:szCs w:val="24"/>
                <w:lang w:val="en-US" w:eastAsia="zh-CN"/>
              </w:rPr>
            </w:pPr>
            <w:r>
              <w:rPr>
                <w:rFonts w:hint="eastAsia" w:ascii="Arial" w:hAnsi="Arial" w:cs="Arial"/>
                <w:bCs/>
                <w:color w:val="auto"/>
                <w:sz w:val="24"/>
                <w:szCs w:val="24"/>
                <w:lang w:val="en-US"/>
              </w:rPr>
              <w:t>152.49</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 xml:space="preserve"> 管理费用 </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default" w:ascii="Arial" w:hAnsi="Arial" w:cs="Arial"/>
                <w:bCs/>
                <w:color w:val="auto"/>
                <w:sz w:val="24"/>
                <w:szCs w:val="24"/>
                <w:lang w:val="en-US" w:eastAsia="zh-CN"/>
              </w:rPr>
            </w:pPr>
            <w:r>
              <w:rPr>
                <w:rFonts w:hint="eastAsia" w:ascii="Arial" w:hAnsi="Arial" w:cs="Arial"/>
                <w:bCs/>
                <w:color w:val="auto"/>
                <w:sz w:val="24"/>
                <w:szCs w:val="24"/>
                <w:lang w:val="en-US"/>
              </w:rPr>
              <w:t>10.40</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 xml:space="preserve"> 财务费用 </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pPr>
              <w:jc w:val="center"/>
              <w:rPr>
                <w:rFonts w:ascii="Arial" w:hAnsi="Arial" w:cs="Arial"/>
                <w:color w:val="auto"/>
                <w:sz w:val="24"/>
                <w:szCs w:val="24"/>
              </w:rPr>
            </w:pPr>
            <w:r>
              <w:rPr>
                <w:rFonts w:ascii="Arial" w:hAnsi="Arial" w:cs="Arial"/>
                <w:color w:val="auto"/>
                <w:sz w:val="24"/>
                <w:szCs w:val="24"/>
              </w:rPr>
              <w:t>-</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 xml:space="preserve"> 营业税金及附加 </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pPr>
              <w:jc w:val="center"/>
              <w:rPr>
                <w:rFonts w:ascii="Arial" w:hAnsi="Arial" w:cs="Arial"/>
                <w:color w:val="auto"/>
                <w:sz w:val="24"/>
                <w:szCs w:val="24"/>
              </w:rPr>
            </w:pPr>
            <w:r>
              <w:rPr>
                <w:rFonts w:ascii="Arial" w:hAnsi="Arial" w:cs="Arial"/>
                <w:color w:val="auto"/>
                <w:sz w:val="24"/>
                <w:szCs w:val="24"/>
              </w:rPr>
              <w:t>-</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 xml:space="preserve"> 土地增值税 </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Arial" w:hAnsi="Arial" w:cs="Arial"/>
                <w:color w:val="auto"/>
                <w:sz w:val="24"/>
                <w:szCs w:val="24"/>
              </w:rPr>
            </w:pPr>
            <w:r>
              <w:rPr>
                <w:rFonts w:ascii="Arial" w:hAnsi="Arial" w:cs="Arial"/>
                <w:color w:val="auto"/>
                <w:sz w:val="24"/>
                <w:szCs w:val="24"/>
              </w:rPr>
              <w:t>-</w:t>
            </w:r>
          </w:p>
        </w:tc>
      </w:tr>
      <w:tr>
        <w:tblPrEx>
          <w:tblCellMar>
            <w:top w:w="0" w:type="dxa"/>
            <w:left w:w="0" w:type="dxa"/>
            <w:bottom w:w="0" w:type="dxa"/>
            <w:right w:w="0" w:type="dxa"/>
          </w:tblCellMar>
        </w:tblPrEx>
        <w:trPr>
          <w:trHeight w:val="39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 xml:space="preserve"> 所得税 </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Arial" w:hAnsi="Arial" w:cs="Arial"/>
                <w:color w:val="auto"/>
                <w:sz w:val="24"/>
                <w:szCs w:val="24"/>
              </w:rPr>
            </w:pPr>
            <w:r>
              <w:rPr>
                <w:rFonts w:ascii="Arial" w:hAnsi="Arial" w:cs="Arial"/>
                <w:color w:val="auto"/>
                <w:sz w:val="24"/>
                <w:szCs w:val="24"/>
              </w:rPr>
              <w:t>-</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 xml:space="preserve"> 其他净支出 </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Arial" w:hAnsi="Arial" w:eastAsia="宋体" w:cs="Arial"/>
                <w:color w:val="auto"/>
                <w:sz w:val="24"/>
                <w:szCs w:val="24"/>
                <w:lang w:val="en-US" w:eastAsia="zh-CN"/>
              </w:rPr>
            </w:pPr>
            <w:r>
              <w:rPr>
                <w:rFonts w:hint="eastAsia" w:ascii="Arial" w:hAnsi="Arial" w:cs="Arial"/>
                <w:color w:val="auto"/>
                <w:sz w:val="24"/>
                <w:szCs w:val="24"/>
                <w:lang w:val="en-US" w:eastAsia="zh-CN"/>
              </w:rPr>
              <w:t>-</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 xml:space="preserve"> 与融创集团内各公司往来 </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Arial" w:hAnsi="Arial" w:cs="Arial"/>
                <w:color w:val="auto"/>
                <w:sz w:val="24"/>
                <w:szCs w:val="24"/>
              </w:rPr>
            </w:pPr>
            <w:r>
              <w:rPr>
                <w:rFonts w:hint="eastAsia" w:ascii="Arial" w:hAnsi="Arial" w:cs="Arial"/>
                <w:color w:val="auto"/>
                <w:sz w:val="24"/>
                <w:szCs w:val="24"/>
              </w:rPr>
              <w:t>-</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widowControl/>
              <w:jc w:val="center"/>
              <w:textAlignment w:val="center"/>
              <w:rPr>
                <w:rFonts w:ascii="宋体" w:hAnsi="宋体" w:cs="宋体"/>
                <w:b/>
                <w:color w:val="000000"/>
                <w:sz w:val="24"/>
                <w:szCs w:val="24"/>
              </w:rPr>
            </w:pPr>
            <w:r>
              <w:rPr>
                <w:rFonts w:hint="eastAsia" w:ascii="宋体" w:hAnsi="宋体" w:cs="宋体"/>
                <w:bCs/>
                <w:color w:val="000000"/>
                <w:sz w:val="24"/>
                <w:szCs w:val="24"/>
              </w:rPr>
              <w:t>不可预见费</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Arial" w:hAnsi="Arial" w:cs="Arial"/>
                <w:b/>
                <w:color w:val="auto"/>
                <w:sz w:val="24"/>
                <w:szCs w:val="24"/>
              </w:rPr>
            </w:pPr>
            <w:r>
              <w:rPr>
                <w:rFonts w:hint="eastAsia" w:ascii="Arial" w:hAnsi="Arial" w:cs="Arial"/>
                <w:bCs/>
                <w:color w:val="auto"/>
                <w:sz w:val="24"/>
                <w:szCs w:val="24"/>
                <w:lang w:val="en-US" w:eastAsia="zh-CN"/>
              </w:rPr>
              <w:t>1</w:t>
            </w:r>
            <w:r>
              <w:rPr>
                <w:rFonts w:ascii="Arial" w:hAnsi="Arial" w:cs="Arial"/>
                <w:bCs/>
                <w:color w:val="auto"/>
                <w:sz w:val="24"/>
                <w:szCs w:val="24"/>
              </w:rPr>
              <w:t>00.00</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widowControl/>
              <w:jc w:val="center"/>
              <w:textAlignment w:val="center"/>
              <w:rPr>
                <w:rFonts w:ascii="宋体" w:hAnsi="宋体" w:cs="宋体"/>
                <w:b/>
                <w:color w:val="000000"/>
                <w:sz w:val="24"/>
                <w:szCs w:val="24"/>
              </w:rPr>
            </w:pPr>
            <w:r>
              <w:rPr>
                <w:rFonts w:hint="eastAsia" w:ascii="宋体" w:hAnsi="宋体" w:cs="宋体"/>
                <w:b/>
                <w:color w:val="000000"/>
                <w:kern w:val="0"/>
                <w:sz w:val="24"/>
                <w:szCs w:val="24"/>
                <w:lang w:bidi="ar"/>
              </w:rPr>
              <w:t xml:space="preserve"> 资金流出小计 </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default" w:ascii="Arial" w:hAnsi="Arial" w:eastAsia="宋体" w:cs="Arial"/>
                <w:b/>
                <w:color w:val="FF0000"/>
                <w:sz w:val="24"/>
                <w:szCs w:val="24"/>
                <w:highlight w:val="none"/>
                <w:lang w:val="en-US" w:eastAsia="zh-CN"/>
              </w:rPr>
            </w:pPr>
            <w:r>
              <w:rPr>
                <w:rFonts w:hint="eastAsia" w:ascii="Arial" w:hAnsi="Arial" w:cs="Arial"/>
                <w:bCs/>
                <w:color w:val="auto"/>
                <w:sz w:val="24"/>
                <w:szCs w:val="24"/>
                <w:lang w:val="en-US" w:eastAsia="zh-CN"/>
              </w:rPr>
              <w:t>1,121.93</w:t>
            </w:r>
          </w:p>
        </w:tc>
      </w:tr>
    </w:tbl>
    <w:p>
      <w:pPr>
        <w:pStyle w:val="10"/>
        <w:spacing w:after="0" w:line="360" w:lineRule="auto"/>
        <w:ind w:firstLine="0" w:firstLineChars="0"/>
        <w:rPr>
          <w:rFonts w:ascii="宋体" w:hAnsi="宋体" w:cs="宋体"/>
          <w:b/>
          <w:sz w:val="24"/>
        </w:rPr>
      </w:pPr>
      <w:r>
        <w:rPr>
          <w:rFonts w:hint="eastAsia" w:ascii="Arial" w:hAnsi="Arial" w:cs="Arial"/>
          <w:bCs/>
          <w:sz w:val="15"/>
          <w:szCs w:val="13"/>
        </w:rPr>
        <w:t>注：上表采用电算化连续计算得出，由于计算数据均按四舍五入保留两位小数或取整，故可能出现个别加总不完全相等的情况。</w:t>
      </w:r>
    </w:p>
    <w:p>
      <w:pPr>
        <w:spacing w:before="156" w:beforeLines="50" w:after="156" w:afterLines="50"/>
        <w:rPr>
          <w:rFonts w:ascii="宋体" w:hAnsi="宋体"/>
          <w:b/>
          <w:sz w:val="24"/>
          <w:szCs w:val="24"/>
          <w:lang w:bidi="zh-CN"/>
        </w:rPr>
      </w:pPr>
    </w:p>
    <w:p>
      <w:pPr>
        <w:numPr>
          <w:ilvl w:val="0"/>
          <w:numId w:val="1"/>
        </w:numPr>
        <w:spacing w:before="156" w:beforeLines="50" w:after="156" w:afterLines="50"/>
        <w:ind w:firstLine="120" w:firstLineChars="50"/>
        <w:rPr>
          <w:rFonts w:ascii="宋体" w:hAnsi="宋体"/>
          <w:b/>
          <w:sz w:val="24"/>
          <w:szCs w:val="24"/>
          <w:lang w:bidi="zh-CN"/>
        </w:rPr>
      </w:pPr>
      <w:r>
        <w:rPr>
          <w:rFonts w:ascii="宋体" w:hAnsi="宋体"/>
          <w:b/>
          <w:sz w:val="24"/>
          <w:szCs w:val="24"/>
          <w:lang w:bidi="zh-CN"/>
        </w:rPr>
        <w:t>福州螺洲TOD项目公司</w:t>
      </w:r>
      <w:r>
        <w:rPr>
          <w:rFonts w:ascii="宋体" w:hAnsi="宋体"/>
          <w:b/>
          <w:sz w:val="24"/>
          <w:szCs w:val="24"/>
          <w:lang w:val="zh-CN" w:bidi="zh-CN"/>
        </w:rPr>
        <w:t>资金计划情况</w:t>
      </w:r>
      <w:r>
        <w:rPr>
          <w:rFonts w:ascii="宋体" w:hAnsi="宋体"/>
          <w:b/>
          <w:sz w:val="24"/>
          <w:szCs w:val="24"/>
          <w:lang w:bidi="zh-CN"/>
        </w:rPr>
        <w:t>审核说明</w:t>
      </w:r>
    </w:p>
    <w:p>
      <w:pPr>
        <w:spacing w:before="156" w:beforeLines="50" w:after="156" w:afterLines="50" w:line="360" w:lineRule="auto"/>
        <w:rPr>
          <w:rFonts w:ascii="宋体" w:hAnsi="宋体"/>
          <w:b/>
          <w:bCs/>
          <w:sz w:val="24"/>
          <w:szCs w:val="24"/>
          <w:lang w:bidi="zh-CN"/>
        </w:rPr>
      </w:pPr>
      <w:r>
        <w:rPr>
          <w:rFonts w:hint="eastAsia" w:ascii="宋体" w:hAnsi="宋体"/>
          <w:b/>
          <w:bCs/>
          <w:sz w:val="24"/>
          <w:szCs w:val="24"/>
          <w:lang w:bidi="zh-CN"/>
        </w:rPr>
        <w:t>（一）工程款资金支出计划说明</w:t>
      </w:r>
    </w:p>
    <w:p>
      <w:pPr>
        <w:spacing w:before="156" w:beforeLines="50" w:after="156" w:afterLines="50" w:line="360" w:lineRule="auto"/>
        <w:ind w:firstLine="480" w:firstLineChars="200"/>
        <w:rPr>
          <w:rFonts w:ascii="宋体" w:hAnsi="宋体"/>
          <w:bCs/>
          <w:color w:val="000000"/>
          <w:sz w:val="24"/>
          <w:szCs w:val="24"/>
          <w:lang w:bidi="zh-CN"/>
        </w:rPr>
      </w:pPr>
      <w:r>
        <w:rPr>
          <w:rFonts w:hint="eastAsia" w:ascii="宋体" w:hAnsi="宋体"/>
          <w:bCs/>
          <w:color w:val="000000"/>
          <w:sz w:val="24"/>
          <w:szCs w:val="24"/>
          <w:lang w:bidi="zh-CN"/>
        </w:rPr>
        <w:t>项目公司在2021年</w:t>
      </w:r>
      <w:r>
        <w:rPr>
          <w:rFonts w:hint="eastAsia" w:ascii="宋体" w:hAnsi="宋体"/>
          <w:bCs/>
          <w:color w:val="000000"/>
          <w:sz w:val="24"/>
          <w:szCs w:val="24"/>
          <w:lang w:val="en-US" w:bidi="zh-CN"/>
        </w:rPr>
        <w:t>11</w:t>
      </w:r>
      <w:r>
        <w:rPr>
          <w:rFonts w:hint="eastAsia" w:ascii="宋体" w:hAnsi="宋体"/>
          <w:bCs/>
          <w:color w:val="000000"/>
          <w:sz w:val="24"/>
          <w:szCs w:val="24"/>
          <w:lang w:bidi="zh-CN"/>
        </w:rPr>
        <w:t>月工程款计划支出金</w:t>
      </w:r>
      <w:r>
        <w:rPr>
          <w:rFonts w:hint="eastAsia" w:ascii="宋体" w:hAnsi="宋体"/>
          <w:bCs/>
          <w:color w:val="auto"/>
          <w:sz w:val="24"/>
          <w:szCs w:val="24"/>
          <w:lang w:bidi="zh-CN"/>
        </w:rPr>
        <w:t>额共计</w:t>
      </w:r>
      <w:r>
        <w:rPr>
          <w:rFonts w:hint="eastAsia" w:ascii="宋体" w:hAnsi="宋体"/>
          <w:color w:val="auto"/>
          <w:sz w:val="24"/>
          <w:szCs w:val="24"/>
          <w:lang w:val="en-US" w:eastAsia="zh-CN"/>
        </w:rPr>
        <w:t>859.04</w:t>
      </w:r>
      <w:r>
        <w:rPr>
          <w:rFonts w:hint="eastAsia" w:ascii="宋体" w:hAnsi="宋体"/>
          <w:bCs/>
          <w:color w:val="auto"/>
          <w:sz w:val="24"/>
          <w:szCs w:val="24"/>
          <w:lang w:bidi="zh-CN"/>
        </w:rPr>
        <w:t>万元,具</w:t>
      </w:r>
      <w:r>
        <w:rPr>
          <w:rFonts w:hint="eastAsia" w:ascii="宋体" w:hAnsi="宋体"/>
          <w:bCs/>
          <w:sz w:val="24"/>
          <w:szCs w:val="24"/>
          <w:lang w:bidi="zh-CN"/>
        </w:rPr>
        <w:t>体分析</w:t>
      </w:r>
      <w:r>
        <w:rPr>
          <w:rFonts w:hint="eastAsia" w:ascii="宋体" w:hAnsi="宋体"/>
          <w:bCs/>
          <w:color w:val="000000"/>
          <w:sz w:val="24"/>
          <w:szCs w:val="24"/>
          <w:lang w:bidi="zh-CN"/>
        </w:rPr>
        <w:t>如下：</w:t>
      </w:r>
    </w:p>
    <w:p>
      <w:pPr>
        <w:pStyle w:val="14"/>
        <w:numPr>
          <w:ilvl w:val="0"/>
          <w:numId w:val="2"/>
        </w:numPr>
        <w:spacing w:before="156" w:beforeLines="50" w:after="156" w:afterLines="50" w:line="360" w:lineRule="auto"/>
        <w:ind w:firstLineChars="0"/>
        <w:rPr>
          <w:rFonts w:ascii="宋体" w:hAnsi="宋体"/>
          <w:bCs/>
          <w:sz w:val="24"/>
          <w:szCs w:val="24"/>
          <w:lang w:bidi="zh-CN"/>
        </w:rPr>
      </w:pPr>
      <w:r>
        <w:rPr>
          <w:rFonts w:hint="eastAsia" w:ascii="宋体" w:hAnsi="宋体"/>
          <w:bCs/>
          <w:sz w:val="24"/>
          <w:szCs w:val="24"/>
          <w:lang w:val="en-US" w:bidi="zh-CN"/>
        </w:rPr>
        <w:t>根据2021年8月5日与福建天天优运输有限公司签订的《土方工程合同》，提供公路设计施工图、设计总平面布置图、竖向布置图、招投标文件、会议交底纪要等进行内容工作；合同总价6,823,287.2元。(1)发包人在办理每一次付款手续前，承包人须向发包人开具与当期已完工并完成对应核算产值每次按确认产值的80%支付。（2）竣工款付款金额：有回填土方的按：地下室封闭，结构到正负零，支付至已完合同金额（不含回填土部分价款）的90%。无回填土方的按：土石方工程竣工验收合格后支付至已完合同金额的90%。（3）结算款付款金额：结算完成且承包人开具结算总价100%足额合法有效的增值税专用发票后支付至结算总价的95%，结算额的5%作为保修金。保修金按照《工程质量保修协议》相应条款执行。（4）发包人对按合同约定留取的任何保留金、保修金均无投资及增值义务，该等保留金、保修金将按合同约定的时间及方式无息支付。结算款付款金额：结算完成且承包人开具结算总价100%足额合法有效的增值税专用发票后支付至结算总价的95%，结算额的5%作为保修金。本期申请按确认产值的80%支付，预计已完成产值187.50万元，即150万元；本期计划付款150万元。符合合同约定付款。</w:t>
      </w:r>
    </w:p>
    <w:p>
      <w:pPr>
        <w:pStyle w:val="14"/>
        <w:numPr>
          <w:ilvl w:val="0"/>
          <w:numId w:val="2"/>
        </w:numPr>
        <w:spacing w:before="156" w:beforeLines="50" w:after="156" w:afterLines="50" w:line="360" w:lineRule="auto"/>
        <w:ind w:firstLineChars="0"/>
        <w:rPr>
          <w:rFonts w:ascii="宋体" w:hAnsi="宋体"/>
          <w:bCs/>
          <w:sz w:val="24"/>
          <w:szCs w:val="24"/>
          <w:lang w:bidi="zh-CN"/>
        </w:rPr>
      </w:pPr>
      <w:r>
        <w:rPr>
          <w:rFonts w:hint="eastAsia" w:ascii="宋体" w:hAnsi="宋体"/>
          <w:bCs/>
          <w:sz w:val="24"/>
          <w:szCs w:val="24"/>
          <w:lang w:val="en-US" w:bidi="zh-CN"/>
        </w:rPr>
        <w:t>根据2021年8月25日与福建省凡士建设集团有限公司签订的《B+C地块总承包工程（含机电）合同》，提供项目B+C地块总承包工程（含机电）；合同总价340,515,610.19元。按月度付款（安全文明施工费与实体工程款等比例支付）：每月完成相应节点工程且达到合同约定的质量标准后，①地下室底板完成付款一次，顶板完成付款一次，按确认产值的80%支付；②上部按月进度对应产值的80％；③竣工验收合格，取得竣工验收备案证，填写《工程质量保证书》并向发包人交钥匙和完成物业移交手续以后支付至已完合同金额的85%；④结算完成后支付至结算总价的95%，但开具100%足额增值税专用发票，结算额的5%作为保修金；未按100%支付的产值及预留的保修款均不计息；⑤措施费（除去总包配合费及分包人施工用水、用电）与实体工程款等比例支付；⑥总包配合费及分包人施工用水、用电分两次支付，主体结顶后支付30%，竣备后支付70%；⑦保修金按照《工程质量保修协议》要求支付；⑧总包闭口前按模拟清单对应金额进行支付，闭口后第一次付款按补充协议金额统一调整。</w:t>
      </w:r>
      <w:r>
        <w:rPr>
          <w:rFonts w:hint="eastAsia" w:ascii="宋体" w:hAnsi="宋体"/>
          <w:bCs/>
          <w:color w:val="auto"/>
          <w:sz w:val="24"/>
          <w:szCs w:val="24"/>
          <w:lang w:val="en-US" w:bidi="zh-CN"/>
        </w:rPr>
        <w:t>累计已完成付款2,546,045.94元；本期预计付款</w:t>
      </w:r>
      <w:r>
        <w:rPr>
          <w:rFonts w:hint="eastAsia" w:ascii="宋体" w:hAnsi="宋体"/>
          <w:bCs/>
          <w:sz w:val="24"/>
          <w:szCs w:val="24"/>
          <w:lang w:val="en-US" w:bidi="zh-CN"/>
        </w:rPr>
        <w:t>完成工程量4,375,000.00元,上部按月进度对应产值的80％支付；本期计划付款3,500,000.00元。符合合同约定付款。</w:t>
      </w:r>
    </w:p>
    <w:p>
      <w:pPr>
        <w:pStyle w:val="14"/>
        <w:numPr>
          <w:ilvl w:val="0"/>
          <w:numId w:val="2"/>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bidi="zh-CN"/>
        </w:rPr>
        <w:t>根据2020年11月26日与嘉博联合设计股份有限公司签订的《建设工程设计合同（施工图阶段）》，提供为云洲郡提供建设工程施工图阶段设计服务；合同总价10,497,000元。本合同生效后支付设计费总额的10%，即1,049,700.00元作为预付款（本合同履行后，该款项抵作设计费）;2、提交初步设计成果文件经审核确认并获取外部批复后，支付设计费总额的20%，计2,099,400.00元；3、设计人提交完整施工图成果文件经审核确认并完成施工图纸会审后，支付设计费总额的40%，计4,198,800.00元;4、完成室外总体，市政配套，精装等配合服务工作成果后并经审核确认后，支付设计费总额的1,574,550.00元。5、 结构封顶后，经审核确认后，支付设计费总额的10%，计1,049,700.00元（提供设计费总额100%，否则发包人有权拒付款）；6、在竣工备案后20天内进行结算，在确认完成各项设计任务及施工配合工作后，且设计人无任何违约的前提下，在结算完毕后一次性结清设计费余款。累计已完成付款3</w:t>
      </w:r>
      <w:r>
        <w:rPr>
          <w:rFonts w:hint="eastAsia" w:ascii="宋体" w:hAnsi="宋体"/>
          <w:bCs/>
          <w:color w:val="000000"/>
          <w:sz w:val="24"/>
          <w:szCs w:val="24"/>
          <w:lang w:val="en-US" w:bidi="zh-CN"/>
        </w:rPr>
        <w:t>,</w:t>
      </w:r>
      <w:r>
        <w:rPr>
          <w:rFonts w:hint="eastAsia" w:ascii="宋体" w:hAnsi="宋体"/>
          <w:bCs/>
          <w:color w:val="000000"/>
          <w:sz w:val="24"/>
          <w:szCs w:val="24"/>
          <w:lang w:bidi="zh-CN"/>
        </w:rPr>
        <w:t>568</w:t>
      </w:r>
      <w:r>
        <w:rPr>
          <w:rFonts w:hint="eastAsia" w:ascii="宋体" w:hAnsi="宋体"/>
          <w:bCs/>
          <w:color w:val="000000"/>
          <w:sz w:val="24"/>
          <w:szCs w:val="24"/>
          <w:lang w:val="en-US" w:bidi="zh-CN"/>
        </w:rPr>
        <w:t>,</w:t>
      </w:r>
      <w:r>
        <w:rPr>
          <w:rFonts w:hint="eastAsia" w:ascii="宋体" w:hAnsi="宋体"/>
          <w:bCs/>
          <w:color w:val="000000"/>
          <w:sz w:val="24"/>
          <w:szCs w:val="24"/>
          <w:lang w:bidi="zh-CN"/>
        </w:rPr>
        <w:t>980</w:t>
      </w:r>
      <w:r>
        <w:rPr>
          <w:rFonts w:hint="eastAsia" w:ascii="宋体" w:hAnsi="宋体"/>
          <w:bCs/>
          <w:color w:val="000000"/>
          <w:sz w:val="24"/>
          <w:szCs w:val="24"/>
          <w:lang w:val="en-US" w:bidi="zh-CN"/>
        </w:rPr>
        <w:t>.00</w:t>
      </w:r>
      <w:r>
        <w:rPr>
          <w:rFonts w:hint="eastAsia" w:ascii="宋体" w:hAnsi="宋体"/>
          <w:bCs/>
          <w:color w:val="000000"/>
          <w:sz w:val="24"/>
          <w:szCs w:val="24"/>
          <w:lang w:bidi="zh-CN"/>
        </w:rPr>
        <w:t>元；本期设计人提交完整施工图成果文件经审核确认并完成施工图纸会审后，计划支付设计费总额的40%，计4,198,800.00元，</w:t>
      </w:r>
      <w:r>
        <w:rPr>
          <w:rFonts w:hint="eastAsia" w:ascii="宋体" w:hAnsi="宋体"/>
          <w:bCs/>
          <w:color w:val="000000"/>
          <w:sz w:val="24"/>
          <w:szCs w:val="24"/>
          <w:lang w:val="en-US" w:bidi="zh-CN"/>
        </w:rPr>
        <w:t>2021年8月份已完成付款部分419,880.00元，本期计划付款1,659,040.00元</w:t>
      </w:r>
      <w:r>
        <w:rPr>
          <w:rFonts w:hint="eastAsia" w:ascii="宋体" w:hAnsi="宋体"/>
          <w:bCs/>
          <w:color w:val="000000"/>
          <w:sz w:val="24"/>
          <w:szCs w:val="24"/>
          <w:lang w:bidi="zh-CN"/>
        </w:rPr>
        <w:t>；符合合同约定付款。</w:t>
      </w:r>
    </w:p>
    <w:p>
      <w:pPr>
        <w:pStyle w:val="14"/>
        <w:numPr>
          <w:ilvl w:val="0"/>
          <w:numId w:val="2"/>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val="en-US" w:bidi="zh-CN"/>
        </w:rPr>
        <w:t>根据2021年6月21日与上海中房建筑设计有限公司签订的《云洲郡建设工程设计合同（方案阶段）+补充协议》，修改成果的提交本轮所有方案报批所需的修改设计成果；合同总价7,129,242.00元，补充协议总价为900,000.00元。主合同已完成付款6,772,778.00元；补充协议部分，在完成报批且本合同生效后10个工作日内，收到税率6%合法增值税专用发票，一次性支付设计费用90万元，本期申请付款900,000.00元。符合合同约定付款。</w:t>
      </w:r>
    </w:p>
    <w:p>
      <w:pPr>
        <w:pStyle w:val="14"/>
        <w:numPr>
          <w:ilvl w:val="0"/>
          <w:numId w:val="2"/>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val="en-US" w:bidi="zh-CN"/>
        </w:rPr>
        <w:t>根据2021年1月25日与福建天正建筑工程施工图审查事务有限公司签订的《云洲郡项目门窗幕墙施工图审查合同》，委托承担工程施工图文件审查任务；合同总价81,337.5元。完成本工程后十个工作日内，甲方一次性付清施工图文件审查费用。本期已完成合同约定审查事务，计划付款81,337.5元。符合合同约定付款。</w:t>
      </w:r>
    </w:p>
    <w:p>
      <w:pPr>
        <w:pStyle w:val="14"/>
        <w:numPr>
          <w:ilvl w:val="0"/>
          <w:numId w:val="2"/>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val="en-US" w:bidi="zh-CN"/>
        </w:rPr>
        <w:t>根据2020年12月7日与荷于景观设计咨询（上海）有限公司签订的《云洲郡景观（方案-施工图）设计合同》，委托为云洲郡项目（方案-施工图）设计合同提供概念设计、方案设计、扩初设计、施工图设计、施工现场服务；合同总价3,800,000.00元。预付款：合同总额的15%，概念设计：合同总额的5%；方案深化：合同总额的25%；扩初设计：合同总额的25%；施工图设计：合同总额的20%；施工现场服务：合同总额的10%。已完成付款1,710,000.00元；本期完成扩初设计，支付合同总额的25%，计950,000.00元。符合合同约定付款。</w:t>
      </w:r>
    </w:p>
    <w:p>
      <w:pPr>
        <w:spacing w:before="156" w:beforeLines="50" w:after="156" w:afterLines="50" w:line="360" w:lineRule="auto"/>
        <w:ind w:firstLine="480" w:firstLineChars="200"/>
        <w:rPr>
          <w:rFonts w:ascii="宋体" w:hAnsi="宋体"/>
          <w:bCs/>
          <w:color w:val="000000"/>
          <w:sz w:val="24"/>
          <w:szCs w:val="24"/>
          <w:lang w:bidi="zh-CN"/>
        </w:rPr>
      </w:pPr>
      <w:r>
        <w:rPr>
          <w:rFonts w:hint="eastAsia" w:ascii="宋体" w:hAnsi="宋体"/>
          <w:bCs/>
          <w:color w:val="000000"/>
          <w:sz w:val="24"/>
          <w:szCs w:val="24"/>
          <w:lang w:bidi="zh-CN"/>
        </w:rPr>
        <w:t>经审核，本月工程款涉及的合同中</w:t>
      </w:r>
      <w:r>
        <w:rPr>
          <w:rFonts w:hint="eastAsia" w:ascii="宋体" w:hAnsi="宋体"/>
          <w:bCs/>
          <w:color w:val="000000"/>
          <w:sz w:val="24"/>
          <w:szCs w:val="24"/>
          <w:lang w:val="en-US" w:bidi="zh-CN"/>
        </w:rPr>
        <w:t>6</w:t>
      </w:r>
      <w:r>
        <w:rPr>
          <w:rFonts w:hint="eastAsia" w:ascii="宋体" w:hAnsi="宋体"/>
          <w:bCs/>
          <w:color w:val="000000"/>
          <w:sz w:val="24"/>
          <w:szCs w:val="24"/>
          <w:lang w:bidi="zh-CN"/>
        </w:rPr>
        <w:t>项已经签订。根据项目公司提供的《项目开发节奏表》，上述计划支付内容与计划开发进度基本相符，我司认为</w:t>
      </w:r>
      <w:r>
        <w:rPr>
          <w:rFonts w:hint="eastAsia" w:ascii="宋体" w:hAnsi="宋体"/>
          <w:bCs/>
          <w:color w:val="000000"/>
          <w:sz w:val="24"/>
          <w:szCs w:val="24"/>
          <w:lang w:val="en-US" w:bidi="zh-CN"/>
        </w:rPr>
        <w:t>11</w:t>
      </w:r>
      <w:r>
        <w:rPr>
          <w:rFonts w:hint="eastAsia" w:ascii="宋体" w:hAnsi="宋体"/>
          <w:bCs/>
          <w:color w:val="000000"/>
          <w:sz w:val="24"/>
          <w:szCs w:val="24"/>
          <w:lang w:bidi="zh-CN"/>
        </w:rPr>
        <w:t>月项目公司有关工程款支出的资金计划编制合理。后期我司会对合同签订严格把控，实际支付时，我司会对付款申请、发票、流程、工程合同、现场签证等依据进行审核、计算，根据实际情况复核付款的合理性、合规性。</w:t>
      </w:r>
    </w:p>
    <w:p>
      <w:pPr>
        <w:spacing w:before="156" w:beforeLines="50" w:after="156" w:afterLines="50" w:line="360" w:lineRule="auto"/>
        <w:rPr>
          <w:rFonts w:ascii="宋体" w:hAnsi="宋体"/>
          <w:b/>
          <w:bCs/>
          <w:sz w:val="24"/>
          <w:szCs w:val="24"/>
          <w:lang w:bidi="zh-CN"/>
        </w:rPr>
      </w:pPr>
      <w:r>
        <w:rPr>
          <w:rFonts w:hint="eastAsia" w:ascii="宋体" w:hAnsi="宋体"/>
          <w:b/>
          <w:bCs/>
          <w:sz w:val="24"/>
          <w:szCs w:val="24"/>
          <w:lang w:bidi="zh-CN"/>
        </w:rPr>
        <w:t>（二）销售费用资金支出计划说明</w:t>
      </w:r>
    </w:p>
    <w:p>
      <w:pPr>
        <w:spacing w:before="156" w:beforeLines="50" w:after="156" w:afterLines="50" w:line="360" w:lineRule="auto"/>
        <w:ind w:firstLine="480" w:firstLineChars="200"/>
        <w:rPr>
          <w:rFonts w:ascii="宋体" w:hAnsi="宋体"/>
          <w:bCs/>
          <w:color w:val="000000"/>
          <w:sz w:val="24"/>
          <w:szCs w:val="24"/>
          <w:lang w:bidi="zh-CN"/>
        </w:rPr>
      </w:pPr>
      <w:r>
        <w:rPr>
          <w:rFonts w:hint="eastAsia" w:ascii="宋体" w:hAnsi="宋体"/>
          <w:bCs/>
          <w:color w:val="000000"/>
          <w:sz w:val="24"/>
          <w:szCs w:val="24"/>
          <w:lang w:bidi="zh-CN"/>
        </w:rPr>
        <w:t>项目公司计划</w:t>
      </w:r>
      <w:r>
        <w:rPr>
          <w:rFonts w:hint="eastAsia" w:ascii="宋体" w:hAnsi="宋体"/>
          <w:bCs/>
          <w:color w:val="000000"/>
          <w:sz w:val="24"/>
          <w:szCs w:val="24"/>
          <w:lang w:val="en-US" w:bidi="zh-CN"/>
        </w:rPr>
        <w:t>11</w:t>
      </w:r>
      <w:r>
        <w:rPr>
          <w:rFonts w:hint="eastAsia" w:ascii="宋体" w:hAnsi="宋体"/>
          <w:bCs/>
          <w:color w:val="000000"/>
          <w:sz w:val="24"/>
          <w:szCs w:val="24"/>
          <w:lang w:bidi="zh-CN"/>
        </w:rPr>
        <w:t>月的销售</w:t>
      </w:r>
      <w:r>
        <w:rPr>
          <w:rFonts w:hint="eastAsia" w:ascii="宋体" w:hAnsi="宋体"/>
          <w:bCs/>
          <w:sz w:val="24"/>
          <w:szCs w:val="24"/>
          <w:lang w:bidi="zh-CN"/>
        </w:rPr>
        <w:t>费用支</w:t>
      </w:r>
      <w:r>
        <w:rPr>
          <w:rFonts w:hint="eastAsia" w:ascii="宋体" w:hAnsi="宋体"/>
          <w:bCs/>
          <w:color w:val="auto"/>
          <w:sz w:val="24"/>
          <w:szCs w:val="24"/>
          <w:lang w:bidi="zh-CN"/>
        </w:rPr>
        <w:t>出共</w:t>
      </w:r>
      <w:r>
        <w:rPr>
          <w:rFonts w:hint="eastAsia" w:ascii="宋体" w:hAnsi="宋体"/>
          <w:bCs/>
          <w:color w:val="auto"/>
          <w:sz w:val="24"/>
          <w:szCs w:val="24"/>
          <w:lang w:val="en-US" w:bidi="zh-CN"/>
        </w:rPr>
        <w:t>28</w:t>
      </w:r>
      <w:r>
        <w:rPr>
          <w:rFonts w:hint="eastAsia" w:ascii="宋体" w:hAnsi="宋体"/>
          <w:bCs/>
          <w:color w:val="auto"/>
          <w:sz w:val="24"/>
          <w:szCs w:val="24"/>
          <w:lang w:bidi="zh-CN"/>
        </w:rPr>
        <w:t>笔，</w:t>
      </w:r>
      <w:r>
        <w:rPr>
          <w:rFonts w:hint="eastAsia" w:ascii="宋体" w:hAnsi="宋体"/>
          <w:bCs/>
          <w:color w:val="auto"/>
          <w:sz w:val="24"/>
          <w:szCs w:val="24"/>
          <w:lang w:bidi="zh-CN"/>
        </w:rPr>
        <w:t>共计</w:t>
      </w:r>
      <w:r>
        <w:rPr>
          <w:rFonts w:hint="eastAsia" w:ascii="宋体" w:hAnsi="宋体"/>
          <w:bCs/>
          <w:color w:val="auto"/>
          <w:sz w:val="24"/>
          <w:szCs w:val="24"/>
          <w:lang w:val="en-US" w:bidi="zh-CN"/>
        </w:rPr>
        <w:t>152.49</w:t>
      </w:r>
      <w:r>
        <w:rPr>
          <w:rFonts w:hint="eastAsia" w:ascii="宋体" w:hAnsi="宋体"/>
          <w:bCs/>
          <w:color w:val="auto"/>
          <w:sz w:val="24"/>
          <w:szCs w:val="24"/>
          <w:lang w:bidi="zh-CN"/>
        </w:rPr>
        <w:t>万元</w:t>
      </w:r>
      <w:r>
        <w:rPr>
          <w:rFonts w:hint="eastAsia" w:ascii="宋体" w:hAnsi="宋体"/>
          <w:bCs/>
          <w:color w:val="auto"/>
          <w:sz w:val="24"/>
          <w:szCs w:val="24"/>
          <w:lang w:bidi="zh-CN"/>
        </w:rPr>
        <w:t>，包括营销部</w:t>
      </w:r>
      <w:r>
        <w:rPr>
          <w:rFonts w:hint="eastAsia" w:ascii="宋体" w:hAnsi="宋体"/>
          <w:bCs/>
          <w:color w:val="000000"/>
          <w:sz w:val="24"/>
          <w:szCs w:val="24"/>
          <w:lang w:bidi="zh-CN"/>
        </w:rPr>
        <w:t>员工的工资、奖金、福利及餐费报销以及广告宣传等费用，具体分析如下：</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val="en-US" w:bidi="zh-CN"/>
        </w:rPr>
        <w:t>根据2021年3月12日与杭州捷群广告有限公司签订的《螺洲TOD项目2021年度广告服务合同》，提供广告营销策划（不包括微信服务）；合同总价132万元。累计已完成付款</w:t>
      </w:r>
      <w:r>
        <w:rPr>
          <w:rFonts w:hint="eastAsia" w:ascii="宋体" w:hAnsi="宋体"/>
          <w:bCs/>
          <w:color w:val="auto"/>
          <w:sz w:val="24"/>
          <w:szCs w:val="24"/>
          <w:lang w:val="en-US" w:bidi="zh-CN"/>
        </w:rPr>
        <w:t>66万元</w:t>
      </w:r>
      <w:r>
        <w:rPr>
          <w:rFonts w:hint="eastAsia" w:ascii="宋体" w:hAnsi="宋体"/>
          <w:bCs/>
          <w:color w:val="000000"/>
          <w:sz w:val="24"/>
          <w:szCs w:val="24"/>
          <w:lang w:val="en-US" w:bidi="zh-CN"/>
        </w:rPr>
        <w:t>，甲方提取每月服务费的10%作为月度绩效服务费。本期计划支付8月份的服务费11万元。符合合同约定付款。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val="en-US" w:bidi="zh-CN"/>
        </w:rPr>
        <w:t>2020年11月19日与上海良晓信息科技有限公司签订的《TOD项目多媒体展厅服务合同》，展厅设计制作及安装服务；合同总价292万元。完成方案设计服务付至合同总价的10%；完成软硬件深化阶段，支付至合同总价的30%；完成硬件采购阶段，支付至合同总价的50%；完成安装与施工阶段服务，支付至合同总价的70%；完成软硬件现场调试，支付至合同总价的95%；软硬件完成验收并履行完毕质保义务，支付至合同总价的100%。累计已完成付款254.4万元，本期完成软硬件现场调试，支付至合同总价的95%；剩余可付款23万元，本期计划付款10万元。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val="en-US" w:bidi="zh-CN"/>
        </w:rPr>
        <w:t>根据2021年2月8日与杭州玳数科技有限公司签订的《智慧屏软件采购及技术服务合同》，采购软件产品并要求乙方在产品基础上按照甲方要求进行定制程序化开发；合同总价59.97万元。于合同签订之日起15个工作日内，向乙方支付合同总金额的60%；试点上线完成，并签署《项目试点上线眼熟报告》，支付合同总价25%；推广上线完成满3个月后，验收合格并签署《项目验收报告》，支付合同总价的10%；1年运维期届满，支付合同总价的5%。累计已完成付款35.98万元。已试点、推广上线，本期支付35%，即20.99万元。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计划支付给福建九宫格纸制品有限公司</w:t>
      </w:r>
      <w:r>
        <w:rPr>
          <w:rFonts w:hint="eastAsia" w:ascii="宋体" w:hAnsi="宋体"/>
          <w:bCs/>
          <w:color w:val="000000"/>
          <w:sz w:val="24"/>
          <w:szCs w:val="24"/>
          <w:lang w:val="en-US" w:bidi="zh-CN"/>
        </w:rPr>
        <w:t>名片及折页</w:t>
      </w:r>
      <w:r>
        <w:rPr>
          <w:rFonts w:hint="eastAsia" w:ascii="宋体" w:hAnsi="宋体"/>
          <w:bCs/>
          <w:color w:val="000000"/>
          <w:sz w:val="24"/>
          <w:szCs w:val="24"/>
          <w:lang w:bidi="zh-CN"/>
        </w:rPr>
        <w:t>费用</w:t>
      </w:r>
      <w:r>
        <w:rPr>
          <w:rFonts w:hint="eastAsia" w:ascii="宋体" w:hAnsi="宋体"/>
          <w:bCs/>
          <w:color w:val="000000"/>
          <w:sz w:val="24"/>
          <w:szCs w:val="24"/>
          <w:lang w:val="en-US" w:bidi="zh-CN"/>
        </w:rPr>
        <w:t>0.42</w:t>
      </w:r>
      <w:r>
        <w:rPr>
          <w:rFonts w:hint="eastAsia" w:ascii="宋体" w:hAnsi="宋体"/>
          <w:bCs/>
          <w:color w:val="000000"/>
          <w:sz w:val="24"/>
          <w:szCs w:val="24"/>
          <w:lang w:bidi="zh-CN"/>
        </w:rPr>
        <w:t>万元，</w:t>
      </w:r>
      <w:r>
        <w:rPr>
          <w:rFonts w:hint="eastAsia" w:ascii="宋体" w:hAnsi="宋体"/>
          <w:bCs/>
          <w:color w:val="000000"/>
          <w:sz w:val="24"/>
          <w:szCs w:val="24"/>
          <w:lang w:val="en-US" w:bidi="zh-CN"/>
        </w:rPr>
        <w:t>实消实报，</w:t>
      </w:r>
      <w:r>
        <w:rPr>
          <w:rFonts w:hint="eastAsia" w:ascii="宋体" w:hAnsi="宋体"/>
          <w:bCs/>
          <w:color w:val="000000"/>
          <w:sz w:val="24"/>
          <w:szCs w:val="24"/>
          <w:lang w:bidi="zh-CN"/>
        </w:rPr>
        <w:t>具体支付金额以实际签订的协议及完成产值为准</w:t>
      </w:r>
      <w:r>
        <w:rPr>
          <w:rFonts w:hint="eastAsia" w:ascii="宋体" w:hAnsi="宋体"/>
          <w:bCs/>
          <w:color w:val="000000"/>
          <w:sz w:val="24"/>
          <w:szCs w:val="24"/>
          <w:lang w:val="en-US" w:bidi="zh-CN"/>
        </w:rPr>
        <w:t>。</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计划支付给厦门图易文化传播有限公司</w:t>
      </w:r>
      <w:r>
        <w:rPr>
          <w:rFonts w:hint="eastAsia" w:ascii="宋体" w:hAnsi="宋体"/>
          <w:bCs/>
          <w:color w:val="000000"/>
          <w:sz w:val="24"/>
          <w:szCs w:val="24"/>
          <w:lang w:val="en-US" w:bidi="zh-CN"/>
        </w:rPr>
        <w:t>的媒体灯箱</w:t>
      </w:r>
      <w:r>
        <w:rPr>
          <w:rFonts w:hint="eastAsia" w:ascii="宋体" w:hAnsi="宋体"/>
          <w:bCs/>
          <w:color w:val="000000"/>
          <w:sz w:val="24"/>
          <w:szCs w:val="24"/>
          <w:lang w:bidi="zh-CN"/>
        </w:rPr>
        <w:t>费用</w:t>
      </w:r>
      <w:r>
        <w:rPr>
          <w:rFonts w:hint="eastAsia" w:ascii="宋体" w:hAnsi="宋体"/>
          <w:bCs/>
          <w:color w:val="000000"/>
          <w:sz w:val="24"/>
          <w:szCs w:val="24"/>
          <w:lang w:val="en-US" w:bidi="zh-CN"/>
        </w:rPr>
        <w:t>0.15</w:t>
      </w:r>
      <w:r>
        <w:rPr>
          <w:rFonts w:hint="eastAsia" w:ascii="宋体" w:hAnsi="宋体"/>
          <w:bCs/>
          <w:color w:val="000000"/>
          <w:sz w:val="24"/>
          <w:szCs w:val="24"/>
          <w:lang w:bidi="zh-CN"/>
        </w:rPr>
        <w:t>万元，</w:t>
      </w:r>
      <w:r>
        <w:rPr>
          <w:rFonts w:hint="eastAsia" w:ascii="宋体" w:hAnsi="宋体"/>
          <w:bCs/>
          <w:color w:val="000000"/>
          <w:sz w:val="24"/>
          <w:szCs w:val="24"/>
          <w:lang w:val="en-US" w:bidi="zh-CN"/>
        </w:rPr>
        <w:t>实消实报，</w:t>
      </w:r>
      <w:r>
        <w:rPr>
          <w:rFonts w:hint="eastAsia" w:ascii="宋体" w:hAnsi="宋体"/>
          <w:bCs/>
          <w:color w:val="000000"/>
          <w:sz w:val="24"/>
          <w:szCs w:val="24"/>
          <w:lang w:bidi="zh-CN"/>
        </w:rPr>
        <w:t>具体支付金额以实际签订的协议及完成产值为准</w:t>
      </w:r>
      <w:r>
        <w:rPr>
          <w:rFonts w:hint="eastAsia" w:ascii="宋体" w:hAnsi="宋体"/>
          <w:bCs/>
          <w:color w:val="000000"/>
          <w:sz w:val="24"/>
          <w:szCs w:val="24"/>
          <w:lang w:val="en-US" w:bidi="zh-CN"/>
        </w:rPr>
        <w:t>。</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计划支付给福建飞达文化产业发展有限公司</w:t>
      </w:r>
      <w:r>
        <w:rPr>
          <w:rFonts w:hint="eastAsia" w:ascii="宋体" w:hAnsi="宋体"/>
          <w:bCs/>
          <w:color w:val="000000"/>
          <w:sz w:val="24"/>
          <w:szCs w:val="24"/>
          <w:lang w:val="en-US" w:bidi="zh-CN"/>
        </w:rPr>
        <w:t>的横幅制作4</w:t>
      </w:r>
      <w:r>
        <w:rPr>
          <w:rFonts w:hint="eastAsia" w:ascii="宋体" w:hAnsi="宋体"/>
          <w:bCs/>
          <w:color w:val="000000"/>
          <w:sz w:val="24"/>
          <w:szCs w:val="24"/>
          <w:lang w:bidi="zh-CN"/>
        </w:rPr>
        <w:t>费用</w:t>
      </w:r>
      <w:r>
        <w:rPr>
          <w:rFonts w:hint="eastAsia" w:ascii="宋体" w:hAnsi="宋体"/>
          <w:bCs/>
          <w:color w:val="000000"/>
          <w:sz w:val="24"/>
          <w:szCs w:val="24"/>
          <w:lang w:val="en-US" w:bidi="zh-CN"/>
        </w:rPr>
        <w:t>0.40</w:t>
      </w:r>
      <w:r>
        <w:rPr>
          <w:rFonts w:hint="eastAsia" w:ascii="宋体" w:hAnsi="宋体"/>
          <w:bCs/>
          <w:color w:val="000000"/>
          <w:sz w:val="24"/>
          <w:szCs w:val="24"/>
          <w:lang w:bidi="zh-CN"/>
        </w:rPr>
        <w:t>万元，</w:t>
      </w:r>
      <w:r>
        <w:rPr>
          <w:rFonts w:hint="eastAsia" w:ascii="宋体" w:hAnsi="宋体"/>
          <w:bCs/>
          <w:color w:val="000000"/>
          <w:sz w:val="24"/>
          <w:szCs w:val="24"/>
          <w:lang w:val="en-US" w:bidi="zh-CN"/>
        </w:rPr>
        <w:t>实消实报，</w:t>
      </w:r>
      <w:r>
        <w:rPr>
          <w:rFonts w:hint="eastAsia" w:ascii="宋体" w:hAnsi="宋体"/>
          <w:bCs/>
          <w:color w:val="000000"/>
          <w:sz w:val="24"/>
          <w:szCs w:val="24"/>
          <w:lang w:bidi="zh-CN"/>
        </w:rPr>
        <w:t>具体支付金额以实际签订的协议及完成产值为准</w:t>
      </w:r>
      <w:r>
        <w:rPr>
          <w:rFonts w:hint="eastAsia" w:ascii="宋体" w:hAnsi="宋体"/>
          <w:bCs/>
          <w:color w:val="000000"/>
          <w:sz w:val="24"/>
          <w:szCs w:val="24"/>
          <w:lang w:val="en-US" w:bidi="zh-CN"/>
        </w:rPr>
        <w:t>。</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val="en-US" w:bidi="zh-CN"/>
        </w:rPr>
        <w:t>根据2021年6月21日与融创物业服务集团有限公司福州分公司签订的《福州云洲郡案场物业服务合同》，委托负责对案场进行物业服务工作；合同总价340.69万元。按编制签订框架协议后，每月根据考勤实际结算，1.考勤验收：策划线针对物业提交考勤，进行复核首开融创主策签字确认。2.验收方式：物业根据复核签字版考勤绘制《验收单》案场负责人签字后，签订对应金额子合同。3.结算方式：以实际考勤及签订合同金额为准。本期计划支付7-8月份案场服务费支付58.09万元。</w:t>
      </w:r>
      <w:r>
        <w:rPr>
          <w:rFonts w:hint="eastAsia" w:ascii="宋体" w:hAnsi="宋体"/>
          <w:bCs/>
          <w:color w:val="000000"/>
          <w:sz w:val="24"/>
          <w:szCs w:val="24"/>
          <w:lang w:bidi="zh-CN"/>
        </w:rPr>
        <w:t>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计划支付给杭州天朗视觉科技有限公司</w:t>
      </w:r>
      <w:r>
        <w:rPr>
          <w:rFonts w:hint="eastAsia" w:ascii="宋体" w:hAnsi="宋体"/>
          <w:bCs/>
          <w:color w:val="000000"/>
          <w:sz w:val="24"/>
          <w:szCs w:val="24"/>
          <w:lang w:val="en-US" w:bidi="zh-CN"/>
        </w:rPr>
        <w:t>的户型图制作</w:t>
      </w:r>
      <w:r>
        <w:rPr>
          <w:rFonts w:hint="eastAsia" w:ascii="宋体" w:hAnsi="宋体"/>
          <w:bCs/>
          <w:color w:val="000000"/>
          <w:sz w:val="24"/>
          <w:szCs w:val="24"/>
          <w:lang w:bidi="zh-CN"/>
        </w:rPr>
        <w:t>费用</w:t>
      </w:r>
      <w:r>
        <w:rPr>
          <w:rFonts w:hint="eastAsia" w:ascii="宋体" w:hAnsi="宋体"/>
          <w:bCs/>
          <w:color w:val="000000"/>
          <w:sz w:val="24"/>
          <w:szCs w:val="24"/>
          <w:lang w:val="en-US" w:bidi="zh-CN"/>
        </w:rPr>
        <w:t>0.32</w:t>
      </w:r>
      <w:r>
        <w:rPr>
          <w:rFonts w:hint="eastAsia" w:ascii="宋体" w:hAnsi="宋体"/>
          <w:bCs/>
          <w:color w:val="000000"/>
          <w:sz w:val="24"/>
          <w:szCs w:val="24"/>
          <w:lang w:bidi="zh-CN"/>
        </w:rPr>
        <w:t>万元，</w:t>
      </w:r>
      <w:r>
        <w:rPr>
          <w:rFonts w:hint="eastAsia" w:ascii="宋体" w:hAnsi="宋体"/>
          <w:bCs/>
          <w:color w:val="000000"/>
          <w:sz w:val="24"/>
          <w:szCs w:val="24"/>
          <w:lang w:val="en-US" w:bidi="zh-CN"/>
        </w:rPr>
        <w:t>实消实报，</w:t>
      </w:r>
      <w:r>
        <w:rPr>
          <w:rFonts w:hint="eastAsia" w:ascii="宋体" w:hAnsi="宋体"/>
          <w:bCs/>
          <w:color w:val="000000"/>
          <w:sz w:val="24"/>
          <w:szCs w:val="24"/>
          <w:lang w:bidi="zh-CN"/>
        </w:rPr>
        <w:t>具体支付金额以实际签订的协议及完成产值为准</w:t>
      </w:r>
      <w:r>
        <w:rPr>
          <w:rFonts w:hint="eastAsia" w:ascii="宋体" w:hAnsi="宋体"/>
          <w:bCs/>
          <w:color w:val="000000"/>
          <w:sz w:val="24"/>
          <w:szCs w:val="24"/>
          <w:lang w:val="en-US" w:bidi="zh-CN"/>
        </w:rPr>
        <w:t>。</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val="en-US" w:bidi="zh-CN"/>
        </w:rPr>
        <w:t>根据2021年8月27日与福建经典视线文化传播有限公司签订的《公交候车亭户外广告发布合同》，发布福州市公交候车亭广告；合同总价4.36万元。已完成公交车亭广告发布，本期申请付款4.36万元。</w:t>
      </w:r>
      <w:r>
        <w:rPr>
          <w:rFonts w:hint="eastAsia" w:ascii="宋体" w:hAnsi="宋体"/>
          <w:bCs/>
          <w:color w:val="000000"/>
          <w:sz w:val="24"/>
          <w:szCs w:val="24"/>
          <w:lang w:bidi="zh-CN"/>
        </w:rPr>
        <w:t>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计划支付给杭州角动量科技有限公司</w:t>
      </w:r>
      <w:r>
        <w:rPr>
          <w:rFonts w:hint="eastAsia" w:ascii="宋体" w:hAnsi="宋体"/>
          <w:bCs/>
          <w:color w:val="000000"/>
          <w:sz w:val="24"/>
          <w:szCs w:val="24"/>
          <w:lang w:val="en-US" w:bidi="zh-CN"/>
        </w:rPr>
        <w:t>的LED增补费用0.99万元，实消实报，</w:t>
      </w:r>
      <w:r>
        <w:rPr>
          <w:rFonts w:hint="eastAsia" w:ascii="宋体" w:hAnsi="宋体"/>
          <w:bCs/>
          <w:color w:val="000000"/>
          <w:sz w:val="24"/>
          <w:szCs w:val="24"/>
          <w:lang w:bidi="zh-CN"/>
        </w:rPr>
        <w:t>具体支付金额以实际签订的协议及完成产值为准</w:t>
      </w:r>
      <w:r>
        <w:rPr>
          <w:rFonts w:hint="eastAsia" w:ascii="宋体" w:hAnsi="宋体"/>
          <w:bCs/>
          <w:color w:val="000000"/>
          <w:sz w:val="24"/>
          <w:szCs w:val="24"/>
          <w:lang w:val="en-US" w:bidi="zh-CN"/>
        </w:rPr>
        <w:t>。</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val="en-US" w:bidi="zh-CN"/>
        </w:rPr>
        <w:t>根据2021年6月10日与福建轨迹传媒有限公司签订的</w:t>
      </w:r>
      <w:r>
        <w:rPr>
          <w:rFonts w:hint="eastAsia" w:ascii="宋体" w:hAnsi="宋体"/>
          <w:bCs/>
          <w:color w:val="000000"/>
          <w:sz w:val="24"/>
          <w:szCs w:val="24"/>
          <w:lang w:bidi="zh-CN"/>
        </w:rPr>
        <w:t>《福州地铁一号线车载广告发布合同》，</w:t>
      </w:r>
      <w:r>
        <w:rPr>
          <w:rFonts w:hint="eastAsia" w:ascii="宋体" w:hAnsi="宋体"/>
          <w:bCs/>
          <w:color w:val="000000"/>
          <w:sz w:val="24"/>
          <w:szCs w:val="24"/>
          <w:lang w:val="en-US" w:bidi="zh-CN"/>
        </w:rPr>
        <w:t>提供</w:t>
      </w:r>
      <w:r>
        <w:rPr>
          <w:rFonts w:hint="eastAsia" w:ascii="宋体" w:hAnsi="宋体"/>
          <w:bCs/>
          <w:color w:val="000000"/>
          <w:sz w:val="24"/>
          <w:szCs w:val="24"/>
          <w:lang w:bidi="zh-CN"/>
        </w:rPr>
        <w:t>福州地铁一号线车载广告发布；</w:t>
      </w:r>
      <w:r>
        <w:rPr>
          <w:rFonts w:hint="eastAsia" w:ascii="宋体" w:hAnsi="宋体"/>
          <w:bCs/>
          <w:color w:val="000000"/>
          <w:sz w:val="24"/>
          <w:szCs w:val="24"/>
          <w:lang w:val="en-US" w:bidi="zh-CN"/>
        </w:rPr>
        <w:t>合同总价12.5万元。验收合格后一次性支付；本期已完成合同约定广告发布约定，申请付款12.5万元。</w:t>
      </w:r>
      <w:r>
        <w:rPr>
          <w:rFonts w:hint="eastAsia" w:ascii="宋体" w:hAnsi="宋体"/>
          <w:bCs/>
          <w:color w:val="000000"/>
          <w:sz w:val="24"/>
          <w:szCs w:val="24"/>
          <w:lang w:bidi="zh-CN"/>
        </w:rPr>
        <w:t>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计划支付给莆田礼匠贸易有限公司</w:t>
      </w:r>
      <w:r>
        <w:rPr>
          <w:rFonts w:hint="eastAsia" w:ascii="宋体" w:hAnsi="宋体"/>
          <w:bCs/>
          <w:color w:val="000000"/>
          <w:sz w:val="24"/>
          <w:szCs w:val="24"/>
          <w:lang w:val="en-US" w:bidi="zh-CN"/>
        </w:rPr>
        <w:t>的物料制作费用0.86万元，实消实报，</w:t>
      </w:r>
      <w:r>
        <w:rPr>
          <w:rFonts w:hint="eastAsia" w:ascii="宋体" w:hAnsi="宋体"/>
          <w:bCs/>
          <w:color w:val="000000"/>
          <w:sz w:val="24"/>
          <w:szCs w:val="24"/>
          <w:lang w:bidi="zh-CN"/>
        </w:rPr>
        <w:t>具体支付金额以实际签订的协议及完成产值为准</w:t>
      </w:r>
      <w:r>
        <w:rPr>
          <w:rFonts w:hint="eastAsia" w:ascii="宋体" w:hAnsi="宋体"/>
          <w:bCs/>
          <w:color w:val="000000"/>
          <w:sz w:val="24"/>
          <w:szCs w:val="24"/>
          <w:lang w:val="en-US" w:bidi="zh-CN"/>
        </w:rPr>
        <w:t>。</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计划支付给杭州天朗视觉科技有限公司</w:t>
      </w:r>
      <w:r>
        <w:rPr>
          <w:rFonts w:hint="eastAsia" w:ascii="宋体" w:hAnsi="宋体"/>
          <w:bCs/>
          <w:color w:val="000000"/>
          <w:sz w:val="24"/>
          <w:szCs w:val="24"/>
          <w:lang w:val="en-US" w:bidi="zh-CN"/>
        </w:rPr>
        <w:t>的三维手绘</w:t>
      </w:r>
      <w:r>
        <w:rPr>
          <w:rFonts w:hint="eastAsia" w:ascii="宋体" w:hAnsi="宋体"/>
          <w:bCs/>
          <w:color w:val="000000"/>
          <w:sz w:val="24"/>
          <w:szCs w:val="24"/>
          <w:lang w:bidi="zh-CN"/>
        </w:rPr>
        <w:t>费用</w:t>
      </w:r>
      <w:r>
        <w:rPr>
          <w:rFonts w:hint="eastAsia" w:ascii="宋体" w:hAnsi="宋体"/>
          <w:bCs/>
          <w:color w:val="000000"/>
          <w:sz w:val="24"/>
          <w:szCs w:val="24"/>
          <w:lang w:val="en-US" w:bidi="zh-CN"/>
        </w:rPr>
        <w:t>0.70</w:t>
      </w:r>
      <w:r>
        <w:rPr>
          <w:rFonts w:hint="eastAsia" w:ascii="宋体" w:hAnsi="宋体"/>
          <w:bCs/>
          <w:color w:val="000000"/>
          <w:sz w:val="24"/>
          <w:szCs w:val="24"/>
          <w:lang w:bidi="zh-CN"/>
        </w:rPr>
        <w:t>万元，</w:t>
      </w:r>
      <w:r>
        <w:rPr>
          <w:rFonts w:hint="eastAsia" w:ascii="宋体" w:hAnsi="宋体"/>
          <w:bCs/>
          <w:color w:val="000000"/>
          <w:sz w:val="24"/>
          <w:szCs w:val="24"/>
          <w:lang w:val="en-US" w:bidi="zh-CN"/>
        </w:rPr>
        <w:t>实消实报，</w:t>
      </w:r>
      <w:r>
        <w:rPr>
          <w:rFonts w:hint="eastAsia" w:ascii="宋体" w:hAnsi="宋体"/>
          <w:bCs/>
          <w:color w:val="000000"/>
          <w:sz w:val="24"/>
          <w:szCs w:val="24"/>
          <w:lang w:bidi="zh-CN"/>
        </w:rPr>
        <w:t>具体支付金额以实际签订的协议及完成产值为准</w:t>
      </w:r>
      <w:r>
        <w:rPr>
          <w:rFonts w:hint="eastAsia" w:ascii="宋体" w:hAnsi="宋体"/>
          <w:bCs/>
          <w:color w:val="000000"/>
          <w:sz w:val="24"/>
          <w:szCs w:val="24"/>
          <w:lang w:val="en-US" w:bidi="zh-CN"/>
        </w:rPr>
        <w:t>。</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val="en-US" w:bidi="zh-CN"/>
        </w:rPr>
        <w:t>根据2021年6月2日与福州聚小优网络科技有限公司签订的《广告发布服务合同》，提供抖音推广服务；合同总价5.4万元。验收合格后一次性支付。本期已完成合同约定服务，计划付款5.4万元。</w:t>
      </w:r>
      <w:r>
        <w:rPr>
          <w:rFonts w:hint="eastAsia" w:ascii="宋体" w:hAnsi="宋体"/>
          <w:bCs/>
          <w:color w:val="000000"/>
          <w:sz w:val="24"/>
          <w:szCs w:val="24"/>
          <w:lang w:bidi="zh-CN"/>
        </w:rPr>
        <w:t>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val="en-US" w:bidi="zh-CN"/>
        </w:rPr>
        <w:t>根据2021年6月2日与杭州维乐服饰有限公司签订的《工装定制合同》，购买物业工装；合同总价5.21万元。验收合格后一次性支付。已完成工装采购，本期申请付款5.21万元。</w:t>
      </w:r>
      <w:r>
        <w:rPr>
          <w:rFonts w:hint="eastAsia" w:ascii="宋体" w:hAnsi="宋体"/>
          <w:bCs/>
          <w:color w:val="000000"/>
          <w:sz w:val="24"/>
          <w:szCs w:val="24"/>
          <w:lang w:bidi="zh-CN"/>
        </w:rPr>
        <w:t>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val="en-US" w:bidi="zh-CN"/>
        </w:rPr>
        <w:t>根据2021年8月27日与福州环球智创文化发展有限公司签订的《示范区开放增补活动委托服务合同》，增补3月27日拟增补现场物料；合同总价2.8万元。</w:t>
      </w:r>
      <w:r>
        <w:rPr>
          <w:rFonts w:hint="eastAsia" w:ascii="宋体" w:hAnsi="宋体"/>
          <w:bCs/>
          <w:color w:val="000000"/>
          <w:sz w:val="24"/>
          <w:szCs w:val="24"/>
          <w:lang w:bidi="zh-CN"/>
        </w:rPr>
        <w:t>验收合格后一次性支付；本期计划支付</w:t>
      </w:r>
      <w:r>
        <w:rPr>
          <w:rFonts w:hint="eastAsia" w:ascii="宋体" w:hAnsi="宋体"/>
          <w:bCs/>
          <w:color w:val="000000"/>
          <w:sz w:val="24"/>
          <w:szCs w:val="24"/>
          <w:lang w:val="en-US" w:bidi="zh-CN"/>
        </w:rPr>
        <w:t>2.8</w:t>
      </w:r>
      <w:r>
        <w:rPr>
          <w:rFonts w:hint="eastAsia" w:ascii="宋体" w:hAnsi="宋体"/>
          <w:bCs/>
          <w:color w:val="000000"/>
          <w:sz w:val="24"/>
          <w:szCs w:val="24"/>
          <w:lang w:bidi="zh-CN"/>
        </w:rPr>
        <w:t>万元。符合合同约定付款。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计划支付给福州声画传媒有限公司的服务费用0.96万元，</w:t>
      </w:r>
      <w:r>
        <w:rPr>
          <w:rFonts w:hint="eastAsia" w:ascii="宋体" w:hAnsi="宋体"/>
          <w:bCs/>
          <w:color w:val="000000"/>
          <w:sz w:val="24"/>
          <w:szCs w:val="24"/>
          <w:lang w:val="en-US" w:bidi="zh-CN"/>
        </w:rPr>
        <w:t>实消实报，</w:t>
      </w:r>
      <w:r>
        <w:rPr>
          <w:rFonts w:hint="eastAsia" w:ascii="宋体" w:hAnsi="宋体"/>
          <w:bCs/>
          <w:color w:val="000000"/>
          <w:sz w:val="24"/>
          <w:szCs w:val="24"/>
          <w:lang w:bidi="zh-CN"/>
        </w:rPr>
        <w:t>具体支付金额以实际签订的协议及完成产值为准</w:t>
      </w:r>
      <w:r>
        <w:rPr>
          <w:rFonts w:hint="eastAsia" w:ascii="宋体" w:hAnsi="宋体"/>
          <w:bCs/>
          <w:color w:val="000000"/>
          <w:sz w:val="24"/>
          <w:szCs w:val="24"/>
          <w:lang w:val="en-US" w:bidi="zh-CN"/>
        </w:rPr>
        <w:t>。</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计划支付给福州榕鑫文化传播有限公司的零散物料制作费用</w:t>
      </w:r>
      <w:r>
        <w:rPr>
          <w:rFonts w:hint="eastAsia" w:ascii="宋体" w:hAnsi="宋体"/>
          <w:bCs/>
          <w:color w:val="000000"/>
          <w:sz w:val="24"/>
          <w:szCs w:val="24"/>
          <w:lang w:val="en-US" w:bidi="zh-CN"/>
        </w:rPr>
        <w:t>0.55</w:t>
      </w:r>
      <w:r>
        <w:rPr>
          <w:rFonts w:hint="eastAsia" w:ascii="宋体" w:hAnsi="宋体"/>
          <w:bCs/>
          <w:color w:val="000000"/>
          <w:sz w:val="24"/>
          <w:szCs w:val="24"/>
          <w:lang w:bidi="zh-CN"/>
        </w:rPr>
        <w:t>万元，</w:t>
      </w:r>
      <w:r>
        <w:rPr>
          <w:rFonts w:hint="eastAsia" w:ascii="宋体" w:hAnsi="宋体"/>
          <w:bCs/>
          <w:color w:val="000000"/>
          <w:sz w:val="24"/>
          <w:szCs w:val="24"/>
          <w:lang w:val="en-US" w:bidi="zh-CN"/>
        </w:rPr>
        <w:t>实消实报，</w:t>
      </w:r>
      <w:r>
        <w:rPr>
          <w:rFonts w:hint="eastAsia" w:ascii="宋体" w:hAnsi="宋体"/>
          <w:bCs/>
          <w:color w:val="000000"/>
          <w:sz w:val="24"/>
          <w:szCs w:val="24"/>
          <w:lang w:bidi="zh-CN"/>
        </w:rPr>
        <w:t>具体支付金额以实际签订的协议及完成产值为准</w:t>
      </w:r>
      <w:r>
        <w:rPr>
          <w:rFonts w:hint="eastAsia" w:ascii="宋体" w:hAnsi="宋体"/>
          <w:bCs/>
          <w:color w:val="000000"/>
          <w:sz w:val="24"/>
          <w:szCs w:val="24"/>
          <w:lang w:val="en-US" w:bidi="zh-CN"/>
        </w:rPr>
        <w:t>。</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val="en-US" w:bidi="zh-CN"/>
        </w:rPr>
        <w:t>计划支付给美高创意（厦门）文化传播有限公司的微信广告宣传费用2.8万元，</w:t>
      </w:r>
      <w:r>
        <w:rPr>
          <w:rFonts w:hint="eastAsia" w:ascii="宋体" w:hAnsi="宋体"/>
          <w:bCs/>
          <w:color w:val="000000"/>
          <w:sz w:val="24"/>
          <w:szCs w:val="24"/>
          <w:lang w:bidi="zh-CN"/>
        </w:rPr>
        <w:t>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计划支付给福建九宫格纸制品有限公司</w:t>
      </w:r>
      <w:r>
        <w:rPr>
          <w:rFonts w:hint="eastAsia" w:ascii="宋体" w:hAnsi="宋体"/>
          <w:bCs/>
          <w:color w:val="000000"/>
          <w:sz w:val="24"/>
          <w:szCs w:val="24"/>
          <w:lang w:val="en-US" w:bidi="zh-CN"/>
        </w:rPr>
        <w:t>的增补户型</w:t>
      </w:r>
      <w:r>
        <w:rPr>
          <w:rFonts w:hint="eastAsia" w:ascii="宋体" w:hAnsi="宋体"/>
          <w:bCs/>
          <w:color w:val="000000"/>
          <w:sz w:val="24"/>
          <w:szCs w:val="24"/>
          <w:lang w:bidi="zh-CN"/>
        </w:rPr>
        <w:t>费用</w:t>
      </w:r>
      <w:r>
        <w:rPr>
          <w:rFonts w:hint="eastAsia" w:ascii="宋体" w:hAnsi="宋体"/>
          <w:bCs/>
          <w:color w:val="000000"/>
          <w:sz w:val="24"/>
          <w:szCs w:val="24"/>
          <w:lang w:val="en-US" w:bidi="zh-CN"/>
        </w:rPr>
        <w:t>0.63</w:t>
      </w:r>
      <w:r>
        <w:rPr>
          <w:rFonts w:hint="eastAsia" w:ascii="宋体" w:hAnsi="宋体"/>
          <w:bCs/>
          <w:color w:val="000000"/>
          <w:sz w:val="24"/>
          <w:szCs w:val="24"/>
          <w:lang w:bidi="zh-CN"/>
        </w:rPr>
        <w:t>万元，</w:t>
      </w:r>
      <w:r>
        <w:rPr>
          <w:rFonts w:hint="eastAsia" w:ascii="宋体" w:hAnsi="宋体"/>
          <w:bCs/>
          <w:color w:val="000000"/>
          <w:sz w:val="24"/>
          <w:szCs w:val="24"/>
          <w:lang w:val="en-US" w:bidi="zh-CN"/>
        </w:rPr>
        <w:t>实消实报，</w:t>
      </w:r>
      <w:r>
        <w:rPr>
          <w:rFonts w:hint="eastAsia" w:ascii="宋体" w:hAnsi="宋体"/>
          <w:bCs/>
          <w:color w:val="000000"/>
          <w:sz w:val="24"/>
          <w:szCs w:val="24"/>
          <w:lang w:bidi="zh-CN"/>
        </w:rPr>
        <w:t>具体支付金额以实际签订的协议及完成产值为准</w:t>
      </w:r>
      <w:r>
        <w:rPr>
          <w:rFonts w:hint="eastAsia" w:ascii="宋体" w:hAnsi="宋体"/>
          <w:bCs/>
          <w:color w:val="000000"/>
          <w:sz w:val="24"/>
          <w:szCs w:val="24"/>
          <w:lang w:val="en-US" w:bidi="zh-CN"/>
        </w:rPr>
        <w:t>。</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计划支付给杭州视界光影像设计有限公司</w:t>
      </w:r>
      <w:r>
        <w:rPr>
          <w:rFonts w:hint="eastAsia" w:ascii="宋体" w:hAnsi="宋体"/>
          <w:bCs/>
          <w:color w:val="000000"/>
          <w:sz w:val="24"/>
          <w:szCs w:val="24"/>
          <w:lang w:val="en-US" w:bidi="zh-CN"/>
        </w:rPr>
        <w:t>的效果图制作费用0.8万元，实消实报，</w:t>
      </w:r>
      <w:r>
        <w:rPr>
          <w:rFonts w:hint="eastAsia" w:ascii="宋体" w:hAnsi="宋体"/>
          <w:bCs/>
          <w:color w:val="000000"/>
          <w:sz w:val="24"/>
          <w:szCs w:val="24"/>
          <w:lang w:bidi="zh-CN"/>
        </w:rPr>
        <w:t>具体支付金额以实际签订的协议及完成产值为准</w:t>
      </w:r>
      <w:r>
        <w:rPr>
          <w:rFonts w:hint="eastAsia" w:ascii="宋体" w:hAnsi="宋体"/>
          <w:bCs/>
          <w:color w:val="000000"/>
          <w:sz w:val="24"/>
          <w:szCs w:val="24"/>
          <w:lang w:val="en-US" w:bidi="zh-CN"/>
        </w:rPr>
        <w:t>。</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val="en-US" w:bidi="zh-CN"/>
        </w:rPr>
        <w:t>计划支付给</w:t>
      </w:r>
      <w:r>
        <w:rPr>
          <w:rFonts w:hint="eastAsia" w:ascii="宋体" w:hAnsi="宋体"/>
          <w:bCs/>
          <w:color w:val="000000"/>
          <w:sz w:val="24"/>
          <w:szCs w:val="24"/>
          <w:lang w:bidi="zh-CN"/>
        </w:rPr>
        <w:t>莆田市涵江区顺航日用品百货商行</w:t>
      </w:r>
      <w:r>
        <w:rPr>
          <w:rFonts w:hint="eastAsia" w:ascii="宋体" w:hAnsi="宋体"/>
          <w:bCs/>
          <w:color w:val="000000"/>
          <w:sz w:val="24"/>
          <w:szCs w:val="24"/>
          <w:lang w:val="en-US" w:bidi="zh-CN"/>
        </w:rPr>
        <w:t>的8月份日常消耗费用0.53万元，实消实报，</w:t>
      </w:r>
      <w:r>
        <w:rPr>
          <w:rFonts w:hint="eastAsia" w:ascii="宋体" w:hAnsi="宋体"/>
          <w:bCs/>
          <w:color w:val="000000"/>
          <w:sz w:val="24"/>
          <w:szCs w:val="24"/>
          <w:lang w:bidi="zh-CN"/>
        </w:rPr>
        <w:t>具体支付金额以实际签订的协议及完成产值为准</w:t>
      </w:r>
      <w:r>
        <w:rPr>
          <w:rFonts w:hint="eastAsia" w:ascii="宋体" w:hAnsi="宋体"/>
          <w:bCs/>
          <w:color w:val="000000"/>
          <w:sz w:val="24"/>
          <w:szCs w:val="24"/>
          <w:lang w:val="en-US" w:bidi="zh-CN"/>
        </w:rPr>
        <w:t>。</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val="en-US" w:bidi="zh-CN"/>
        </w:rPr>
        <w:t>计划支付给</w:t>
      </w:r>
      <w:r>
        <w:rPr>
          <w:rFonts w:hint="eastAsia" w:ascii="宋体" w:hAnsi="宋体"/>
          <w:bCs/>
          <w:color w:val="000000"/>
          <w:sz w:val="24"/>
          <w:szCs w:val="24"/>
          <w:lang w:bidi="zh-CN"/>
        </w:rPr>
        <w:t>福建八闽频道文化传媒有限公司</w:t>
      </w:r>
      <w:r>
        <w:rPr>
          <w:rFonts w:hint="eastAsia" w:ascii="宋体" w:hAnsi="宋体"/>
          <w:bCs/>
          <w:color w:val="000000"/>
          <w:sz w:val="24"/>
          <w:szCs w:val="24"/>
          <w:lang w:val="en-US" w:bidi="zh-CN"/>
        </w:rPr>
        <w:t>的福建八闽频道导客活动费1.70万元，</w:t>
      </w:r>
      <w:r>
        <w:rPr>
          <w:rFonts w:hint="eastAsia" w:ascii="宋体" w:hAnsi="宋体"/>
          <w:bCs/>
          <w:color w:val="000000"/>
          <w:sz w:val="24"/>
          <w:szCs w:val="24"/>
          <w:lang w:bidi="zh-CN"/>
        </w:rPr>
        <w:t>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计划支付给上海阅时文化发展有限公司</w:t>
      </w:r>
      <w:r>
        <w:rPr>
          <w:rFonts w:hint="eastAsia" w:ascii="宋体" w:hAnsi="宋体"/>
          <w:bCs/>
          <w:color w:val="000000"/>
          <w:sz w:val="24"/>
          <w:szCs w:val="24"/>
          <w:lang w:val="en-US" w:bidi="zh-CN"/>
        </w:rPr>
        <w:t>的周边采购费用2.00万元，</w:t>
      </w:r>
      <w:r>
        <w:rPr>
          <w:rFonts w:hint="eastAsia" w:ascii="宋体" w:hAnsi="宋体"/>
          <w:bCs/>
          <w:color w:val="000000"/>
          <w:sz w:val="24"/>
          <w:szCs w:val="24"/>
          <w:lang w:bidi="zh-CN"/>
        </w:rPr>
        <w:t>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计划支付给福州策元第文化传媒有限公司</w:t>
      </w:r>
      <w:r>
        <w:rPr>
          <w:rFonts w:hint="eastAsia" w:ascii="宋体" w:hAnsi="宋体"/>
          <w:bCs/>
          <w:color w:val="000000"/>
          <w:sz w:val="24"/>
          <w:szCs w:val="24"/>
          <w:lang w:val="en-US" w:bidi="zh-CN"/>
        </w:rPr>
        <w:t>的项目直播活动费用0.77万元，实消实报，</w:t>
      </w:r>
      <w:r>
        <w:rPr>
          <w:rFonts w:hint="eastAsia" w:ascii="宋体" w:hAnsi="宋体"/>
          <w:bCs/>
          <w:color w:val="000000"/>
          <w:sz w:val="24"/>
          <w:szCs w:val="24"/>
          <w:lang w:bidi="zh-CN"/>
        </w:rPr>
        <w:t>具体支付金额以实际签订的协议及完成产值为准</w:t>
      </w:r>
      <w:r>
        <w:rPr>
          <w:rFonts w:hint="eastAsia" w:ascii="宋体" w:hAnsi="宋体"/>
          <w:bCs/>
          <w:color w:val="000000"/>
          <w:sz w:val="24"/>
          <w:szCs w:val="24"/>
          <w:lang w:val="en-US" w:bidi="zh-CN"/>
        </w:rPr>
        <w:t>。</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计划支付给厦门十点书店管理有限公司</w:t>
      </w:r>
      <w:r>
        <w:rPr>
          <w:rFonts w:hint="eastAsia" w:ascii="宋体" w:hAnsi="宋体"/>
          <w:bCs/>
          <w:color w:val="000000"/>
          <w:sz w:val="24"/>
          <w:szCs w:val="24"/>
          <w:lang w:val="en-US" w:bidi="zh-CN"/>
        </w:rPr>
        <w:t>的案场氛围包装策划费用6.38万元，</w:t>
      </w:r>
      <w:r>
        <w:rPr>
          <w:rFonts w:hint="eastAsia" w:ascii="宋体" w:hAnsi="宋体"/>
          <w:bCs/>
          <w:color w:val="000000"/>
          <w:sz w:val="24"/>
          <w:szCs w:val="24"/>
          <w:lang w:bidi="zh-CN"/>
        </w:rPr>
        <w:t>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val="en-US" w:bidi="zh-CN"/>
        </w:rPr>
        <w:t>计划支付给</w:t>
      </w:r>
      <w:r>
        <w:rPr>
          <w:rFonts w:hint="eastAsia" w:ascii="宋体" w:hAnsi="宋体"/>
          <w:bCs/>
          <w:color w:val="000000"/>
          <w:sz w:val="24"/>
          <w:szCs w:val="24"/>
          <w:lang w:bidi="zh-CN"/>
        </w:rPr>
        <w:t>莆田市涵江区顺航日用品百货商行</w:t>
      </w:r>
      <w:r>
        <w:rPr>
          <w:rFonts w:hint="eastAsia" w:ascii="宋体" w:hAnsi="宋体"/>
          <w:bCs/>
          <w:color w:val="000000"/>
          <w:sz w:val="24"/>
          <w:szCs w:val="24"/>
          <w:lang w:val="en-US" w:bidi="zh-CN"/>
        </w:rPr>
        <w:t>的9月份日常消耗费用0.60万元，实消实报，</w:t>
      </w:r>
      <w:r>
        <w:rPr>
          <w:rFonts w:hint="eastAsia" w:ascii="宋体" w:hAnsi="宋体"/>
          <w:bCs/>
          <w:color w:val="000000"/>
          <w:sz w:val="24"/>
          <w:szCs w:val="24"/>
          <w:lang w:bidi="zh-CN"/>
        </w:rPr>
        <w:t>具体支付金额以实际签订的协议及完成产值为准</w:t>
      </w:r>
      <w:r>
        <w:rPr>
          <w:rFonts w:hint="eastAsia" w:ascii="宋体" w:hAnsi="宋体"/>
          <w:bCs/>
          <w:color w:val="000000"/>
          <w:sz w:val="24"/>
          <w:szCs w:val="24"/>
          <w:lang w:val="en-US" w:bidi="zh-CN"/>
        </w:rPr>
        <w:t>。</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val="en-US" w:bidi="zh-CN"/>
        </w:rPr>
        <w:t>计划支付给</w:t>
      </w:r>
      <w:r>
        <w:rPr>
          <w:rFonts w:hint="eastAsia" w:ascii="宋体" w:hAnsi="宋体"/>
          <w:bCs/>
          <w:color w:val="000000"/>
          <w:sz w:val="24"/>
          <w:szCs w:val="24"/>
          <w:lang w:bidi="zh-CN"/>
        </w:rPr>
        <w:t>厦门大爱德文化传播有限公司</w:t>
      </w:r>
      <w:r>
        <w:rPr>
          <w:rFonts w:hint="eastAsia" w:ascii="宋体" w:hAnsi="宋体"/>
          <w:bCs/>
          <w:color w:val="000000"/>
          <w:sz w:val="24"/>
          <w:szCs w:val="24"/>
          <w:lang w:val="en-US" w:bidi="zh-CN"/>
        </w:rPr>
        <w:t>的6月份渠道客户答谢活动费用0.58万元，实消实报，</w:t>
      </w:r>
      <w:r>
        <w:rPr>
          <w:rFonts w:hint="eastAsia" w:ascii="宋体" w:hAnsi="宋体"/>
          <w:bCs/>
          <w:color w:val="000000"/>
          <w:sz w:val="24"/>
          <w:szCs w:val="24"/>
          <w:lang w:bidi="zh-CN"/>
        </w:rPr>
        <w:t>具体支付金额以实际签订的协议及完成产值为准</w:t>
      </w:r>
      <w:r>
        <w:rPr>
          <w:rFonts w:hint="eastAsia" w:ascii="宋体" w:hAnsi="宋体"/>
          <w:bCs/>
          <w:color w:val="000000"/>
          <w:sz w:val="24"/>
          <w:szCs w:val="24"/>
          <w:lang w:val="en-US" w:bidi="zh-CN"/>
        </w:rPr>
        <w:t>。</w:t>
      </w:r>
    </w:p>
    <w:p>
      <w:pPr>
        <w:spacing w:before="156" w:beforeLines="50" w:after="156" w:afterLines="50" w:line="360" w:lineRule="auto"/>
        <w:ind w:firstLine="480" w:firstLineChars="200"/>
        <w:rPr>
          <w:rFonts w:ascii="宋体" w:hAnsi="宋体"/>
          <w:sz w:val="24"/>
          <w:szCs w:val="24"/>
        </w:rPr>
      </w:pPr>
      <w:r>
        <w:rPr>
          <w:rFonts w:hint="eastAsia" w:ascii="宋体" w:hAnsi="宋体"/>
          <w:bCs/>
          <w:color w:val="000000"/>
          <w:sz w:val="24"/>
          <w:szCs w:val="24"/>
          <w:lang w:bidi="zh-CN"/>
        </w:rPr>
        <w:t>项目公司营销计划及人员工作计划尚未排定，届时将根据实际人员安排进行支付</w:t>
      </w:r>
      <w:r>
        <w:rPr>
          <w:rFonts w:hint="eastAsia" w:ascii="宋体" w:hAnsi="宋体"/>
          <w:sz w:val="24"/>
          <w:szCs w:val="24"/>
          <w:lang w:bidi="zh-CN"/>
        </w:rPr>
        <w:t>相应费用</w:t>
      </w:r>
      <w:r>
        <w:rPr>
          <w:rFonts w:ascii="宋体" w:hAnsi="宋体"/>
          <w:sz w:val="24"/>
          <w:szCs w:val="24"/>
          <w:lang w:bidi="zh-CN"/>
        </w:rPr>
        <w:t>，</w:t>
      </w:r>
      <w:r>
        <w:rPr>
          <w:rFonts w:hint="eastAsia" w:ascii="宋体" w:hAnsi="宋体"/>
          <w:sz w:val="24"/>
          <w:szCs w:val="24"/>
        </w:rPr>
        <w:t>后期申请</w:t>
      </w:r>
      <w:r>
        <w:rPr>
          <w:rFonts w:ascii="宋体" w:hAnsi="宋体"/>
          <w:sz w:val="24"/>
          <w:szCs w:val="24"/>
        </w:rPr>
        <w:t>相关款项</w:t>
      </w:r>
      <w:r>
        <w:rPr>
          <w:rFonts w:ascii="宋体" w:hAnsi="宋体"/>
          <w:sz w:val="24"/>
          <w:szCs w:val="24"/>
          <w:lang w:bidi="zh-CN"/>
        </w:rPr>
        <w:t>支付时，我司会对付款申请、发票、流程、合同等依据进行审核，严格把控，确保资金支付合理、合规。</w:t>
      </w:r>
    </w:p>
    <w:p>
      <w:pPr>
        <w:spacing w:before="156" w:beforeLines="50" w:after="156" w:afterLines="50" w:line="360" w:lineRule="auto"/>
        <w:rPr>
          <w:rFonts w:ascii="宋体" w:hAnsi="宋体"/>
          <w:b/>
          <w:bCs/>
          <w:sz w:val="24"/>
          <w:szCs w:val="24"/>
          <w:lang w:bidi="zh-CN"/>
        </w:rPr>
      </w:pPr>
      <w:r>
        <w:rPr>
          <w:rFonts w:hint="eastAsia" w:ascii="宋体" w:hAnsi="宋体"/>
          <w:b/>
          <w:bCs/>
          <w:sz w:val="24"/>
          <w:szCs w:val="24"/>
          <w:lang w:bidi="zh-CN"/>
        </w:rPr>
        <w:t>（三）管理费用资金支出计划说明</w:t>
      </w:r>
    </w:p>
    <w:p>
      <w:pPr>
        <w:spacing w:before="156" w:beforeLines="50" w:after="156" w:afterLines="50" w:line="360" w:lineRule="auto"/>
        <w:ind w:firstLine="480" w:firstLineChars="200"/>
        <w:rPr>
          <w:rFonts w:ascii="宋体" w:hAnsi="宋体"/>
          <w:bCs/>
          <w:color w:val="000000"/>
          <w:sz w:val="24"/>
          <w:szCs w:val="24"/>
          <w:lang w:bidi="zh-CN"/>
        </w:rPr>
      </w:pPr>
      <w:r>
        <w:rPr>
          <w:rFonts w:hint="eastAsia" w:ascii="宋体" w:hAnsi="宋体"/>
          <w:bCs/>
          <w:color w:val="000000"/>
          <w:sz w:val="24"/>
          <w:szCs w:val="24"/>
          <w:lang w:bidi="zh-CN"/>
        </w:rPr>
        <w:t>项目公司在</w:t>
      </w:r>
      <w:r>
        <w:rPr>
          <w:rFonts w:hint="eastAsia" w:ascii="宋体" w:hAnsi="宋体"/>
          <w:bCs/>
          <w:color w:val="000000"/>
          <w:sz w:val="24"/>
          <w:szCs w:val="24"/>
          <w:lang w:val="en-US" w:bidi="zh-CN"/>
        </w:rPr>
        <w:t>11</w:t>
      </w:r>
      <w:r>
        <w:rPr>
          <w:rFonts w:hint="eastAsia" w:ascii="宋体" w:hAnsi="宋体"/>
          <w:bCs/>
          <w:color w:val="000000"/>
          <w:sz w:val="24"/>
          <w:szCs w:val="24"/>
          <w:lang w:bidi="zh-CN"/>
        </w:rPr>
        <w:t>月的管理费用支</w:t>
      </w:r>
      <w:r>
        <w:rPr>
          <w:rFonts w:hint="eastAsia" w:ascii="宋体" w:hAnsi="宋体"/>
          <w:bCs/>
          <w:color w:val="auto"/>
          <w:sz w:val="24"/>
          <w:szCs w:val="24"/>
          <w:highlight w:val="none"/>
          <w:lang w:bidi="zh-CN"/>
        </w:rPr>
        <w:t>出共计</w:t>
      </w:r>
      <w:r>
        <w:rPr>
          <w:rFonts w:hint="eastAsia" w:ascii="宋体" w:hAnsi="宋体"/>
          <w:bCs/>
          <w:color w:val="auto"/>
          <w:sz w:val="24"/>
          <w:szCs w:val="24"/>
          <w:highlight w:val="none"/>
          <w:lang w:val="en-US" w:bidi="zh-CN"/>
        </w:rPr>
        <w:t>5</w:t>
      </w:r>
      <w:r>
        <w:rPr>
          <w:rFonts w:hint="eastAsia" w:ascii="宋体" w:hAnsi="宋体"/>
          <w:bCs/>
          <w:color w:val="auto"/>
          <w:sz w:val="24"/>
          <w:szCs w:val="24"/>
          <w:highlight w:val="none"/>
          <w:lang w:bidi="zh-CN"/>
        </w:rPr>
        <w:t>笔，共计</w:t>
      </w:r>
      <w:r>
        <w:rPr>
          <w:rFonts w:hint="eastAsia" w:ascii="宋体" w:hAnsi="宋体"/>
          <w:bCs/>
          <w:color w:val="auto"/>
          <w:sz w:val="24"/>
          <w:szCs w:val="24"/>
          <w:highlight w:val="none"/>
          <w:lang w:val="en-US" w:bidi="zh-CN"/>
        </w:rPr>
        <w:t>10.40</w:t>
      </w:r>
      <w:r>
        <w:rPr>
          <w:rFonts w:hint="eastAsia" w:ascii="宋体" w:hAnsi="宋体"/>
          <w:bCs/>
          <w:color w:val="auto"/>
          <w:sz w:val="24"/>
          <w:szCs w:val="24"/>
          <w:highlight w:val="none"/>
          <w:lang w:bidi="zh-CN"/>
        </w:rPr>
        <w:t>万元，包</w:t>
      </w:r>
      <w:r>
        <w:rPr>
          <w:rFonts w:hint="eastAsia" w:ascii="宋体" w:hAnsi="宋体"/>
          <w:bCs/>
          <w:sz w:val="24"/>
          <w:szCs w:val="24"/>
          <w:lang w:bidi="zh-CN"/>
        </w:rPr>
        <w:t>括月</w:t>
      </w:r>
      <w:r>
        <w:rPr>
          <w:rFonts w:hint="eastAsia" w:ascii="宋体" w:hAnsi="宋体"/>
          <w:bCs/>
          <w:color w:val="000000"/>
          <w:sz w:val="24"/>
          <w:szCs w:val="24"/>
          <w:lang w:bidi="zh-CN"/>
        </w:rPr>
        <w:t>度招待费、水电物管及其他日常行政费用，具体分析如下：</w:t>
      </w:r>
    </w:p>
    <w:p>
      <w:pPr>
        <w:pStyle w:val="14"/>
        <w:numPr>
          <w:ilvl w:val="0"/>
          <w:numId w:val="4"/>
        </w:numPr>
        <w:spacing w:before="156" w:beforeLines="50" w:after="156" w:afterLines="50" w:line="360" w:lineRule="auto"/>
        <w:ind w:left="1140" w:leftChars="0" w:firstLineChars="0"/>
        <w:rPr>
          <w:rFonts w:ascii="宋体" w:hAnsi="宋体"/>
          <w:bCs/>
          <w:color w:val="000000"/>
          <w:sz w:val="24"/>
          <w:szCs w:val="24"/>
          <w:lang w:bidi="zh-CN"/>
        </w:rPr>
      </w:pPr>
      <w:r>
        <w:rPr>
          <w:rFonts w:hint="eastAsia" w:ascii="宋体" w:hAnsi="宋体"/>
          <w:bCs/>
          <w:color w:val="000000"/>
          <w:sz w:val="24"/>
          <w:szCs w:val="24"/>
          <w:lang w:val="en-US" w:bidi="zh-CN"/>
        </w:rPr>
        <w:t>月度员工福利预计支付1.00万元；</w:t>
      </w:r>
    </w:p>
    <w:p>
      <w:pPr>
        <w:pStyle w:val="14"/>
        <w:numPr>
          <w:ilvl w:val="0"/>
          <w:numId w:val="4"/>
        </w:numPr>
        <w:spacing w:before="156" w:beforeLines="50" w:after="156" w:afterLines="50" w:line="360" w:lineRule="auto"/>
        <w:ind w:left="1140" w:leftChars="0" w:firstLineChars="0"/>
        <w:rPr>
          <w:rFonts w:ascii="宋体" w:hAnsi="宋体"/>
          <w:bCs/>
          <w:color w:val="000000"/>
          <w:sz w:val="24"/>
          <w:szCs w:val="24"/>
          <w:lang w:bidi="zh-CN"/>
        </w:rPr>
      </w:pPr>
      <w:r>
        <w:rPr>
          <w:rFonts w:hint="eastAsia" w:ascii="宋体" w:hAnsi="宋体"/>
          <w:bCs/>
          <w:color w:val="000000"/>
          <w:sz w:val="24"/>
          <w:szCs w:val="24"/>
          <w:lang w:bidi="zh-CN"/>
        </w:rPr>
        <w:t>月度招待费在预计支付</w:t>
      </w:r>
      <w:r>
        <w:rPr>
          <w:rFonts w:hint="eastAsia" w:ascii="宋体" w:hAnsi="宋体"/>
          <w:bCs/>
          <w:color w:val="000000"/>
          <w:sz w:val="24"/>
          <w:szCs w:val="24"/>
          <w:lang w:val="en-US" w:bidi="zh-CN"/>
        </w:rPr>
        <w:t>6</w:t>
      </w:r>
      <w:r>
        <w:rPr>
          <w:rFonts w:hint="eastAsia" w:ascii="宋体" w:hAnsi="宋体"/>
          <w:bCs/>
          <w:color w:val="000000"/>
          <w:sz w:val="24"/>
          <w:szCs w:val="24"/>
          <w:lang w:bidi="zh-CN"/>
        </w:rPr>
        <w:t>.00万元；</w:t>
      </w:r>
    </w:p>
    <w:p>
      <w:pPr>
        <w:pStyle w:val="14"/>
        <w:numPr>
          <w:ilvl w:val="0"/>
          <w:numId w:val="4"/>
        </w:numPr>
        <w:spacing w:before="156" w:beforeLines="50" w:after="156" w:afterLines="50" w:line="360" w:lineRule="auto"/>
        <w:ind w:left="1140" w:leftChars="0" w:firstLineChars="0"/>
        <w:rPr>
          <w:rFonts w:ascii="宋体" w:hAnsi="宋体"/>
          <w:bCs/>
          <w:color w:val="000000"/>
          <w:sz w:val="24"/>
          <w:szCs w:val="24"/>
          <w:lang w:bidi="zh-CN"/>
        </w:rPr>
      </w:pPr>
      <w:r>
        <w:rPr>
          <w:rFonts w:hint="eastAsia" w:ascii="宋体" w:hAnsi="宋体"/>
          <w:bCs/>
          <w:color w:val="000000"/>
          <w:sz w:val="24"/>
          <w:szCs w:val="24"/>
          <w:lang w:val="en-US" w:bidi="zh-CN"/>
        </w:rPr>
        <w:t>月度</w:t>
      </w:r>
      <w:r>
        <w:rPr>
          <w:rFonts w:hint="eastAsia" w:ascii="宋体" w:hAnsi="宋体"/>
          <w:bCs/>
          <w:color w:val="000000"/>
          <w:sz w:val="24"/>
          <w:szCs w:val="24"/>
          <w:lang w:bidi="zh-CN"/>
        </w:rPr>
        <w:t>水电物管支付0.40万元；</w:t>
      </w:r>
    </w:p>
    <w:p>
      <w:pPr>
        <w:pStyle w:val="14"/>
        <w:numPr>
          <w:ilvl w:val="0"/>
          <w:numId w:val="4"/>
        </w:numPr>
        <w:spacing w:before="156" w:beforeLines="50" w:after="156" w:afterLines="50" w:line="360" w:lineRule="auto"/>
        <w:ind w:left="1140" w:leftChars="0" w:firstLineChars="0"/>
        <w:rPr>
          <w:rFonts w:ascii="宋体" w:hAnsi="宋体"/>
          <w:bCs/>
          <w:color w:val="000000"/>
          <w:sz w:val="24"/>
          <w:szCs w:val="24"/>
          <w:highlight w:val="none"/>
          <w:lang w:bidi="zh-CN"/>
        </w:rPr>
      </w:pPr>
      <w:r>
        <w:rPr>
          <w:rFonts w:hint="eastAsia" w:ascii="宋体" w:hAnsi="宋体"/>
          <w:bCs/>
          <w:color w:val="000000"/>
          <w:sz w:val="24"/>
          <w:szCs w:val="24"/>
          <w:highlight w:val="none"/>
          <w:lang w:bidi="zh-CN"/>
        </w:rPr>
        <w:t>其他日常行政费用共计</w:t>
      </w:r>
      <w:r>
        <w:rPr>
          <w:rFonts w:hint="eastAsia" w:ascii="宋体" w:hAnsi="宋体"/>
          <w:bCs/>
          <w:color w:val="000000"/>
          <w:sz w:val="24"/>
          <w:szCs w:val="24"/>
          <w:highlight w:val="none"/>
          <w:lang w:val="en-US" w:bidi="zh-CN"/>
        </w:rPr>
        <w:t>1.00</w:t>
      </w:r>
      <w:r>
        <w:rPr>
          <w:rFonts w:hint="eastAsia" w:ascii="宋体" w:hAnsi="宋体"/>
          <w:bCs/>
          <w:color w:val="000000"/>
          <w:sz w:val="24"/>
          <w:szCs w:val="24"/>
          <w:highlight w:val="none"/>
          <w:lang w:bidi="zh-CN"/>
        </w:rPr>
        <w:t>万元；</w:t>
      </w:r>
    </w:p>
    <w:p>
      <w:pPr>
        <w:pStyle w:val="14"/>
        <w:numPr>
          <w:ilvl w:val="0"/>
          <w:numId w:val="4"/>
        </w:numPr>
        <w:spacing w:before="156" w:beforeLines="50" w:after="156" w:afterLines="50" w:line="360" w:lineRule="auto"/>
        <w:ind w:left="1140" w:leftChars="0" w:firstLineChars="0"/>
        <w:rPr>
          <w:rFonts w:ascii="宋体" w:hAnsi="宋体"/>
          <w:bCs/>
          <w:color w:val="000000"/>
          <w:sz w:val="24"/>
          <w:szCs w:val="24"/>
          <w:highlight w:val="none"/>
          <w:lang w:bidi="zh-CN"/>
        </w:rPr>
      </w:pPr>
      <w:r>
        <w:rPr>
          <w:rFonts w:hint="eastAsia" w:ascii="宋体" w:hAnsi="宋体"/>
          <w:bCs/>
          <w:color w:val="000000"/>
          <w:sz w:val="24"/>
          <w:szCs w:val="24"/>
          <w:highlight w:val="none"/>
          <w:lang w:bidi="zh-CN"/>
        </w:rPr>
        <w:t>印花税月度预计需缴纳</w:t>
      </w:r>
      <w:r>
        <w:rPr>
          <w:rFonts w:hint="eastAsia" w:ascii="宋体" w:hAnsi="宋体"/>
          <w:bCs/>
          <w:color w:val="000000"/>
          <w:sz w:val="24"/>
          <w:szCs w:val="24"/>
          <w:highlight w:val="none"/>
          <w:lang w:val="en-US" w:bidi="zh-CN"/>
        </w:rPr>
        <w:t>2.00</w:t>
      </w:r>
      <w:r>
        <w:rPr>
          <w:rFonts w:hint="eastAsia" w:ascii="宋体" w:hAnsi="宋体"/>
          <w:bCs/>
          <w:color w:val="000000"/>
          <w:sz w:val="24"/>
          <w:szCs w:val="24"/>
          <w:highlight w:val="none"/>
          <w:lang w:bidi="zh-CN"/>
        </w:rPr>
        <w:t>万元。</w:t>
      </w:r>
    </w:p>
    <w:p>
      <w:pPr>
        <w:spacing w:before="156" w:beforeLines="50" w:after="156" w:afterLines="50" w:line="360" w:lineRule="auto"/>
        <w:ind w:firstLine="480" w:firstLineChars="200"/>
        <w:rPr>
          <w:rFonts w:ascii="宋体" w:hAnsi="宋体"/>
          <w:sz w:val="24"/>
          <w:szCs w:val="24"/>
          <w:lang w:bidi="zh-CN"/>
        </w:rPr>
      </w:pPr>
      <w:r>
        <w:rPr>
          <w:rFonts w:ascii="宋体" w:hAnsi="宋体"/>
          <w:sz w:val="24"/>
          <w:szCs w:val="24"/>
          <w:lang w:bidi="zh-CN"/>
        </w:rPr>
        <w:t>经审核，我司认为</w:t>
      </w:r>
      <w:r>
        <w:rPr>
          <w:rFonts w:hint="eastAsia" w:ascii="宋体" w:hAnsi="宋体"/>
          <w:sz w:val="24"/>
          <w:szCs w:val="24"/>
          <w:lang w:bidi="zh-CN"/>
        </w:rPr>
        <w:t>项目公司</w:t>
      </w:r>
      <w:r>
        <w:rPr>
          <w:rFonts w:hint="eastAsia" w:ascii="宋体" w:hAnsi="宋体"/>
          <w:sz w:val="24"/>
          <w:szCs w:val="24"/>
          <w:lang w:val="en-US" w:bidi="zh-CN"/>
        </w:rPr>
        <w:t>11</w:t>
      </w:r>
      <w:r>
        <w:rPr>
          <w:rFonts w:hint="eastAsia" w:ascii="宋体" w:hAnsi="宋体"/>
          <w:sz w:val="24"/>
          <w:szCs w:val="24"/>
          <w:lang w:bidi="zh-CN"/>
        </w:rPr>
        <w:t>月份的管理费用资金支出计划表编制基本合理，公司的办公室房租及水电物管的支出符合企业情况，</w:t>
      </w:r>
      <w:r>
        <w:rPr>
          <w:rFonts w:hint="eastAsia" w:ascii="宋体" w:hAnsi="宋体"/>
          <w:sz w:val="24"/>
          <w:szCs w:val="24"/>
        </w:rPr>
        <w:t>后期申请</w:t>
      </w:r>
      <w:r>
        <w:rPr>
          <w:rFonts w:ascii="宋体" w:hAnsi="宋体"/>
          <w:sz w:val="24"/>
          <w:szCs w:val="24"/>
        </w:rPr>
        <w:t>相关款项</w:t>
      </w:r>
      <w:r>
        <w:rPr>
          <w:rFonts w:ascii="宋体" w:hAnsi="宋体"/>
          <w:sz w:val="24"/>
          <w:szCs w:val="24"/>
          <w:lang w:bidi="zh-CN"/>
        </w:rPr>
        <w:t>支付时，我司会对付款申请、发票、流程、合同等依据进行审核，严格把控，确保资金支付合理、合规。</w:t>
      </w:r>
    </w:p>
    <w:p>
      <w:pPr>
        <w:spacing w:before="156" w:beforeLines="50" w:after="156" w:afterLines="50" w:line="360" w:lineRule="auto"/>
        <w:rPr>
          <w:rFonts w:ascii="宋体" w:hAnsi="宋体"/>
          <w:b/>
          <w:bCs/>
          <w:sz w:val="24"/>
          <w:szCs w:val="24"/>
          <w:lang w:bidi="zh-CN"/>
        </w:rPr>
      </w:pPr>
      <w:r>
        <w:rPr>
          <w:rFonts w:hint="eastAsia" w:ascii="宋体" w:hAnsi="宋体"/>
          <w:b/>
          <w:bCs/>
          <w:sz w:val="24"/>
          <w:szCs w:val="24"/>
          <w:lang w:bidi="zh-CN"/>
        </w:rPr>
        <w:t>（</w:t>
      </w:r>
      <w:r>
        <w:rPr>
          <w:rFonts w:hint="eastAsia" w:ascii="宋体" w:hAnsi="宋体"/>
          <w:b/>
          <w:bCs/>
          <w:sz w:val="24"/>
          <w:szCs w:val="24"/>
          <w:lang w:val="en-US" w:bidi="zh-CN"/>
        </w:rPr>
        <w:t>四</w:t>
      </w:r>
      <w:r>
        <w:rPr>
          <w:rFonts w:hint="eastAsia" w:ascii="宋体" w:hAnsi="宋体"/>
          <w:b/>
          <w:bCs/>
          <w:sz w:val="24"/>
          <w:szCs w:val="24"/>
          <w:lang w:bidi="zh-CN"/>
        </w:rPr>
        <w:t>）不可预见费用资金支出计划说明</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lang w:bidi="zh-CN"/>
        </w:rPr>
        <w:t>项目公司在</w:t>
      </w:r>
      <w:r>
        <w:rPr>
          <w:rFonts w:hint="eastAsia" w:ascii="宋体" w:hAnsi="宋体"/>
          <w:sz w:val="24"/>
          <w:szCs w:val="24"/>
          <w:lang w:val="en-US" w:bidi="zh-CN"/>
        </w:rPr>
        <w:t>11</w:t>
      </w:r>
      <w:r>
        <w:rPr>
          <w:rFonts w:hint="eastAsia" w:ascii="宋体" w:hAnsi="宋体"/>
          <w:sz w:val="24"/>
          <w:szCs w:val="24"/>
          <w:lang w:bidi="zh-CN"/>
        </w:rPr>
        <w:t>月份的不可预见费用为</w:t>
      </w:r>
      <w:r>
        <w:rPr>
          <w:rFonts w:hint="eastAsia" w:ascii="宋体" w:hAnsi="宋体"/>
          <w:sz w:val="24"/>
          <w:szCs w:val="24"/>
          <w:lang w:val="en-US" w:bidi="zh-CN"/>
        </w:rPr>
        <w:t>1</w:t>
      </w:r>
      <w:r>
        <w:rPr>
          <w:rFonts w:hint="eastAsia" w:ascii="宋体" w:hAnsi="宋体"/>
          <w:sz w:val="24"/>
          <w:szCs w:val="24"/>
          <w:lang w:bidi="zh-CN"/>
        </w:rPr>
        <w:t>00.00万元，以备一些不可预测的资金支付。</w:t>
      </w:r>
    </w:p>
    <w:p>
      <w:pPr>
        <w:numPr>
          <w:ilvl w:val="0"/>
          <w:numId w:val="1"/>
        </w:numPr>
        <w:spacing w:before="156" w:beforeLines="50" w:after="156" w:afterLines="50"/>
        <w:ind w:firstLine="120" w:firstLineChars="50"/>
        <w:rPr>
          <w:rFonts w:ascii="宋体" w:hAnsi="宋体"/>
          <w:b/>
          <w:sz w:val="24"/>
          <w:szCs w:val="24"/>
          <w:lang w:bidi="zh-CN"/>
        </w:rPr>
      </w:pPr>
      <w:r>
        <w:rPr>
          <w:rFonts w:ascii="宋体" w:hAnsi="宋体"/>
          <w:b/>
          <w:sz w:val="24"/>
          <w:szCs w:val="24"/>
          <w:lang w:bidi="zh-CN"/>
        </w:rPr>
        <w:t>结论：</w:t>
      </w:r>
    </w:p>
    <w:p>
      <w:pPr>
        <w:pStyle w:val="14"/>
        <w:spacing w:before="156" w:beforeLines="50" w:after="156" w:afterLines="50" w:line="360" w:lineRule="auto"/>
        <w:ind w:firstLine="480"/>
        <w:rPr>
          <w:rFonts w:ascii="宋体" w:hAnsi="宋体"/>
          <w:sz w:val="24"/>
          <w:szCs w:val="24"/>
          <w:lang w:bidi="zh-CN"/>
        </w:rPr>
      </w:pPr>
      <w:r>
        <w:rPr>
          <w:rFonts w:hint="eastAsia" w:ascii="宋体" w:hAnsi="宋体"/>
          <w:sz w:val="24"/>
          <w:szCs w:val="24"/>
        </w:rPr>
        <w:t>项目公司本次提交的2021年</w:t>
      </w:r>
      <w:r>
        <w:rPr>
          <w:rFonts w:hint="eastAsia" w:ascii="宋体" w:hAnsi="宋体"/>
          <w:sz w:val="24"/>
          <w:szCs w:val="24"/>
          <w:lang w:val="en-US" w:eastAsia="zh-CN"/>
        </w:rPr>
        <w:t>11</w:t>
      </w:r>
      <w:r>
        <w:rPr>
          <w:rFonts w:hint="eastAsia" w:ascii="宋体" w:hAnsi="宋体"/>
          <w:sz w:val="24"/>
          <w:szCs w:val="24"/>
        </w:rPr>
        <w:t>月资金计划按款项类别分类，</w:t>
      </w:r>
      <w:r>
        <w:rPr>
          <w:rFonts w:ascii="宋体" w:hAnsi="宋体"/>
          <w:bCs/>
          <w:color w:val="000000"/>
          <w:sz w:val="24"/>
          <w:szCs w:val="24"/>
          <w:lang w:bidi="zh-CN"/>
        </w:rPr>
        <w:t>分类信息明确，直观，费用明细与现场实际情况基本吻合</w:t>
      </w:r>
      <w:r>
        <w:rPr>
          <w:rFonts w:hint="eastAsia" w:ascii="宋体" w:hAnsi="宋体"/>
          <w:bCs/>
          <w:color w:val="000000"/>
          <w:sz w:val="24"/>
          <w:szCs w:val="24"/>
          <w:lang w:bidi="zh-CN"/>
        </w:rPr>
        <w:t>。涉及的合同及付款与开发节奏匹配，部分付款时间较之现金流预测表略有调整。由于部分合同在提交预算时未签订属正常情况，</w:t>
      </w:r>
      <w:r>
        <w:rPr>
          <w:rFonts w:hint="eastAsia" w:ascii="宋体" w:hAnsi="宋体"/>
          <w:sz w:val="24"/>
          <w:szCs w:val="24"/>
          <w:lang w:bidi="zh-CN"/>
        </w:rPr>
        <w:t>后期我司会对合同签订严格把控。实际支付时，我司会对</w:t>
      </w:r>
      <w:bookmarkStart w:id="0" w:name="_GoBack"/>
      <w:bookmarkEnd w:id="0"/>
      <w:r>
        <w:rPr>
          <w:rFonts w:hint="eastAsia" w:ascii="宋体" w:hAnsi="宋体"/>
          <w:sz w:val="24"/>
          <w:szCs w:val="24"/>
          <w:lang w:bidi="zh-CN"/>
        </w:rPr>
        <w:t>付款申请、发票、流程、合同、现场签证等依据进行审核、计算，根据实际申请情况审核付款的合理性、合规性。</w:t>
      </w:r>
    </w:p>
    <w:p>
      <w:pPr>
        <w:spacing w:before="156" w:beforeLines="50" w:after="156" w:afterLines="50" w:line="360" w:lineRule="auto"/>
        <w:ind w:firstLine="480" w:firstLineChars="200"/>
        <w:rPr>
          <w:rFonts w:ascii="宋体" w:hAnsi="宋体"/>
          <w:sz w:val="24"/>
          <w:szCs w:val="24"/>
          <w:lang w:bidi="zh-CN"/>
        </w:rPr>
      </w:pPr>
      <w:r>
        <w:rPr>
          <w:rFonts w:hint="eastAsia" w:ascii="宋体" w:hAnsi="宋体"/>
          <w:bCs/>
          <w:sz w:val="24"/>
          <w:szCs w:val="24"/>
          <w:lang w:bidi="zh-CN"/>
        </w:rPr>
        <w:t>我司拟同意项目公司2021年</w:t>
      </w:r>
      <w:r>
        <w:rPr>
          <w:rFonts w:hint="eastAsia" w:ascii="宋体" w:hAnsi="宋体"/>
          <w:bCs/>
          <w:sz w:val="24"/>
          <w:szCs w:val="24"/>
          <w:lang w:val="en-US" w:bidi="zh-CN"/>
        </w:rPr>
        <w:t>11</w:t>
      </w:r>
      <w:r>
        <w:rPr>
          <w:rFonts w:hint="eastAsia" w:ascii="宋体" w:hAnsi="宋体"/>
          <w:bCs/>
          <w:sz w:val="24"/>
          <w:szCs w:val="24"/>
          <w:lang w:bidi="zh-CN"/>
        </w:rPr>
        <w:t>月份的资金计划，并以此作为付款的依据。待实际支付时，我司人员将对相关付款资料的合理、合规性一一核实，据实支付，请审批。</w:t>
      </w:r>
    </w:p>
    <w:p>
      <w:pPr>
        <w:spacing w:before="156" w:beforeLines="50" w:after="156" w:afterLines="50" w:line="360" w:lineRule="auto"/>
        <w:ind w:firstLine="480" w:firstLineChars="200"/>
        <w:rPr>
          <w:rFonts w:ascii="宋体" w:hAnsi="宋体"/>
          <w:sz w:val="24"/>
          <w:szCs w:val="24"/>
        </w:rPr>
      </w:pPr>
    </w:p>
    <w:p>
      <w:pPr>
        <w:spacing w:line="360" w:lineRule="auto"/>
        <w:ind w:firstLine="5060" w:firstLineChars="2100"/>
        <w:rPr>
          <w:rFonts w:ascii="宋体" w:hAnsi="宋体"/>
          <w:b/>
          <w:color w:val="000000"/>
          <w:sz w:val="24"/>
          <w:lang w:bidi="zh-CN"/>
        </w:rPr>
      </w:pPr>
      <w:r>
        <w:rPr>
          <w:rFonts w:hint="eastAsia" w:ascii="宋体" w:hAnsi="宋体"/>
          <w:b/>
          <w:color w:val="000000"/>
          <w:sz w:val="24"/>
          <w:lang w:bidi="zh-CN"/>
        </w:rPr>
        <w:t xml:space="preserve">       北京康信君安资产管理有限公司</w:t>
      </w:r>
    </w:p>
    <w:p>
      <w:pPr>
        <w:spacing w:before="156" w:beforeLines="50" w:line="360" w:lineRule="auto"/>
        <w:ind w:left="420" w:leftChars="200" w:firstLine="482" w:firstLineChars="200"/>
        <w:rPr>
          <w:rFonts w:ascii="宋体" w:hAnsi="宋体"/>
          <w:b/>
          <w:color w:val="000000"/>
          <w:sz w:val="24"/>
          <w:lang w:bidi="zh-CN"/>
        </w:rPr>
      </w:pPr>
      <w:r>
        <w:rPr>
          <w:rFonts w:hint="eastAsia" w:ascii="宋体" w:hAnsi="宋体"/>
          <w:b/>
          <w:color w:val="000000"/>
          <w:sz w:val="24"/>
          <w:lang w:bidi="zh-CN"/>
        </w:rPr>
        <w:t xml:space="preserve">                                              </w:t>
      </w:r>
      <w:r>
        <w:rPr>
          <w:rFonts w:hint="eastAsia" w:ascii="宋体" w:hAnsi="宋体"/>
          <w:b/>
          <w:bCs/>
          <w:color w:val="000000"/>
          <w:sz w:val="24"/>
          <w:lang w:bidi="zh-CN"/>
        </w:rPr>
        <w:t xml:space="preserve"> 20</w:t>
      </w:r>
      <w:r>
        <w:rPr>
          <w:rFonts w:ascii="宋体" w:hAnsi="宋体"/>
          <w:b/>
          <w:bCs/>
          <w:color w:val="000000"/>
          <w:sz w:val="24"/>
          <w:lang w:bidi="zh-CN"/>
        </w:rPr>
        <w:t>2</w:t>
      </w:r>
      <w:r>
        <w:rPr>
          <w:rFonts w:hint="eastAsia" w:ascii="宋体" w:hAnsi="宋体"/>
          <w:b/>
          <w:bCs/>
          <w:color w:val="000000"/>
          <w:sz w:val="24"/>
          <w:lang w:bidi="zh-CN"/>
        </w:rPr>
        <w:t>1年</w:t>
      </w:r>
      <w:r>
        <w:rPr>
          <w:rFonts w:hint="eastAsia" w:ascii="宋体" w:hAnsi="宋体"/>
          <w:b/>
          <w:bCs/>
          <w:color w:val="000000"/>
          <w:sz w:val="24"/>
          <w:lang w:val="en-US" w:bidi="zh-CN"/>
        </w:rPr>
        <w:t>10</w:t>
      </w:r>
      <w:r>
        <w:rPr>
          <w:rFonts w:ascii="宋体" w:hAnsi="宋体"/>
          <w:b/>
          <w:bCs/>
          <w:color w:val="000000"/>
          <w:sz w:val="24"/>
          <w:lang w:bidi="zh-CN"/>
        </w:rPr>
        <w:t>月</w:t>
      </w:r>
      <w:r>
        <w:rPr>
          <w:rFonts w:hint="eastAsia" w:ascii="宋体" w:hAnsi="宋体"/>
          <w:b/>
          <w:bCs/>
          <w:color w:val="000000"/>
          <w:sz w:val="24"/>
          <w:lang w:val="en-US" w:bidi="zh-CN"/>
        </w:rPr>
        <w:t>25</w:t>
      </w:r>
      <w:r>
        <w:rPr>
          <w:rFonts w:ascii="宋体" w:hAnsi="宋体"/>
          <w:b/>
          <w:bCs/>
          <w:color w:val="000000"/>
          <w:sz w:val="24"/>
          <w:lang w:bidi="zh-CN"/>
        </w:rPr>
        <w:t>日</w:t>
      </w:r>
    </w:p>
    <w:sectPr>
      <w:headerReference r:id="rId3" w:type="default"/>
      <w:footerReference r:id="rId4" w:type="default"/>
      <w:pgSz w:w="11906" w:h="16838"/>
      <w:pgMar w:top="1417" w:right="1134" w:bottom="1134"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hint="eastAsia" w:ascii="楷体_GB2312" w:eastAsia="楷体_GB2312"/>
        <w:spacing w:val="-20"/>
        <w:sz w:val="24"/>
      </w:rPr>
      <w:t xml:space="preserve">        </w:t>
    </w:r>
    <w:r>
      <w:drawing>
        <wp:inline distT="0" distB="0" distL="0" distR="0">
          <wp:extent cx="6048375" cy="418465"/>
          <wp:effectExtent l="0" t="0" r="9525"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048375" cy="41846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2381DE"/>
    <w:multiLevelType w:val="multilevel"/>
    <w:tmpl w:val="062381DE"/>
    <w:lvl w:ilvl="0" w:tentative="0">
      <w:start w:val="1"/>
      <w:numFmt w:val="decimal"/>
      <w:lvlText w:val="（%1）"/>
      <w:lvlJc w:val="left"/>
      <w:pPr>
        <w:ind w:left="1200" w:hanging="7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14C624E7"/>
    <w:multiLevelType w:val="multilevel"/>
    <w:tmpl w:val="14C624E7"/>
    <w:lvl w:ilvl="0" w:tentative="0">
      <w:start w:val="1"/>
      <w:numFmt w:val="decimal"/>
      <w:lvlText w:val="（%1）"/>
      <w:lvlJc w:val="left"/>
      <w:pPr>
        <w:ind w:left="1140" w:hanging="7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1F5288DA"/>
    <w:multiLevelType w:val="singleLevel"/>
    <w:tmpl w:val="1F5288DA"/>
    <w:lvl w:ilvl="0" w:tentative="0">
      <w:start w:val="1"/>
      <w:numFmt w:val="chineseCounting"/>
      <w:suff w:val="nothing"/>
      <w:lvlText w:val="%1、"/>
      <w:lvlJc w:val="left"/>
      <w:rPr>
        <w:rFonts w:hint="eastAsia"/>
      </w:rPr>
    </w:lvl>
  </w:abstractNum>
  <w:abstractNum w:abstractNumId="3">
    <w:nsid w:val="43768D9D"/>
    <w:multiLevelType w:val="multilevel"/>
    <w:tmpl w:val="43768D9D"/>
    <w:lvl w:ilvl="0" w:tentative="0">
      <w:start w:val="1"/>
      <w:numFmt w:val="decimal"/>
      <w:lvlText w:val="（%1）"/>
      <w:lvlJc w:val="left"/>
      <w:pPr>
        <w:ind w:left="1200" w:hanging="7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3D1761"/>
    <w:rsid w:val="000165E9"/>
    <w:rsid w:val="00040F89"/>
    <w:rsid w:val="000525F4"/>
    <w:rsid w:val="00065207"/>
    <w:rsid w:val="000C41A2"/>
    <w:rsid w:val="000E3789"/>
    <w:rsid w:val="00136E9B"/>
    <w:rsid w:val="00142260"/>
    <w:rsid w:val="00194BA4"/>
    <w:rsid w:val="00221B7A"/>
    <w:rsid w:val="00237492"/>
    <w:rsid w:val="002A26CB"/>
    <w:rsid w:val="002B4D97"/>
    <w:rsid w:val="002E58E2"/>
    <w:rsid w:val="00347099"/>
    <w:rsid w:val="003C3BC4"/>
    <w:rsid w:val="00473EDB"/>
    <w:rsid w:val="0049374E"/>
    <w:rsid w:val="004B1C61"/>
    <w:rsid w:val="004D1D0F"/>
    <w:rsid w:val="004F4F30"/>
    <w:rsid w:val="00510E2C"/>
    <w:rsid w:val="00552620"/>
    <w:rsid w:val="00571659"/>
    <w:rsid w:val="005B4A9C"/>
    <w:rsid w:val="005B5D70"/>
    <w:rsid w:val="005D6DC3"/>
    <w:rsid w:val="006151EF"/>
    <w:rsid w:val="0061623D"/>
    <w:rsid w:val="00622B0D"/>
    <w:rsid w:val="00634457"/>
    <w:rsid w:val="00644ECF"/>
    <w:rsid w:val="006E2B52"/>
    <w:rsid w:val="006F6637"/>
    <w:rsid w:val="0074650F"/>
    <w:rsid w:val="00757726"/>
    <w:rsid w:val="007A22DB"/>
    <w:rsid w:val="007E1386"/>
    <w:rsid w:val="007F17A1"/>
    <w:rsid w:val="00816F02"/>
    <w:rsid w:val="00832436"/>
    <w:rsid w:val="008610EA"/>
    <w:rsid w:val="00877846"/>
    <w:rsid w:val="008847E6"/>
    <w:rsid w:val="008D2B74"/>
    <w:rsid w:val="009004D8"/>
    <w:rsid w:val="009030FB"/>
    <w:rsid w:val="009A0579"/>
    <w:rsid w:val="00A6720B"/>
    <w:rsid w:val="00A87777"/>
    <w:rsid w:val="00AF7AC5"/>
    <w:rsid w:val="00B21E45"/>
    <w:rsid w:val="00BA68DE"/>
    <w:rsid w:val="00BF7391"/>
    <w:rsid w:val="00C930E4"/>
    <w:rsid w:val="00C944C0"/>
    <w:rsid w:val="00C95AE7"/>
    <w:rsid w:val="00D203AB"/>
    <w:rsid w:val="00D306E0"/>
    <w:rsid w:val="00D628DD"/>
    <w:rsid w:val="00D76CDD"/>
    <w:rsid w:val="00DD6217"/>
    <w:rsid w:val="00E10A98"/>
    <w:rsid w:val="00E20E17"/>
    <w:rsid w:val="00E45716"/>
    <w:rsid w:val="00E568EC"/>
    <w:rsid w:val="00E80754"/>
    <w:rsid w:val="00E921FE"/>
    <w:rsid w:val="00ED4545"/>
    <w:rsid w:val="00F01AF9"/>
    <w:rsid w:val="00F8220C"/>
    <w:rsid w:val="00FA3166"/>
    <w:rsid w:val="011E611D"/>
    <w:rsid w:val="02130218"/>
    <w:rsid w:val="03E56E01"/>
    <w:rsid w:val="04143CD3"/>
    <w:rsid w:val="043B223B"/>
    <w:rsid w:val="0443319A"/>
    <w:rsid w:val="044B0A1E"/>
    <w:rsid w:val="04982717"/>
    <w:rsid w:val="063D1761"/>
    <w:rsid w:val="066B3734"/>
    <w:rsid w:val="07781F48"/>
    <w:rsid w:val="07CF7D8D"/>
    <w:rsid w:val="07E03F89"/>
    <w:rsid w:val="08EE1EC1"/>
    <w:rsid w:val="0A356C11"/>
    <w:rsid w:val="0B204221"/>
    <w:rsid w:val="0B3C2A88"/>
    <w:rsid w:val="0BD9562E"/>
    <w:rsid w:val="0BF42BB6"/>
    <w:rsid w:val="0C5374A3"/>
    <w:rsid w:val="0CA77FCC"/>
    <w:rsid w:val="0CD82196"/>
    <w:rsid w:val="0CFD1943"/>
    <w:rsid w:val="0D957878"/>
    <w:rsid w:val="0DEB56BA"/>
    <w:rsid w:val="0E4F23EE"/>
    <w:rsid w:val="0E755F9A"/>
    <w:rsid w:val="0EA05F32"/>
    <w:rsid w:val="0EB47384"/>
    <w:rsid w:val="0F2C2C9D"/>
    <w:rsid w:val="0F720137"/>
    <w:rsid w:val="10236628"/>
    <w:rsid w:val="107B72A6"/>
    <w:rsid w:val="12EE54E0"/>
    <w:rsid w:val="13497074"/>
    <w:rsid w:val="146A47AA"/>
    <w:rsid w:val="14E94033"/>
    <w:rsid w:val="15096F27"/>
    <w:rsid w:val="15AF0925"/>
    <w:rsid w:val="15C54F91"/>
    <w:rsid w:val="15E119D7"/>
    <w:rsid w:val="168137AB"/>
    <w:rsid w:val="178873E1"/>
    <w:rsid w:val="19435EDC"/>
    <w:rsid w:val="1BC9008B"/>
    <w:rsid w:val="1C28647C"/>
    <w:rsid w:val="1CC60AB5"/>
    <w:rsid w:val="1D043C1A"/>
    <w:rsid w:val="1DCF49CE"/>
    <w:rsid w:val="1EC43038"/>
    <w:rsid w:val="206D76AC"/>
    <w:rsid w:val="2089420C"/>
    <w:rsid w:val="212D4595"/>
    <w:rsid w:val="220924F2"/>
    <w:rsid w:val="22484DBA"/>
    <w:rsid w:val="224A0817"/>
    <w:rsid w:val="2260711F"/>
    <w:rsid w:val="23466C50"/>
    <w:rsid w:val="23565FC4"/>
    <w:rsid w:val="2384452C"/>
    <w:rsid w:val="23B77E62"/>
    <w:rsid w:val="23BA4F69"/>
    <w:rsid w:val="242E2E2B"/>
    <w:rsid w:val="2567406C"/>
    <w:rsid w:val="25941A9C"/>
    <w:rsid w:val="25A8047B"/>
    <w:rsid w:val="266C538A"/>
    <w:rsid w:val="26731DDF"/>
    <w:rsid w:val="27674113"/>
    <w:rsid w:val="27A85A5B"/>
    <w:rsid w:val="2A566C3D"/>
    <w:rsid w:val="2A9918BD"/>
    <w:rsid w:val="2B4157FF"/>
    <w:rsid w:val="2B94568D"/>
    <w:rsid w:val="2C9C2FB5"/>
    <w:rsid w:val="2D6149CC"/>
    <w:rsid w:val="2DDC2CD7"/>
    <w:rsid w:val="3148423D"/>
    <w:rsid w:val="314A7F41"/>
    <w:rsid w:val="31BC4B3E"/>
    <w:rsid w:val="31ED37AF"/>
    <w:rsid w:val="32C83BEF"/>
    <w:rsid w:val="33CC3F02"/>
    <w:rsid w:val="34162485"/>
    <w:rsid w:val="342A798E"/>
    <w:rsid w:val="347C169E"/>
    <w:rsid w:val="350005E9"/>
    <w:rsid w:val="35334DCE"/>
    <w:rsid w:val="35826B17"/>
    <w:rsid w:val="35E1509F"/>
    <w:rsid w:val="364E0B77"/>
    <w:rsid w:val="36904E00"/>
    <w:rsid w:val="369827D3"/>
    <w:rsid w:val="36E2792D"/>
    <w:rsid w:val="37052A1D"/>
    <w:rsid w:val="37967549"/>
    <w:rsid w:val="392817E4"/>
    <w:rsid w:val="39570990"/>
    <w:rsid w:val="396E3540"/>
    <w:rsid w:val="398A5137"/>
    <w:rsid w:val="39AA604F"/>
    <w:rsid w:val="3B38468E"/>
    <w:rsid w:val="3CF828BA"/>
    <w:rsid w:val="3D037A02"/>
    <w:rsid w:val="3D5D45C4"/>
    <w:rsid w:val="3D6A79E2"/>
    <w:rsid w:val="3D7C3CA5"/>
    <w:rsid w:val="3DF30266"/>
    <w:rsid w:val="3E562450"/>
    <w:rsid w:val="3E806A72"/>
    <w:rsid w:val="40157336"/>
    <w:rsid w:val="40353714"/>
    <w:rsid w:val="40427E51"/>
    <w:rsid w:val="40677E1A"/>
    <w:rsid w:val="407961B2"/>
    <w:rsid w:val="40F11887"/>
    <w:rsid w:val="418F0C8B"/>
    <w:rsid w:val="426C5AFA"/>
    <w:rsid w:val="437C7673"/>
    <w:rsid w:val="43A6533D"/>
    <w:rsid w:val="43E87380"/>
    <w:rsid w:val="44DF3BB8"/>
    <w:rsid w:val="466923B3"/>
    <w:rsid w:val="467763F8"/>
    <w:rsid w:val="485739F0"/>
    <w:rsid w:val="48BF0390"/>
    <w:rsid w:val="496909A5"/>
    <w:rsid w:val="498A208A"/>
    <w:rsid w:val="4A7C41BA"/>
    <w:rsid w:val="4AA870DA"/>
    <w:rsid w:val="4AB1202F"/>
    <w:rsid w:val="4B6B3003"/>
    <w:rsid w:val="4C3A5EE7"/>
    <w:rsid w:val="4E2F4004"/>
    <w:rsid w:val="4E8809AE"/>
    <w:rsid w:val="4F5504D6"/>
    <w:rsid w:val="508F724B"/>
    <w:rsid w:val="514B0422"/>
    <w:rsid w:val="51BD5B4A"/>
    <w:rsid w:val="51D85456"/>
    <w:rsid w:val="52261D9A"/>
    <w:rsid w:val="52F97C5A"/>
    <w:rsid w:val="53F40A94"/>
    <w:rsid w:val="54BD1A39"/>
    <w:rsid w:val="55352B51"/>
    <w:rsid w:val="55C15CDC"/>
    <w:rsid w:val="55C86927"/>
    <w:rsid w:val="563F0869"/>
    <w:rsid w:val="56867ED5"/>
    <w:rsid w:val="570876FE"/>
    <w:rsid w:val="57974A13"/>
    <w:rsid w:val="580914B9"/>
    <w:rsid w:val="58311F64"/>
    <w:rsid w:val="5955419F"/>
    <w:rsid w:val="59DE52E9"/>
    <w:rsid w:val="5A6F0F09"/>
    <w:rsid w:val="5A9001D6"/>
    <w:rsid w:val="5BDE4272"/>
    <w:rsid w:val="5C687668"/>
    <w:rsid w:val="5D9D3DC4"/>
    <w:rsid w:val="5E0738C8"/>
    <w:rsid w:val="5E8C18C4"/>
    <w:rsid w:val="5E957A9E"/>
    <w:rsid w:val="600925CB"/>
    <w:rsid w:val="604D1B61"/>
    <w:rsid w:val="60C62F09"/>
    <w:rsid w:val="60C97E98"/>
    <w:rsid w:val="62B16DCC"/>
    <w:rsid w:val="643D36E2"/>
    <w:rsid w:val="649A1D14"/>
    <w:rsid w:val="64E26422"/>
    <w:rsid w:val="654368AE"/>
    <w:rsid w:val="659429D4"/>
    <w:rsid w:val="67627280"/>
    <w:rsid w:val="676C047E"/>
    <w:rsid w:val="678E6850"/>
    <w:rsid w:val="67DD230A"/>
    <w:rsid w:val="6817488B"/>
    <w:rsid w:val="697D7370"/>
    <w:rsid w:val="6A1856C6"/>
    <w:rsid w:val="6A8601F9"/>
    <w:rsid w:val="6B3B52FE"/>
    <w:rsid w:val="6BA20565"/>
    <w:rsid w:val="6BDE2AB0"/>
    <w:rsid w:val="6C666520"/>
    <w:rsid w:val="6C9C7B61"/>
    <w:rsid w:val="6D572487"/>
    <w:rsid w:val="6D7A59EC"/>
    <w:rsid w:val="6E2B3DC3"/>
    <w:rsid w:val="6F433989"/>
    <w:rsid w:val="7029325C"/>
    <w:rsid w:val="704002BC"/>
    <w:rsid w:val="710470A5"/>
    <w:rsid w:val="72231205"/>
    <w:rsid w:val="727219A8"/>
    <w:rsid w:val="72CB7312"/>
    <w:rsid w:val="73F773CD"/>
    <w:rsid w:val="74176893"/>
    <w:rsid w:val="74AF74FD"/>
    <w:rsid w:val="75053BE6"/>
    <w:rsid w:val="7586575E"/>
    <w:rsid w:val="761B4740"/>
    <w:rsid w:val="770D2F6B"/>
    <w:rsid w:val="77127D64"/>
    <w:rsid w:val="77F67374"/>
    <w:rsid w:val="77F94DFD"/>
    <w:rsid w:val="780C51CB"/>
    <w:rsid w:val="79C755E3"/>
    <w:rsid w:val="7AF23648"/>
    <w:rsid w:val="7B0854D0"/>
    <w:rsid w:val="7C317D2B"/>
    <w:rsid w:val="7D0839FB"/>
    <w:rsid w:val="7D2F364B"/>
    <w:rsid w:val="7D975FB8"/>
    <w:rsid w:val="7DFE3795"/>
    <w:rsid w:val="7E1724CC"/>
    <w:rsid w:val="7F522792"/>
    <w:rsid w:val="7FA53A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iPriority="99"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0"/>
    <w:qFormat/>
    <w:uiPriority w:val="0"/>
    <w:pPr>
      <w:jc w:val="left"/>
    </w:pPr>
  </w:style>
  <w:style w:type="paragraph" w:styleId="5">
    <w:name w:val="Body Text"/>
    <w:basedOn w:val="1"/>
    <w:semiHidden/>
    <w:unhideWhenUsed/>
    <w:qFormat/>
    <w:uiPriority w:val="99"/>
    <w:pPr>
      <w:spacing w:after="120"/>
    </w:pPr>
  </w:style>
  <w:style w:type="paragraph" w:styleId="6">
    <w:name w:val="Balloon Text"/>
    <w:basedOn w:val="1"/>
    <w:link w:val="15"/>
    <w:qFormat/>
    <w:uiPriority w:val="0"/>
    <w:rPr>
      <w:sz w:val="18"/>
      <w:szCs w:val="18"/>
    </w:rPr>
  </w:style>
  <w:style w:type="paragraph" w:styleId="7">
    <w:name w:val="footer"/>
    <w:basedOn w:val="1"/>
    <w:unhideWhenUsed/>
    <w:qFormat/>
    <w:uiPriority w:val="99"/>
    <w:pPr>
      <w:tabs>
        <w:tab w:val="center" w:pos="4153"/>
        <w:tab w:val="right" w:pos="8306"/>
      </w:tabs>
      <w:snapToGrid w:val="0"/>
      <w:jc w:val="left"/>
    </w:pPr>
    <w:rPr>
      <w:kern w:val="0"/>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annotation subject"/>
    <w:basedOn w:val="4"/>
    <w:next w:val="4"/>
    <w:link w:val="21"/>
    <w:qFormat/>
    <w:uiPriority w:val="0"/>
    <w:rPr>
      <w:b/>
      <w:bCs/>
    </w:rPr>
  </w:style>
  <w:style w:type="paragraph" w:styleId="10">
    <w:name w:val="Body Text First Indent"/>
    <w:basedOn w:val="5"/>
    <w:unhideWhenUsed/>
    <w:qFormat/>
    <w:uiPriority w:val="99"/>
    <w:pPr>
      <w:ind w:firstLine="420" w:firstLineChars="100"/>
    </w:pPr>
    <w:rPr>
      <w:szCs w:val="24"/>
    </w:rPr>
  </w:style>
  <w:style w:type="character" w:styleId="13">
    <w:name w:val="annotation reference"/>
    <w:basedOn w:val="12"/>
    <w:qFormat/>
    <w:uiPriority w:val="0"/>
    <w:rPr>
      <w:sz w:val="21"/>
      <w:szCs w:val="21"/>
    </w:rPr>
  </w:style>
  <w:style w:type="paragraph" w:styleId="14">
    <w:name w:val="List Paragraph"/>
    <w:basedOn w:val="1"/>
    <w:qFormat/>
    <w:uiPriority w:val="99"/>
    <w:pPr>
      <w:ind w:firstLine="420" w:firstLineChars="200"/>
    </w:pPr>
  </w:style>
  <w:style w:type="character" w:customStyle="1" w:styleId="15">
    <w:name w:val="批注框文本 字符"/>
    <w:basedOn w:val="12"/>
    <w:link w:val="6"/>
    <w:qFormat/>
    <w:uiPriority w:val="0"/>
    <w:rPr>
      <w:kern w:val="2"/>
      <w:sz w:val="18"/>
      <w:szCs w:val="18"/>
    </w:rPr>
  </w:style>
  <w:style w:type="character" w:customStyle="1" w:styleId="16">
    <w:name w:val="font21"/>
    <w:basedOn w:val="12"/>
    <w:qFormat/>
    <w:uiPriority w:val="0"/>
    <w:rPr>
      <w:rFonts w:hint="eastAsia" w:ascii="宋体" w:hAnsi="宋体" w:eastAsia="宋体" w:cs="宋体"/>
      <w:color w:val="000000"/>
      <w:sz w:val="20"/>
      <w:szCs w:val="20"/>
      <w:u w:val="none"/>
    </w:rPr>
  </w:style>
  <w:style w:type="character" w:customStyle="1" w:styleId="17">
    <w:name w:val="font01"/>
    <w:basedOn w:val="12"/>
    <w:qFormat/>
    <w:uiPriority w:val="0"/>
    <w:rPr>
      <w:rFonts w:hint="eastAsia" w:ascii="宋体" w:hAnsi="宋体" w:eastAsia="宋体" w:cs="宋体"/>
      <w:color w:val="000000"/>
      <w:sz w:val="22"/>
      <w:szCs w:val="22"/>
      <w:u w:val="none"/>
    </w:rPr>
  </w:style>
  <w:style w:type="character" w:customStyle="1" w:styleId="18">
    <w:name w:val="font41"/>
    <w:basedOn w:val="12"/>
    <w:qFormat/>
    <w:uiPriority w:val="0"/>
    <w:rPr>
      <w:rFonts w:hint="eastAsia" w:ascii="宋体" w:hAnsi="宋体" w:eastAsia="宋体" w:cs="宋体"/>
      <w:color w:val="000000"/>
      <w:sz w:val="22"/>
      <w:szCs w:val="22"/>
      <w:u w:val="none"/>
    </w:rPr>
  </w:style>
  <w:style w:type="character" w:customStyle="1" w:styleId="19">
    <w:name w:val="font31"/>
    <w:basedOn w:val="12"/>
    <w:qFormat/>
    <w:uiPriority w:val="0"/>
    <w:rPr>
      <w:rFonts w:ascii="Arial" w:hAnsi="Arial" w:cs="Arial"/>
      <w:color w:val="000000"/>
      <w:sz w:val="22"/>
      <w:szCs w:val="22"/>
      <w:u w:val="none"/>
    </w:rPr>
  </w:style>
  <w:style w:type="character" w:customStyle="1" w:styleId="20">
    <w:name w:val="批注文字 字符"/>
    <w:basedOn w:val="12"/>
    <w:link w:val="4"/>
    <w:qFormat/>
    <w:uiPriority w:val="0"/>
    <w:rPr>
      <w:kern w:val="2"/>
      <w:sz w:val="21"/>
      <w:szCs w:val="22"/>
    </w:rPr>
  </w:style>
  <w:style w:type="character" w:customStyle="1" w:styleId="21">
    <w:name w:val="批注主题 字符"/>
    <w:basedOn w:val="20"/>
    <w:link w:val="9"/>
    <w:qFormat/>
    <w:uiPriority w:val="0"/>
    <w:rPr>
      <w:b/>
      <w:bCs/>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14</Pages>
  <Words>1645</Words>
  <Characters>9377</Characters>
  <Lines>78</Lines>
  <Paragraphs>21</Paragraphs>
  <TotalTime>0</TotalTime>
  <ScaleCrop>false</ScaleCrop>
  <LinksUpToDate>false</LinksUpToDate>
  <CharactersWithSpaces>11001</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2020-08-11T03:39:00Z</dcterms:created>
  <dc:creator>郭胜霖</dc:creator>
  <cp:lastModifiedBy>紫色三色堇</cp:lastModifiedBy>
  <dcterms:modified xsi:type="dcterms:W3CDTF">2021-10-25T08:57:20Z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B8D07FDC0B984D7FA55772F756947A8D</vt:lpwstr>
  </property>
</Properties>
</file>