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45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5"/>
        <w:gridCol w:w="987"/>
        <w:gridCol w:w="1411"/>
        <w:gridCol w:w="2439"/>
        <w:gridCol w:w="1581"/>
        <w:gridCol w:w="2033"/>
        <w:gridCol w:w="2416"/>
        <w:gridCol w:w="1349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/>
              </w:rPr>
            </w:pPr>
          </w:p>
        </w:tc>
        <w:tc>
          <w:tcPr>
            <w:tcW w:w="13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2012" w:leftChars="-958" w:firstLine="2011" w:firstLineChars="958"/>
            </w:pPr>
            <w:r>
              <w:rPr>
                <w:rFonts w:hint="eastAsia"/>
              </w:rPr>
              <w:t xml:space="preserve">公司名称（盖章）: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押品名称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评估类型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（初评/重估）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报告出具日期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评估价值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支付金额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北京通瑞万华置业有限公司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北京通瑞万华置业有限公司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北京市朝阳区常通路1号院1号楼-2至5层101号全部房地产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重估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2024年2月29日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康正评字2023-1-0799-F07DYGJ2号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294941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294941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  <w:rsid w:val="5B47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7011-25EF-47EE-A6B1-951A450F7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win10G</cp:lastModifiedBy>
  <cp:lastPrinted>2021-10-13T07:27:00Z</cp:lastPrinted>
  <dcterms:modified xsi:type="dcterms:W3CDTF">2024-04-08T09:39:07Z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3C53E2DC7EB64DC3AD6346FF331AA4A7_12</vt:lpwstr>
  </property>
</Properties>
</file>