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36"/>
        </w:rPr>
      </w:pPr>
      <w:r>
        <w:rPr>
          <w:rFonts w:hint="eastAsia" w:ascii="宋体" w:hAnsi="宋体" w:cs="宋体"/>
          <w:b/>
          <w:sz w:val="36"/>
          <w:lang w:val="en-US" w:eastAsia="zh-CN"/>
        </w:rPr>
        <w:t>光信·光坤·鸿佳</w:t>
      </w:r>
      <w:r>
        <w:rPr>
          <w:rFonts w:hint="default" w:ascii="Arial" w:hAnsi="Arial" w:eastAsia="宋体" w:cs="Arial"/>
          <w:b/>
          <w:sz w:val="36"/>
          <w:lang w:val="en-US" w:eastAsia="zh-CN"/>
        </w:rPr>
        <w:t>1</w:t>
      </w:r>
      <w:r>
        <w:rPr>
          <w:rFonts w:hint="eastAsia" w:ascii="宋体" w:hAnsi="宋体" w:cs="宋体"/>
          <w:b/>
          <w:sz w:val="36"/>
          <w:lang w:val="en-US" w:eastAsia="zh-CN"/>
        </w:rPr>
        <w:t>号</w:t>
      </w:r>
      <w:r>
        <w:rPr>
          <w:rFonts w:hint="eastAsia" w:ascii="宋体" w:hAnsi="宋体" w:cs="宋体"/>
          <w:b/>
          <w:sz w:val="36"/>
        </w:rPr>
        <w:t>集合资金信托计划</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1年04</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Cs w:val="28"/>
        </w:rPr>
      </w:pPr>
      <w:r>
        <w:rPr>
          <w:rFonts w:hint="eastAsia" w:ascii="宋体" w:hAnsi="宋体" w:cs="宋体"/>
          <w:b/>
          <w:szCs w:val="28"/>
        </w:rPr>
        <w:t>项目名称：</w:t>
      </w:r>
      <w:r>
        <w:rPr>
          <w:rFonts w:hint="eastAsia" w:ascii="宋体" w:hAnsi="宋体" w:cs="宋体"/>
          <w:b/>
          <w:szCs w:val="28"/>
          <w:lang w:val="en-US" w:eastAsia="zh-CN"/>
        </w:rPr>
        <w:t>光信·光坤·鸿佳</w:t>
      </w:r>
      <w:r>
        <w:rPr>
          <w:rFonts w:hint="default" w:ascii="Arial" w:hAnsi="Arial" w:cs="Arial"/>
          <w:b/>
          <w:szCs w:val="28"/>
          <w:lang w:val="en-US" w:eastAsia="zh-CN"/>
        </w:rPr>
        <w:t>1</w:t>
      </w:r>
      <w:r>
        <w:rPr>
          <w:rFonts w:hint="eastAsia" w:ascii="宋体" w:hAnsi="宋体" w:cs="宋体"/>
          <w:b/>
          <w:szCs w:val="28"/>
          <w:lang w:val="en-US" w:eastAsia="zh-CN"/>
        </w:rPr>
        <w:t>号</w:t>
      </w:r>
      <w:r>
        <w:rPr>
          <w:rFonts w:hint="eastAsia" w:ascii="宋体" w:hAnsi="宋体" w:cs="宋体"/>
          <w:b/>
          <w:szCs w:val="28"/>
        </w:rPr>
        <w:t>集合资金信托计划</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二〇二一年五月六日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sz w:val="21"/>
          <w:szCs w:val="21"/>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_Toc20621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_Toc20621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_Toc31694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2重大事项披露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_Toc31694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_Toc6338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3项目进展情况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_Toc6338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_Toc31214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3.1项目五证办理情况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_Toc31214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_Toc12733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3.2项目施工进度情况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_Toc12733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_Toc11786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3.3项目开发进度节点</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_Toc11786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_Toc27874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_Toc27874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_Toc30797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_Toc30797 </w:instrText>
      </w:r>
      <w:r>
        <w:rPr>
          <w:rFonts w:hint="default" w:ascii="Arial" w:hAnsi="Arial" w:eastAsia="宋体" w:cs="Arial"/>
          <w:sz w:val="21"/>
          <w:szCs w:val="21"/>
        </w:rPr>
        <w:fldChar w:fldCharType="separate"/>
      </w:r>
      <w:r>
        <w:rPr>
          <w:rFonts w:hint="default" w:ascii="Arial" w:hAnsi="Arial" w:eastAsia="宋体" w:cs="Arial"/>
          <w:sz w:val="21"/>
          <w:szCs w:val="21"/>
        </w:rPr>
        <w:t>14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_Toc5286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6项目营销情况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_Toc5286 </w:instrText>
      </w:r>
      <w:r>
        <w:rPr>
          <w:rFonts w:hint="default" w:ascii="Arial" w:hAnsi="Arial" w:eastAsia="宋体" w:cs="Arial"/>
          <w:sz w:val="21"/>
          <w:szCs w:val="21"/>
        </w:rPr>
        <w:fldChar w:fldCharType="separate"/>
      </w:r>
      <w:r>
        <w:rPr>
          <w:rFonts w:hint="default" w:ascii="Arial" w:hAnsi="Arial" w:eastAsia="宋体" w:cs="Arial"/>
          <w:sz w:val="21"/>
          <w:szCs w:val="21"/>
        </w:rPr>
        <w:t>19</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_Toc132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6.1项目销售情况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_Toc132 </w:instrText>
      </w:r>
      <w:r>
        <w:rPr>
          <w:rFonts w:hint="default" w:ascii="Arial" w:hAnsi="Arial" w:eastAsia="宋体" w:cs="Arial"/>
          <w:sz w:val="21"/>
          <w:szCs w:val="21"/>
        </w:rPr>
        <w:fldChar w:fldCharType="separate"/>
      </w:r>
      <w:r>
        <w:rPr>
          <w:rFonts w:hint="default" w:ascii="Arial" w:hAnsi="Arial" w:eastAsia="宋体" w:cs="Arial"/>
          <w:sz w:val="21"/>
          <w:szCs w:val="21"/>
        </w:rPr>
        <w:t>19</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_Toc17437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6.2当地房地产政策</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_Toc17437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_Toc17896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6.3周边竞品项目情况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_Toc17896 </w:instrText>
      </w:r>
      <w:r>
        <w:rPr>
          <w:rFonts w:hint="default" w:ascii="Arial" w:hAnsi="Arial" w:eastAsia="宋体" w:cs="Arial"/>
          <w:sz w:val="21"/>
          <w:szCs w:val="21"/>
        </w:rPr>
        <w:fldChar w:fldCharType="separate"/>
      </w:r>
      <w:r>
        <w:rPr>
          <w:rFonts w:hint="default" w:ascii="Arial" w:hAnsi="Arial" w:eastAsia="宋体" w:cs="Arial"/>
          <w:sz w:val="21"/>
          <w:szCs w:val="21"/>
        </w:rPr>
        <w:t>26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_Toc29745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_Toc29745 </w:instrText>
      </w:r>
      <w:r>
        <w:rPr>
          <w:rFonts w:hint="default" w:ascii="Arial" w:hAnsi="Arial" w:eastAsia="宋体" w:cs="Arial"/>
          <w:sz w:val="21"/>
          <w:szCs w:val="21"/>
        </w:rPr>
        <w:fldChar w:fldCharType="separate"/>
      </w:r>
      <w:r>
        <w:rPr>
          <w:rFonts w:hint="default" w:ascii="Arial" w:hAnsi="Arial" w:eastAsia="宋体" w:cs="Arial"/>
          <w:sz w:val="21"/>
          <w:szCs w:val="21"/>
        </w:rPr>
        <w:t>27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_Toc16906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7.1资金流出情况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_Toc16906 </w:instrText>
      </w:r>
      <w:r>
        <w:rPr>
          <w:rFonts w:hint="default" w:ascii="Arial" w:hAnsi="Arial" w:eastAsia="宋体" w:cs="Arial"/>
          <w:sz w:val="21"/>
          <w:szCs w:val="21"/>
        </w:rPr>
        <w:fldChar w:fldCharType="separate"/>
      </w:r>
      <w:r>
        <w:rPr>
          <w:rFonts w:hint="default" w:ascii="Arial" w:hAnsi="Arial" w:eastAsia="宋体" w:cs="Arial"/>
          <w:sz w:val="21"/>
          <w:szCs w:val="21"/>
        </w:rPr>
        <w:t>27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_Toc13138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7.2资金流入情况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_Toc13138 </w:instrText>
      </w:r>
      <w:r>
        <w:rPr>
          <w:rFonts w:hint="default" w:ascii="Arial" w:hAnsi="Arial" w:eastAsia="宋体" w:cs="Arial"/>
          <w:sz w:val="21"/>
          <w:szCs w:val="21"/>
        </w:rPr>
        <w:fldChar w:fldCharType="separate"/>
      </w:r>
      <w:r>
        <w:rPr>
          <w:rFonts w:hint="default" w:ascii="Arial" w:hAnsi="Arial" w:eastAsia="宋体" w:cs="Arial"/>
          <w:sz w:val="21"/>
          <w:szCs w:val="21"/>
        </w:rPr>
        <w:t>30</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_Toc24625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7.3资金结算</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_Toc24625 </w:instrText>
      </w:r>
      <w:r>
        <w:rPr>
          <w:rFonts w:hint="default" w:ascii="Arial" w:hAnsi="Arial" w:eastAsia="宋体" w:cs="Arial"/>
          <w:sz w:val="21"/>
          <w:szCs w:val="21"/>
        </w:rPr>
        <w:fldChar w:fldCharType="separate"/>
      </w:r>
      <w:r>
        <w:rPr>
          <w:rFonts w:hint="default" w:ascii="Arial" w:hAnsi="Arial" w:eastAsia="宋体" w:cs="Arial"/>
          <w:sz w:val="21"/>
          <w:szCs w:val="21"/>
        </w:rPr>
        <w:t>35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_Toc25565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8月度监管总结</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_Toc25565 </w:instrText>
      </w:r>
      <w:r>
        <w:rPr>
          <w:rFonts w:hint="default" w:ascii="Arial" w:hAnsi="Arial" w:eastAsia="宋体" w:cs="Arial"/>
          <w:sz w:val="21"/>
          <w:szCs w:val="21"/>
        </w:rPr>
        <w:fldChar w:fldCharType="separate"/>
      </w:r>
      <w:r>
        <w:rPr>
          <w:rFonts w:hint="default" w:ascii="Arial" w:hAnsi="Arial" w:eastAsia="宋体" w:cs="Arial"/>
          <w:sz w:val="21"/>
          <w:szCs w:val="21"/>
        </w:rPr>
        <w:t>36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_Toc21683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9附件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_Toc21683 </w:instrText>
      </w:r>
      <w:r>
        <w:rPr>
          <w:rFonts w:hint="default" w:ascii="Arial" w:hAnsi="Arial" w:eastAsia="宋体" w:cs="Arial"/>
          <w:sz w:val="21"/>
          <w:szCs w:val="21"/>
        </w:rPr>
        <w:fldChar w:fldCharType="separate"/>
      </w:r>
      <w:r>
        <w:rPr>
          <w:rFonts w:hint="default" w:ascii="Arial" w:hAnsi="Arial" w:eastAsia="宋体" w:cs="Arial"/>
          <w:sz w:val="21"/>
          <w:szCs w:val="21"/>
        </w:rPr>
        <w:t>37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_Toc32399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附件一：银行明细账</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_Toc32399 </w:instrText>
      </w:r>
      <w:r>
        <w:rPr>
          <w:rFonts w:hint="default" w:ascii="Arial" w:hAnsi="Arial" w:eastAsia="宋体" w:cs="Arial"/>
          <w:sz w:val="21"/>
          <w:szCs w:val="21"/>
        </w:rPr>
        <w:fldChar w:fldCharType="separate"/>
      </w:r>
      <w:r>
        <w:rPr>
          <w:rFonts w:hint="default" w:ascii="Arial" w:hAnsi="Arial" w:eastAsia="宋体" w:cs="Arial"/>
          <w:sz w:val="21"/>
          <w:szCs w:val="21"/>
        </w:rPr>
        <w:t>37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_Toc31760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附件二：共管资料移交清单</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_Toc31760 </w:instrText>
      </w:r>
      <w:r>
        <w:rPr>
          <w:rFonts w:hint="default" w:ascii="Arial" w:hAnsi="Arial" w:eastAsia="宋体" w:cs="Arial"/>
          <w:sz w:val="21"/>
          <w:szCs w:val="21"/>
        </w:rPr>
        <w:fldChar w:fldCharType="separate"/>
      </w:r>
      <w:r>
        <w:rPr>
          <w:rFonts w:hint="default" w:ascii="Arial" w:hAnsi="Arial" w:eastAsia="宋体" w:cs="Arial"/>
          <w:sz w:val="21"/>
          <w:szCs w:val="21"/>
        </w:rPr>
        <w:t>41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宋体" w:hAnsi="宋体" w:eastAsia="宋体" w:cs="宋体"/>
          <w:sz w:val="21"/>
          <w:szCs w:val="21"/>
          <w:lang w:val="en-US" w:eastAsia="zh-CN"/>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_Toc447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附件三：本期用印登记簿影像</w:t>
      </w:r>
      <w:r>
        <w:rPr>
          <w:rFonts w:hint="default" w:ascii="Arial" w:hAnsi="Arial" w:eastAsia="宋体" w:cs="Arial"/>
          <w:sz w:val="21"/>
          <w:szCs w:val="21"/>
        </w:rPr>
        <w:tab/>
      </w:r>
      <w:r>
        <w:rPr>
          <w:rFonts w:hint="default" w:ascii="Arial" w:hAnsi="Arial" w:eastAsia="宋体" w:cs="Arial"/>
          <w:sz w:val="21"/>
          <w:szCs w:val="21"/>
          <w:lang w:val="en-US" w:eastAsia="zh-CN"/>
        </w:rPr>
        <w:fldChar w:fldCharType="end"/>
      </w:r>
      <w:r>
        <w:rPr>
          <w:rFonts w:hint="eastAsia" w:ascii="Arial" w:hAnsi="Arial" w:cs="Arial"/>
          <w:sz w:val="21"/>
          <w:szCs w:val="21"/>
          <w:lang w:val="en-US" w:eastAsia="zh-CN"/>
        </w:rPr>
        <w:t>44</w:t>
      </w:r>
    </w:p>
    <w:p>
      <w:pPr>
        <w:spacing w:line="360" w:lineRule="auto"/>
        <w:outlineLvl w:val="9"/>
        <w:rPr>
          <w:rFonts w:hint="default"/>
          <w:lang w:val="en-US" w:eastAsia="zh-CN"/>
        </w:rPr>
      </w:pPr>
      <w:r>
        <w:rPr>
          <w:rFonts w:hint="eastAsia" w:ascii="宋体" w:hAnsi="宋体" w:eastAsia="宋体" w:cs="宋体"/>
          <w:sz w:val="21"/>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20621"/>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468245"/>
            <wp:effectExtent l="0" t="0" r="5715" b="635"/>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8" cstate="print"/>
                    <a:srcRect/>
                    <a:stretch>
                      <a:fillRect/>
                    </a:stretch>
                  </pic:blipFill>
                  <pic:spPr>
                    <a:xfrm>
                      <a:off x="0" y="0"/>
                      <a:ext cx="5907405" cy="2468245"/>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31694"/>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1"/>
        </w:numPr>
        <w:spacing w:line="480" w:lineRule="auto"/>
        <w:ind w:firstLine="420" w:firstLineChars="200"/>
        <w:rPr>
          <w:sz w:val="21"/>
          <w:szCs w:val="21"/>
        </w:rPr>
      </w:pPr>
      <w:r>
        <w:rPr>
          <w:rFonts w:hint="eastAsia" w:ascii="Arial" w:hAnsi="Arial" w:cs="Arial"/>
          <w:lang w:val="en-US" w:eastAsia="zh-CN"/>
        </w:rPr>
        <w:t>项目公司与山东高速于2021年04月09日办理退场交接，山东高速于当日退出晓岸云起项目。</w:t>
      </w:r>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晓岸云起项目施工现场</w:t>
      </w:r>
      <w:r>
        <w:rPr>
          <w:rFonts w:hint="eastAsia"/>
          <w:sz w:val="21"/>
          <w:szCs w:val="21"/>
        </w:rPr>
        <w:t>叠合楼板厂家生产能力有限，对</w:t>
      </w:r>
      <w:r>
        <w:rPr>
          <w:rFonts w:hint="eastAsia" w:ascii="Arial" w:hAnsi="Arial" w:cs="Arial"/>
          <w:lang w:val="en-US" w:eastAsia="zh-CN"/>
        </w:rPr>
        <w:t>二期19#、20#、21#、22#、23#楼</w:t>
      </w:r>
      <w:r>
        <w:rPr>
          <w:rFonts w:hint="eastAsia"/>
          <w:sz w:val="21"/>
          <w:szCs w:val="21"/>
        </w:rPr>
        <w:t>主体存在进度风险，但风险可控。</w:t>
      </w:r>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项目公司晓岸云起2期21#楼预售许可证已于2021年04月14日交接，2期20#楼预售许可证于2021年04月25日交接，2期13#楼预售许可证于2021年04月28日交接；汉口银行单位结算业务委托书于2021年4月20日交接，共管资料详见附件二。</w:t>
      </w:r>
    </w:p>
    <w:p>
      <w:pPr>
        <w:numPr>
          <w:ilvl w:val="0"/>
          <w:numId w:val="1"/>
        </w:numPr>
        <w:spacing w:line="480" w:lineRule="auto"/>
        <w:ind w:firstLine="420" w:firstLineChars="200"/>
        <w:rPr>
          <w:rFonts w:hint="eastAsia" w:ascii="Arial" w:hAnsi="Arial" w:cs="Arial"/>
          <w:lang w:val="en-US" w:eastAsia="zh-CN"/>
        </w:rPr>
      </w:pPr>
      <w:r>
        <w:rPr>
          <w:rFonts w:hint="default" w:ascii="Arial" w:hAnsi="Arial" w:eastAsia="宋体" w:cs="Arial"/>
          <w:sz w:val="21"/>
          <w:szCs w:val="21"/>
          <w:lang w:val="en-US" w:eastAsia="zh-CN"/>
        </w:rPr>
        <w:t>项目公司晓岸云起2期与汉口合作开发贷，批复3.8亿元，已放款3.3亿元，剩余5</w:t>
      </w:r>
      <w:r>
        <w:rPr>
          <w:rFonts w:hint="eastAsia" w:ascii="Arial" w:hAnsi="Arial" w:cs="Arial"/>
          <w:sz w:val="21"/>
          <w:szCs w:val="21"/>
          <w:lang w:val="en-US" w:eastAsia="zh-CN"/>
        </w:rPr>
        <w:t>,</w:t>
      </w:r>
      <w:r>
        <w:rPr>
          <w:rFonts w:hint="default" w:ascii="Arial" w:hAnsi="Arial" w:eastAsia="宋体" w:cs="Arial"/>
          <w:sz w:val="21"/>
          <w:szCs w:val="21"/>
          <w:lang w:val="en-US" w:eastAsia="zh-CN"/>
        </w:rPr>
        <w:t>000</w:t>
      </w:r>
      <w:r>
        <w:rPr>
          <w:rFonts w:hint="eastAsia" w:ascii="Arial" w:hAnsi="Arial" w:cs="Arial"/>
          <w:sz w:val="21"/>
          <w:szCs w:val="21"/>
          <w:lang w:val="en-US" w:eastAsia="zh-CN"/>
        </w:rPr>
        <w:t>.00</w:t>
      </w:r>
      <w:r>
        <w:rPr>
          <w:rFonts w:hint="default" w:ascii="Arial" w:hAnsi="Arial" w:eastAsia="宋体" w:cs="Arial"/>
          <w:sz w:val="21"/>
          <w:szCs w:val="21"/>
          <w:lang w:val="en-US" w:eastAsia="zh-CN"/>
        </w:rPr>
        <w:t>万元</w:t>
      </w:r>
      <w:r>
        <w:rPr>
          <w:rFonts w:hint="eastAsia" w:ascii="Arial" w:hAnsi="Arial" w:cs="Arial"/>
          <w:sz w:val="21"/>
          <w:szCs w:val="21"/>
          <w:lang w:val="en-US" w:eastAsia="zh-CN"/>
        </w:rPr>
        <w:t>暂未放款。</w:t>
      </w:r>
    </w:p>
    <w:p>
      <w:pPr>
        <w:numPr>
          <w:ilvl w:val="0"/>
          <w:numId w:val="1"/>
        </w:numPr>
        <w:spacing w:line="480" w:lineRule="auto"/>
        <w:ind w:firstLine="420" w:firstLineChars="200"/>
        <w:rPr>
          <w:rFonts w:hint="default" w:ascii="Arial" w:hAnsi="Arial" w:cs="Arial"/>
          <w:lang w:val="en-US" w:eastAsia="zh-CN"/>
        </w:rPr>
      </w:pPr>
      <w:r>
        <w:rPr>
          <w:rFonts w:hint="eastAsia" w:ascii="Arial" w:hAnsi="Arial" w:cs="Arial"/>
          <w:lang w:val="en-US" w:eastAsia="zh-CN"/>
        </w:rPr>
        <w:t>项目公司共9个银行账户均预留了山东高速印鉴，本月已变更7个账户，剩余2个银行账户暂未变更。项目公司计划于2021年05月份新开立一个兴业银行按揭放款账户。</w:t>
      </w:r>
    </w:p>
    <w:p>
      <w:pPr>
        <w:numPr>
          <w:ilvl w:val="0"/>
          <w:numId w:val="1"/>
        </w:numPr>
        <w:spacing w:line="480" w:lineRule="auto"/>
        <w:ind w:firstLine="420" w:firstLineChars="200"/>
        <w:rPr>
          <w:rFonts w:hint="default" w:ascii="Arial" w:hAnsi="Arial" w:cs="Arial"/>
          <w:lang w:val="en-US" w:eastAsia="zh-CN"/>
        </w:rPr>
      </w:pPr>
      <w:r>
        <w:rPr>
          <w:rFonts w:hint="eastAsia" w:ascii="Arial" w:hAnsi="Arial" w:cs="Arial"/>
          <w:lang w:val="en-US" w:eastAsia="zh-CN"/>
        </w:rPr>
        <w:t>2021年04月28日-2021年04月29日的重庆市土拍项目公司共拍两块地。</w:t>
      </w:r>
    </w:p>
    <w:p>
      <w:pPr>
        <w:numPr>
          <w:ilvl w:val="0"/>
          <w:numId w:val="1"/>
        </w:numPr>
        <w:spacing w:line="480" w:lineRule="auto"/>
        <w:ind w:firstLine="420" w:firstLineChars="200"/>
        <w:rPr>
          <w:rFonts w:hint="default" w:ascii="Arial" w:hAnsi="Arial" w:cs="Arial"/>
          <w:lang w:val="en-US" w:eastAsia="zh-CN"/>
        </w:rPr>
      </w:pPr>
      <w:r>
        <w:rPr>
          <w:rFonts w:hint="eastAsia" w:ascii="Arial" w:hAnsi="Arial" w:cs="Arial"/>
          <w:lang w:val="en-US" w:eastAsia="zh-CN"/>
        </w:rPr>
        <w:t>项目公司计划2021年05月办理晓岸云起1期1#楼，二期22#、23#楼的预售许可证。</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6338"/>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31214"/>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截至2021年04月30日，该项目具体证照办理进度情况如下：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default" w:ascii="Arial" w:hAnsi="Arial" w:eastAsia="宋体" w:cs="Arial"/>
                <w:b w:val="0"/>
                <w:bCs w:val="0"/>
                <w:color w:val="000000"/>
                <w:sz w:val="18"/>
                <w:szCs w:val="18"/>
                <w:lang w:val="en-US" w:eastAsia="zh-CN"/>
              </w:rPr>
            </w:pPr>
            <w:r>
              <w:rPr>
                <w:rFonts w:hint="eastAsia" w:ascii="Arial" w:hAnsi="Arial" w:eastAsia="宋体" w:cs="Arial"/>
                <w:b/>
                <w:bCs/>
                <w:color w:val="000000"/>
                <w:sz w:val="18"/>
                <w:szCs w:val="18"/>
                <w:lang w:val="en-US" w:eastAsia="zh-CN" w:bidi="ar"/>
              </w:rPr>
              <w:t>5</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bidi="ar"/>
              </w:rPr>
              <w:t>商品房预售许可证</w:t>
            </w:r>
          </w:p>
        </w:tc>
        <w:tc>
          <w:tcPr>
            <w:tcW w:w="175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37668494"/>
            <w:bookmarkStart w:id="5" w:name="_Toc535570751"/>
            <w:bookmarkStart w:id="6" w:name="_Toc27618"/>
            <w:bookmarkStart w:id="7" w:name="_Toc532281658"/>
            <w:bookmarkStart w:id="8" w:name="_Toc535508637"/>
            <w:bookmarkStart w:id="9" w:name="_Toc535580024"/>
            <w:bookmarkStart w:id="10" w:name="_Toc535580092"/>
            <w:bookmarkStart w:id="11" w:name="_Toc20410"/>
            <w:bookmarkStart w:id="12" w:name="_Toc9247"/>
            <w:bookmarkStart w:id="13" w:name="_Toc23200"/>
            <w:bookmarkStart w:id="14" w:name="_Toc19421"/>
            <w:bookmarkStart w:id="15" w:name="_Toc15976"/>
            <w:bookmarkStart w:id="16" w:name="_Toc12733"/>
            <w:bookmarkStart w:id="17" w:name="_Toc19231"/>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（晓岸云起二期13#楼）</w:t>
            </w:r>
          </w:p>
        </w:tc>
      </w:tr>
    </w:tbl>
    <w:p>
      <w:pPr>
        <w:rPr>
          <w:rFonts w:hint="default" w:ascii="Arial" w:hAnsi="Arial" w:eastAsia="宋体" w:cs="Arial"/>
          <w:b/>
          <w:bCs/>
          <w:kern w:val="44"/>
          <w:sz w:val="24"/>
          <w:szCs w:val="24"/>
          <w:lang w:val="en-US" w:eastAsia="zh-CN" w:bidi="ar-SA"/>
        </w:rPr>
      </w:pP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1年04</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负一层地梁浇筑完成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地梁架体搭设完成，地梁钢筋完成60%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结构封顶完成、1层砌体放线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桩基础完成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1层反坎关模完成，6#~7#楼间车库屋面防水完成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1-2层砌体完成，3-6层反坎浇筑完成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结构封顶完成，2-5层反坎浇筑完成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挖孔桩浇筑完成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售房部精装、园林完成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 xml:space="preserve">结构封顶，一层砌体开始施工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屋面板板筋绑扎完成80%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挖孔桩60%、独基开挖65%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旋挖桩浇筑完成，桩头破除完成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
              </w:rPr>
              <w:t>3层梁板钢筋完成70%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
              </w:rPr>
              <w:t>屋面钢筋制安完成，砼浇筑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
              </w:rPr>
              <w:t>1层样板房二遍腻子施工、地砖铺贴完成70%、室内楼梯封板完成，抹灰完成95%，外墙抹灰完成90%，门窗安装完成95%，外装屋面铝板安装完成50%，龙骨完成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
              </w:rPr>
              <w:t>2层梁板模板安装完成，底板钢筋完成10%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
              </w:rPr>
              <w:t>3层梁板模板完成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bidi="ar"/>
              </w:rPr>
              <w:t>旋挖桩浇筑完成，地梁开挖完成</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04</w:t>
      </w:r>
      <w:r>
        <w:rPr>
          <w:rFonts w:hint="eastAsia" w:ascii="宋体" w:hAnsi="宋体" w:eastAsia="宋体" w:cs="宋体"/>
        </w:rPr>
        <w:t>月</w:t>
      </w:r>
      <w:r>
        <w:rPr>
          <w:rFonts w:hint="eastAsia" w:ascii="Arial" w:hAnsi="Arial" w:cs="Arial"/>
          <w:lang w:val="en-US" w:eastAsia="zh-CN"/>
        </w:rPr>
        <w:t>29</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jc w:val="both"/>
        <w:rPr>
          <w:rFonts w:hint="default" w:eastAsia="宋体"/>
          <w:lang w:val="en-US" w:eastAsia="zh-CN"/>
        </w:rPr>
      </w:pPr>
      <w:r>
        <w:rPr>
          <w:rFonts w:cs="宋体"/>
        </w:rPr>
        <w:drawing>
          <wp:inline distT="0" distB="0" distL="0" distR="0">
            <wp:extent cx="2879725" cy="3239770"/>
            <wp:effectExtent l="0" t="0" r="635" b="635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9725" cy="3239770"/>
                    </a:xfrm>
                    <a:prstGeom prst="rect">
                      <a:avLst/>
                    </a:prstGeom>
                    <a:noFill/>
                    <a:ln>
                      <a:noFill/>
                    </a:ln>
                  </pic:spPr>
                </pic:pic>
              </a:graphicData>
            </a:graphic>
          </wp:inline>
        </w:drawing>
      </w:r>
      <w:r>
        <w:rPr>
          <w:rFonts w:hint="eastAsia" w:cs="宋体"/>
          <w:lang w:val="en-US" w:eastAsia="zh-CN"/>
        </w:rPr>
        <w:t xml:space="preserve">  </w:t>
      </w:r>
      <w:r>
        <w:rPr>
          <w:rFonts w:cs="宋体"/>
        </w:rPr>
        <w:drawing>
          <wp:inline distT="0" distB="0" distL="0" distR="0">
            <wp:extent cx="2879725" cy="3239770"/>
            <wp:effectExtent l="0" t="0" r="635" b="635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9725" cy="3239770"/>
                    </a:xfrm>
                    <a:prstGeom prst="rect">
                      <a:avLst/>
                    </a:prstGeom>
                    <a:noFill/>
                    <a:ln>
                      <a:noFill/>
                    </a:ln>
                  </pic:spPr>
                </pic:pic>
              </a:graphicData>
            </a:graphic>
          </wp:inline>
        </w:drawing>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8868"/>
      <w:bookmarkStart w:id="19" w:name="_Toc14957"/>
      <w:bookmarkStart w:id="20" w:name="_Toc23808"/>
      <w:bookmarkStart w:id="21" w:name="_Toc31176"/>
      <w:bookmarkStart w:id="22" w:name="_Toc24230"/>
      <w:bookmarkStart w:id="23" w:name="_Toc6513"/>
      <w:bookmarkStart w:id="24" w:name="_Toc11786"/>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27874"/>
      <w:bookmarkStart w:id="27" w:name="_Toc815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532"/>
        <w:gridCol w:w="4528"/>
        <w:gridCol w:w="80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印鉴名称</w:t>
            </w:r>
          </w:p>
        </w:tc>
        <w:tc>
          <w:tcPr>
            <w:tcW w:w="1532"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528"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00"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756"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25套个人住房借款合同/按揭贷款合同用印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个人购房抵押（保证）借款合同-兴业银行（25*8份）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补盖兴业银行借款合同</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个人购房抵押（保证）借款合同-兴业银行（81份）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4"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64套网签合同用印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商品房买卖合同（一户一次性付款64*5份，商贷64*6份、公积金64*7份）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重庆市不动产登记申请书（64*2份）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（64*2份）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增量房交易契税和印花税税务代理协议（64*3份）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1"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776" w:type="dxa"/>
            <w:vAlign w:val="center"/>
          </w:tcPr>
          <w:p>
            <w:pPr>
              <w:widowControl/>
              <w:spacing w:line="240" w:lineRule="auto"/>
              <w:jc w:val="center"/>
              <w:rPr>
                <w:rFonts w:hint="default"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2套补充协议用印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补充协议（增加首付款）-严高玲（6份）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补充协议（增加首付款）-罗育金（5份）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个人购房借款/担保合同-邮政银行（10*5份）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1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商品房买卖合同（一户一次性付款4*5份，商贷4*6份、公积金4*7份）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重庆市不动产登记申请书（4*2份）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（4*2份）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增量房交易契税和印花税税务代理协议（4*3份）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14套个人住房借款合同/按揭贷款合同用印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个人购房抵押（保证）借款合同-兴业银行（14*8份）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7"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办理排污许可用印</w:t>
            </w:r>
          </w:p>
        </w:tc>
        <w:tc>
          <w:tcPr>
            <w:tcW w:w="4528" w:type="dxa"/>
            <w:vAlign w:val="center"/>
          </w:tcPr>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城市排水许可申请表（4份）</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接（改）沟许可申请（4份）</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项目排水承诺书（4份）</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办公生活区和民工生活区排污系统平面图（8份）</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建设工程规划许可证复印件-1期2期（8份）</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建筑工程施工许可证复印件-1期2期（8份）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5"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公积金立项提交补充资料用印</w:t>
            </w:r>
          </w:p>
        </w:tc>
        <w:tc>
          <w:tcPr>
            <w:tcW w:w="4528"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资质证书、章程、营业执照正副本等（各2份）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4"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佳兆业西南区域2021年度神秘客户调研合同（5份）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办理光大预售资金5000万元付款相关资料用印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中国光大银行结算业务申请书（3份）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中国光大银行现金管理虚账户转账业务申请表（2份）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估价委托合同（2份）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办理光大预售资金2200万元付款相关资料用印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中国光大银行结算业务申请书（2份）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中国光大银行现金管理虚账户转账业务申请表（2份）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商品房买卖合同（一户一次性付款3*5份，商贷3*6份、公积金3*7份）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重庆市不动产登记申请书（3*2份）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（3*2份）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增量房交易契税和印花税税务代理协议（3*3份）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个人购房抵押（保证）借款合同-兴业银行（1*5份）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个人购房抵押（保证）借款合同-兴业银行（5*8份）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办理晓岸云起2期13#楼、1期1#楼解押的相关资料用印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营业执照、不动产登记申请表、解押示意图（2期13#楼、1期1#楼）、汉口银行其他授信事项申请书、不动产登记授权委托书、抵押变更协议等（以上各4份）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重庆市不动产登记申请书（2*2份）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（2*2份）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增量房交易契税和印花税税务代理协议（2*3份）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开立晓岸云起2期21#子账户；建行办理POS机关联21#楼子账户事宜相关资料用印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现金管理系统银财通功能申请表、法人授权委托书、汉口企业网银服务补充/维护申请表、中国建行房地产开发预售监管代理签约账户确认书、中国建设银行对公客户授权委托书、建行监管账户开户确认书等（以上各1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营业执照复印件、预售资金监管协议复印件、法人身份证、经办人身份证复印件、21#楼预售许可证（以上各2份）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8"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晓岸云起2期与汉口银行开发贷剩余5000万放款事宜相关资料用印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量清单、合同款项支付审批表（工程类）、2021年12月财务报表、重庆非税收入统一票据（土地出让金等）、二期建筑工程施工许可证、晓岸云起2期工程项目第七期监理月报、晓岸云起3期工程项目第八期监理月报、晓岸云起2期项目工程施工合同（以上各1份）、汉口银行固定资产借款合同（2份）、汉口银行借款凭证（借据）（2份）、提款申请书（4份）、汉口银行受托支付委托书（4份）、公司客户提款申请书等（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盘活光大银行预售资金1200万元相关资料用印</w:t>
            </w:r>
          </w:p>
        </w:tc>
        <w:tc>
          <w:tcPr>
            <w:tcW w:w="4528" w:type="dxa"/>
            <w:vAlign w:val="center"/>
          </w:tcPr>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中国光大银行现金管理虚账户转账业务申请表（1份）</w:t>
            </w:r>
          </w:p>
          <w:p>
            <w:pPr>
              <w:widowControl/>
              <w:numPr>
                <w:ilvl w:val="0"/>
                <w:numId w:val="0"/>
              </w:numPr>
              <w:ind w:left="0" w:leftChars="0" w:firstLine="0" w:firstLineChars="0"/>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中国光大银行结算业务申请书（1份）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2份分销合同补充协议用印</w:t>
            </w:r>
          </w:p>
        </w:tc>
        <w:tc>
          <w:tcPr>
            <w:tcW w:w="4528" w:type="dxa"/>
            <w:vAlign w:val="center"/>
          </w:tcPr>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重庆佳兆业晓岸云起项目2021年1-3月分销服务合同（到家了）补充协议一（5份）</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重庆佳兆业晓岸云起项目2021年1-3月分销服务合同（闹海）补充协议一（5份）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1份提前还款申请用印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提前还款申请（致山东高速）（1份）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86"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重庆市不动产登记申请书（2*2份）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（2*2份）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增量房交易契税和印花税税务代理协议（2*3份）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default"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1套补充协议用印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补充协议（增加首付款）-弓继均（5份）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17套个人住房借款合同/按揭贷款合同用印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个人购房借款/担保合同-汉口银行（12*5份）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个人住房（商业用房）借款合同-兴业银行（5*4份）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商品房买卖合同（一户一次性付款8*5份，商贷8*6份、公积金8*7份）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重庆市不动产登记申请书（8*2份）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（8*2份）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增量房交易契税和印花税税务代理协议（8*3份）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2份三方协议终止协议用印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三方协议书（重庆华硕建设有限公司进度款互换房产）终止协议(8份)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三方协议书（重庆三象电力有限公司进度款互换房产）终止协议（7份）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关于晓岸云起2021年4月网上房交会参展用印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2021重庆春季线上房地产展示交易会参展确认函（2份）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31套住房公积金贷款合同用印</w:t>
            </w:r>
          </w:p>
        </w:tc>
        <w:tc>
          <w:tcPr>
            <w:tcW w:w="4528"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重庆市住房公积金个人住房贷款借款抵押合同-建行（31*4份）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4"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3份合同用印</w:t>
            </w:r>
          </w:p>
        </w:tc>
        <w:tc>
          <w:tcPr>
            <w:tcW w:w="4528" w:type="dxa"/>
            <w:vAlign w:val="center"/>
          </w:tcPr>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重庆佳兆业晓岸云起项目21号楼栏杆供货及安装工程合同（5份）</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重庆佳兆业晓岸云起21号楼外装工程施工合同（5份）</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重庆佳兆业晓岸云起项目21号楼门窗及百页工程施工合同（5份）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购买汉口银行电汇凭证并在电汇凭证上用印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空白凭证请领单（两联）、汉口银行单位结算业务委托书（02709151）（各1份）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关于晓岸云起项目监理人员变更相关资料用印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重庆市建设工程监理合同备案变更表（5份）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关于变更主导专监申请（1份）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关于变更监理员申请（1份）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晓岸云起项目21-1-302境外人士购房相关资料用印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法人身份证（1份）、企业营业执照（1份）、预售许可证（1份）、户型平面图（2份）、购房人员身份证明（1份）、房产转让备案登记表（3份）等</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称雪康</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邮政大渡口支行变更山东高速印鉴用印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基本账户存款信息、变更情况、申请书、营业执照、法人身份证、经办人身份证、预留印鉴人身份证复印件、印鉴卡、中国邮政储蓄银行变更银行账户预留印鉴申请书-两联（以上各1份）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tabs>
                <w:tab w:val="left" w:pos="492"/>
              </w:tabs>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农商行大渡口支行变更山东高速印鉴用印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法人身份证、经办人身份证、预留印鉴人身份证复印件、基本账户存款信息、重庆农村商业银行印鉴片（以上各3份）、重庆农村商业银行变更银行结算账户申请书-三联、无法提供预留印鉴卡的说明函、法定代表人（单位负责人）授权委托书、重庆农村商业银行印鉴更换申请书-三联、票据和结算凭证领用单（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一份洽谈记录用印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洽谈记录-引入专业电CALL系统事宜（2份）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金伟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一份合作协议用印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“家庭消费贷”项目合作协议书（5份）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工商银行重庆九宫庙支行变更山东高速印鉴用印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营业执照、基本存款账户信息法人身份证、经办人身份证复印件、单位预留印鉴变更申请（以上各2份）、中国工商银行预留印鉴卡（1份）、中国工商银行收费凭条（1份）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建设银行重庆建设分理处变更山东高速印鉴用印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法人身份证、经办人身份证、预留印鉴人身份证复印件、基本账户存款信息、授权书、遗失声明、中国建设银行人民币单位银行结算账户预留印鉴变更申请书-两联、情况说明、中国建设银行一般业务申请书等（以上各1份）、中国建设银行印鉴卡片（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10套住房公积金贷款合同用印</w:t>
            </w:r>
          </w:p>
        </w:tc>
        <w:tc>
          <w:tcPr>
            <w:tcW w:w="4528"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重庆市住房公积金个人住房贷款借款抵押合同-建行（10*4份）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商品房买卖合同（一户一次性付款6*5份，商贷6*6份、公积金6*7份）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重庆市不动产登记申请书（6*2份）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（6*2份）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增量房交易契税和印花税税务代理协议（6*3份）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商品房买卖合同（一户一次性付款1*5份，商贷1*6份、公积金1*7份）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（1*2份）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增量房交易契税和印花税税务代理协议（1*3份）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1份补充协议及1份合同用印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重庆佳兆业·晓岸云起项目2020年案场物业服务合同补充协议一（5份）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重庆佳兆业晓岸云起项目2021-2022年度暖场活动合同（5份）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1份合同用印</w:t>
            </w:r>
          </w:p>
        </w:tc>
        <w:tc>
          <w:tcPr>
            <w:tcW w:w="4528" w:type="dxa"/>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重庆公司2021年第一季度社区活动合同（5份）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光大银行南坪支行变更山东高速印鉴用印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印鉴卡（2份）、情况说明（1份）、中国光大银行变更单位人民币银行结算账户申请书（企业版）-两联（1份）、中国光大银行更换公章/预留印鉴申请书-三联（1份）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汉口银行重庆分行按揭户变更山东高速印鉴用印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营业执照、基本账户存款信息、法人身份证、经办人 身份证、受益人身份证、预留印鉴人身份证复印件、汉口银行单位账户印鉴变更申请书、印鉴片遗失声明、汉口银行受益所有人信息登记表、授权委托书（以上各1份）、汉口银行印鉴卡片（3份）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汉口银行重庆分行预售资金监管户变更山东高速印鉴用印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营业执照、基本账户存款信息、法人身份证、经办人 身份证、受益人身份证、汉口银行单位账户印鉴变更申请书、印鉴片遗失声明、汉口银行受益所有人信息登记表、授权委托书、单位印鉴片使用说明（以上各1份）、汉口银行印鉴卡片（3份）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汉口银行转账支票-2601账户（1份）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汉口银行结算业务申请书用印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汉口银行单位结算业务委托书（1份）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开立20号楼子账户及关联POS机用印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汉口银行现金管理系统银财通功能申请表、法人授权委托书、汉口企业网银服务补充/维护申请表、中国建设银行对公客户授权委托书、建行监管账户开户确认单-两联等（以上各1份）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营业执照复印件、预售资金监管协议复印件、法人身份证、经办人身份证复印件（以上各2份）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20#楼预售许可证、中国建行房地产开发预售监管代理签约账户确认书（各3份）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8"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1套网签合同用印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商品房买卖合同（一户一次性付款1*5份，商贷1*6份、公积金1*7份）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商品房权属登记授权委托书（1*2份）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增量房交易契税和印花税税务代理协议（1*3份）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1套补充协议用印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补充协议（按揭转一次性）-张禹（5份）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0"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12套个人住房借款合同/按揭贷款合同用印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个人购房借款/担保合同-汉口银行（12*5份）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12份洽谈记录用印</w:t>
            </w:r>
          </w:p>
        </w:tc>
        <w:tc>
          <w:tcPr>
            <w:tcW w:w="4528"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洽谈记录（12份）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刘虹</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15" w:hRule="atLeast"/>
          <w:jc w:val="center"/>
        </w:trPr>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2021/04/27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向恒丰银行提供晓岸云起3期开发贷基础资料用印</w:t>
            </w:r>
          </w:p>
        </w:tc>
        <w:tc>
          <w:tcPr>
            <w:tcW w:w="4528"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包括但不限于授权书、授信业务申请书、营业执照、法人身份证、财务报表、不动产权证书、用地规划许可证、建设工程规划许可证、公司章程、公司资质、投资备案证、出让合同、出让（缴税）票据、经济指标书、征信查询书、建设项目环境影响登记表等（各1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62" w:hRule="atLeast"/>
          <w:jc w:val="center"/>
        </w:trPr>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2021/04/28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开立13号楼子账户及关联子账户用印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单位结算账户上门核实情况表、营业执照正副本、法人身份证、经办人身份证复印件（以上各2份）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企业网银（标准版）服务补充/维护申请书、法人授权委托书、预售资金监管协议书-13#楼、汉口银行现金管理系统银财通功能申请表、中国建设银行对公客户授权委托书、中国建设银行监管账户开户确认单-两联、中国建设银行单位账户对账服务协议、中国建设银行对公综合服务申请书-两联（以上各1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预售许可证复印件-13#楼、中国建设银行房地产开发预售资金监管代理签约账户确认书（各3份）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3份合同用印</w:t>
            </w:r>
          </w:p>
        </w:tc>
        <w:tc>
          <w:tcPr>
            <w:tcW w:w="45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天然气工程综合服务合同（4份）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重庆佳兆业晓岸云起二期、三期项目勘察工程合同（5份）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重庆佳兆业晓岸云起二期项目超前钻合同（5份）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1"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1份合同用印</w:t>
            </w:r>
          </w:p>
        </w:tc>
        <w:tc>
          <w:tcPr>
            <w:tcW w:w="4528"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重庆佳兆业晓岸云起项目室内装饰（方案及施工图）设计合同（5份）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7套网签合同用印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商品房买卖合同（一户一次性付款7*5份，商贷7*6份、公积金7*7份）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重庆市不动产登记申请书（7*2份）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商品房权属登记授权委托书（7*2份）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增量房交易契税和印花税税务代理协议（7*3份）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2021/04/30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20套网签合同用印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商品房买卖合同（一户一次性付款20*5份，商贷20*6份、公积金20*7份）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重庆市不动产登记申请书（20*2份）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商品房权属登记授权委托书（20*2份）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增量房交易契税和印花税税务代理协议（20*3份）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9"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2021/04/30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两份分销合同补充协议用印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重庆佳兆业晓岸云起项目2021年4月-7月分销服务合同（到家了）补充协议三（5份）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重庆佳兆业晓岸云起项目2021年4月-7月分销服务合同（闹海）补充协议三（5份）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bookmarkStart w:id="28" w:name="_Toc5771"/>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124"/>
        <w:gridCol w:w="2952"/>
        <w:gridCol w:w="1908"/>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2021/04/08</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项目公司办理晓岸云起2期21#楼预售许可证</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重庆渝煌达实业有限公司营业执照副本、不动产权证书（晓岸云起2期），建设工程规划许可证、经济指标书、总平图（晓岸云起2期）</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2021/04/14</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办理开通晓岸云起2期21#楼网签业务事宜</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重庆渝煌达实业有限公司不动产权证书（晓岸云起2期），建设工程规划许可证、经济指标书、总平图（晓岸云起2期）、预售许可证（晓岸云起2期21#楼）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2021/04/14</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项目公司开立晓岸云起2期21#子账户；办理21#楼子账户之后前往建行办理POS机关联此子账户业务</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重庆渝煌达实业有限公司公章、法人章、财务章、营业执照正副本、预售许可证（晓岸云起2期21#楼）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庆分行、建设银行大渡口支行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项目公司办理晓岸云起2期20#楼预售许可证</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重庆渝煌达实业有限公司营业执照副本、不动产权证书（晓岸云起2期），建设工程规划许可证、经济指标书、总平图（晓岸云起2期）</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266"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因汉口银行支票转外地账户要求有电汇凭证，故项目公司申请外借印鉴电汇凭证，并在2452汉口按揭户电汇凭证上用印</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重庆渝煌达实业有限公司公章、财务章、法人章</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庆分行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因山东高速已退出晓岸云起项目，故项目公司9个银行账户需办理印鉴（张立杰）变更业务</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重庆渝煌达实业有限公司公章、财务章、法人章，营业执照正副本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中国邮政储蓄银行股份有限公司重庆大渡口区支行、重庆农村商业银行股份有限公司大渡口支行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因山东高速已退出晓岸云起项目，故项目公司9个银行账户需办理印鉴（张立杰）变更业务</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重庆渝煌达实业有限公司公章、财务章、法人章，营业执照正副本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中国工商银行股份有限公司重庆钢花路支行、中国建设银行重庆建设分理处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因山东高速已退出晓岸云起项目，故项目公司9个银行账户需办理印鉴（张立杰）变更业务；现项目公司将2452汉口银行一般户作为按揭回款账户，故需办理此账户增加印鉴（侯熠）</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重庆渝煌达实业有限公司公章、财务章、法人章，营业执照正副本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中国光大银行重庆分行南坪支行、汉口银行股份有限公司重庆分行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办理开通晓岸云起2期20#楼网签业务事宜</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重庆渝煌达实业有限公司不动产权证书（晓岸云起2期），建设工程规划许可证、经济指标书、总平图（晓岸云起2期）、预售许可证（晓岸云起2期20#楼）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项目公司开立晓岸云起2期20#子账户；办理20#楼子账户之后前往建行办理POS机关联此子账户业务</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重庆渝煌达实业有限公司公章、法人章、财务章、营业执照正副本、预售许可证（晓岸云起2期20#楼）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庆分行、建设银行大渡口支行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97"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2021/04/27</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办理晓岸云起2期13#楼预售许可证</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重庆渝煌达实业有限公司营业执照副本、不动产权证书（晓岸云起2期），建设工程规划许可证、经济指标书、总平图（晓岸云起2期）</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197"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2021/04/28</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项目公司开立晓岸云起2期13#楼子账户；办理13#楼子账户之后前往建行办理POS机关联此子账户</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重庆渝煌达实业有限公司公章、法人章、财务章、营业执照正副本、预售许可证（晓岸云起2期13#楼）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97"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2021/04/28</w:t>
            </w:r>
          </w:p>
        </w:tc>
        <w:tc>
          <w:tcPr>
            <w:tcW w:w="21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办理开通晓岸云起2期13#楼网签业务事宜</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重庆渝煌达实业有限公司不动产权证书（晓岸云起2期），建设工程规划许可证、经济指标书、总平图（晓岸云起2期）、预售许可证（晓岸云起2期13#楼）</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30797"/>
      <w:bookmarkStart w:id="30" w:name="_Toc25379"/>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04</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04</w:t>
      </w:r>
      <w:r>
        <w:rPr>
          <w:rFonts w:hint="eastAsia" w:ascii="Arial" w:hAnsi="Arial" w:eastAsia="宋体" w:cs="Arial"/>
          <w:bCs/>
          <w:kern w:val="44"/>
        </w:rPr>
        <w:t>月</w:t>
      </w:r>
      <w:r>
        <w:rPr>
          <w:rFonts w:hint="eastAsia" w:ascii="Arial" w:hAnsi="Arial" w:cs="Arial"/>
          <w:bCs/>
          <w:kern w:val="44"/>
          <w:lang w:val="en-US" w:eastAsia="zh-CN"/>
        </w:rPr>
        <w:t>30</w:t>
      </w:r>
      <w:r>
        <w:rPr>
          <w:rFonts w:hint="eastAsia" w:ascii="Arial" w:hAnsi="Arial" w:eastAsia="宋体" w:cs="Arial"/>
          <w:bCs/>
          <w:kern w:val="44"/>
        </w:rPr>
        <w:t>日期</w:t>
      </w:r>
      <w:r>
        <w:rPr>
          <w:rFonts w:hint="eastAsia" w:ascii="宋体" w:hAnsi="宋体" w:eastAsia="宋体" w:cs="宋体"/>
          <w:bCs/>
          <w:kern w:val="44"/>
        </w:rPr>
        <w:t>间，项目公司共签订合同</w:t>
      </w:r>
      <w:r>
        <w:rPr>
          <w:rFonts w:hint="eastAsia" w:ascii="Arial" w:hAnsi="Arial" w:cs="Arial"/>
          <w:bCs/>
          <w:kern w:val="44"/>
          <w:lang w:val="en-US" w:eastAsia="zh-CN"/>
        </w:rPr>
        <w:t>19</w:t>
      </w:r>
      <w:r>
        <w:rPr>
          <w:rFonts w:hint="eastAsia" w:ascii="宋体" w:hAnsi="宋体" w:eastAsia="宋体" w:cs="宋体"/>
          <w:bCs/>
          <w:kern w:val="44"/>
        </w:rPr>
        <w:t>份。</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04月合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196"/>
        <w:gridCol w:w="1344"/>
        <w:gridCol w:w="3828"/>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64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72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06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814"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重庆金昆置业代理有限公司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住房公积金购房贷款服务合同</w:t>
            </w:r>
          </w:p>
        </w:tc>
        <w:tc>
          <w:tcPr>
            <w:tcW w:w="2066" w:type="pct"/>
            <w:tcBorders>
              <w:tl2br w:val="nil"/>
              <w:tr2bl w:val="nil"/>
            </w:tcBorders>
            <w:shd w:val="clear" w:color="auto" w:fill="auto"/>
            <w:tcMar>
              <w:top w:w="15" w:type="dxa"/>
              <w:left w:w="15" w:type="dxa"/>
              <w:right w:w="15" w:type="dxa"/>
            </w:tcMar>
            <w:vAlign w:val="center"/>
          </w:tcPr>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1、服务项目：重庆公司晓岸云起项目，个人公积金贷款审批服务、个人公积金贷款放款服务等；</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2、服务期限：2021年3月1日到2022年2月28日，后期根据实际完成情况，渝煌达有权续签合同或提前10天通知服务单位终止合同；</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3、服务费用：2500-4000元(办理时间大于30工作日,不计算费用）；</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4、付款方式：每月的5日（遇休息日顺延）为双方的结算日，在收到金昆置业全套付款资料并确认收到银行客户回款后30个工作日内，向其支付该批房源全额报酬；费用归属营销费。</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2500-4000元/户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2021/04/02</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重庆弘金电力工程有限责任公司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重庆佳兆业西永（晓岸云起）项目10KV电力设施改迁工程施工合同补充协议一</w:t>
            </w:r>
          </w:p>
        </w:tc>
        <w:tc>
          <w:tcPr>
            <w:tcW w:w="2066" w:type="pct"/>
            <w:tcBorders>
              <w:tl2br w:val="nil"/>
              <w:tr2bl w:val="nil"/>
            </w:tcBorders>
            <w:shd w:val="clear" w:color="auto" w:fill="auto"/>
            <w:tcMar>
              <w:top w:w="15" w:type="dxa"/>
              <w:left w:w="15" w:type="dxa"/>
              <w:right w:w="15" w:type="dxa"/>
            </w:tcMar>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1、事项概述: (原合同情况描述、前期变更情况说明）重庆佳兆业晓岸云起项目10KV电力设施改迁工程与重庆弘金电力工程有限责任公司于2020年8月签订《重庆佳兆业晓岸云起项目10KV电力设施改迁工程合同》（简称“原合同”） ,合同总金额: 7202894.50元；弘金公司在办理迁改申报过程中供电局提出: “不接受由项目公司委托第三方单位进行10KV何西线、何租线的迁改设计及部分施工工作（电缆敷设、电杆新增等相关内容) ，要求必须由渝煌达与供电局下属公司重庆拓展电力工程勘察设计有限公司签订《施工设计总承包合同》并完成上述工作内容，合同金额179.69万元；同时与供电局下属公司重庆展宏工程监理咨询有限公司市区分公司签订《客户工程建设监理合同》，合同金额5.63万元，以上施工及监理费用合计185.32万元，由于与弘金公司前期签订的原合同已包含迁改的全部工作内容；现拟与弘金公司签订补充协议，将渝煌达与供电局下属公司拓展电力、宏展监理签订合同涉及的185.32万元的款项从原合同中扣除，原合同总价由7202894.50元变更为5349694.50元。</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5,349,694.50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2021/04/02</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重庆齐藤商贸有限公司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重庆佳兆业晓岸云起项目2021年度客户关怀物料合同</w:t>
            </w:r>
          </w:p>
        </w:tc>
        <w:tc>
          <w:tcPr>
            <w:tcW w:w="2066" w:type="pct"/>
            <w:tcBorders>
              <w:tl2br w:val="nil"/>
              <w:tr2bl w:val="nil"/>
            </w:tcBorders>
            <w:shd w:val="clear" w:color="auto" w:fill="auto"/>
            <w:tcMar>
              <w:top w:w="15" w:type="dxa"/>
              <w:left w:w="15" w:type="dxa"/>
              <w:right w:w="15" w:type="dxa"/>
            </w:tcMar>
            <w:vAlign w:val="center"/>
          </w:tcPr>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1、工作内容：重庆佳兆业晓岸云起项目2021年度客户关怀物料的采买；</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2、合同价款：461200.00元；</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3、合同期限：1年，暂定起止时间为 2021年2月9日起至2022年2月8日；</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4、付款方式：乙方每月10日前提交上月的实际完成的采购订单、验收单及月度补充协议和甲方固定格式的请款申请资料，经甲方审核无误后45个日历天内支付上月服务费用，直至服务期满。</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461,200.00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2021/04/02</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重庆到家了网络科技有限公司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重庆佳兆业晓岸云起项目2021年4月-7月分销服务合同（到家了）补充协议一</w:t>
            </w:r>
          </w:p>
        </w:tc>
        <w:tc>
          <w:tcPr>
            <w:tcW w:w="2066" w:type="pct"/>
            <w:tcBorders>
              <w:tl2br w:val="nil"/>
              <w:tr2bl w:val="nil"/>
            </w:tcBorders>
            <w:shd w:val="clear" w:color="auto" w:fill="auto"/>
            <w:tcMar>
              <w:top w:w="15" w:type="dxa"/>
              <w:left w:w="15" w:type="dxa"/>
              <w:right w:w="15" w:type="dxa"/>
            </w:tcMar>
            <w:vAlign w:val="center"/>
          </w:tcPr>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1、2021年4月1日-2021年4月30日期间，认购洋房3、4、6、7、8、12号楼跃层户型，通提3%-4%；认购平层户型，通提2%-3%，认购计提，签约发放；</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2、2021年4月1日-2021年4月30日期间，洋房13号楼分销佣金执行如下，按照当月交纳诚意金通提2%-3%，佣金跳点通提，签约发放；</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3、2021年4月1日-2021年4月30日期间，认购洋墅20、21号楼，通提4%-5%，认购计提，签约发放；</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4、补充协议执行时间为：补充协议签署之日起至2021年4月30日。</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bCs/>
                <w:sz w:val="18"/>
                <w:szCs w:val="18"/>
                <w:lang w:val="en-US" w:eastAsia="zh-CN" w:bidi="ar-SA"/>
              </w:rPr>
            </w:pPr>
            <w:r>
              <w:rPr>
                <w:rFonts w:hint="eastAsia" w:ascii="Arial" w:hAnsi="Arial" w:cs="Arial"/>
                <w:bCs/>
                <w:sz w:val="18"/>
                <w:szCs w:val="18"/>
                <w:lang w:val="en-US" w:eastAsia="zh-CN" w:bidi="ar-SA"/>
              </w:rPr>
              <w:t>认购洋房佣金点2%-4%；</w:t>
            </w:r>
          </w:p>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认购洋墅佣金点4%-5%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2021/04/02</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重庆闹海科技有限公司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重庆佳兆业晓岸云起项目2021年4月-7月分销服务合同（闹海）补充协议一</w:t>
            </w:r>
          </w:p>
        </w:tc>
        <w:tc>
          <w:tcPr>
            <w:tcW w:w="2066" w:type="pct"/>
            <w:tcBorders>
              <w:tl2br w:val="nil"/>
              <w:tr2bl w:val="nil"/>
            </w:tcBorders>
            <w:shd w:val="clear" w:color="auto" w:fill="auto"/>
            <w:tcMar>
              <w:top w:w="15" w:type="dxa"/>
              <w:left w:w="15" w:type="dxa"/>
              <w:right w:w="15" w:type="dxa"/>
            </w:tcMar>
            <w:vAlign w:val="center"/>
          </w:tcPr>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1、2021年4月1日-2021年4月30日期间，认购洋房3、4、6、7、8、12号楼跃层户型，通提3%-4%；认购平层户型，通提2%-3%，认购计提，签约发放；</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2、2021年4月1日-2021年4月30日期间，认购洋房13号楼，通提2%-3%，佣金跳点通提，认购计提，签约发放；</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3、2021年4月1日-2021年4月30日期间，认购洋墅20、21号楼，通提4%-5%，认购计提，签约发放；</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4、补充协议执行时间为：补充协议签署之日起至2021年4月30日。</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sz w:val="18"/>
                <w:szCs w:val="18"/>
                <w:lang w:val="en-US" w:eastAsia="zh-CN"/>
              </w:rPr>
            </w:pPr>
            <w:r>
              <w:rPr>
                <w:rFonts w:hint="default" w:ascii="Arial" w:hAnsi="Arial" w:cs="Arial"/>
                <w:sz w:val="18"/>
                <w:szCs w:val="18"/>
                <w:lang w:val="en-US" w:eastAsia="zh-CN"/>
              </w:rPr>
              <w:t>认购洋房佣金点2%-4%</w:t>
            </w:r>
            <w:r>
              <w:rPr>
                <w:rFonts w:hint="eastAsia" w:ascii="Arial" w:hAnsi="Arial" w:cs="Arial"/>
                <w:sz w:val="18"/>
                <w:szCs w:val="18"/>
                <w:lang w:val="en-US" w:eastAsia="zh-CN"/>
              </w:rPr>
              <w:t>；</w:t>
            </w:r>
          </w:p>
          <w:p>
            <w:pPr>
              <w:widowControl/>
              <w:jc w:val="right"/>
              <w:rPr>
                <w:rFonts w:hint="default" w:ascii="Arial" w:hAnsi="Arial" w:eastAsia="宋体" w:cs="Arial"/>
                <w:bCs/>
                <w:sz w:val="18"/>
                <w:szCs w:val="18"/>
                <w:lang w:val="en-US" w:eastAsia="zh-CN" w:bidi="ar-SA"/>
              </w:rPr>
            </w:pPr>
            <w:r>
              <w:rPr>
                <w:rFonts w:hint="default" w:ascii="Arial" w:hAnsi="Arial" w:cs="Arial"/>
                <w:sz w:val="18"/>
                <w:szCs w:val="18"/>
                <w:lang w:val="en-US" w:eastAsia="zh-CN"/>
              </w:rPr>
              <w:t>认购洋墅佣金点4%-5%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北京赛惟咨询有限公司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佳兆业西南区域2021年度神秘客户调研合同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1、调研项目：佳兆业西南区域2021年在售项目及竞品（主要包含指标系及暗访标准设计、项目数据采集、出具项目数据调研结果表、出具神秘客户分析报告、神秘客户在线系统使用）；</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2、调查周期：壹年，具体时间以项目公司要求为准，以合同签订时间为起始时间；</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3、合同暂定含税总价：88,500.00元；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4、付款条件：无预付款，按季度支付，项目公司每季度凭赛惟咨询公司提供的完整付款申请资料于45日内支付当季度的调研费用。</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88,500.00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重庆市中财资产评估土地房地产估价有限责任公司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估价委托合同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1、评估范围：位于沙坪坝区西永组团W分区W09-1/04地块、沙坪坝区西永组团W分区W08-4/05地块，土地面积合计65117平方米的出让城镇住宅用途国有建设用地使用权；</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 xml:space="preserve">2、委托评估内容为：抵押价值 ；   </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3、评估基准日是：2020年11月11日；</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4、评估服务总额：60,000.00元；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5、合同有效期：自签署之日起生效，并在本合同事项全部完成日之前有效。</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60,000.00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重庆到家了网络科技有限公司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重庆佳兆业晓岸云起项目2021年1-3月分销服务合同（到家了）补充协议一</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项目公司1月份与到家了签订《重庆佳兆业晓岸云起项目2021年1-3月分销服务合同》，现经双方友好协商，签订补充协议。</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原合同暂定含税总金额：2,500,000.00元，现补充增加含税合同金额4,000,000.00元，本次补充后，合同金额变更为暂定含税6,500,000.00元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项目公司与到家了合作期间内成交佣金按签约金额的4%-5%计提，到家了1月份佣金约32万，2月份约145万，3月份约446万，合计623万（大概计算的金额，具体以双方实际结算金额为准）。</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4,000,000.00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重庆闹海科技有限公司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重庆佳兆业晓岸云起项目2021年1-3月分销服务合同（闹海）补充协议一</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项目公司1月份与闹海签订了《重庆佳兆业晓岸云起项目2021年1-3月分销服务合同（闹海）》，现经双方友好协商，签订补充协议。</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原合同暂定含税总金额：2,500,000.00元，现补充增加含税合同金额5,500,000.00元，本次补充后，合同金额变更为暂定含税8,000,000.00元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项目公司与闹海合作期间内成交佣金按签约金额的4%-5%计提，闹海1月份佣金约25万，2月份约140万，3月份约574万，合计739万（大概计算的金额，具体以双方实际结算金额为准）。</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5,500,000.00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甲方：重庆渝煌达实业有限公司（开发商）</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乙方：重庆华硕建设有限公司（施工方）</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丙方：重庆鼎铸实业发展有限公司（抵款房屋开发商）</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三方协议书（重庆华硕建设有限公司进度款互换房产）终止协议</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方、乙方、丙方三方经共同协商，就签订的《三方协议书（重庆华硕建设有限公司进度款互换房产）》（CQ-ZSXY-GCHT-2020-084）及补充协议（简称原合同），三方同意解除原合同的进度款互换房产事宜。原合同进度款互换房产为：重庆市江津区篆山熙园项目商品房58套；付款方式：按揭付款；抵款金额共计:6,544,138.00元。</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i w:val="0"/>
                <w:sz w:val="18"/>
                <w:szCs w:val="18"/>
                <w:u w:val="none"/>
                <w:lang w:val="en-US" w:eastAsia="zh-CN" w:bidi="ar-SA"/>
              </w:rPr>
            </w:pPr>
            <w:r>
              <w:rPr>
                <w:rFonts w:hint="eastAsia" w:ascii="Arial" w:hAnsi="Arial" w:cs="Arial"/>
                <w:bCs/>
                <w:i w:val="0"/>
                <w:sz w:val="18"/>
                <w:szCs w:val="18"/>
                <w:u w:val="none"/>
                <w:lang w:val="en-US" w:eastAsia="zh-CN" w:bidi="ar-SA"/>
              </w:rPr>
              <w:t>抵款金额：6,544,138.00元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甲方：重庆渝煌达实业有限公司（开发商）</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乙方：重庆三象电力有限公司（施工方）</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丙方：重庆鼎铸实业发展有限公司（抵款房屋开发商）</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三方协议书（重庆三象电力有限公司进度款互换房产）终止协议</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方、乙方、丙方三方经共同协商，，就签订的《三方协议书（重庆三象电力有限公司进度款互换房产）》（CQ-ZSXY-GCHT-2020-074）及补充协议（简称原合同），三方同意解除原合同的进度款互换房产事宜。原合同进度款互换房产为：重庆市江津区篆山熙园项目商品房4套；付款方式：全款；抵款金额共计:2,300,634.43元。</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wordWrap w:val="0"/>
              <w:jc w:val="right"/>
              <w:textAlignment w:val="center"/>
              <w:rPr>
                <w:rFonts w:hint="eastAsia" w:ascii="Arial" w:hAnsi="Arial" w:cs="Arial"/>
                <w:bCs/>
                <w:i w:val="0"/>
                <w:sz w:val="18"/>
                <w:szCs w:val="18"/>
                <w:u w:val="none"/>
                <w:lang w:val="en-US" w:eastAsia="zh-CN" w:bidi="ar-SA"/>
              </w:rPr>
            </w:pPr>
            <w:r>
              <w:rPr>
                <w:rFonts w:hint="eastAsia" w:ascii="Arial" w:hAnsi="Arial" w:cs="Arial"/>
                <w:bCs/>
                <w:i w:val="0"/>
                <w:sz w:val="18"/>
                <w:szCs w:val="18"/>
                <w:u w:val="none"/>
                <w:lang w:val="en-US" w:eastAsia="zh-CN" w:bidi="ar-SA"/>
              </w:rPr>
              <w:t>抵款金额：</w:t>
            </w:r>
          </w:p>
          <w:p>
            <w:pPr>
              <w:keepNext w:val="0"/>
              <w:keepLines w:val="0"/>
              <w:widowControl/>
              <w:suppressLineNumbers w:val="0"/>
              <w:wordWrap w:val="0"/>
              <w:jc w:val="righ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i w:val="0"/>
                <w:sz w:val="18"/>
                <w:szCs w:val="18"/>
                <w:u w:val="none"/>
                <w:lang w:val="en-US" w:eastAsia="zh-CN" w:bidi="ar-SA"/>
              </w:rPr>
              <w:t>2,300,634.43元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重庆巧悦钢结构有限公司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重庆佳兆业晓岸云起项目21号楼栏杆供货及安装工程合同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1、工程内容：重庆佳兆业晓岸云起项目21号楼范围内阳台栏杆、楼梯栏杆、护窗栏杆、非主通道栏杆等供货制作及安装；</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2、合同工期：15个日历天，具体开工日期以书面通知为准；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3、工程总价：139309.07元；</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4、付款方式：本工程无预付款；按月进度支付工程进度款；月度完工进度初验合格后，支付至当月已完工程造价的70%；本次合同工程量全部完成后付至合同包干总价的80%；</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工程竣工，双方确认结算造价后，支付至实际结算总价的95%，余5%的保修金，待保修期（贰年）满后渝煌达一次付清（保修金不计利息）。</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139,309.07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重庆乙洋建筑装饰工程有限公司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重庆佳兆业晓岸云起21号楼外装工程施工合同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1、工程概况：重庆佳兆业晓岸云起项目，本次招标为21号楼外装工程；</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2、工期要求：30日历天，具体开工日期以书面通知为准；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3、本合同含税固定总价：546479.68元；</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4、付款方式：本工程无预付款；凭付款申请支付当月已完工工程量总价的70%；工程完工验收合格后，于45日内支付至合同已完工程总价的85%；</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完工后5天内验收合格办理完结算后付至本工程结算总价的95%，留结算总价的5%作为本工程的保修金。待2年保修期满后支付至结算总价的100%（保修金不计利息）。在到达付款节点所在月份的10日前提交付款申请，提交申请经项目公司及监理方审核无误后45天内支付。</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546,479.68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重庆市银泉实业有限公司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重庆佳兆业晓岸云起项目21号楼门窗及百页工程施工合同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1、工程概况：重庆佳兆业晓岸云起项目21号楼门窗及百页工程；</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2、工期要求：20日历天，具体开工日期以书面通知为准；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3、本合同含税固定总价：337713.26元；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无预付款；凭付款申请支付当月已完工工程量总价的70%；工程完工验收合格后，于45日内支付至合同已完工程总价的85%；工程完工后5天内验收合格办理完结算后，付至本工程结算总价的95%，留结算总价的5%作为本工程的保修金，待2年保修期满后支付至结算总价的100%（保修金不计利息）；到达付款节点所在月份的10日前提交付款申请，提交申请经项目公司及监理方审核无误后45天内支付。</w:t>
            </w:r>
          </w:p>
        </w:tc>
        <w:tc>
          <w:tcPr>
            <w:tcW w:w="8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337,713.26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重庆市佳兆业物业管理有限公司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重庆佳兆业·晓岸云起项目2020年案场物业服务合同补充协议一</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项目公司与佳兆业物业订了《重庆佳兆业·晓岸云起项目2020年案场物业服务合同》（合同编号：CQ-XAYQ-YXHT-2020-020-BC01）（简称原合同）。现经双方友好协商，签订补充协议，内容如下：</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1、合作期限：本协议预计执行时间8个月，实际执行时间以通知为准；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合同金额：原合同物业编制人员为24人，原合同月度人员配合费为人民币203810.58元/月，现根据实际需求增加及补充案场物业人员配置7人，月度增加费用48696.82元/月，增加后月度费用调整为含税252507.40元/月，本协议在原合同基础上共增加含税人民币389574.56元，本补充协议签订后原合同金额变更为2835301.48元。</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389,574.56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重庆蜀帝广告有限公司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重庆佳兆业晓岸云起项目2021-2022年度暖场活动合同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1、承包范围：重庆佳兆业晓岸云起项目2021-2022年度暖场活动；</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2、合作期限：一年，2021年4月14日至2022年3月12日止，具体时间以通知为准；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3、合同暂定含税总价：590,000.00元；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4、付款方式：按月实际发生活动场次结算，在到达付款节点所在月份的10日前提交全套付款申请及相关资料，经项目公司审批流程通过后45个日历天内支付至上月实际产生费用的100%。</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590,000.00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2021/04/26</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重庆比琇文化传播有限公司</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重庆公司2021年第一季度社区活动合同</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1、承包范围：重庆公司2021年第一季度社区活动；</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2、合作期限：1天，暂定2021年3月27日，具体时间以通知为准；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3、合同暂定含税总价：61,099.60元；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4、付款方式：在到达付款节点所在月份的10日前提交全套付款申请及相关资料，经项目公司审批流程通过后45个日历天内一次性支付审批通过金额的100%。</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61,099.60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2021/04/30</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重庆佳兆业晓岸云起项目2021年4月-7月分销服务合同（到家了）补充协议三</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重庆到家了网络科技有限公司</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项目公司与到家了签订了《重庆佳兆业晓岸云起项目2021年4-7月分销服务合同》，现经双方友好协商，特签订此补充协议。</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1、认购洋房产品，1-20套通1.5%，21套及以上通提2%，认购计提，签约发放；</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2、认购洋墅产品，1-5套通2.5%，6套及以上通提3%，认购计提，签约发放；</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3、本补充协议执行时间为：2021年5月1日-2021年5月31日。</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佣金点：2%-3%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2021/04/30</w:t>
            </w:r>
          </w:p>
        </w:tc>
        <w:tc>
          <w:tcPr>
            <w:tcW w:w="64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重庆佳兆业晓岸云起项目2021年4月-7月分销服务合同（闹海）补充协议三</w:t>
            </w:r>
          </w:p>
        </w:tc>
        <w:tc>
          <w:tcPr>
            <w:tcW w:w="72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重庆闹海科技有限公司</w:t>
            </w:r>
          </w:p>
        </w:tc>
        <w:tc>
          <w:tcPr>
            <w:tcW w:w="2066"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项目公司与闹海签订了《重庆佳兆业晓岸云起项目2021年4月-7月分销服务合同（闹海）》，现经双方友好协商，特签订此补充协议。</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1、认购洋房产品，1-20套通1.5%，21套及以上通提2%，认购计提，签约发放；</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2、认购洋墅产品，1-5套通2.5%，6套及以上通提3%，认购计提，签约发放；</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3、本补充协议执行时间为：2021年5月1日-2021年5月31日。</w:t>
            </w:r>
          </w:p>
        </w:tc>
        <w:tc>
          <w:tcPr>
            <w:tcW w:w="814"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佣金点：2%-3%</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2" w:name="_Toc535580096"/>
      <w:bookmarkStart w:id="33" w:name="_Toc27950"/>
      <w:bookmarkStart w:id="34" w:name="_Toc535570755"/>
      <w:bookmarkStart w:id="35" w:name="_Toc5286"/>
      <w:bookmarkStart w:id="36" w:name="_Toc535580028"/>
      <w:bookmarkStart w:id="37" w:name="_Toc535508641"/>
      <w:bookmarkStart w:id="38" w:name="_Toc373309851"/>
      <w:bookmarkStart w:id="39" w:name="_Toc411430359"/>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tcPr>
          <w:p>
            <w:pPr>
              <w:jc w:val="center"/>
              <w:textAlignment w:val="center"/>
              <w:rPr>
                <w:rFonts w:hint="eastAsia" w:ascii="宋体" w:hAnsi="宋体" w:eastAsia="宋体" w:cs="宋体"/>
                <w:color w:val="000000"/>
                <w:sz w:val="18"/>
                <w:szCs w:val="18"/>
                <w:lang w:val="en-US" w:eastAsia="zh-CN"/>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restart"/>
            <w:vAlign w:val="top"/>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21#楼</w:t>
            </w:r>
          </w:p>
        </w:tc>
        <w:tc>
          <w:tcPr>
            <w:tcW w:w="1789"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18</w:t>
            </w:r>
          </w:p>
        </w:tc>
        <w:tc>
          <w:tcPr>
            <w:tcW w:w="1648"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2332.90</w:t>
            </w:r>
          </w:p>
        </w:tc>
        <w:tc>
          <w:tcPr>
            <w:tcW w:w="1582" w:type="dxa"/>
            <w:vAlign w:val="top"/>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647" w:type="dxa"/>
            <w:gridSpan w:val="3"/>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合计</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392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37765.31</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bCs w:val="0"/>
                <w:sz w:val="18"/>
                <w:szCs w:val="18"/>
                <w:lang w:val="en-US" w:eastAsia="zh-CN"/>
              </w:rPr>
              <w:t>53,886.00</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132"/>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default" w:ascii="Arial" w:hAnsi="Arial" w:cs="Arial"/>
          <w:bCs/>
          <w:kern w:val="44"/>
          <w:lang w:val="en-US" w:eastAsia="zh-CN"/>
        </w:rPr>
      </w:pPr>
      <w:r>
        <w:rPr>
          <w:rFonts w:hint="eastAsia" w:ascii="Arial" w:hAnsi="Arial" w:cs="Arial"/>
          <w:lang w:val="en-US" w:eastAsia="zh-CN"/>
        </w:rPr>
        <w:t>2021年01月30日（开盘）至2021年04月30日，晓岸云起项目共网签361套，网签总额476,686,985.00元。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2021/04/02</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5</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6,279,453.00</w:t>
            </w:r>
            <w:r>
              <w:rPr>
                <w:rFonts w:hint="eastAsia" w:ascii="宋体" w:hAnsi="宋体" w:eastAsia="宋体" w:cs="宋体"/>
                <w:i w:val="0"/>
                <w:color w:val="000000"/>
                <w:kern w:val="0"/>
                <w:sz w:val="22"/>
                <w:szCs w:val="22"/>
                <w:u w:val="none"/>
                <w:lang w:val="en-US" w:eastAsia="zh-CN" w:bidi="ar"/>
              </w:rPr>
              <w:t xml:space="preserve">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278.27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3,802,994.00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2,363,994.00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1,450,201.00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2021/04/04</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3,665,216.00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128.33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1,813,431.00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725,431.00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2021/04/05</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132.63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1,859,075.00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372,075.00 </w:t>
            </w:r>
          </w:p>
        </w:tc>
      </w:tr>
      <w:tr>
        <w:tblPrEx>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2021/04/06</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272.79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3,914,215.00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2,182,215.00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2021/04/08</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128.67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1,806,141.00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542,141.00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2021/04/09</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1,361,843.00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99.41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1,361,843.00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961,843.00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1,836,766.00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r>
      <w:tr>
        <w:tblPrEx>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2021/04/14</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3,244,312.00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2021/04/15</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118.12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1,836,766.00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736,766.00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2021/04/16</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5</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9,822,464.00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359.68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5,795,660.00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2,325,660.00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2021/04/17</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3,846,168.00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375.80</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5,992,449.00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1,835,449.00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2021/04/18</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212.82</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3,232,399.00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1,230,399.00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2021/04/19</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1,991,812.00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253.72</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3,884,248.00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1,156,248.00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2021/04/20</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1,986,012.00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134.19</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1,986,012.00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996,012.00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2021/04/22</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1,959,233.00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133.80</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1,959,233.00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 xml:space="preserve">392,233.00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2021/04/24</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1,903,911.00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130.92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1,903,911.00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503,911.00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2,294,067.00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5</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9,750,368.00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138.55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2,196,018.00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1,396,018.00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950"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w:t>
            </w:r>
          </w:p>
        </w:tc>
        <w:tc>
          <w:tcPr>
            <w:tcW w:w="166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7,449,787.00 </w:t>
            </w:r>
          </w:p>
        </w:tc>
        <w:tc>
          <w:tcPr>
            <w:tcW w:w="10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125.70 </w:t>
            </w:r>
          </w:p>
        </w:tc>
        <w:tc>
          <w:tcPr>
            <w:tcW w:w="153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1,891,660.00 </w:t>
            </w:r>
          </w:p>
        </w:tc>
        <w:tc>
          <w:tcPr>
            <w:tcW w:w="1720"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378,660.00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950"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5</w:t>
            </w:r>
          </w:p>
        </w:tc>
        <w:tc>
          <w:tcPr>
            <w:tcW w:w="166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8,406,999.00 </w:t>
            </w:r>
          </w:p>
        </w:tc>
        <w:tc>
          <w:tcPr>
            <w:tcW w:w="10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5</w:t>
            </w:r>
          </w:p>
        </w:tc>
        <w:tc>
          <w:tcPr>
            <w:tcW w:w="122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627.85 </w:t>
            </w:r>
          </w:p>
        </w:tc>
        <w:tc>
          <w:tcPr>
            <w:tcW w:w="153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9,399,833.00 </w:t>
            </w:r>
          </w:p>
        </w:tc>
        <w:tc>
          <w:tcPr>
            <w:tcW w:w="1720"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4,414,833.00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27</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36,090,977.00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26</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2447.86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35,824,120.00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16,142,120.00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35</w:t>
            </w:r>
          </w:p>
        </w:tc>
        <w:tc>
          <w:tcPr>
            <w:tcW w:w="166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49,006,905.00 </w:t>
            </w:r>
          </w:p>
        </w:tc>
        <w:tc>
          <w:tcPr>
            <w:tcW w:w="101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32</w:t>
            </w:r>
          </w:p>
        </w:tc>
        <w:tc>
          <w:tcPr>
            <w:tcW w:w="122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3038.80 </w:t>
            </w:r>
          </w:p>
        </w:tc>
        <w:tc>
          <w:tcPr>
            <w:tcW w:w="1534"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43,708,903.00 </w:t>
            </w:r>
          </w:p>
        </w:tc>
        <w:tc>
          <w:tcPr>
            <w:tcW w:w="1720"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18,781,903.00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100</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152</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346</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494.00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89</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9137.91</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134</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168</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911.00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57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437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911.00</w:t>
            </w:r>
          </w:p>
        </w:tc>
      </w:tr>
    </w:tbl>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2934"/>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2934"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732"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1,393,000.00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个人贷款放款过渡户（个贷）（母晓江）</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604,000.00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个人贷款放款过渡户（个贷）（曾帅）</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827,000.00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个人贷款放款过渡户（个贷）（刘经伦）</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2,349,050.00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2021/04/01</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454,629.00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28,155.70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23,776,257.00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2601汉口预售资金预售账户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866,000.00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李念聪</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1,108,400.00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2021/04/03</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熊思奕</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2021/04/03</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813,000.00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王有银</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976,000.00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田蕊</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453,000.00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白波</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963,000.00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个贷系统平账专户（全志军）</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个贷系统平账专户（黎霞）</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216,545.82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60,457.63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1,002,000.00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董中文</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835,000.00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黄飞宏</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835,000.00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赵秋莲</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751,960.00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775,371.00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964,035.00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2,453,874.00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19,980.00</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2021/04/08</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2,122,155.00</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2021/04/08</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1,006,000.00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李国军</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33,120.20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492,121.00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736,000.00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768,000.00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（发放贷款620079000000082）</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868,000.00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（发放贷款620079000000083）</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978,000.00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（发放贷款620079000000084）</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（发放贷款620079000000085）</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800,000.00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个人贷款划转专户（借款人袁天凤）</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830,000.00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个人贷款划转专户（借款人张利锋）</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933,000.00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个人贷款划转专户（借款人张凯）</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个人贷款划转专户（借款人舒昌郁）</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1,303,000.00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个人贷款划转专户（借款人高小钧）</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903,000.00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个人贷款划转专户（借款人刘娇）</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个人贷款划转专户（借款人王晓燕）</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个人贷款划转专户（借款人龚卓伦）</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949,000.00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个人贷款划转专户（借款人谭君）</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320,000.00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个人贷款划转专户（借款人张建敏）</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894,000.00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个人贷款划转专户（借款人潘书玲）</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936,000.00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个人贷款划转专户（借款人董鹏飞）</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1,478,000.00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个人贷款划转专户（借款人陈婷婷）</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977,000.00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个人贷款划转专户（借款人邓春玲）</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1,313,000.00 </w:t>
            </w:r>
          </w:p>
        </w:tc>
        <w:tc>
          <w:tcPr>
            <w:tcW w:w="293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个人贷款划转专户（借款人王梦诗）</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个人贷款划转专户（借款人刘春明）</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个人贷款划转专户（借款人游君）</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个人贷款划转专户（借款人吴小峰）</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838,000.00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个人贷款划转专户（借款人司燕玲）</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797,000.00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个人贷款划转专户（借款人雷相洪）</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1,172,000.00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个人贷款划转专户（借款人赵娇凤）</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个人贷款划转专户（借款人郭娟娟）</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1,099,000.00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个贷系统平账专户（陈娟）</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991,000.00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个贷系统平账专户（陈雪）</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个贷系统平账专户（袁天馨）</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24,967.94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1,085,000.00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张琳那</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1,120,000.00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个人贷款划转专户（借款人张灿）</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1,234,000.00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个人贷款划转专户（借款人聂思宜）</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1,440,000.00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（发放贷款620079000000086）</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1,088,000.00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（发放贷款620079000000088）</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773,000.00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（发放贷款620079000000090）</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（发放贷款620079000000091）</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911,823.00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28,806.83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655,000.00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（发放贷款620079000000092）</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856,000.00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（发放贷款620079000000093）</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个贷系统平账专户（王玮）</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908,000.00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个贷系统平账专户（卓梅）</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970,000.00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个贷系统平账专户（赵德芬）</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626,000.00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个贷系统平账专户（马腊梅）</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729,000.00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个贷系统平账专户（姚艳红）</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个贷系统平账专户（刘小松）</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个贷系统平账专户（唐宸）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258,540.00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1,169,000.00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1,097,000.00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（发放贷款620079000000095）</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430,000.00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（发放贷款620079000000096）</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136,980.00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12,000,000.00 </w:t>
            </w:r>
          </w:p>
        </w:tc>
        <w:tc>
          <w:tcPr>
            <w:tcW w:w="2934" w:type="dxa"/>
            <w:vAlign w:val="center"/>
          </w:tcPr>
          <w:p>
            <w:pPr>
              <w:keepNext w:val="0"/>
              <w:keepLines w:val="0"/>
              <w:widowControl/>
              <w:suppressLineNumbers w:val="0"/>
              <w:jc w:val="center"/>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（佳兆业·晓岸云起项目商品房预售资金监管账户）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43,665.47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303,807.78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786,726.00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29,980.00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1,264,000.00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（发放贷款620079000000098）</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931,000.00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862,000.00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（发放贷款620079000000100）</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348,772.00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4,465,996.00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666,692.00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88,592.40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27,310.44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657,396.00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675,000.00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张馨予</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805,000.00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（发放贷款620079000000101）</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945,972.00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1,316,000.00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个贷系统平账专户（王青红）</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958,000.00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个贷系统平账专户（龙宇）</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994,000.00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个贷系统平账专户（邱若曦）</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845,000.00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个贷系统平账专户（周欢）</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个贷系统平账专户（严高玲）</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个贷系统平账专户（李伟）</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570,000.00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个人贷款划转专户（借款人唐诗琪）</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739,000.00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个人贷款划转专户（借款人陈勇）</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个人贷款划转专户（借款人龙涛）</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870,000.00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个人贷款划转专户（借款人曹笛）</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个人贷款划转专户（借款人叶静）</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66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35,929.23 </w:t>
            </w:r>
          </w:p>
        </w:tc>
        <w:tc>
          <w:tcPr>
            <w:tcW w:w="293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152,679.68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292,213.00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199,940.00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503,871.00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1,367,000.00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（发放贷款620079000000109）</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1,172,000.00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（发放贷款620079000000110）</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970,000.00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（发放贷款620079000000111）</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849,000.00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（发放贷款620079000000112）</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29,980.00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45,210.10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245,881.31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773,987.00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449,980.00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345,197.00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1,395,978.00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1,888,286.00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1,130,000.00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（发放贷款620079000000114）</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990,000.00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（发放贷款620079000000115）</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1,135,000.00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（发放贷款620079000000117）</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83,595.91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38,851.93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2,149,692.00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1,865,219.00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1,400,000.00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（发放贷款620079000000119）</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1,593,000.00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（发放贷款620079000000120）</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1,567,000.00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（发放贷款620079000000121）</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829,000.00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个人贷款划转专户（借款人徐海燕）</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670,000.00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个人贷款划转专户（借款人丁秀琼）</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569,811.99 </w:t>
            </w:r>
          </w:p>
        </w:tc>
        <w:tc>
          <w:tcPr>
            <w:tcW w:w="293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0"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154</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033</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362.36</w:t>
            </w:r>
            <w:r>
              <w:rPr>
                <w:rFonts w:hint="default" w:ascii="Arial" w:hAnsi="Arial" w:eastAsia="宋体" w:cs="Arial"/>
                <w:b/>
                <w:bCs/>
                <w:i w:val="0"/>
                <w:color w:val="000000"/>
                <w:kern w:val="0"/>
                <w:sz w:val="18"/>
                <w:szCs w:val="18"/>
                <w:u w:val="none"/>
                <w:lang w:val="en-US" w:eastAsia="zh-CN"/>
              </w:rPr>
              <w:t xml:space="preserve"> </w:t>
            </w:r>
          </w:p>
        </w:tc>
        <w:tc>
          <w:tcPr>
            <w:tcW w:w="2934" w:type="dxa"/>
            <w:vAlign w:val="center"/>
          </w:tcPr>
          <w:p>
            <w:pPr>
              <w:widowControl/>
              <w:jc w:val="right"/>
              <w:rPr>
                <w:rFonts w:hint="default" w:ascii="Arial" w:hAnsi="Arial" w:cs="Arial"/>
                <w:b/>
                <w:sz w:val="18"/>
                <w:szCs w:val="18"/>
              </w:rPr>
            </w:pPr>
          </w:p>
        </w:tc>
        <w:tc>
          <w:tcPr>
            <w:tcW w:w="1732" w:type="dxa"/>
            <w:vAlign w:val="center"/>
          </w:tcPr>
          <w:p>
            <w:pPr>
              <w:widowControl/>
              <w:jc w:val="center"/>
              <w:rPr>
                <w:rFonts w:hint="default" w:ascii="Arial" w:hAnsi="Arial" w:cs="Arial"/>
                <w:bCs/>
                <w:sz w:val="18"/>
                <w:szCs w:val="18"/>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1" w:name="_Toc17437"/>
      <w:bookmarkStart w:id="42" w:name="_Toc17583"/>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17896"/>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jc w:val="center"/>
        <w:textAlignment w:val="auto"/>
        <w:outlineLvl w:val="1"/>
        <w:rPr>
          <w:rFonts w:hint="default" w:ascii="Arial" w:hAnsi="Arial" w:eastAsia="宋体" w:cs="Arial"/>
          <w:b/>
          <w:bCs/>
          <w:sz w:val="24"/>
          <w:szCs w:val="32"/>
          <w:lang w:val="en-US" w:eastAsia="zh-CN"/>
        </w:rPr>
      </w:pPr>
      <w:bookmarkStart w:id="45" w:name="_Toc1260"/>
      <w:bookmarkStart w:id="46" w:name="_Toc1975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17"/>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715"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917"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183"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折扣体系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1</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胜利</w:t>
            </w:r>
          </w:p>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西永九号</w:t>
            </w:r>
          </w:p>
        </w:tc>
        <w:tc>
          <w:tcPr>
            <w:tcW w:w="7183" w:type="dxa"/>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04.19-04.26：认购0套别墅，之前洋墅均价15100元/㎡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在售：高层87-115㎡，洋房99-118㎡，叠拼137-140㎡</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剩余货值均价：叠拼15100元/㎡；洋房前期售价12100元/㎡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货量：已拿证未售余货0套，未拿证（洋房）约329套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印未来</w:t>
            </w:r>
          </w:p>
        </w:tc>
        <w:tc>
          <w:tcPr>
            <w:tcW w:w="7183" w:type="dxa"/>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04.19-04.26：认购136套（均价13922元/㎡），8/9号楼4月24日加推，加推即售罄</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在售产品：洋房建面80-99㎡</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剩余货值均价：本次加推均价13922元/㎡</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货量：已拿证未售余货0套，未拿证余货256套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default" w:ascii="Arial" w:hAnsi="Arial" w:eastAsia="宋体" w:cs="Arial"/>
                <w:color w:val="000000"/>
                <w:kern w:val="0"/>
                <w:sz w:val="18"/>
                <w:szCs w:val="18"/>
                <w:lang w:val="en-US" w:eastAsia="zh-CN"/>
              </w:rPr>
              <w:t>禧悦学府</w:t>
            </w:r>
          </w:p>
        </w:tc>
        <w:tc>
          <w:tcPr>
            <w:tcW w:w="7183" w:type="dxa"/>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04.19-04.26：认购0组（5#、12#、11#）蓄客中，预计下旬加推</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在售产品：洋房建面约78-91㎡</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剩余货值均价：前期小高层售价11800元/㎡</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货量：已拿证未售余货0套，未拿证余货1258套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default" w:ascii="Arial" w:hAnsi="Arial" w:eastAsia="宋体" w:cs="Arial"/>
                <w:color w:val="000000"/>
                <w:kern w:val="0"/>
                <w:sz w:val="18"/>
                <w:szCs w:val="18"/>
                <w:lang w:val="en-US" w:eastAsia="zh-CN"/>
              </w:rPr>
              <w:t>博翠宸章</w:t>
            </w:r>
          </w:p>
        </w:tc>
        <w:tc>
          <w:tcPr>
            <w:tcW w:w="7183" w:type="dxa"/>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04.19-04.26：成交5套，均价16030元/㎡（14#、15#）</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86-115㎡ ；别墅116-137㎡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剩余货值均价：洋房14900元/㎡；别墅16000元/㎡</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货量：已拿证未售余货22套，未拿证余货440套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电建·泷悦华府</w:t>
            </w:r>
          </w:p>
        </w:tc>
        <w:tc>
          <w:tcPr>
            <w:tcW w:w="7183" w:type="dxa"/>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04.19-04.26：成交25套洋房，单价13600元/㎡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在售：洋房118㎡（在售），叠拼135-147㎡（售罄）</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剩余货值均价：洋房13300元/㎡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货量：已拿证未售余货50套，未拿证余货24套（西区5#）</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7" w:name="_Toc532281663"/>
      <w:bookmarkStart w:id="48" w:name="_Toc29745"/>
      <w:bookmarkStart w:id="49" w:name="_Toc16137"/>
      <w:bookmarkStart w:id="50" w:name="_Toc535570756"/>
      <w:bookmarkStart w:id="51" w:name="_Toc535508642"/>
      <w:bookmarkStart w:id="52" w:name="_Toc535580097"/>
      <w:bookmarkStart w:id="53" w:name="_Toc535580029"/>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580098"/>
      <w:bookmarkStart w:id="55" w:name="_Toc535570757"/>
      <w:bookmarkStart w:id="56" w:name="_Toc535580030"/>
      <w:bookmarkStart w:id="57" w:name="_Toc535508643"/>
      <w:bookmarkStart w:id="58" w:name="_Toc535932782"/>
      <w:r>
        <w:rPr>
          <w:rFonts w:hint="eastAsia" w:ascii="宋体" w:hAnsi="宋体" w:eastAsia="宋体" w:cs="宋体"/>
          <w:sz w:val="24"/>
          <w:szCs w:val="24"/>
          <w:lang w:val="en-US" w:eastAsia="zh-CN"/>
        </w:rPr>
        <w:t>情况</w:t>
      </w:r>
      <w:bookmarkEnd w:id="48"/>
      <w:bookmarkEnd w:id="49"/>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上期项目公司监管账户资金余额合计333,941,908.09元，其中8996光大预售资金监管账户余额为78,885,094.86元，0828邮政按揭账户余额为1,428.03元，7471农商行按揭账户余额为12,057,687.73元，0475建行按揭账户余额为725,188.53元，8166光大专用户余额为12,272,508.94元，2452汉口银行一般户余额为230,000,000.00元，2601汉口银行预售资金监管账户余额为0.00元。</w:t>
      </w:r>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本期监管范围内资金流出总额合计479,828,732.33元，资金流入总额合计180,521,363.00元。截至2021年04月30日</w:t>
      </w:r>
      <w:bookmarkStart w:id="59" w:name="_Toc30328"/>
      <w:r>
        <w:rPr>
          <w:rFonts w:hint="eastAsia" w:ascii="Arial" w:hAnsi="Arial" w:cs="Arial"/>
          <w:bCs/>
          <w:kern w:val="44"/>
          <w:lang w:val="en-US" w:eastAsia="zh-CN"/>
        </w:rPr>
        <w:t>监管账户资金余额合计34,634,538.76元，其中8996光大预售资金监管账户余额为4,040,864.86元，0828邮政按揭账户余额为7,192.93元，7471农商行按揭账户余额为1,504,060.33元，0475建行按揭账户余额为7,753.70元，8166光大专用户余额为6,098.94元，2452汉口银行按揭户账户余额为13,058,575.00元，2601汉口银行预售资金监管户余额为16,009,993.00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6906"/>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lang w:val="en-US" w:eastAsia="zh-CN"/>
        </w:rPr>
      </w:pPr>
      <w:bookmarkStart w:id="61" w:name="_Toc4698"/>
      <w:r>
        <w:rPr>
          <w:rFonts w:hint="eastAsia" w:ascii="Arial" w:hAnsi="Arial" w:cs="Arial"/>
          <w:bCs/>
          <w:kern w:val="44"/>
          <w:lang w:val="en-US" w:eastAsia="zh-CN"/>
        </w:rPr>
        <w:t>2021年04月01日至2021年04月30日监管范围内资金流出总额合计479,828,732.33元，其中8996光大银行预售资金监管账户资金流出合计84,000,600.00元，2601汉口银行预售资金监管账户资金流出合计29,000,000.00元，0828邮政按揭户资金流出合计8,940,235.10元，0475建行按揭户资金流出合计16,346,434.83元，7471农商行按揭户资金流出合计37,450,627.40元，8166光大专用户资金流出合计27,090,410.00元，2452汉口一般户资金流出合计277,000,425.00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828"/>
        <w:gridCol w:w="1464"/>
        <w:gridCol w:w="2218"/>
        <w:gridCol w:w="11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828"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64"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21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短信通服务费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短信通知手续费收入（对公）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对公资金划转收费</w:t>
            </w:r>
          </w:p>
        </w:tc>
        <w:tc>
          <w:tcPr>
            <w:tcW w:w="146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0.80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备付山东高速利息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置换山高贷款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23,000,000.00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深圳市泰建建筑工程有限公司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置换山高贷款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53.60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归还西南集团借款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2,680,000.00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归还西南集团借款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15,090,000.00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2021/04/09</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22,000,000.00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备付工程款</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备付工程款</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2,180,000.00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归还西南集团借款</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12,050,000.00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2021/04/14</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180.60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2021/04/14</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归还江津项目民生贷款本金</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9,030,000.00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备付客户契税</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71.40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备付其他项目工程款、营销费、外包工资</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3,570,000.00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2021/04/15</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备付其他项目工程款、营销费、外包工资</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8,150,000.00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预售资金转出</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重庆渝煌达实业有限公司（8166光大专用户）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2021/04/16</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20.00</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备付税金</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7,570,000.00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151.40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2021/04/19</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凭证工本费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大额往账手续费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2021/04/20</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归还西南集团借款</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2021/04/21</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变更印鉴手续费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2021/04/22</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变更印鉴手续费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预售资金监管拨付</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29,000,000.00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2021/04/23</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印鉴变更手续费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手续费</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35.20 </w:t>
            </w:r>
          </w:p>
        </w:tc>
        <w:tc>
          <w:tcPr>
            <w:tcW w:w="2218" w:type="dxa"/>
            <w:vAlign w:val="center"/>
          </w:tcPr>
          <w:p>
            <w:pPr>
              <w:widowControl/>
              <w:jc w:val="center"/>
              <w:rPr>
                <w:rFonts w:hint="eastAsia" w:ascii="Arial" w:hAnsi="Arial" w:eastAsia="宋体" w:cs="Arial"/>
                <w:b w:val="0"/>
                <w:bCs/>
                <w:sz w:val="18"/>
                <w:szCs w:val="18"/>
                <w:lang w:val="en-US" w:eastAsia="zh-CN" w:bidi="ar-SA"/>
              </w:rPr>
            </w:pP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财务费用</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备付重庆新项目竞拍保证金</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1,760,000.00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资金往来</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现金管理业务手续费</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6.30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集团客户现金管理收入</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财务费用</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手续费</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200.00 </w:t>
            </w:r>
          </w:p>
        </w:tc>
        <w:tc>
          <w:tcPr>
            <w:tcW w:w="2218" w:type="dxa"/>
            <w:vAlign w:val="center"/>
          </w:tcPr>
          <w:p>
            <w:pPr>
              <w:widowControl/>
              <w:jc w:val="center"/>
              <w:rPr>
                <w:rFonts w:hint="eastAsia" w:ascii="Arial" w:hAnsi="Arial" w:eastAsia="宋体" w:cs="Arial"/>
                <w:b w:val="0"/>
                <w:bCs/>
                <w:sz w:val="18"/>
                <w:szCs w:val="18"/>
                <w:lang w:val="en-US" w:eastAsia="zh-CN" w:bidi="ar-SA"/>
              </w:rPr>
            </w:pP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财务费用</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备还佳兆业跟华硕建设的借款、备付晓岸云起工程款等</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29,000,000.00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资金往来</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存汉口银行融资还款保证金</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7,000,000.00 </w:t>
            </w:r>
          </w:p>
        </w:tc>
        <w:tc>
          <w:tcPr>
            <w:tcW w:w="2218" w:type="dxa"/>
            <w:vAlign w:val="center"/>
          </w:tcPr>
          <w:p>
            <w:pPr>
              <w:widowControl/>
              <w:jc w:val="center"/>
              <w:rPr>
                <w:rFonts w:hint="eastAsia" w:ascii="Arial" w:hAnsi="Arial" w:eastAsia="宋体" w:cs="Arial"/>
                <w:b w:val="0"/>
                <w:bCs/>
                <w:sz w:val="18"/>
                <w:szCs w:val="18"/>
                <w:lang w:val="en-US" w:eastAsia="zh-CN" w:bidi="ar-SA"/>
              </w:rPr>
            </w:pPr>
          </w:p>
        </w:tc>
        <w:tc>
          <w:tcPr>
            <w:tcW w:w="1104" w:type="dxa"/>
            <w:vAlign w:val="center"/>
          </w:tcPr>
          <w:p>
            <w:pPr>
              <w:widowControl/>
              <w:jc w:val="center"/>
              <w:rPr>
                <w:rFonts w:hint="eastAsia" w:ascii="Arial" w:hAnsi="Arial" w:eastAsia="宋体" w:cs="Arial"/>
                <w:b w:val="0"/>
                <w:bCs/>
                <w:sz w:val="18"/>
                <w:szCs w:val="18"/>
                <w:lang w:val="en-US" w:eastAsia="zh-CN" w:bidi="ar-SA"/>
              </w:rPr>
            </w:pP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用于集团归集融资利息款项</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2,236,384.03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资金往来</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备付重庆新项目竞拍保证金</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3,780,000.00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资金往来</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备付工程款</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3,230,000.00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不同账户资金调拨</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182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手续费</w:t>
            </w:r>
          </w:p>
        </w:tc>
        <w:tc>
          <w:tcPr>
            <w:tcW w:w="146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2.00 </w:t>
            </w:r>
          </w:p>
        </w:tc>
        <w:tc>
          <w:tcPr>
            <w:tcW w:w="22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财务费用</w:t>
            </w:r>
          </w:p>
        </w:tc>
        <w:tc>
          <w:tcPr>
            <w:tcW w:w="156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1" w:hRule="atLeast"/>
        </w:trPr>
        <w:tc>
          <w:tcPr>
            <w:tcW w:w="2896"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64"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479,828,732.33</w:t>
            </w:r>
          </w:p>
        </w:tc>
        <w:tc>
          <w:tcPr>
            <w:tcW w:w="221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3138"/>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eastAsia" w:ascii="Arial" w:hAnsi="Arial" w:eastAsia="宋体" w:cs="Arial"/>
          <w:b/>
          <w:sz w:val="24"/>
          <w:szCs w:val="28"/>
          <w:lang w:val="en-US" w:eastAsia="zh-CN"/>
        </w:rPr>
      </w:pP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04</w:t>
      </w:r>
      <w:r>
        <w:rPr>
          <w:rFonts w:ascii="Arial" w:hAnsi="Arial" w:cs="Arial"/>
          <w:bCs/>
          <w:kern w:val="44"/>
        </w:rPr>
        <w:t>月</w:t>
      </w:r>
      <w:r>
        <w:rPr>
          <w:rFonts w:hint="eastAsia" w:ascii="Arial" w:hAnsi="Arial" w:cs="Arial"/>
          <w:bCs/>
          <w:kern w:val="44"/>
          <w:lang w:val="en-US" w:eastAsia="zh-CN"/>
        </w:rPr>
        <w:t>0</w:t>
      </w:r>
      <w:r>
        <w:rPr>
          <w:rFonts w:hint="eastAsia" w:ascii="Arial" w:hAnsi="Arial" w:cs="Arial"/>
          <w:bCs/>
          <w:kern w:val="44"/>
        </w:rPr>
        <w:t>1</w:t>
      </w:r>
      <w:r>
        <w:rPr>
          <w:rFonts w:ascii="Arial" w:hAnsi="Arial" w:cs="Arial"/>
          <w:bCs/>
          <w:kern w:val="44"/>
        </w:rPr>
        <w:t>日至202</w:t>
      </w:r>
      <w:r>
        <w:rPr>
          <w:rFonts w:hint="eastAsia" w:ascii="Arial" w:hAnsi="Arial" w:cs="Arial"/>
          <w:bCs/>
          <w:kern w:val="44"/>
          <w:lang w:val="en-US" w:eastAsia="zh-CN"/>
        </w:rPr>
        <w:t>1</w:t>
      </w:r>
      <w:r>
        <w:rPr>
          <w:rFonts w:ascii="Arial" w:hAnsi="Arial" w:cs="Arial"/>
          <w:bCs/>
          <w:kern w:val="44"/>
        </w:rPr>
        <w:t>年</w:t>
      </w:r>
      <w:r>
        <w:rPr>
          <w:rFonts w:hint="eastAsia" w:ascii="Arial" w:hAnsi="Arial" w:cs="Arial"/>
          <w:bCs/>
          <w:kern w:val="44"/>
          <w:lang w:val="en-US" w:eastAsia="zh-CN"/>
        </w:rPr>
        <w:t>04月30日监管范围内资金流入合计180,521,363.00元，其中8996光大银行预售资金监管账户资金流入合计9,156,370.00元，2601汉口银行预售资金监管账户资金流入合计45,009,993.00元，0828邮政按揭户资金流入合计8,946,000.00元，0475建行按揭户资金流入合计15,629,000.00元，7471农商行按揭户资金流入合计26,897,000.00元，8166光大专用户资金流入合计14,824,000.00元，2452汉口一般户资金流入合计60,059,000.00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743"/>
        <w:gridCol w:w="3168"/>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743"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168"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693"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1,393,000.00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个人贷款放款过渡户（个贷）（母晓江）</w:t>
            </w:r>
          </w:p>
        </w:tc>
        <w:tc>
          <w:tcPr>
            <w:tcW w:w="1693"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604,000.00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个人贷款放款过渡户（个贷）（曾帅）</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827,000.00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个人贷款放款过渡户（个贷）（刘经伦）</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color w:val="000000"/>
                <w:sz w:val="18"/>
                <w:szCs w:val="18"/>
                <w:lang w:val="en-US" w:eastAsia="zh-CN" w:bidi="ar"/>
              </w:rPr>
              <w:t>2021/04/01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2,349,050.00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23,776,257.00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866,000.00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李念聪</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1,108,400.00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2021/04/03</w:t>
            </w:r>
          </w:p>
        </w:tc>
        <w:tc>
          <w:tcPr>
            <w:tcW w:w="1385"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熊思奕</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2021/04/03</w:t>
            </w:r>
          </w:p>
        </w:tc>
        <w:tc>
          <w:tcPr>
            <w:tcW w:w="1385"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813,000.00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王有银</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976,000.00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田蕊</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453,000.00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白波</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963,000.00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个贷系统平账专户（全志军）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个贷系统平账专户（黎霞）</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1,002,000.00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董中文</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835,000.00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黄飞宏</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835,000.00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赵秋莲</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751,960.00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775,371.00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964,035.00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2,453,874.00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2021/04/07</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19,980.00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2021/04/08</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2,122,155.00</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2021/04/08</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李国军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492,121.00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736,000.00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（发放贷款620079000000081）</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（发放贷款620079000000082）</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868,000.00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（发放贷款620079000000083）</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978,000.00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（发放贷款620079000000084）</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（发放贷款620079000000085）</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个人贷款划转专户（借款人袁天凤）</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个人贷款划转专户（借款人张利锋）</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个人贷款划转专户（借款人张凯）</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个人贷款划转专户（借款人舒昌郁）</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1,303,000.00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个人贷款划转专户（借款人高小钧）</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个人贷款划转专户（借款人刘娇）</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个人贷款划转专户（借款人王晓燕）</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个人贷款划转专户（借款人龚卓伦）</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949,000.00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个人贷款划转专户（借款人谭君）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320,000.00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个人贷款划转专户（借款人张建敏）</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894,000.00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个人贷款划转专户（借款人潘书玲）</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个人贷款划转专户（借款人董鹏飞）</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1,478,000.00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个人贷款划转专户（借款人陈婷婷）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977,000.00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个人贷款划转专户（借款人邓春玲）</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1,313,000.00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个人贷款划转专户（借款人王梦诗）</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个人贷款划转专户（借款人刘春明）</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个人贷款划转专户（借款人游君）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个人贷款划转专户（借款人吴小峰）</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个人贷款划转专户（借款人司燕玲）</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797,000.00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个人贷款划转专户（借款人雷相洪）</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1,172,000.00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个人贷款划转专户（借款人赵娇凤）</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个人贷款划转专户（借款人郭娟娟）</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1,099,000.00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个贷系统平账专户（陈娟）</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991,000.00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个贷系统平账专户（陈雪）</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2021/04/09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个贷系统平账专户（袁天馨）</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1,085,000.00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张琳那</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1,120,000.00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个人贷款划转专户（借款人张灿）</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1,234,000.00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个人贷款划转专户（借款人聂思宜）</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1,440,000.00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（发放贷款620079000000086）</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（发放贷款620079000000087）</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1,088,000.00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（发放贷款620079000000088）</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773,000.00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（发放贷款620079000000089）</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（发放贷款620079000000090）</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66"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（发放贷款620079000000091）</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911,823.00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655,000.00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（发放贷款620079000000092）</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（发放贷款620079000000093）</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个贷系统平账专户（王玮）</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个贷系统平账专户（卓梅）</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个贷系统平账专户（赵德芬）</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个贷系统平账专户（马腊梅）</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729,000.00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个贷系统平账专户（姚艳红）</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个贷系统平账专户（刘小松）</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个贷系统平账专户（唐宸）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2021/04/14</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258,540.00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1,169,000.00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（发放贷款620079000000094）</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2021/04/15</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1,097,000.00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（发放贷款620079000000095）</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430,000.00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（发放贷款620079000000096）</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136,980.00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2021/04/16</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786,726.00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29,980.00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2021/04/19</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1,264,000.00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（发放贷款620079000000097）</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（发放贷款620079000000098）</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931,000.00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（发放贷款620079000000099）</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862,000.00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（发放贷款620079000000100）</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348,772.00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4,465,996.00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2021/04/20</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666,692.00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657,396.00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675,000.00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张馨予</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2021/04/21</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805,000.00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（发放贷款620079000000101）</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945,972.00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1,316,000.00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个贷系统平账专户（王青红）</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958,000.00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个贷系统平账专户（龙宇）</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994,000.00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个贷系统平账专户（邱若曦）</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845,000.00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个贷系统平账专户（周欢）</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个贷系统平账专户（严高玲）</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2021/04/22</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个贷系统平账专户（李伟）</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个人贷款划转专户（借款人唐诗琪）</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739,000.00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个人贷款划转专户（借款人陈勇）</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个人贷款划转专户（借款人龙涛）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870,000.00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个人贷款划转专户（借款人曹笛）</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750,000.00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个人贷款划转专户（借款人叶静）</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2021/04/23</w:t>
            </w:r>
          </w:p>
        </w:tc>
        <w:tc>
          <w:tcPr>
            <w:tcW w:w="1385"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重庆商品房预售资金监管拨付</w:t>
            </w:r>
          </w:p>
        </w:tc>
        <w:tc>
          <w:tcPr>
            <w:tcW w:w="1743"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29,000,000.00 </w:t>
            </w:r>
          </w:p>
        </w:tc>
        <w:tc>
          <w:tcPr>
            <w:tcW w:w="31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93"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292,213.00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199,940.00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2021/04/25</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503,871.00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2"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1,367,000.00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（发放贷款620079000000109）</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1,172,000.00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（发放贷款620079000000110）</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970,000.00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（发放贷款620079000000111）</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849,000.00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（发放贷款620079000000112）</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2021/04/26</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29,980.00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773,987.00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2021/04/27</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449,980.00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345,197.00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1,395,978.00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1,888,286.00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1,130,000.00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（发放贷款620079000000114）</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990,000.00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（发放贷款620079000000115）</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2021/04/28</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1,135,000.00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（发放贷款620079000000117）</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2021/04/29</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2,149,692.00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1,865,219.00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1,400,000.00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（发放贷款620079000000119）</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1,593,000.00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（发放贷款620079000000120）</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1,567,000.00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（发放贷款620079000000121）</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829,000.00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个人贷款划转专户（借款人徐海燕）</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2021/04/30</w:t>
            </w:r>
          </w:p>
        </w:tc>
        <w:tc>
          <w:tcPr>
            <w:tcW w:w="138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43"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670,000.00 </w:t>
            </w:r>
          </w:p>
        </w:tc>
        <w:tc>
          <w:tcPr>
            <w:tcW w:w="316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个人贷款划转专户（借款人丁秀琼）</w:t>
            </w:r>
          </w:p>
        </w:tc>
        <w:tc>
          <w:tcPr>
            <w:tcW w:w="1693"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743"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180,521,363.00</w:t>
            </w:r>
          </w:p>
        </w:tc>
        <w:tc>
          <w:tcPr>
            <w:tcW w:w="3168" w:type="dxa"/>
            <w:vAlign w:val="center"/>
          </w:tcPr>
          <w:p>
            <w:pPr>
              <w:widowControl/>
              <w:jc w:val="center"/>
              <w:textAlignment w:val="center"/>
              <w:rPr>
                <w:rFonts w:hint="eastAsia" w:ascii="宋体" w:hAnsi="宋体" w:cs="宋体"/>
                <w:color w:val="000000"/>
                <w:sz w:val="20"/>
                <w:szCs w:val="20"/>
              </w:rPr>
            </w:pPr>
          </w:p>
        </w:tc>
        <w:tc>
          <w:tcPr>
            <w:tcW w:w="1693"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24625"/>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ascii="Arial" w:hAnsi="Arial" w:cs="Arial"/>
          <w:bCs/>
          <w:kern w:val="44"/>
        </w:rPr>
        <w:t>截</w:t>
      </w:r>
      <w:r>
        <w:rPr>
          <w:rFonts w:hint="eastAsia" w:ascii="Arial" w:hAnsi="Arial" w:cs="Arial"/>
          <w:bCs/>
          <w:kern w:val="44"/>
          <w:lang w:val="en-US" w:eastAsia="zh-CN"/>
        </w:rPr>
        <w:t>至</w:t>
      </w: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04</w:t>
      </w:r>
      <w:r>
        <w:rPr>
          <w:rFonts w:ascii="Arial" w:hAnsi="Arial" w:cs="Arial"/>
          <w:bCs/>
          <w:kern w:val="44"/>
        </w:rPr>
        <w:t>月</w:t>
      </w:r>
      <w:r>
        <w:rPr>
          <w:rFonts w:hint="eastAsia" w:ascii="Arial" w:hAnsi="Arial" w:cs="Arial"/>
          <w:bCs/>
          <w:kern w:val="44"/>
          <w:lang w:val="en-US" w:eastAsia="zh-CN"/>
        </w:rPr>
        <w:t>30</w:t>
      </w:r>
      <w:r>
        <w:rPr>
          <w:rFonts w:ascii="Arial" w:hAnsi="Arial" w:cs="Arial"/>
          <w:bCs/>
          <w:kern w:val="44"/>
        </w:rPr>
        <w:t>日，项目公司</w:t>
      </w:r>
      <w:r>
        <w:rPr>
          <w:rFonts w:hint="eastAsia" w:ascii="Arial" w:hAnsi="Arial" w:cs="Arial"/>
          <w:bCs/>
          <w:kern w:val="44"/>
          <w:lang w:val="en-US" w:eastAsia="zh-CN"/>
        </w:rPr>
        <w:t>各监管账户余额共计34,634,538.76元，</w:t>
      </w:r>
      <w:r>
        <w:rPr>
          <w:rFonts w:ascii="Arial" w:hAnsi="Arial" w:cs="Arial"/>
          <w:bCs/>
          <w:kern w:val="44"/>
        </w:rPr>
        <w:t>账户余额见下表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4,040,864.86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7,192.93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1,504,060.33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7,753.70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6,098.94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13,058,575.00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620011000552601</w:t>
            </w:r>
          </w:p>
        </w:tc>
        <w:tc>
          <w:tcPr>
            <w:tcW w:w="171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16,009,993.00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72" w:type="dxa"/>
            <w:vAlign w:val="center"/>
          </w:tcPr>
          <w:p>
            <w:pPr>
              <w:widowControl/>
              <w:jc w:val="center"/>
              <w:rPr>
                <w:rFonts w:hint="eastAsia" w:ascii="Arial" w:hAnsi="Arial" w:cs="Arial"/>
                <w:bCs/>
                <w:sz w:val="18"/>
                <w:szCs w:val="18"/>
                <w:lang w:val="en-US" w:eastAsia="zh-CN"/>
              </w:rPr>
            </w:pPr>
          </w:p>
        </w:tc>
        <w:tc>
          <w:tcPr>
            <w:tcW w:w="4171" w:type="dxa"/>
            <w:vAlign w:val="center"/>
          </w:tcPr>
          <w:p>
            <w:pPr>
              <w:widowControl/>
              <w:jc w:val="center"/>
              <w:rPr>
                <w:rFonts w:hint="default" w:ascii="Arial" w:hAnsi="Arial" w:cs="Arial"/>
                <w:bCs/>
                <w:sz w:val="18"/>
                <w:szCs w:val="18"/>
                <w:lang w:val="en-US" w:eastAsia="zh-CN"/>
              </w:rPr>
            </w:pPr>
            <w:r>
              <w:rPr>
                <w:rFonts w:hint="eastAsia" w:ascii="Arial" w:hAnsi="Arial" w:cs="Arial"/>
                <w:b/>
                <w:bCs w:val="0"/>
                <w:sz w:val="18"/>
                <w:szCs w:val="18"/>
                <w:lang w:val="en-US" w:eastAsia="zh-CN"/>
              </w:rPr>
              <w:t>合计</w:t>
            </w:r>
          </w:p>
        </w:tc>
        <w:tc>
          <w:tcPr>
            <w:tcW w:w="2651" w:type="dxa"/>
            <w:vAlign w:val="center"/>
          </w:tcPr>
          <w:p>
            <w:pPr>
              <w:widowControl/>
              <w:jc w:val="center"/>
              <w:rPr>
                <w:rFonts w:hint="eastAsia" w:ascii="Arial" w:hAnsi="Arial" w:cs="Arial"/>
                <w:bCs/>
                <w:sz w:val="18"/>
                <w:szCs w:val="18"/>
                <w:lang w:val="en-US" w:eastAsia="zh-CN"/>
              </w:rPr>
            </w:pP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34,634,538.76</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25565"/>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numPr>
          <w:ilvl w:val="0"/>
          <w:numId w:val="0"/>
        </w:numPr>
        <w:spacing w:line="480" w:lineRule="auto"/>
        <w:ind w:firstLine="420" w:firstLineChars="200"/>
        <w:rPr>
          <w:rFonts w:hint="eastAsia" w:ascii="Arial" w:hAnsi="Arial" w:cs="Arial"/>
          <w:szCs w:val="21"/>
          <w:lang w:val="en-US" w:eastAsia="zh-CN"/>
        </w:rPr>
      </w:pPr>
      <w:r>
        <w:rPr>
          <w:rFonts w:hint="eastAsia" w:ascii="Arial" w:hAnsi="Arial" w:eastAsia="宋体" w:cs="Arial"/>
          <w:szCs w:val="21"/>
        </w:rPr>
        <w:t>我公司</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03</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工程进度、监管协议约定的时间节点均已完成。晓岸云起1期3#、4#、6#、7#、8#楼，2期12#、13#、20#、21#楼已开盘，共9栋楼，可售房源共计392套，建筑面积合计37765.31㎡，总货值约53,886.00万元，截至2021年04月30日，晓岸云起项目共网签</w:t>
      </w:r>
      <w:r>
        <w:rPr>
          <w:rFonts w:hint="eastAsia" w:ascii="Arial" w:hAnsi="Arial" w:cs="Arial"/>
          <w:lang w:val="en-US" w:eastAsia="zh-CN"/>
        </w:rPr>
        <w:t>361套，网签总额476,686,985.00元</w:t>
      </w:r>
      <w:r>
        <w:rPr>
          <w:rFonts w:hint="eastAsia" w:ascii="Arial" w:hAnsi="Arial" w:cs="Arial"/>
          <w:szCs w:val="21"/>
          <w:lang w:val="en-US" w:eastAsia="zh-CN"/>
        </w:rPr>
        <w:t>，销售业绩良好。项目公司计划05月份办理晓岸云起1期1#楼，2期22#、23#楼的预售许可证。</w:t>
      </w:r>
    </w:p>
    <w:p>
      <w:pPr>
        <w:numPr>
          <w:ilvl w:val="0"/>
          <w:numId w:val="0"/>
        </w:numPr>
        <w:spacing w:line="480" w:lineRule="auto"/>
        <w:rPr>
          <w:rFonts w:hint="default" w:ascii="Arial" w:hAnsi="Arial" w:cs="Arial"/>
          <w:szCs w:val="21"/>
          <w:lang w:val="en-US" w:eastAsia="zh-CN"/>
        </w:rPr>
      </w:pPr>
    </w:p>
    <w:p>
      <w:pPr>
        <w:numPr>
          <w:ilvl w:val="0"/>
          <w:numId w:val="0"/>
        </w:numPr>
        <w:spacing w:line="480" w:lineRule="auto"/>
        <w:rPr>
          <w:rFonts w:hint="default"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Arial" w:hAnsi="Arial" w:cs="Arial"/>
          <w:szCs w:val="21"/>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05</w:t>
      </w:r>
      <w:r>
        <w:rPr>
          <w:rFonts w:ascii="Arial" w:hAnsi="Arial" w:cs="Arial"/>
          <w:bCs/>
          <w:szCs w:val="21"/>
        </w:rPr>
        <w:t>月</w:t>
      </w:r>
      <w:r>
        <w:rPr>
          <w:rFonts w:hint="eastAsia" w:ascii="Arial" w:hAnsi="Arial" w:cs="Arial"/>
          <w:bCs/>
          <w:szCs w:val="21"/>
          <w:lang w:val="en-US" w:eastAsia="zh-CN"/>
        </w:rPr>
        <w:t>06</w:t>
      </w:r>
      <w:r>
        <w:rPr>
          <w:rFonts w:ascii="Arial" w:hAnsi="Arial" w:cs="Arial"/>
          <w:bCs/>
          <w:szCs w:val="21"/>
        </w:rPr>
        <w:t>日于</w:t>
      </w:r>
      <w:r>
        <w:rPr>
          <w:rFonts w:hint="eastAsia" w:ascii="Arial" w:hAnsi="Arial" w:cs="Arial"/>
          <w:bCs/>
          <w:szCs w:val="21"/>
          <w:lang w:val="en-US" w:eastAsia="zh-CN"/>
        </w:rPr>
        <w:t>重庆</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bookmarkStart w:id="67" w:name="_Toc21683"/>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32399"/>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银行明细账</w:t>
      </w:r>
      <w:bookmarkEnd w:id="69"/>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中国邮政储蓄银行大渡口支行（</w:t>
      </w:r>
      <w:r>
        <w:rPr>
          <w:rFonts w:hint="default" w:ascii="Arial" w:hAnsi="Arial" w:eastAsia="宋体" w:cs="Arial"/>
          <w:b/>
          <w:bCs/>
          <w:sz w:val="24"/>
          <w:szCs w:val="24"/>
          <w:lang w:val="en-US" w:eastAsia="zh-CN"/>
        </w:rPr>
        <w:t>0828</w:t>
      </w:r>
      <w:r>
        <w:rPr>
          <w:rFonts w:hint="eastAsia" w:ascii="宋体" w:hAnsi="宋体" w:eastAsia="宋体" w:cs="宋体"/>
          <w:b/>
          <w:bCs/>
          <w:sz w:val="24"/>
          <w:szCs w:val="24"/>
          <w:lang w:val="en-US" w:eastAsia="zh-CN"/>
        </w:rPr>
        <w:t>）</w:t>
      </w:r>
      <w:r>
        <w:rPr>
          <w:rFonts w:hint="eastAsia" w:ascii="宋体" w:hAnsi="宋体" w:eastAsia="宋体" w:cs="宋体"/>
          <w:b/>
          <w:bCs/>
          <w:lang w:val="en-US" w:eastAsia="zh-CN"/>
        </w:rPr>
        <w:drawing>
          <wp:inline distT="0" distB="0" distL="114300" distR="114300">
            <wp:extent cx="5907405" cy="3827780"/>
            <wp:effectExtent l="0" t="0" r="5715" b="12700"/>
            <wp:docPr id="1" name="图片 1" descr="21ccaa38098b2f7955db4e00859fde7"/>
            <wp:cNvGraphicFramePr/>
            <a:graphic xmlns:a="http://schemas.openxmlformats.org/drawingml/2006/main">
              <a:graphicData uri="http://schemas.openxmlformats.org/drawingml/2006/picture">
                <pic:pic xmlns:pic="http://schemas.openxmlformats.org/drawingml/2006/picture">
                  <pic:nvPicPr>
                    <pic:cNvPr id="1" name="图片 1" descr="21ccaa38098b2f7955db4e00859fde7"/>
                    <pic:cNvPicPr/>
                  </pic:nvPicPr>
                  <pic:blipFill>
                    <a:blip r:embed="rId11"/>
                    <a:stretch>
                      <a:fillRect/>
                    </a:stretch>
                  </pic:blipFill>
                  <pic:spPr>
                    <a:xfrm>
                      <a:off x="0" y="0"/>
                      <a:ext cx="5907405" cy="382778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2646680"/>
            <wp:effectExtent l="0" t="0" r="5715" b="5080"/>
            <wp:docPr id="2" name="图片 2" descr="31b1bf5c9034a7b1cca8125aff84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b1bf5c9034a7b1cca8125aff8434b"/>
                    <pic:cNvPicPr>
                      <a:picLocks noChangeAspect="1"/>
                    </pic:cNvPicPr>
                  </pic:nvPicPr>
                  <pic:blipFill>
                    <a:blip r:embed="rId12"/>
                    <a:stretch>
                      <a:fillRect/>
                    </a:stretch>
                  </pic:blipFill>
                  <pic:spPr>
                    <a:xfrm>
                      <a:off x="0" y="0"/>
                      <a:ext cx="5907405" cy="264668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864870"/>
            <wp:effectExtent l="0" t="0" r="5715" b="3810"/>
            <wp:docPr id="3" name="图片 3" descr="6260bb0a2f51782022c272e68a59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60bb0a2f51782022c272e68a59a0d"/>
                    <pic:cNvPicPr>
                      <a:picLocks noChangeAspect="1"/>
                    </pic:cNvPicPr>
                  </pic:nvPicPr>
                  <pic:blipFill>
                    <a:blip r:embed="rId13"/>
                    <a:srcRect t="44226"/>
                    <a:stretch>
                      <a:fillRect/>
                    </a:stretch>
                  </pic:blipFill>
                  <pic:spPr>
                    <a:xfrm>
                      <a:off x="0" y="0"/>
                      <a:ext cx="5907405" cy="864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重庆农村商业银行大渡口支行（</w:t>
      </w:r>
      <w:r>
        <w:rPr>
          <w:rFonts w:hint="eastAsia" w:ascii="Arial" w:hAnsi="Arial" w:eastAsia="宋体" w:cs="Arial"/>
          <w:b/>
          <w:bCs/>
          <w:sz w:val="24"/>
          <w:szCs w:val="24"/>
          <w:lang w:val="en-US" w:eastAsia="zh-CN"/>
        </w:rPr>
        <w:t>7471</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2562225"/>
            <wp:effectExtent l="0" t="0" r="5715" b="13335"/>
            <wp:docPr id="4" name="图片 4" descr="00bf239b122b1e3a65254f7bee49b58"/>
            <wp:cNvGraphicFramePr/>
            <a:graphic xmlns:a="http://schemas.openxmlformats.org/drawingml/2006/main">
              <a:graphicData uri="http://schemas.openxmlformats.org/drawingml/2006/picture">
                <pic:pic xmlns:pic="http://schemas.openxmlformats.org/drawingml/2006/picture">
                  <pic:nvPicPr>
                    <pic:cNvPr id="4" name="图片 4" descr="00bf239b122b1e3a65254f7bee49b58"/>
                    <pic:cNvPicPr/>
                  </pic:nvPicPr>
                  <pic:blipFill>
                    <a:blip r:embed="rId14"/>
                    <a:stretch>
                      <a:fillRect/>
                    </a:stretch>
                  </pic:blipFill>
                  <pic:spPr>
                    <a:xfrm>
                      <a:off x="0" y="0"/>
                      <a:ext cx="5907405" cy="256222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722755"/>
            <wp:effectExtent l="0" t="0" r="5715" b="14605"/>
            <wp:docPr id="5" name="图片 5" descr="b235c9fc35807fc01a0ed383b1d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35c9fc35807fc01a0ed383b1d2c58"/>
                    <pic:cNvPicPr>
                      <a:picLocks noChangeAspect="1"/>
                    </pic:cNvPicPr>
                  </pic:nvPicPr>
                  <pic:blipFill>
                    <a:blip r:embed="rId15"/>
                    <a:stretch>
                      <a:fillRect/>
                    </a:stretch>
                  </pic:blipFill>
                  <pic:spPr>
                    <a:xfrm>
                      <a:off x="0" y="0"/>
                      <a:ext cx="5907405" cy="172275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938020"/>
            <wp:effectExtent l="0" t="0" r="5715" b="12700"/>
            <wp:docPr id="6" name="图片 6" descr="b84f93ad60a1d883a0eaa79d7c04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4f93ad60a1d883a0eaa79d7c04e1a"/>
                    <pic:cNvPicPr>
                      <a:picLocks noChangeAspect="1"/>
                    </pic:cNvPicPr>
                  </pic:nvPicPr>
                  <pic:blipFill>
                    <a:blip r:embed="rId16"/>
                    <a:stretch>
                      <a:fillRect/>
                    </a:stretch>
                  </pic:blipFill>
                  <pic:spPr>
                    <a:xfrm>
                      <a:off x="0" y="0"/>
                      <a:ext cx="5907405" cy="193802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879600"/>
            <wp:effectExtent l="0" t="0" r="5715" b="10160"/>
            <wp:docPr id="7" name="图片 7" descr="ad633a5878ce11fbed149514982a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633a5878ce11fbed149514982aa40"/>
                    <pic:cNvPicPr>
                      <a:picLocks noChangeAspect="1"/>
                    </pic:cNvPicPr>
                  </pic:nvPicPr>
                  <pic:blipFill>
                    <a:blip r:embed="rId17"/>
                    <a:stretch>
                      <a:fillRect/>
                    </a:stretch>
                  </pic:blipFill>
                  <pic:spPr>
                    <a:xfrm>
                      <a:off x="0" y="0"/>
                      <a:ext cx="5907405" cy="187960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086485"/>
            <wp:effectExtent l="0" t="0" r="5715" b="10795"/>
            <wp:docPr id="8" name="图片 8" descr="83d298233ebf48305ef65440b3e9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3d298233ebf48305ef65440b3e91a4"/>
                    <pic:cNvPicPr>
                      <a:picLocks noChangeAspect="1"/>
                    </pic:cNvPicPr>
                  </pic:nvPicPr>
                  <pic:blipFill>
                    <a:blip r:embed="rId18"/>
                    <a:stretch>
                      <a:fillRect/>
                    </a:stretch>
                  </pic:blipFill>
                  <pic:spPr>
                    <a:xfrm>
                      <a:off x="0" y="0"/>
                      <a:ext cx="5907405" cy="1086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中国建设银行股份有限公司重庆大渡口建设支行（</w:t>
      </w:r>
      <w:r>
        <w:rPr>
          <w:rFonts w:hint="eastAsia" w:ascii="Arial" w:hAnsi="Arial" w:eastAsia="宋体" w:cs="Arial"/>
          <w:b/>
          <w:bCs/>
          <w:sz w:val="24"/>
          <w:szCs w:val="24"/>
          <w:lang w:val="en-US" w:eastAsia="zh-CN"/>
        </w:rPr>
        <w:t>0475</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3295650"/>
            <wp:effectExtent l="0" t="0" r="5715" b="11430"/>
            <wp:docPr id="9" name="图片 9" descr="2ea5e2ece229d2988db5a67cabf6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a5e2ece229d2988db5a67cabf6f54"/>
                    <pic:cNvPicPr>
                      <a:picLocks noChangeAspect="1"/>
                    </pic:cNvPicPr>
                  </pic:nvPicPr>
                  <pic:blipFill>
                    <a:blip r:embed="rId19"/>
                    <a:stretch>
                      <a:fillRect/>
                    </a:stretch>
                  </pic:blipFill>
                  <pic:spPr>
                    <a:xfrm>
                      <a:off x="0" y="0"/>
                      <a:ext cx="5907405" cy="329565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252980"/>
            <wp:effectExtent l="0" t="0" r="5715" b="2540"/>
            <wp:docPr id="10" name="图片 10" descr="29bf3f34afe3e2698132be0fc17d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bf3f34afe3e2698132be0fc17dda0"/>
                    <pic:cNvPicPr>
                      <a:picLocks noChangeAspect="1"/>
                    </pic:cNvPicPr>
                  </pic:nvPicPr>
                  <pic:blipFill>
                    <a:blip r:embed="rId20"/>
                    <a:stretch>
                      <a:fillRect/>
                    </a:stretch>
                  </pic:blipFill>
                  <pic:spPr>
                    <a:xfrm>
                      <a:off x="0" y="0"/>
                      <a:ext cx="5907405" cy="225298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227455"/>
            <wp:effectExtent l="0" t="0" r="5715" b="6985"/>
            <wp:docPr id="11" name="图片 11" descr="e8f9e904586b2f70e8f06932429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8f9e904586b2f70e8f069324291859"/>
                    <pic:cNvPicPr>
                      <a:picLocks noChangeAspect="1"/>
                    </pic:cNvPicPr>
                  </pic:nvPicPr>
                  <pic:blipFill>
                    <a:blip r:embed="rId21"/>
                    <a:stretch>
                      <a:fillRect/>
                    </a:stretch>
                  </pic:blipFill>
                  <pic:spPr>
                    <a:xfrm>
                      <a:off x="0" y="0"/>
                      <a:ext cx="5907405" cy="1227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2452）</w:t>
      </w:r>
      <w:r>
        <w:rPr>
          <w:rFonts w:hint="default" w:ascii="宋体" w:hAnsi="宋体" w:eastAsia="宋体" w:cs="宋体"/>
          <w:b/>
          <w:bCs/>
          <w:sz w:val="24"/>
          <w:szCs w:val="24"/>
          <w:lang w:val="en-US" w:eastAsia="zh-CN"/>
        </w:rPr>
        <w:drawing>
          <wp:inline distT="0" distB="0" distL="114300" distR="114300">
            <wp:extent cx="5907405" cy="3220720"/>
            <wp:effectExtent l="0" t="0" r="5715" b="10160"/>
            <wp:docPr id="12" name="图片 12" descr="945941d97f45f83a40fd8483b61c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5941d97f45f83a40fd8483b61c7da"/>
                    <pic:cNvPicPr>
                      <a:picLocks noChangeAspect="1"/>
                    </pic:cNvPicPr>
                  </pic:nvPicPr>
                  <pic:blipFill>
                    <a:blip r:embed="rId22"/>
                    <a:stretch>
                      <a:fillRect/>
                    </a:stretch>
                  </pic:blipFill>
                  <pic:spPr>
                    <a:xfrm>
                      <a:off x="0" y="0"/>
                      <a:ext cx="5907405" cy="322072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3032125"/>
            <wp:effectExtent l="0" t="0" r="5715" b="635"/>
            <wp:docPr id="13" name="图片 13" descr="968f1ca6f32d23cf51751fbeb1c7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8f1ca6f32d23cf51751fbeb1c7d86"/>
                    <pic:cNvPicPr>
                      <a:picLocks noChangeAspect="1"/>
                    </pic:cNvPicPr>
                  </pic:nvPicPr>
                  <pic:blipFill>
                    <a:blip r:embed="rId23"/>
                    <a:stretch>
                      <a:fillRect/>
                    </a:stretch>
                  </pic:blipFill>
                  <pic:spPr>
                    <a:xfrm>
                      <a:off x="0" y="0"/>
                      <a:ext cx="5907405" cy="303212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753870"/>
            <wp:effectExtent l="0" t="0" r="5715" b="13970"/>
            <wp:docPr id="14" name="图片 14" descr="aa8acbb97d6a6d7d8fad4df74346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a8acbb97d6a6d7d8fad4df743462f3"/>
                    <pic:cNvPicPr>
                      <a:picLocks noChangeAspect="1"/>
                    </pic:cNvPicPr>
                  </pic:nvPicPr>
                  <pic:blipFill>
                    <a:blip r:embed="rId24"/>
                    <a:stretch>
                      <a:fillRect/>
                    </a:stretch>
                  </pic:blipFill>
                  <pic:spPr>
                    <a:xfrm>
                      <a:off x="0" y="0"/>
                      <a:ext cx="5907405" cy="1753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2601）</w:t>
      </w:r>
      <w:r>
        <w:rPr>
          <w:rFonts w:hint="default" w:ascii="宋体" w:hAnsi="宋体" w:eastAsia="宋体" w:cs="宋体"/>
          <w:b/>
          <w:bCs/>
          <w:sz w:val="24"/>
          <w:szCs w:val="24"/>
          <w:lang w:val="en-US" w:eastAsia="zh-CN"/>
        </w:rPr>
        <w:drawing>
          <wp:inline distT="0" distB="0" distL="114300" distR="114300">
            <wp:extent cx="5907405" cy="2813050"/>
            <wp:effectExtent l="0" t="0" r="5715" b="6350"/>
            <wp:docPr id="15" name="图片 15" descr="cf3d98a048fe761415fd36a0d80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f3d98a048fe761415fd36a0d803560"/>
                    <pic:cNvPicPr>
                      <a:picLocks noChangeAspect="1"/>
                    </pic:cNvPicPr>
                  </pic:nvPicPr>
                  <pic:blipFill>
                    <a:blip r:embed="rId25"/>
                    <a:stretch>
                      <a:fillRect/>
                    </a:stretch>
                  </pic:blipFill>
                  <pic:spPr>
                    <a:xfrm>
                      <a:off x="0" y="0"/>
                      <a:ext cx="5907405" cy="281305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31760"/>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cs="宋体"/>
          <w:b/>
          <w:sz w:val="24"/>
          <w:lang w:val="en-US" w:eastAsia="zh-CN"/>
        </w:rPr>
      </w:pPr>
      <w:r>
        <w:rPr>
          <w:rFonts w:hint="eastAsia" w:ascii="宋体" w:hAnsi="宋体" w:cs="宋体"/>
          <w:b/>
          <w:sz w:val="24"/>
          <w:lang w:val="en-US" w:eastAsia="zh-CN"/>
        </w:rPr>
        <w:t>共管资料交接清单-晓岸云起</w:t>
      </w:r>
      <w:r>
        <w:rPr>
          <w:rFonts w:hint="default" w:ascii="Arial" w:hAnsi="Arial" w:cs="Arial"/>
          <w:b/>
          <w:sz w:val="24"/>
          <w:lang w:val="en-US" w:eastAsia="zh-CN"/>
        </w:rPr>
        <w:t>2期</w:t>
      </w:r>
      <w:r>
        <w:rPr>
          <w:rFonts w:hint="eastAsia" w:ascii="Arial" w:hAnsi="Arial" w:cs="Arial"/>
          <w:b/>
          <w:sz w:val="24"/>
          <w:lang w:val="en-US" w:eastAsia="zh-CN"/>
        </w:rPr>
        <w:t>21#、</w:t>
      </w:r>
      <w:r>
        <w:rPr>
          <w:rFonts w:hint="default" w:ascii="Arial" w:hAnsi="Arial" w:cs="Arial"/>
          <w:b/>
          <w:sz w:val="24"/>
          <w:lang w:val="en-US" w:eastAsia="zh-CN"/>
        </w:rPr>
        <w:t>20#、13#楼</w:t>
      </w:r>
      <w:r>
        <w:rPr>
          <w:rFonts w:hint="eastAsia" w:ascii="Arial" w:hAnsi="Arial" w:cs="Arial"/>
          <w:b/>
          <w:sz w:val="24"/>
          <w:lang w:val="en-US" w:eastAsia="zh-CN"/>
        </w:rPr>
        <w:t>预售许可证</w:t>
      </w:r>
      <w:r>
        <w:rPr>
          <w:rFonts w:hint="default" w:ascii="Arial" w:hAnsi="Arial" w:cs="Arial"/>
          <w:b/>
          <w:sz w:val="24"/>
          <w:lang w:val="en-US" w:eastAsia="zh-CN"/>
        </w:rPr>
        <w:t>交</w:t>
      </w:r>
      <w:r>
        <w:rPr>
          <w:rFonts w:hint="eastAsia" w:ascii="宋体" w:hAnsi="宋体" w:cs="宋体"/>
          <w:b/>
          <w:sz w:val="24"/>
          <w:lang w:val="en-US" w:eastAsia="zh-CN"/>
        </w:rPr>
        <w:t>接清单</w:t>
      </w:r>
      <w:r>
        <w:rPr>
          <w:rFonts w:hint="default" w:ascii="宋体" w:hAnsi="宋体" w:cs="宋体"/>
          <w:b/>
          <w:sz w:val="24"/>
          <w:lang w:val="en-US" w:eastAsia="zh-CN"/>
        </w:rPr>
        <w:drawing>
          <wp:inline distT="0" distB="0" distL="114300" distR="114300">
            <wp:extent cx="5907405" cy="4191635"/>
            <wp:effectExtent l="0" t="0" r="5715" b="14605"/>
            <wp:docPr id="30" name="图片 30" descr="7bedb156c1161e3e4e58f764d76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bedb156c1161e3e4e58f764d76006b"/>
                    <pic:cNvPicPr>
                      <a:picLocks noChangeAspect="1"/>
                    </pic:cNvPicPr>
                  </pic:nvPicPr>
                  <pic:blipFill>
                    <a:blip r:embed="rId26"/>
                    <a:srcRect t="15244" b="12793"/>
                    <a:stretch>
                      <a:fillRect/>
                    </a:stretch>
                  </pic:blipFill>
                  <pic:spPr>
                    <a:xfrm>
                      <a:off x="0" y="0"/>
                      <a:ext cx="5907405" cy="4191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宋体" w:hAnsi="宋体" w:cs="宋体"/>
          <w:b/>
          <w:sz w:val="24"/>
          <w:lang w:val="en-US" w:eastAsia="zh-CN"/>
        </w:rPr>
        <w:t>晓岸云起</w:t>
      </w:r>
      <w:r>
        <w:rPr>
          <w:rFonts w:hint="eastAsia" w:ascii="Arial" w:hAnsi="Arial" w:cs="Arial"/>
          <w:b/>
          <w:sz w:val="24"/>
          <w:lang w:val="en-US" w:eastAsia="zh-CN"/>
        </w:rPr>
        <w:t>2期21#楼</w:t>
      </w:r>
      <w:r>
        <w:rPr>
          <w:rFonts w:hint="eastAsia" w:ascii="宋体" w:hAnsi="宋体" w:cs="宋体"/>
          <w:b/>
          <w:sz w:val="24"/>
          <w:lang w:val="en-US" w:eastAsia="zh-CN"/>
        </w:rPr>
        <w:t>预售许可证</w:t>
      </w:r>
      <w:r>
        <w:rPr>
          <w:rFonts w:hint="default"/>
          <w:lang w:val="en-US" w:eastAsia="zh-CN"/>
        </w:rPr>
        <w:drawing>
          <wp:inline distT="0" distB="0" distL="114300" distR="114300">
            <wp:extent cx="5907405" cy="4293870"/>
            <wp:effectExtent l="0" t="0" r="5715" b="3810"/>
            <wp:docPr id="17" name="图片 17" descr="6b430002d89657a5830a2961e5f1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b430002d89657a5830a2961e5f1e95"/>
                    <pic:cNvPicPr>
                      <a:picLocks noChangeAspect="1"/>
                    </pic:cNvPicPr>
                  </pic:nvPicPr>
                  <pic:blipFill>
                    <a:blip r:embed="rId27"/>
                    <a:stretch>
                      <a:fillRect/>
                    </a:stretch>
                  </pic:blipFill>
                  <pic:spPr>
                    <a:xfrm>
                      <a:off x="0" y="0"/>
                      <a:ext cx="5907405" cy="4293870"/>
                    </a:xfrm>
                    <a:prstGeom prst="rect">
                      <a:avLst/>
                    </a:prstGeom>
                  </pic:spPr>
                </pic:pic>
              </a:graphicData>
            </a:graphic>
          </wp:inline>
        </w:drawing>
      </w:r>
      <w:r>
        <w:rPr>
          <w:rFonts w:hint="eastAsia" w:ascii="宋体" w:hAnsi="宋体" w:cs="宋体"/>
          <w:b/>
          <w:sz w:val="24"/>
          <w:lang w:val="en-US" w:eastAsia="zh-CN"/>
        </w:rPr>
        <w:t>晓岸</w:t>
      </w:r>
      <w:r>
        <w:rPr>
          <w:rFonts w:hint="default" w:ascii="Arial" w:hAnsi="Arial" w:cs="Arial"/>
          <w:b/>
          <w:sz w:val="24"/>
          <w:lang w:val="en-US" w:eastAsia="zh-CN"/>
        </w:rPr>
        <w:t>云起2期20#楼预售许可证</w:t>
      </w:r>
      <w:r>
        <w:rPr>
          <w:rFonts w:hint="default" w:ascii="Arial" w:hAnsi="Arial" w:cs="Arial"/>
          <w:b/>
          <w:sz w:val="24"/>
          <w:lang w:val="en-US" w:eastAsia="zh-CN"/>
        </w:rPr>
        <w:drawing>
          <wp:inline distT="0" distB="0" distL="114300" distR="114300">
            <wp:extent cx="5907405" cy="3952240"/>
            <wp:effectExtent l="0" t="0" r="5715" b="10160"/>
            <wp:docPr id="31" name="图片 31" descr="320112c6e6dc577de62ff88b89ae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0112c6e6dc577de62ff88b89ae692"/>
                    <pic:cNvPicPr>
                      <a:picLocks noChangeAspect="1"/>
                    </pic:cNvPicPr>
                  </pic:nvPicPr>
                  <pic:blipFill>
                    <a:blip r:embed="rId28"/>
                    <a:srcRect t="5475" b="5317"/>
                    <a:stretch>
                      <a:fillRect/>
                    </a:stretch>
                  </pic:blipFill>
                  <pic:spPr>
                    <a:xfrm>
                      <a:off x="0" y="0"/>
                      <a:ext cx="5907405" cy="3952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cs="宋体"/>
          <w:b/>
          <w:sz w:val="24"/>
          <w:lang w:val="en-US" w:eastAsia="zh-CN"/>
        </w:rPr>
      </w:pPr>
      <w:r>
        <w:rPr>
          <w:rFonts w:hint="default" w:ascii="Arial" w:hAnsi="Arial" w:cs="Arial"/>
          <w:b/>
          <w:sz w:val="24"/>
          <w:lang w:val="en-US" w:eastAsia="zh-CN"/>
        </w:rPr>
        <w:t>晓岸云起2期13#楼预</w:t>
      </w:r>
      <w:r>
        <w:rPr>
          <w:rFonts w:hint="eastAsia" w:ascii="宋体" w:hAnsi="宋体" w:cs="宋体"/>
          <w:b/>
          <w:sz w:val="24"/>
          <w:lang w:val="en-US" w:eastAsia="zh-CN"/>
        </w:rPr>
        <w:t>售许可证</w:t>
      </w:r>
      <w:r>
        <w:rPr>
          <w:rFonts w:hint="eastAsia" w:ascii="宋体" w:hAnsi="宋体" w:cs="宋体"/>
          <w:b/>
          <w:sz w:val="24"/>
          <w:lang w:val="en-US" w:eastAsia="zh-CN"/>
        </w:rPr>
        <w:drawing>
          <wp:inline distT="0" distB="0" distL="114300" distR="114300">
            <wp:extent cx="5907405" cy="3916045"/>
            <wp:effectExtent l="0" t="0" r="5715" b="635"/>
            <wp:docPr id="32" name="图片 32" descr="78c15641318a8a9b796c3823f51f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8c15641318a8a9b796c3823f51ff7b"/>
                    <pic:cNvPicPr>
                      <a:picLocks noChangeAspect="1"/>
                    </pic:cNvPicPr>
                  </pic:nvPicPr>
                  <pic:blipFill>
                    <a:blip r:embed="rId29"/>
                    <a:srcRect t="7969" b="6564"/>
                    <a:stretch>
                      <a:fillRect/>
                    </a:stretch>
                  </pic:blipFill>
                  <pic:spPr>
                    <a:xfrm>
                      <a:off x="0" y="0"/>
                      <a:ext cx="5907405" cy="3916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宋体" w:hAnsi="宋体" w:cs="宋体"/>
          <w:b/>
          <w:sz w:val="24"/>
          <w:lang w:val="en-US" w:eastAsia="zh-CN"/>
        </w:rPr>
      </w:pPr>
      <w:r>
        <w:rPr>
          <w:rFonts w:hint="eastAsia" w:ascii="宋体" w:hAnsi="宋体" w:cs="宋体"/>
          <w:b/>
          <w:sz w:val="24"/>
          <w:lang w:val="en-US" w:eastAsia="zh-CN"/>
        </w:rPr>
        <w:t>共管资料交接清单-汉口银行结算业务委托书交接清单</w:t>
      </w:r>
      <w:r>
        <w:rPr>
          <w:rFonts w:hint="default" w:ascii="宋体" w:hAnsi="宋体" w:cs="宋体"/>
          <w:b/>
          <w:sz w:val="24"/>
          <w:lang w:val="en-US" w:eastAsia="zh-CN"/>
        </w:rPr>
        <w:drawing>
          <wp:inline distT="0" distB="0" distL="114300" distR="114300">
            <wp:extent cx="5907405" cy="4128135"/>
            <wp:effectExtent l="0" t="0" r="5715" b="1905"/>
            <wp:docPr id="19" name="图片 19" descr="cd8c52b7bc6548f638f0046cabd4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d8c52b7bc6548f638f0046cabd42c9"/>
                    <pic:cNvPicPr>
                      <a:picLocks noChangeAspect="1"/>
                    </pic:cNvPicPr>
                  </pic:nvPicPr>
                  <pic:blipFill>
                    <a:blip r:embed="rId30"/>
                    <a:srcRect t="14034" r="4779" b="14399"/>
                    <a:stretch>
                      <a:fillRect/>
                    </a:stretch>
                  </pic:blipFill>
                  <pic:spPr>
                    <a:xfrm>
                      <a:off x="0" y="0"/>
                      <a:ext cx="5907405" cy="4128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宋体" w:hAnsi="宋体" w:cs="宋体"/>
          <w:b/>
          <w:sz w:val="24"/>
          <w:lang w:val="en-US" w:eastAsia="zh-CN"/>
        </w:rPr>
      </w:pPr>
      <w:r>
        <w:rPr>
          <w:rFonts w:hint="eastAsia" w:ascii="宋体" w:hAnsi="宋体" w:cs="宋体"/>
          <w:b/>
          <w:sz w:val="24"/>
          <w:lang w:val="en-US" w:eastAsia="zh-CN"/>
        </w:rPr>
        <w:t>汉口银行单位结算业务委托书</w:t>
      </w:r>
      <w:r>
        <w:rPr>
          <w:rFonts w:hint="default" w:ascii="Arial" w:hAnsi="Arial" w:cs="Arial"/>
          <w:b/>
          <w:sz w:val="24"/>
          <w:lang w:val="en-US" w:eastAsia="zh-CN"/>
        </w:rPr>
        <w:t>（2452</w:t>
      </w:r>
      <w:r>
        <w:rPr>
          <w:rFonts w:hint="eastAsia" w:ascii="宋体" w:hAnsi="宋体" w:cs="宋体"/>
          <w:b/>
          <w:sz w:val="24"/>
          <w:lang w:val="en-US" w:eastAsia="zh-CN"/>
        </w:rPr>
        <w:t>按揭户）</w:t>
      </w:r>
      <w:r>
        <w:rPr>
          <w:rFonts w:hint="default" w:ascii="宋体" w:hAnsi="宋体" w:cs="宋体"/>
          <w:b/>
          <w:sz w:val="24"/>
          <w:lang w:val="en-US" w:eastAsia="zh-CN"/>
        </w:rPr>
        <w:drawing>
          <wp:inline distT="0" distB="0" distL="114300" distR="114300">
            <wp:extent cx="5907405" cy="3879850"/>
            <wp:effectExtent l="0" t="0" r="5715" b="6350"/>
            <wp:docPr id="25" name="图片 25" descr="247b6419c2f545a5e29bc6714bde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7b6419c2f545a5e29bc6714bdeff0"/>
                    <pic:cNvPicPr>
                      <a:picLocks noChangeAspect="1"/>
                    </pic:cNvPicPr>
                  </pic:nvPicPr>
                  <pic:blipFill>
                    <a:blip r:embed="rId31"/>
                    <a:stretch>
                      <a:fillRect/>
                    </a:stretch>
                  </pic:blipFill>
                  <pic:spPr>
                    <a:xfrm>
                      <a:off x="0" y="0"/>
                      <a:ext cx="5907405" cy="387985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447"/>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项目公司内部用印审批登记表</w:t>
      </w:r>
      <w:bookmarkEnd w:id="50"/>
      <w:bookmarkEnd w:id="51"/>
      <w:bookmarkEnd w:id="52"/>
      <w:bookmarkEnd w:id="53"/>
      <w:r>
        <w:rPr>
          <w:rFonts w:hint="default"/>
          <w:lang w:val="en-US" w:eastAsia="zh-CN"/>
        </w:rPr>
        <w:drawing>
          <wp:inline distT="0" distB="0" distL="114300" distR="114300">
            <wp:extent cx="3592830" cy="5907405"/>
            <wp:effectExtent l="0" t="0" r="5715" b="3810"/>
            <wp:docPr id="20" name="图片 20" descr="5f908e29d6a9c7bad3c535c7fe95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f908e29d6a9c7bad3c535c7fe95e02"/>
                    <pic:cNvPicPr>
                      <a:picLocks noChangeAspect="1"/>
                    </pic:cNvPicPr>
                  </pic:nvPicPr>
                  <pic:blipFill>
                    <a:blip r:embed="rId32"/>
                    <a:srcRect l="10318" r="8598"/>
                    <a:stretch>
                      <a:fillRect/>
                    </a:stretch>
                  </pic:blipFill>
                  <pic:spPr>
                    <a:xfrm rot="16200000">
                      <a:off x="0" y="0"/>
                      <a:ext cx="3592830" cy="5907405"/>
                    </a:xfrm>
                    <a:prstGeom prst="rect">
                      <a:avLst/>
                    </a:prstGeom>
                  </pic:spPr>
                </pic:pic>
              </a:graphicData>
            </a:graphic>
          </wp:inline>
        </w:drawing>
      </w:r>
      <w:r>
        <w:rPr>
          <w:rFonts w:hint="default"/>
          <w:lang w:val="en-US" w:eastAsia="zh-CN"/>
        </w:rPr>
        <w:drawing>
          <wp:inline distT="0" distB="0" distL="114300" distR="114300">
            <wp:extent cx="3844290" cy="5907405"/>
            <wp:effectExtent l="0" t="0" r="5715" b="11430"/>
            <wp:docPr id="21" name="图片 21" descr="8bf8ec456889a62f43fa072a96d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bf8ec456889a62f43fa072a96d7048"/>
                    <pic:cNvPicPr>
                      <a:picLocks noChangeAspect="1"/>
                    </pic:cNvPicPr>
                  </pic:nvPicPr>
                  <pic:blipFill>
                    <a:blip r:embed="rId33"/>
                    <a:srcRect l="11350" r="8942"/>
                    <a:stretch>
                      <a:fillRect/>
                    </a:stretch>
                  </pic:blipFill>
                  <pic:spPr>
                    <a:xfrm rot="16200000">
                      <a:off x="0" y="0"/>
                      <a:ext cx="3844290" cy="5907405"/>
                    </a:xfrm>
                    <a:prstGeom prst="rect">
                      <a:avLst/>
                    </a:prstGeom>
                  </pic:spPr>
                </pic:pic>
              </a:graphicData>
            </a:graphic>
          </wp:inline>
        </w:drawing>
      </w:r>
      <w:r>
        <w:rPr>
          <w:rFonts w:hint="default"/>
          <w:lang w:val="en-US" w:eastAsia="zh-CN"/>
        </w:rPr>
        <w:drawing>
          <wp:inline distT="0" distB="0" distL="114300" distR="114300">
            <wp:extent cx="5907405" cy="3964940"/>
            <wp:effectExtent l="0" t="0" r="5715" b="12700"/>
            <wp:docPr id="22" name="图片 22" descr="539ed340ec7c0e77f83ad8fa370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39ed340ec7c0e77f83ad8fa3709601"/>
                    <pic:cNvPicPr>
                      <a:picLocks noChangeAspect="1"/>
                    </pic:cNvPicPr>
                  </pic:nvPicPr>
                  <pic:blipFill>
                    <a:blip r:embed="rId34"/>
                    <a:srcRect t="12384" b="3440"/>
                    <a:stretch>
                      <a:fillRect/>
                    </a:stretch>
                  </pic:blipFill>
                  <pic:spPr>
                    <a:xfrm rot="10800000">
                      <a:off x="0" y="0"/>
                      <a:ext cx="5907405" cy="3964940"/>
                    </a:xfrm>
                    <a:prstGeom prst="rect">
                      <a:avLst/>
                    </a:prstGeom>
                  </pic:spPr>
                </pic:pic>
              </a:graphicData>
            </a:graphic>
          </wp:inline>
        </w:drawing>
      </w:r>
      <w:r>
        <w:rPr>
          <w:rFonts w:hint="default"/>
          <w:lang w:val="en-US" w:eastAsia="zh-CN"/>
        </w:rPr>
        <w:drawing>
          <wp:inline distT="0" distB="0" distL="114300" distR="114300">
            <wp:extent cx="5907405" cy="3615055"/>
            <wp:effectExtent l="0" t="0" r="5715" b="12065"/>
            <wp:docPr id="23" name="图片 23" descr="e5b06c99e2d38093047469281b80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5b06c99e2d38093047469281b8063a"/>
                    <pic:cNvPicPr>
                      <a:picLocks noChangeAspect="1"/>
                    </pic:cNvPicPr>
                  </pic:nvPicPr>
                  <pic:blipFill>
                    <a:blip r:embed="rId35"/>
                    <a:srcRect t="10320" b="8084"/>
                    <a:stretch>
                      <a:fillRect/>
                    </a:stretch>
                  </pic:blipFill>
                  <pic:spPr>
                    <a:xfrm rot="10800000">
                      <a:off x="0" y="0"/>
                      <a:ext cx="5907405" cy="3615055"/>
                    </a:xfrm>
                    <a:prstGeom prst="rect">
                      <a:avLst/>
                    </a:prstGeom>
                  </pic:spPr>
                </pic:pic>
              </a:graphicData>
            </a:graphic>
          </wp:inline>
        </w:drawing>
      </w:r>
      <w:r>
        <w:rPr>
          <w:rFonts w:hint="default"/>
          <w:lang w:val="en-US" w:eastAsia="zh-CN"/>
        </w:rPr>
        <w:drawing>
          <wp:inline distT="0" distB="0" distL="114300" distR="114300">
            <wp:extent cx="5907405" cy="3874135"/>
            <wp:effectExtent l="0" t="0" r="5715" b="12065"/>
            <wp:docPr id="24" name="图片 24" descr="d9f8028f5dcbb90e240df8f869f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9f8028f5dcbb90e240df8f869f3940"/>
                    <pic:cNvPicPr>
                      <a:picLocks noChangeAspect="1"/>
                    </pic:cNvPicPr>
                  </pic:nvPicPr>
                  <pic:blipFill>
                    <a:blip r:embed="rId36"/>
                    <a:srcRect t="7224" b="5332"/>
                    <a:stretch>
                      <a:fillRect/>
                    </a:stretch>
                  </pic:blipFill>
                  <pic:spPr>
                    <a:xfrm rot="10800000">
                      <a:off x="0" y="0"/>
                      <a:ext cx="5907405" cy="3874135"/>
                    </a:xfrm>
                    <a:prstGeom prst="rect">
                      <a:avLst/>
                    </a:prstGeom>
                  </pic:spPr>
                </pic:pic>
              </a:graphicData>
            </a:graphic>
          </wp:inline>
        </w:drawing>
      </w:r>
    </w:p>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2021年04月监管月报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2021年04月监管月报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B03700"/>
    <w:multiLevelType w:val="singleLevel"/>
    <w:tmpl w:val="FEB037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BC3B79"/>
    <w:rsid w:val="28073173"/>
    <w:rsid w:val="2B1A7222"/>
    <w:rsid w:val="2BB616D8"/>
    <w:rsid w:val="3C9F7835"/>
    <w:rsid w:val="4212215C"/>
    <w:rsid w:val="43D125FD"/>
    <w:rsid w:val="55DC7AEC"/>
    <w:rsid w:val="5A854F32"/>
    <w:rsid w:val="5C756EF1"/>
    <w:rsid w:val="5E715748"/>
    <w:rsid w:val="61AF46E0"/>
    <w:rsid w:val="627106E7"/>
    <w:rsid w:val="788415A2"/>
    <w:rsid w:val="7B2C4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customXml" Target="../customXml/item3.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109c7-d8ca-42bd-b81a-20f16713c7fc}">
  <ds:schemaRefs/>
</ds:datastoreItem>
</file>

<file path=customXml/itemProps3.xml><?xml version="1.0" encoding="utf-8"?>
<ds:datastoreItem xmlns:ds="http://schemas.openxmlformats.org/officeDocument/2006/customXml" ds:itemID="{12384cd9-a948-494d-8cbb-8904e70277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12</TotalTime>
  <ScaleCrop>false</ScaleCrop>
  <LinksUpToDate>false</LinksUpToDate>
  <CharactersWithSpaces>33203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Never</cp:lastModifiedBy>
  <dcterms:modified xsi:type="dcterms:W3CDTF">2021-05-08T08:33:41Z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32585C0F0F654E23B86080E7F10FA71D</vt:lpwstr>
  </property>
</Properties>
</file>