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 w:beforeLines="20" w:after="62" w:afterLines="20" w:line="400" w:lineRule="exact"/>
        <w:ind w:right="105" w:firstLine="708"/>
        <w:jc w:val="center"/>
        <w:rPr>
          <w:rFonts w:ascii="黑体" w:hAnsi="宋体" w:eastAsia="黑体"/>
          <w:sz w:val="32"/>
          <w:szCs w:val="32"/>
        </w:rPr>
      </w:pPr>
      <w:r>
        <w:rPr>
          <w:rFonts w:hint="eastAsia" w:ascii="黑体" w:hAnsi="宋体" w:eastAsia="黑体" w:cs="黑体"/>
          <w:sz w:val="32"/>
          <w:szCs w:val="32"/>
        </w:rPr>
        <w:t>不动产估价委托合同</w:t>
      </w:r>
    </w:p>
    <w:p>
      <w:pPr>
        <w:tabs>
          <w:tab w:val="left" w:pos="7560"/>
        </w:tabs>
        <w:spacing w:before="62" w:beforeLines="20" w:after="62" w:afterLines="20" w:line="480" w:lineRule="auto"/>
        <w:ind w:firstLine="482" w:firstLineChars="200"/>
        <w:rPr>
          <w:rFonts w:ascii="宋体" w:cs="宋体"/>
          <w:b/>
          <w:bCs/>
          <w:sz w:val="24"/>
          <w:szCs w:val="24"/>
        </w:rPr>
      </w:pPr>
    </w:p>
    <w:p>
      <w:pPr>
        <w:tabs>
          <w:tab w:val="left" w:pos="7560"/>
        </w:tabs>
        <w:spacing w:before="62" w:beforeLines="20" w:after="62" w:afterLines="20" w:line="480" w:lineRule="auto"/>
        <w:ind w:firstLine="482" w:firstLineChars="200"/>
        <w:rPr>
          <w:rFonts w:ascii="宋体"/>
          <w:sz w:val="24"/>
          <w:szCs w:val="24"/>
          <w:u w:val="single"/>
        </w:rPr>
      </w:pPr>
      <w:r>
        <w:rPr>
          <w:rFonts w:hint="eastAsia" w:ascii="宋体" w:hAnsi="宋体" w:cs="宋体"/>
          <w:b/>
          <w:bCs/>
          <w:sz w:val="24"/>
          <w:szCs w:val="24"/>
        </w:rPr>
        <w:t>甲方（委托方）</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b/>
          <w:bCs/>
          <w:sz w:val="24"/>
          <w:szCs w:val="24"/>
          <w:u w:val="single"/>
        </w:rPr>
        <w:t>北京博大新元房地产开发有限公司</w:t>
      </w:r>
      <w:r>
        <w:rPr>
          <w:rFonts w:ascii="宋体" w:hAnsi="宋体" w:cs="宋体"/>
          <w:sz w:val="24"/>
          <w:szCs w:val="24"/>
          <w:u w:val="single"/>
        </w:rPr>
        <w:t xml:space="preserve">        </w:t>
      </w:r>
      <w:r>
        <w:rPr>
          <w:rFonts w:hint="eastAsia" w:ascii="宋体" w:hAnsi="宋体" w:cs="宋体"/>
          <w:sz w:val="24"/>
          <w:szCs w:val="24"/>
          <w:u w:val="single"/>
        </w:rPr>
        <w:t xml:space="preserve"> </w:t>
      </w:r>
    </w:p>
    <w:p>
      <w:pPr>
        <w:spacing w:before="62" w:beforeLines="20" w:after="62" w:afterLines="20" w:line="480" w:lineRule="auto"/>
        <w:ind w:firstLine="482" w:firstLineChars="200"/>
        <w:rPr>
          <w:rFonts w:ascii="宋体"/>
          <w:b/>
          <w:bCs/>
          <w:sz w:val="24"/>
          <w:szCs w:val="24"/>
          <w:u w:val="single"/>
        </w:rPr>
      </w:pPr>
      <w:r>
        <w:rPr>
          <w:rFonts w:hint="eastAsia" w:ascii="宋体" w:hAnsi="宋体" w:cs="宋体"/>
          <w:b/>
          <w:bCs/>
          <w:sz w:val="24"/>
          <w:szCs w:val="24"/>
        </w:rPr>
        <w:t>乙方（受托方）</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b/>
          <w:bCs/>
          <w:sz w:val="24"/>
          <w:szCs w:val="24"/>
          <w:u w:val="single"/>
        </w:rPr>
        <w:t>北京康正宏基房地产评估有限公司</w:t>
      </w:r>
      <w:r>
        <w:rPr>
          <w:rFonts w:ascii="宋体" w:hAnsi="宋体" w:cs="宋体"/>
          <w:b/>
          <w:bCs/>
          <w:sz w:val="24"/>
          <w:szCs w:val="24"/>
          <w:u w:val="single"/>
        </w:rPr>
        <w:t xml:space="preserve">  </w:t>
      </w:r>
      <w:r>
        <w:rPr>
          <w:rFonts w:ascii="宋体" w:hAnsi="宋体" w:cs="宋体"/>
          <w:sz w:val="24"/>
          <w:szCs w:val="24"/>
          <w:u w:val="single"/>
        </w:rPr>
        <w:t xml:space="preserve">       </w:t>
      </w:r>
    </w:p>
    <w:p>
      <w:pPr>
        <w:spacing w:line="400" w:lineRule="exact"/>
        <w:ind w:firstLine="480" w:firstLineChars="200"/>
        <w:rPr>
          <w:rFonts w:ascii="宋体"/>
          <w:sz w:val="24"/>
          <w:szCs w:val="24"/>
        </w:rPr>
      </w:pPr>
    </w:p>
    <w:p>
      <w:pPr>
        <w:spacing w:line="360" w:lineRule="auto"/>
        <w:ind w:firstLine="480" w:firstLineChars="200"/>
        <w:rPr>
          <w:rFonts w:ascii="宋体"/>
          <w:sz w:val="24"/>
          <w:szCs w:val="24"/>
        </w:rPr>
      </w:pPr>
      <w:r>
        <w:rPr>
          <w:rFonts w:hint="eastAsia" w:ascii="宋体" w:hAnsi="宋体" w:cs="宋体"/>
          <w:sz w:val="24"/>
          <w:szCs w:val="24"/>
        </w:rPr>
        <w:t>依照《中华人民共和国民法典》、《中华人民共和国资产评估法》等法律、行政法规，经双方平等协商，特订立本合同，以资共同信守。</w:t>
      </w:r>
    </w:p>
    <w:p>
      <w:pPr>
        <w:spacing w:line="400" w:lineRule="exact"/>
        <w:ind w:firstLine="480" w:firstLineChars="200"/>
        <w:rPr>
          <w:rFonts w:ascii="宋体"/>
          <w:sz w:val="24"/>
          <w:szCs w:val="24"/>
          <w:u w:val="single"/>
        </w:rPr>
      </w:pPr>
    </w:p>
    <w:p>
      <w:pPr>
        <w:spacing w:after="62" w:afterLines="20" w:line="480" w:lineRule="auto"/>
        <w:ind w:firstLine="482" w:firstLineChars="200"/>
        <w:rPr>
          <w:rFonts w:ascii="宋体"/>
          <w:b/>
          <w:bCs/>
          <w:sz w:val="24"/>
          <w:szCs w:val="24"/>
        </w:rPr>
      </w:pPr>
      <w:r>
        <w:rPr>
          <w:rFonts w:hint="eastAsia" w:ascii="宋体" w:hAnsi="宋体" w:cs="宋体"/>
          <w:b/>
          <w:bCs/>
          <w:sz w:val="24"/>
          <w:szCs w:val="24"/>
        </w:rPr>
        <w:t>一、委托估价项目名称：</w:t>
      </w:r>
      <w:r>
        <w:rPr>
          <w:rFonts w:ascii="宋体" w:hAnsi="宋体" w:cs="宋体"/>
          <w:b/>
          <w:bCs/>
          <w:sz w:val="24"/>
          <w:szCs w:val="24"/>
          <w:u w:val="single"/>
        </w:rPr>
        <w:t xml:space="preserve">  </w:t>
      </w:r>
      <w:r>
        <w:rPr>
          <w:rFonts w:hint="eastAsia" w:ascii="宋体" w:hAnsi="宋体" w:cs="宋体"/>
          <w:b/>
          <w:bCs/>
          <w:sz w:val="24"/>
          <w:szCs w:val="24"/>
          <w:u w:val="single"/>
        </w:rPr>
        <w:t>北京经济技术开发区Ⅱ-6街区X84R3地块亦城亦景共有产权住房市场租金评估</w:t>
      </w:r>
      <w:r>
        <w:rPr>
          <w:rFonts w:ascii="宋体" w:hAnsi="宋体" w:cs="宋体"/>
          <w:b/>
          <w:bCs/>
          <w:sz w:val="24"/>
          <w:szCs w:val="24"/>
          <w:u w:val="single"/>
        </w:rPr>
        <w:t xml:space="preserve">          </w:t>
      </w:r>
    </w:p>
    <w:p>
      <w:pPr>
        <w:spacing w:before="62" w:beforeLines="20" w:after="62" w:afterLines="20" w:line="480" w:lineRule="auto"/>
        <w:ind w:firstLine="482" w:firstLineChars="200"/>
        <w:rPr>
          <w:rFonts w:ascii="宋体"/>
          <w:b/>
          <w:bCs/>
          <w:sz w:val="24"/>
          <w:szCs w:val="24"/>
          <w:u w:val="single"/>
        </w:rPr>
      </w:pPr>
      <w:r>
        <w:rPr>
          <w:rFonts w:hint="eastAsia" w:ascii="宋体" w:hAnsi="宋体" w:cs="宋体"/>
          <w:b/>
          <w:bCs/>
          <w:sz w:val="24"/>
          <w:szCs w:val="24"/>
        </w:rPr>
        <w:t>二、估价目的</w:t>
      </w:r>
      <w:r>
        <w:rPr>
          <w:rFonts w:hint="eastAsia" w:ascii="宋体" w:hAnsi="宋体" w:cs="宋体"/>
          <w:sz w:val="24"/>
          <w:szCs w:val="24"/>
        </w:rPr>
        <w:t>：</w:t>
      </w:r>
      <w:r>
        <w:rPr>
          <w:rFonts w:hint="eastAsia" w:ascii="宋体" w:hAnsi="宋体" w:cs="宋体"/>
          <w:b/>
          <w:bCs/>
          <w:sz w:val="24"/>
          <w:szCs w:val="24"/>
          <w:u w:val="single"/>
        </w:rPr>
        <w:t>为规范本市共有产权住房项目区域市场租金，维护共有产权住房项目相关各方的合法权益，为估价委托人确定共有产权住房项目市场租金提供价格参考依据</w:t>
      </w:r>
      <w:r>
        <w:rPr>
          <w:rFonts w:ascii="宋体" w:hAnsi="宋体" w:cs="宋体"/>
          <w:b/>
          <w:bCs/>
          <w:sz w:val="24"/>
          <w:szCs w:val="24"/>
          <w:u w:val="single"/>
        </w:rPr>
        <w:t xml:space="preserve">                                                      </w:t>
      </w:r>
    </w:p>
    <w:p>
      <w:pPr>
        <w:pStyle w:val="12"/>
        <w:spacing w:before="62" w:beforeLines="20" w:after="62" w:afterLines="20" w:line="480" w:lineRule="auto"/>
        <w:ind w:firstLine="482" w:firstLineChars="200"/>
        <w:rPr>
          <w:rFonts w:cs="Times New Roman"/>
        </w:rPr>
      </w:pPr>
      <w:r>
        <w:rPr>
          <w:rFonts w:hint="eastAsia"/>
        </w:rPr>
        <w:t>三、估价对象和估价范围：</w:t>
      </w:r>
      <w:r>
        <w:rPr>
          <w:b w:val="0"/>
          <w:bCs w:val="0"/>
          <w:u w:val="single"/>
        </w:rPr>
        <w:t xml:space="preserve">  </w:t>
      </w:r>
      <w:r>
        <w:rPr>
          <w:rFonts w:hint="eastAsia"/>
          <w:u w:val="single"/>
        </w:rPr>
        <w:t>北京市北京经济技术开发区Ⅱ-6街区X84R3地块亦城亦景共有产权住房</w:t>
      </w:r>
      <w:r>
        <w:rPr>
          <w:b w:val="0"/>
          <w:bCs w:val="0"/>
          <w:u w:val="single"/>
        </w:rPr>
        <w:t xml:space="preserve">                                           </w:t>
      </w:r>
    </w:p>
    <w:p>
      <w:pPr>
        <w:spacing w:before="62" w:beforeLines="20" w:after="62" w:afterLines="20" w:line="480" w:lineRule="auto"/>
        <w:ind w:firstLine="482" w:firstLineChars="200"/>
        <w:rPr>
          <w:rFonts w:ascii="宋体"/>
          <w:sz w:val="24"/>
          <w:szCs w:val="24"/>
        </w:rPr>
      </w:pPr>
      <w:r>
        <w:rPr>
          <w:rFonts w:hint="eastAsia" w:ascii="宋体" w:hAnsi="宋体" w:cs="宋体"/>
          <w:b/>
          <w:bCs/>
          <w:sz w:val="24"/>
          <w:szCs w:val="24"/>
        </w:rPr>
        <w:t>四、价值时点：</w:t>
      </w:r>
      <w:r>
        <w:rPr>
          <w:rFonts w:ascii="宋体" w:hAnsi="宋体" w:cs="宋体"/>
          <w:b/>
          <w:bCs/>
          <w:sz w:val="24"/>
          <w:szCs w:val="24"/>
          <w:u w:val="single"/>
        </w:rPr>
        <w:t xml:space="preserve"> 20</w:t>
      </w:r>
      <w:r>
        <w:rPr>
          <w:rFonts w:hint="eastAsia" w:ascii="宋体" w:hAnsi="宋体" w:cs="宋体"/>
          <w:b/>
          <w:bCs/>
          <w:sz w:val="24"/>
          <w:szCs w:val="24"/>
          <w:u w:val="single"/>
        </w:rPr>
        <w:t>21</w:t>
      </w:r>
      <w:r>
        <w:rPr>
          <w:rFonts w:ascii="宋体" w:hAnsi="宋体" w:cs="宋体"/>
          <w:b/>
          <w:bCs/>
          <w:sz w:val="24"/>
          <w:szCs w:val="24"/>
          <w:u w:val="single"/>
        </w:rPr>
        <w:t xml:space="preserve"> </w:t>
      </w:r>
      <w:r>
        <w:rPr>
          <w:rFonts w:hint="eastAsia" w:ascii="宋体" w:hAnsi="宋体" w:cs="宋体"/>
          <w:b/>
          <w:bCs/>
          <w:sz w:val="24"/>
          <w:szCs w:val="24"/>
        </w:rPr>
        <w:t>年</w:t>
      </w:r>
      <w:r>
        <w:rPr>
          <w:rFonts w:ascii="宋体" w:hAnsi="宋体" w:cs="宋体"/>
          <w:b/>
          <w:bCs/>
          <w:sz w:val="24"/>
          <w:szCs w:val="24"/>
        </w:rPr>
        <w:t xml:space="preserve"> </w:t>
      </w:r>
      <w:r>
        <w:rPr>
          <w:rFonts w:ascii="宋体" w:hAnsi="宋体" w:cs="宋体"/>
          <w:b/>
          <w:bCs/>
          <w:sz w:val="24"/>
          <w:szCs w:val="24"/>
          <w:u w:val="single"/>
        </w:rPr>
        <w:t xml:space="preserve"> </w:t>
      </w:r>
      <w:r>
        <w:rPr>
          <w:rFonts w:hint="eastAsia" w:ascii="宋体" w:hAnsi="宋体" w:cs="宋体"/>
          <w:b/>
          <w:bCs/>
          <w:sz w:val="24"/>
          <w:szCs w:val="24"/>
          <w:u w:val="single"/>
        </w:rPr>
        <w:t>8</w:t>
      </w:r>
      <w:r>
        <w:rPr>
          <w:rFonts w:ascii="宋体" w:hAnsi="宋体" w:cs="宋体"/>
          <w:b/>
          <w:bCs/>
          <w:sz w:val="24"/>
          <w:szCs w:val="24"/>
          <w:u w:val="single"/>
        </w:rPr>
        <w:t xml:space="preserve"> </w:t>
      </w:r>
      <w:r>
        <w:rPr>
          <w:rFonts w:hint="eastAsia" w:ascii="宋体" w:hAnsi="宋体" w:cs="宋体"/>
          <w:b/>
          <w:bCs/>
          <w:sz w:val="24"/>
          <w:szCs w:val="24"/>
        </w:rPr>
        <w:t>月</w:t>
      </w:r>
      <w:r>
        <w:rPr>
          <w:rFonts w:ascii="宋体" w:hAnsi="宋体" w:cs="宋体"/>
          <w:b/>
          <w:bCs/>
          <w:sz w:val="24"/>
          <w:szCs w:val="24"/>
          <w:u w:val="single"/>
        </w:rPr>
        <w:t xml:space="preserve"> </w:t>
      </w:r>
      <w:r>
        <w:rPr>
          <w:rFonts w:hint="eastAsia" w:ascii="宋体" w:hAnsi="宋体" w:cs="宋体"/>
          <w:b/>
          <w:bCs/>
          <w:sz w:val="24"/>
          <w:szCs w:val="24"/>
          <w:u w:val="single"/>
        </w:rPr>
        <w:t>17</w:t>
      </w:r>
      <w:r>
        <w:rPr>
          <w:rFonts w:ascii="宋体" w:hAnsi="宋体" w:cs="宋体"/>
          <w:b/>
          <w:bCs/>
          <w:sz w:val="24"/>
          <w:szCs w:val="24"/>
          <w:u w:val="single"/>
        </w:rPr>
        <w:t xml:space="preserve"> </w:t>
      </w:r>
      <w:r>
        <w:rPr>
          <w:rFonts w:hint="eastAsia" w:ascii="宋体" w:hAnsi="宋体" w:cs="宋体"/>
          <w:b/>
          <w:bCs/>
          <w:sz w:val="24"/>
          <w:szCs w:val="24"/>
        </w:rPr>
        <w:t>日</w:t>
      </w:r>
      <w:r>
        <w:rPr>
          <w:rFonts w:ascii="宋体" w:hAnsi="宋体" w:cs="宋体"/>
          <w:b/>
          <w:bCs/>
          <w:sz w:val="24"/>
          <w:szCs w:val="24"/>
        </w:rPr>
        <w:t xml:space="preserve"> </w:t>
      </w:r>
    </w:p>
    <w:p>
      <w:pPr>
        <w:spacing w:before="62" w:beforeLines="20" w:after="62" w:afterLines="20" w:line="480" w:lineRule="auto"/>
        <w:ind w:firstLine="482" w:firstLineChars="200"/>
        <w:rPr>
          <w:rFonts w:ascii="宋体"/>
          <w:sz w:val="24"/>
          <w:szCs w:val="24"/>
        </w:rPr>
      </w:pPr>
      <w:r>
        <w:rPr>
          <w:rFonts w:hint="eastAsia" w:ascii="宋体" w:hAnsi="宋体" w:cs="宋体"/>
          <w:b/>
          <w:bCs/>
          <w:sz w:val="24"/>
          <w:szCs w:val="24"/>
        </w:rPr>
        <w:t>五、价值类型：</w:t>
      </w:r>
      <w:r>
        <w:rPr>
          <w:rFonts w:ascii="宋体" w:hAnsi="宋体" w:cs="宋体"/>
          <w:b/>
          <w:bCs/>
          <w:sz w:val="24"/>
          <w:szCs w:val="24"/>
          <w:u w:val="single"/>
        </w:rPr>
        <w:t xml:space="preserve">  </w:t>
      </w:r>
      <w:r>
        <w:rPr>
          <w:rFonts w:hint="eastAsia" w:ascii="宋体" w:hAnsi="宋体" w:cs="宋体"/>
          <w:b/>
          <w:bCs/>
          <w:sz w:val="24"/>
          <w:szCs w:val="24"/>
          <w:u w:val="single"/>
        </w:rPr>
        <w:t xml:space="preserve">市场价值  </w:t>
      </w:r>
      <w:r>
        <w:rPr>
          <w:rFonts w:ascii="宋体" w:hAnsi="宋体" w:cs="宋体"/>
          <w:b/>
          <w:bCs/>
          <w:sz w:val="24"/>
          <w:szCs w:val="24"/>
          <w:u w:val="single"/>
        </w:rPr>
        <w:t xml:space="preserve"> </w:t>
      </w:r>
    </w:p>
    <w:p>
      <w:pPr>
        <w:spacing w:before="62" w:beforeLines="20" w:after="62" w:afterLines="20" w:line="400" w:lineRule="exact"/>
        <w:ind w:firstLine="482" w:firstLineChars="200"/>
        <w:rPr>
          <w:rFonts w:ascii="宋体"/>
          <w:b/>
          <w:bCs/>
          <w:sz w:val="24"/>
          <w:szCs w:val="24"/>
        </w:rPr>
      </w:pPr>
    </w:p>
    <w:p>
      <w:pPr>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六、评估业务完成期限</w:t>
      </w:r>
    </w:p>
    <w:p>
      <w:pPr>
        <w:spacing w:before="62" w:beforeLines="20" w:after="62" w:afterLines="20" w:line="360" w:lineRule="auto"/>
        <w:ind w:firstLine="480" w:firstLineChars="200"/>
        <w:rPr>
          <w:rFonts w:ascii="宋体"/>
          <w:sz w:val="24"/>
          <w:szCs w:val="24"/>
        </w:rPr>
      </w:pPr>
      <w:r>
        <w:rPr>
          <w:rFonts w:hint="eastAsia" w:ascii="宋体" w:hAnsi="宋体" w:cs="宋体"/>
          <w:sz w:val="24"/>
          <w:szCs w:val="24"/>
        </w:rPr>
        <w:t>根据不动产估价工作时间安排，甲方应先期准备或指定不动产权利人、此次经济行为相关方提供乙方估价所需的不动产权属证明及其他相关资料，并于</w:t>
      </w:r>
      <w:r>
        <w:rPr>
          <w:rFonts w:hint="eastAsia" w:ascii="宋体" w:hAnsi="宋体" w:cs="宋体"/>
          <w:sz w:val="24"/>
          <w:szCs w:val="24"/>
          <w:lang w:val="en-US" w:eastAsia="zh-CN"/>
        </w:rPr>
        <w:t>2021</w:t>
      </w:r>
      <w:r>
        <w:rPr>
          <w:rFonts w:hint="eastAsia" w:ascii="宋体" w:hAnsi="宋体" w:cs="宋体"/>
          <w:sz w:val="24"/>
          <w:szCs w:val="24"/>
        </w:rPr>
        <w:t>年</w:t>
      </w:r>
      <w:r>
        <w:rPr>
          <w:rFonts w:hint="eastAsia" w:ascii="宋体" w:hAnsi="宋体" w:cs="宋体"/>
          <w:sz w:val="24"/>
          <w:szCs w:val="24"/>
          <w:lang w:val="en-US" w:eastAsia="zh-CN"/>
        </w:rPr>
        <w:t>8</w:t>
      </w:r>
      <w:r>
        <w:rPr>
          <w:rFonts w:hint="eastAsia" w:ascii="宋体" w:hAnsi="宋体" w:cs="宋体"/>
          <w:sz w:val="24"/>
          <w:szCs w:val="24"/>
        </w:rPr>
        <w:t>月</w:t>
      </w:r>
      <w:r>
        <w:rPr>
          <w:rFonts w:hint="eastAsia" w:ascii="宋体" w:hAnsi="宋体" w:cs="宋体"/>
          <w:sz w:val="24"/>
          <w:szCs w:val="24"/>
          <w:lang w:val="en-US" w:eastAsia="zh-CN"/>
        </w:rPr>
        <w:t>17</w:t>
      </w:r>
      <w:r>
        <w:rPr>
          <w:rFonts w:hint="eastAsia" w:ascii="宋体" w:hAnsi="宋体" w:cs="宋体"/>
          <w:sz w:val="24"/>
          <w:szCs w:val="24"/>
        </w:rPr>
        <w:t>日以前将上述资料交给乙方。在正常情况下，乙方收到上述应提供的全部资料后，组织评估专业人员在十个工作日内完成甲方委托的评估工作，并向甲方提交《不动产估价报告书》。若甲方（含其指定不动产权利人、此次经济行为相关方）不能及时提供资料，乙方可以顺延提交报告的时间。</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七、评估服务费及支付方式</w:t>
      </w:r>
    </w:p>
    <w:p>
      <w:pPr>
        <w:tabs>
          <w:tab w:val="left" w:pos="720"/>
        </w:tabs>
        <w:spacing w:before="62" w:beforeLines="20" w:after="62" w:afterLines="20" w:line="360" w:lineRule="auto"/>
        <w:ind w:firstLine="480" w:firstLineChars="200"/>
        <w:rPr>
          <w:rFonts w:ascii="宋体" w:cs="宋体"/>
          <w:sz w:val="24"/>
          <w:szCs w:val="24"/>
          <w:u w:val="single"/>
        </w:rPr>
      </w:pPr>
      <w:r>
        <w:rPr>
          <w:rFonts w:ascii="宋体" w:hAnsi="宋体" w:cs="宋体"/>
          <w:sz w:val="24"/>
          <w:szCs w:val="24"/>
        </w:rPr>
        <w:t>1.</w:t>
      </w:r>
      <w:r>
        <w:rPr>
          <w:sz w:val="24"/>
          <w:szCs w:val="24"/>
        </w:rPr>
        <w:t xml:space="preserve"> </w:t>
      </w:r>
      <w:r>
        <w:rPr>
          <w:rFonts w:hint="eastAsia" w:ascii="宋体" w:hAnsi="宋体" w:cs="宋体"/>
          <w:sz w:val="24"/>
          <w:szCs w:val="24"/>
        </w:rPr>
        <w:t>参考原国家计委、建设部发布的《国家计委、建设部关于房地产中介服务收费的通知》（计价格第</w:t>
      </w:r>
      <w:r>
        <w:rPr>
          <w:rFonts w:ascii="宋体" w:hAnsi="宋体" w:cs="宋体"/>
          <w:sz w:val="24"/>
          <w:szCs w:val="24"/>
        </w:rPr>
        <w:t>971</w:t>
      </w:r>
      <w:r>
        <w:rPr>
          <w:rFonts w:hint="eastAsia" w:ascii="宋体" w:hAnsi="宋体" w:cs="宋体"/>
          <w:sz w:val="24"/>
          <w:szCs w:val="24"/>
        </w:rPr>
        <w:t>号）相关规定、此次评估的特定目的及本项目评估工作的繁简程度，甲乙双方协商本次估价服务费合计为人民币</w:t>
      </w:r>
      <w:r>
        <w:rPr>
          <w:rFonts w:ascii="宋体" w:hAnsi="宋体" w:cs="宋体"/>
          <w:sz w:val="24"/>
          <w:szCs w:val="24"/>
          <w:u w:val="single"/>
        </w:rPr>
        <w:t xml:space="preserve"> </w:t>
      </w:r>
      <w:r>
        <w:rPr>
          <w:rFonts w:hint="eastAsia" w:ascii="宋体" w:hAnsi="宋体" w:cs="宋体"/>
          <w:sz w:val="24"/>
          <w:szCs w:val="24"/>
          <w:u w:val="single"/>
        </w:rPr>
        <w:t>贰</w:t>
      </w:r>
      <w:r>
        <w:rPr>
          <w:rFonts w:ascii="宋体" w:hAnsi="宋体" w:cs="宋体"/>
          <w:sz w:val="24"/>
          <w:szCs w:val="24"/>
          <w:u w:val="single"/>
        </w:rPr>
        <w:t xml:space="preserve"> </w:t>
      </w:r>
      <w:r>
        <w:rPr>
          <w:rFonts w:hint="eastAsia" w:ascii="宋体" w:hAnsi="宋体" w:cs="宋体"/>
          <w:sz w:val="24"/>
          <w:szCs w:val="24"/>
        </w:rPr>
        <w:t>万元。</w:t>
      </w:r>
    </w:p>
    <w:p>
      <w:pPr>
        <w:tabs>
          <w:tab w:val="left" w:pos="720"/>
        </w:tabs>
        <w:spacing w:before="62" w:beforeLines="20" w:after="62" w:afterLines="20" w:line="360" w:lineRule="auto"/>
        <w:ind w:firstLine="480" w:firstLineChars="200"/>
        <w:rPr>
          <w:rFonts w:hint="eastAsia" w:ascii="宋体" w:hAnsi="宋体" w:cs="宋体"/>
          <w:sz w:val="24"/>
          <w:szCs w:val="24"/>
        </w:rPr>
      </w:pPr>
      <w:r>
        <w:rPr>
          <w:rFonts w:ascii="宋体" w:hAnsi="宋体" w:cs="宋体"/>
          <w:sz w:val="24"/>
          <w:szCs w:val="24"/>
        </w:rPr>
        <w:t>2.</w:t>
      </w:r>
      <w:r>
        <w:rPr>
          <w:rFonts w:hint="eastAsia" w:ascii="宋体" w:hAnsi="宋体" w:cs="宋体"/>
          <w:sz w:val="24"/>
          <w:szCs w:val="24"/>
        </w:rPr>
        <w:t>支付方式：本合同经双方签章后</w:t>
      </w:r>
      <w:r>
        <w:rPr>
          <w:rFonts w:ascii="宋体" w:hAnsi="宋体" w:cs="宋体"/>
          <w:sz w:val="24"/>
          <w:szCs w:val="24"/>
          <w:u w:val="single"/>
        </w:rPr>
        <w:t xml:space="preserve"> </w:t>
      </w:r>
      <w:r>
        <w:rPr>
          <w:rFonts w:hint="eastAsia" w:ascii="宋体" w:hAnsi="宋体" w:cs="宋体"/>
          <w:sz w:val="24"/>
          <w:szCs w:val="24"/>
          <w:u w:val="single"/>
        </w:rPr>
        <w:t>15个工作日</w:t>
      </w:r>
      <w:r>
        <w:rPr>
          <w:rFonts w:ascii="宋体" w:hAnsi="宋体" w:cs="宋体"/>
          <w:sz w:val="24"/>
          <w:szCs w:val="24"/>
          <w:u w:val="single"/>
        </w:rPr>
        <w:t xml:space="preserve"> </w:t>
      </w:r>
      <w:r>
        <w:rPr>
          <w:rFonts w:hint="eastAsia" w:ascii="宋体" w:hAnsi="宋体" w:cs="宋体"/>
          <w:sz w:val="24"/>
          <w:szCs w:val="24"/>
        </w:rPr>
        <w:t>内，乙方提交正式《不动产估价报告书》</w:t>
      </w:r>
      <w:r>
        <w:rPr>
          <w:rFonts w:hint="eastAsia" w:ascii="宋体" w:hAnsi="宋体" w:cs="宋体"/>
          <w:sz w:val="24"/>
          <w:szCs w:val="24"/>
          <w:lang w:eastAsia="zh-CN"/>
        </w:rPr>
        <w:t>和</w:t>
      </w:r>
      <w:r>
        <w:rPr>
          <w:rFonts w:hint="eastAsia" w:ascii="宋体" w:hAnsi="宋体" w:cs="宋体"/>
          <w:sz w:val="24"/>
          <w:szCs w:val="24"/>
        </w:rPr>
        <w:t>等额的增值税</w:t>
      </w:r>
      <w:r>
        <w:rPr>
          <w:rFonts w:hint="eastAsia" w:ascii="宋体" w:hAnsi="宋体" w:cs="宋体"/>
          <w:sz w:val="24"/>
          <w:szCs w:val="24"/>
          <w:lang w:eastAsia="zh-CN"/>
        </w:rPr>
        <w:t>专用</w:t>
      </w:r>
      <w:r>
        <w:rPr>
          <w:rFonts w:hint="eastAsia" w:ascii="宋体" w:hAnsi="宋体" w:cs="宋体"/>
          <w:sz w:val="24"/>
          <w:szCs w:val="24"/>
        </w:rPr>
        <w:t>发票，甲方</w:t>
      </w:r>
      <w:r>
        <w:rPr>
          <w:rFonts w:hint="eastAsia" w:ascii="宋体" w:hAnsi="宋体" w:cs="宋体"/>
          <w:sz w:val="24"/>
          <w:szCs w:val="24"/>
          <w:lang w:eastAsia="zh-CN"/>
        </w:rPr>
        <w:t>在十五日内</w:t>
      </w:r>
      <w:r>
        <w:rPr>
          <w:rFonts w:hint="eastAsia" w:ascii="宋体" w:hAnsi="宋体" w:cs="宋体"/>
          <w:sz w:val="24"/>
          <w:szCs w:val="24"/>
        </w:rPr>
        <w:t>支付给乙方</w:t>
      </w:r>
      <w:r>
        <w:rPr>
          <w:rFonts w:ascii="宋体" w:hAnsi="宋体" w:cs="宋体"/>
          <w:sz w:val="24"/>
          <w:szCs w:val="24"/>
          <w:u w:val="single"/>
        </w:rPr>
        <w:t xml:space="preserve">  </w:t>
      </w:r>
      <w:r>
        <w:rPr>
          <w:rFonts w:hint="eastAsia" w:ascii="宋体" w:hAnsi="宋体" w:cs="宋体"/>
          <w:sz w:val="24"/>
          <w:szCs w:val="24"/>
          <w:u w:val="single"/>
          <w:lang w:val="en-US" w:eastAsia="zh-CN"/>
        </w:rPr>
        <w:t>2.0</w:t>
      </w:r>
      <w:r>
        <w:rPr>
          <w:rFonts w:ascii="宋体" w:hAnsi="宋体" w:cs="宋体"/>
          <w:sz w:val="24"/>
          <w:szCs w:val="24"/>
          <w:u w:val="single"/>
        </w:rPr>
        <w:t xml:space="preserve">  </w:t>
      </w:r>
      <w:r>
        <w:rPr>
          <w:rFonts w:hint="eastAsia" w:ascii="宋体" w:hAnsi="宋体" w:cs="宋体"/>
          <w:sz w:val="24"/>
          <w:szCs w:val="24"/>
        </w:rPr>
        <w:t>万元。</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3</w:t>
      </w:r>
      <w:r>
        <w:rPr>
          <w:rFonts w:ascii="宋体" w:hAnsi="宋体" w:cs="宋体"/>
          <w:sz w:val="24"/>
          <w:szCs w:val="24"/>
        </w:rPr>
        <w:t>.</w:t>
      </w:r>
      <w:r>
        <w:rPr>
          <w:rFonts w:hint="eastAsia" w:ascii="宋体" w:hAnsi="宋体" w:cs="宋体"/>
          <w:sz w:val="24"/>
          <w:szCs w:val="24"/>
        </w:rPr>
        <w:t>乙方账号如下：</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户</w:t>
      </w:r>
      <w:r>
        <w:rPr>
          <w:rFonts w:ascii="宋体" w:hAnsi="宋体" w:cs="宋体"/>
          <w:sz w:val="24"/>
          <w:szCs w:val="24"/>
        </w:rPr>
        <w:t xml:space="preserve">    </w:t>
      </w:r>
      <w:r>
        <w:rPr>
          <w:rFonts w:hint="eastAsia" w:ascii="宋体" w:hAnsi="宋体" w:cs="宋体"/>
          <w:sz w:val="24"/>
          <w:szCs w:val="24"/>
        </w:rPr>
        <w:t>名：北京康正宏基房地产评估有限公司</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开户银行：交通银行北京中轴路支行</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开户账号：</w:t>
      </w:r>
      <w:r>
        <w:rPr>
          <w:rFonts w:ascii="宋体" w:hAnsi="宋体" w:cs="宋体"/>
          <w:sz w:val="24"/>
          <w:szCs w:val="24"/>
        </w:rPr>
        <w:t>110060739012015026873</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行号：交</w:t>
      </w:r>
      <w:r>
        <w:rPr>
          <w:rFonts w:ascii="宋体" w:hAnsi="宋体" w:cs="宋体"/>
          <w:sz w:val="24"/>
          <w:szCs w:val="24"/>
        </w:rPr>
        <w:t>739</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八、双方的权利与义务</w:t>
      </w:r>
    </w:p>
    <w:p>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hAnsi="宋体" w:cs="宋体"/>
          <w:sz w:val="24"/>
          <w:szCs w:val="24"/>
        </w:rPr>
        <w:t>（一）</w:t>
      </w:r>
      <w:r>
        <w:rPr>
          <w:rFonts w:ascii="宋体" w:hAnsi="宋体" w:cs="宋体"/>
          <w:sz w:val="24"/>
          <w:szCs w:val="24"/>
        </w:rPr>
        <w:t xml:space="preserve"> </w:t>
      </w:r>
      <w:r>
        <w:rPr>
          <w:rFonts w:hint="eastAsia" w:ascii="宋体" w:hAnsi="宋体" w:cs="宋体"/>
          <w:sz w:val="24"/>
          <w:szCs w:val="24"/>
        </w:rPr>
        <w:t>甲方</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甲方应当对其（包括其指定的不动产权利人、此次经济行为相关方）提供的权属证明、财务会计信息和其他资料的真实性、完整性和合法性负责，按合同约定及时提供。</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3.</w:t>
      </w:r>
      <w:r>
        <w:rPr>
          <w:rFonts w:hint="eastAsia" w:ascii="宋体" w:hAnsi="宋体" w:cs="宋体"/>
          <w:sz w:val="24"/>
          <w:szCs w:val="24"/>
        </w:rPr>
        <w:t>甲方自接到乙方提交的《不动产估价报告书》之日起五个工作日内，如对估价结果产生异议，且理由正当，可书面向乙方提出复估或重估申请。</w:t>
      </w:r>
    </w:p>
    <w:p>
      <w:pPr>
        <w:tabs>
          <w:tab w:val="left" w:pos="720"/>
        </w:tabs>
        <w:spacing w:before="62" w:beforeLines="20" w:after="62" w:afterLines="20" w:line="360" w:lineRule="auto"/>
        <w:ind w:firstLine="480" w:firstLineChars="200"/>
        <w:outlineLvl w:val="0"/>
        <w:rPr>
          <w:rFonts w:ascii="宋体" w:hAnsi="宋体" w:cs="宋体"/>
          <w:sz w:val="24"/>
          <w:szCs w:val="24"/>
        </w:rPr>
      </w:pPr>
      <w:r>
        <w:rPr>
          <w:rFonts w:ascii="宋体" w:hAnsi="宋体" w:cs="宋体"/>
          <w:sz w:val="24"/>
          <w:szCs w:val="24"/>
        </w:rPr>
        <w:t>4.</w:t>
      </w:r>
      <w:r>
        <w:rPr>
          <w:rFonts w:hint="eastAsia" w:ascii="宋体" w:hAnsi="宋体" w:cs="宋体"/>
          <w:sz w:val="24"/>
          <w:szCs w:val="24"/>
        </w:rPr>
        <w:t>甲方不得要求乙方出具虚假评估报告或者有其他非法干预评估结果情形。</w:t>
      </w:r>
    </w:p>
    <w:p>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sz w:val="24"/>
          <w:szCs w:val="24"/>
        </w:rPr>
        <w:t>5. 甲方有义务正确、恰当地使用《不动产估价报告书》。</w:t>
      </w:r>
    </w:p>
    <w:p>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hAnsi="宋体" w:cs="宋体"/>
          <w:sz w:val="24"/>
          <w:szCs w:val="24"/>
        </w:rPr>
        <w:t>（二）</w:t>
      </w:r>
      <w:r>
        <w:rPr>
          <w:rFonts w:ascii="宋体" w:hAnsi="宋体" w:cs="宋体"/>
          <w:sz w:val="24"/>
          <w:szCs w:val="24"/>
        </w:rPr>
        <w:t xml:space="preserve"> </w:t>
      </w:r>
      <w:r>
        <w:rPr>
          <w:rFonts w:hint="eastAsia" w:ascii="宋体" w:hAnsi="宋体" w:cs="宋体"/>
          <w:sz w:val="24"/>
          <w:szCs w:val="24"/>
        </w:rPr>
        <w:t>乙方</w:t>
      </w:r>
      <w:r>
        <w:rPr>
          <w:rFonts w:ascii="宋体"/>
          <w:sz w:val="24"/>
          <w:szCs w:val="24"/>
        </w:rPr>
        <w:tab/>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乙方有权要求甲方提供与估价对象相关的权属证明、财务会计信息和其他资料，以及为执行公允的评估程序所需的必要协助。</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乙方应独立、客观、公正从事估价业务；认真执行法律和行政法规，对出具《不动产报告书》承担相应的法律责任。</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3.</w:t>
      </w:r>
      <w:r>
        <w:rPr>
          <w:rFonts w:hint="eastAsia" w:ascii="宋体" w:hAnsi="宋体" w:cs="宋体"/>
          <w:sz w:val="24"/>
          <w:szCs w:val="24"/>
        </w:rPr>
        <w:t>乙方应对收到的甲方所提供的有关估价对象的资料妥善保管并负保密之责，非经甲方同意不得擅自公开或泄露给他人。</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4.</w:t>
      </w:r>
      <w:r>
        <w:rPr>
          <w:rFonts w:hint="eastAsia" w:ascii="宋体" w:hAnsi="宋体" w:cs="宋体"/>
          <w:sz w:val="24"/>
          <w:szCs w:val="24"/>
        </w:rPr>
        <w:t>如适用，乙方应对甲方复估或重估书面申请后十个工作日内完成估价对象的复估或重估报告书，交付甲方。</w:t>
      </w:r>
    </w:p>
    <w:p>
      <w:pPr>
        <w:pStyle w:val="4"/>
        <w:spacing w:before="62" w:beforeLines="20" w:after="62" w:afterLines="20"/>
        <w:ind w:firstLine="480" w:firstLineChars="200"/>
        <w:rPr>
          <w:rFonts w:ascii="宋体" w:hAnsi="宋体" w:eastAsia="宋体"/>
        </w:rPr>
      </w:pPr>
    </w:p>
    <w:p>
      <w:pPr>
        <w:tabs>
          <w:tab w:val="left" w:pos="720"/>
        </w:tabs>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九、不动产估价报告书的使用者及使用范围</w:t>
      </w:r>
    </w:p>
    <w:p>
      <w:pPr>
        <w:tabs>
          <w:tab w:val="left" w:pos="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乙方履行本合同出具的《不动产估价报告书》的使用者为：甲方及法律法规规定的使用者。</w:t>
      </w:r>
      <w:r>
        <w:rPr>
          <w:rFonts w:ascii="宋体" w:hAnsi="宋体" w:cs="宋体"/>
          <w:sz w:val="24"/>
          <w:szCs w:val="24"/>
        </w:rPr>
        <w:t xml:space="preserve"> </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《不动产估价报告书》仅供甲方及法律法规规定的使用者按本合同约定的估价目的使用，乙方对上述报告使用者不当使用《不动产估价报告书》所造成的后果不承担责任。</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如无法律法规规定，甲方未征得乙方事先书面同意，不得摘抄、引用或者披露《不动产估价报告书》的内容于任何公开媒体之上。</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如无法律法规规定，乙方未经甲方事先书面，不得将《不动产估价报告书》的内容向第三方提供或者公开。</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十、违约责任</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（二）发生下列情形的，甲乙双方承担各自责任：</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甲方如未按上述条款规定的日期向乙方提供具备真实性、完整性和合法性要求的估价所必需资料，甲方应承担相应的法律责任，乙方可按甲方耽误的时间顺延《不动产估价报告书》的交付时间。</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甲方单方终止本合同，如乙方工作已经过半，甲方应向乙方支付全部估价服务费；乙方工作尚未过半，甲方应向乙方支付全部估价服务费的</w:t>
      </w:r>
      <w:r>
        <w:rPr>
          <w:rFonts w:ascii="宋体" w:hAnsi="宋体" w:cs="宋体"/>
          <w:sz w:val="24"/>
          <w:szCs w:val="24"/>
        </w:rPr>
        <w:t>50%</w:t>
      </w:r>
      <w:r>
        <w:rPr>
          <w:rFonts w:hint="eastAsia" w:ascii="宋体" w:hAnsi="宋体" w:cs="宋体"/>
          <w:sz w:val="24"/>
          <w:szCs w:val="24"/>
        </w:rPr>
        <w:t>，或定金不予退还，上述两者之中取其高者。</w:t>
      </w:r>
    </w:p>
    <w:p>
      <w:p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3.甲方如未按上述条款规定的时间向乙方支付估价服务费，以甲方应付款项为基数，从逾期之日起，每逾期一日，甲方向乙方支付应付款项的万分之六作为违约金。</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4.乙方如无正当理由，逾期交付《不动产估价报告书》，每逾期一日，乙方向甲方支付估价服务费的万分之六作为违约金。</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十一、保密条款</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sz w:val="24"/>
          <w:szCs w:val="24"/>
        </w:rPr>
        <w:t>本合同内容以及合同履行过程中的任何信息，甲乙双方及双方参与的人员应严格保密；未经对方书面同意，不得向任何第三方透露，法律法规要求披露的除外。</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十二、合同的变更、中止、解除</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本合同履行过程中，如发生《中华人民共和国民法典》、《中华人民共和国资产评估法》中允许变更或解除合同的情况，双方应依法或依约定变更或解除合同。</w:t>
      </w:r>
    </w:p>
    <w:p>
      <w:pPr>
        <w:pStyle w:val="3"/>
        <w:snapToGrid w:val="0"/>
        <w:spacing w:before="62" w:beforeLines="20" w:after="62" w:afterLines="20"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Pr>
          <w:rFonts w:ascii="宋体" w:hAnsi="宋体" w:eastAsia="宋体" w:cs="宋体"/>
          <w:sz w:val="24"/>
          <w:szCs w:val="24"/>
        </w:rPr>
        <w:t xml:space="preserve">   </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本合同签订后，估价目的、估价对象、价值时点发生变化，或者估价范围发生重大变化，甲、乙双方应签订补充合同或者重新签订合同。</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当估价程序所受限制对与估价目的相对应的估价结论构成重大影响时，乙方可以中止履行合同；相关限制无法排除时，乙方可以解除合同。</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合同解除后，乙方根据已完成的工作量与甲方协商确定应收取或者退回的评估服务费。</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十三、争议的解决</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凡因本合同或与本合同有关的一切争议，甲、乙双方应友好协商解决；协商不成的，任何一方均有权向</w:t>
      </w:r>
      <w:r>
        <w:rPr>
          <w:rFonts w:hint="eastAsia" w:ascii="宋体" w:hAnsi="宋体" w:eastAsia="宋体" w:cs="宋体"/>
          <w:sz w:val="24"/>
          <w:szCs w:val="24"/>
          <w:lang w:val="en-US" w:eastAsia="zh-CN"/>
        </w:rPr>
        <w:t>甲方</w:t>
      </w:r>
      <w:r>
        <w:rPr>
          <w:rFonts w:hint="eastAsia" w:ascii="宋体" w:hAnsi="宋体" w:eastAsia="宋体" w:cs="宋体"/>
          <w:sz w:val="24"/>
          <w:szCs w:val="24"/>
        </w:rPr>
        <w:t>住所地人民法院提起诉讼。</w:t>
      </w:r>
    </w:p>
    <w:p>
      <w:pPr>
        <w:tabs>
          <w:tab w:val="left" w:pos="720"/>
          <w:tab w:val="left" w:pos="5595"/>
        </w:tabs>
        <w:spacing w:before="62" w:beforeLines="20" w:after="62" w:afterLines="20" w:line="400" w:lineRule="exact"/>
        <w:ind w:firstLine="482" w:firstLineChars="200"/>
        <w:rPr>
          <w:rFonts w:ascii="宋体"/>
          <w:b/>
          <w:bCs/>
          <w:sz w:val="24"/>
          <w:szCs w:val="24"/>
        </w:rPr>
      </w:pPr>
    </w:p>
    <w:p>
      <w:pPr>
        <w:tabs>
          <w:tab w:val="left" w:pos="720"/>
          <w:tab w:val="left" w:pos="5595"/>
        </w:tabs>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十四、合同有效期限</w:t>
      </w:r>
      <w:r>
        <w:rPr>
          <w:rFonts w:ascii="宋体"/>
          <w:b/>
          <w:bCs/>
          <w:sz w:val="24"/>
          <w:szCs w:val="24"/>
        </w:rPr>
        <w:tab/>
      </w:r>
    </w:p>
    <w:p>
      <w:pPr>
        <w:tabs>
          <w:tab w:val="left" w:pos="720"/>
        </w:tabs>
        <w:spacing w:before="62" w:beforeLines="20" w:after="62" w:afterLines="20" w:line="400" w:lineRule="exact"/>
        <w:ind w:firstLine="480" w:firstLineChars="200"/>
        <w:rPr>
          <w:rFonts w:ascii="宋体"/>
          <w:sz w:val="24"/>
          <w:szCs w:val="24"/>
        </w:rPr>
      </w:pPr>
      <w:r>
        <w:rPr>
          <w:rFonts w:hint="eastAsia" w:ascii="宋体" w:hAnsi="宋体" w:cs="宋体"/>
          <w:sz w:val="24"/>
          <w:szCs w:val="24"/>
        </w:rPr>
        <w:t>本合同经甲、乙双方签章后生效，约定事项全部完成后终止。</w:t>
      </w:r>
    </w:p>
    <w:p>
      <w:pPr>
        <w:tabs>
          <w:tab w:val="left" w:pos="720"/>
        </w:tabs>
        <w:spacing w:before="62" w:beforeLines="20" w:after="62" w:afterLines="20" w:line="400" w:lineRule="exact"/>
        <w:ind w:firstLine="482" w:firstLineChars="200"/>
        <w:rPr>
          <w:rFonts w:ascii="宋体"/>
          <w:b/>
          <w:bCs/>
          <w:sz w:val="24"/>
          <w:szCs w:val="24"/>
        </w:rPr>
      </w:pPr>
    </w:p>
    <w:p>
      <w:pPr>
        <w:tabs>
          <w:tab w:val="left" w:pos="720"/>
        </w:tabs>
        <w:spacing w:before="62" w:beforeLines="20" w:after="62" w:afterLines="20" w:line="400" w:lineRule="exact"/>
        <w:ind w:firstLine="482" w:firstLineChars="200"/>
        <w:rPr>
          <w:rFonts w:ascii="宋体"/>
          <w:sz w:val="24"/>
          <w:szCs w:val="24"/>
          <w:u w:val="single"/>
        </w:rPr>
      </w:pPr>
      <w:r>
        <w:rPr>
          <w:rFonts w:hint="eastAsia" w:ascii="宋体" w:hAnsi="宋体" w:cs="宋体"/>
          <w:b/>
          <w:bCs/>
          <w:sz w:val="24"/>
          <w:szCs w:val="24"/>
        </w:rPr>
        <w:t>十五、对其他有关事项的约定</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本合同一式</w:t>
      </w:r>
      <w:r>
        <w:rPr>
          <w:rFonts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肆</w:t>
      </w:r>
      <w:r>
        <w:rPr>
          <w:rFonts w:hint="eastAsia" w:ascii="宋体" w:hAnsi="宋体" w:cs="宋体"/>
          <w:sz w:val="24"/>
          <w:szCs w:val="24"/>
          <w:u w:val="single"/>
          <w:lang w:val="en-US" w:eastAsia="zh-CN"/>
        </w:rPr>
        <w:t xml:space="preserve"> </w:t>
      </w:r>
      <w:r>
        <w:rPr>
          <w:rFonts w:ascii="宋体" w:hAnsi="宋体" w:cs="宋体"/>
          <w:sz w:val="24"/>
          <w:szCs w:val="24"/>
          <w:u w:val="single"/>
        </w:rPr>
        <w:t xml:space="preserve"> </w:t>
      </w:r>
      <w:r>
        <w:rPr>
          <w:rFonts w:hint="eastAsia" w:ascii="宋体" w:hAnsi="宋体" w:cs="宋体"/>
          <w:sz w:val="24"/>
          <w:szCs w:val="24"/>
        </w:rPr>
        <w:t>份，甲方持</w:t>
      </w:r>
      <w:r>
        <w:rPr>
          <w:rFonts w:ascii="宋体" w:hAnsi="宋体" w:cs="宋体"/>
          <w:sz w:val="24"/>
          <w:szCs w:val="24"/>
          <w:u w:val="single"/>
        </w:rPr>
        <w:t xml:space="preserve">  </w:t>
      </w:r>
      <w:r>
        <w:rPr>
          <w:rFonts w:hint="eastAsia" w:ascii="宋体" w:hAnsi="宋体" w:cs="宋体"/>
          <w:sz w:val="24"/>
          <w:szCs w:val="24"/>
          <w:u w:val="single"/>
          <w:lang w:eastAsia="zh-CN"/>
        </w:rPr>
        <w:t>贰</w:t>
      </w:r>
      <w:r>
        <w:rPr>
          <w:rFonts w:ascii="宋体" w:hAnsi="宋体" w:cs="宋体"/>
          <w:sz w:val="24"/>
          <w:szCs w:val="24"/>
          <w:u w:val="single"/>
        </w:rPr>
        <w:t xml:space="preserve">  </w:t>
      </w:r>
      <w:r>
        <w:rPr>
          <w:rFonts w:hint="eastAsia" w:ascii="宋体" w:hAnsi="宋体" w:cs="宋体"/>
          <w:sz w:val="24"/>
          <w:szCs w:val="24"/>
        </w:rPr>
        <w:t>份，乙方持</w:t>
      </w:r>
      <w:r>
        <w:rPr>
          <w:rFonts w:ascii="宋体" w:hAnsi="宋体" w:cs="宋体"/>
          <w:sz w:val="24"/>
          <w:szCs w:val="24"/>
          <w:u w:val="single"/>
        </w:rPr>
        <w:t xml:space="preserve">  </w:t>
      </w:r>
      <w:r>
        <w:rPr>
          <w:rFonts w:hint="eastAsia" w:ascii="宋体" w:hAnsi="宋体" w:cs="宋体"/>
          <w:sz w:val="24"/>
          <w:szCs w:val="24"/>
          <w:u w:val="single"/>
        </w:rPr>
        <w:t>贰</w:t>
      </w:r>
      <w:r>
        <w:rPr>
          <w:rFonts w:ascii="宋体" w:hAnsi="宋体" w:cs="宋体"/>
          <w:sz w:val="24"/>
          <w:szCs w:val="24"/>
          <w:u w:val="single"/>
        </w:rPr>
        <w:t xml:space="preserve">  </w:t>
      </w:r>
      <w:r>
        <w:rPr>
          <w:rFonts w:hint="eastAsia" w:ascii="宋体" w:hAnsi="宋体" w:cs="宋体"/>
          <w:sz w:val="24"/>
          <w:szCs w:val="24"/>
        </w:rPr>
        <w:t>份。</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未尽事宜，由甲乙双方协商解决。可增订补充合同，补充合同与前所述条款发生冲突时，以补充合同为准。</w:t>
      </w:r>
    </w:p>
    <w:p>
      <w:pPr>
        <w:tabs>
          <w:tab w:val="left" w:pos="720"/>
        </w:tabs>
        <w:spacing w:before="62" w:beforeLines="20" w:after="62" w:afterLines="20" w:line="360" w:lineRule="auto"/>
        <w:ind w:right="0"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3.本合同履行过程中甲乙双方相互发送的函件、通知等及由人民法院、仲裁机构向一方发送的开庭传票、诉讼文书、仲裁文书等法律文书，应按照本合同签署栏所载地址进行送达。任何一方变更前述通讯信息均应及时书面通知另一方，否则另一方仍有权视本合同通讯信息为有效，由此引发的法律后果由变更方承担。</w:t>
      </w:r>
    </w:p>
    <w:p>
      <w:pPr>
        <w:tabs>
          <w:tab w:val="left" w:pos="720"/>
        </w:tabs>
        <w:spacing w:before="62" w:beforeLines="20" w:after="62" w:afterLines="20" w:line="360" w:lineRule="auto"/>
        <w:ind w:right="0"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4.甲乙双方均应主动配合接受结果查究。</w:t>
      </w:r>
    </w:p>
    <w:p>
      <w:pPr>
        <w:ind w:right="105" w:firstLine="496"/>
        <w:rPr>
          <w:sz w:val="24"/>
          <w:szCs w:val="24"/>
        </w:rPr>
      </w:pPr>
      <w:bookmarkStart w:id="0" w:name="_GoBack"/>
      <w:bookmarkEnd w:id="0"/>
    </w:p>
    <w:p>
      <w:pPr>
        <w:ind w:right="105" w:firstLine="496"/>
        <w:rPr>
          <w:sz w:val="24"/>
          <w:szCs w:val="24"/>
        </w:rPr>
      </w:pPr>
    </w:p>
    <w:p>
      <w:pPr>
        <w:spacing w:line="480" w:lineRule="auto"/>
        <w:ind w:right="108" w:firstLine="493"/>
        <w:rPr>
          <w:sz w:val="24"/>
          <w:szCs w:val="24"/>
        </w:rPr>
      </w:pPr>
      <w:r>
        <w:rPr>
          <w:rFonts w:hint="eastAsia" w:cs="宋体"/>
          <w:sz w:val="24"/>
          <w:szCs w:val="24"/>
        </w:rPr>
        <w:t>甲方</w:t>
      </w:r>
      <w:r>
        <w:rPr>
          <w:sz w:val="24"/>
          <w:szCs w:val="24"/>
        </w:rPr>
        <w:t>(</w:t>
      </w:r>
      <w:r>
        <w:rPr>
          <w:rFonts w:hint="eastAsia" w:cs="宋体"/>
          <w:sz w:val="24"/>
          <w:szCs w:val="24"/>
        </w:rPr>
        <w:t>盖章</w:t>
      </w:r>
      <w:r>
        <w:rPr>
          <w:sz w:val="24"/>
          <w:szCs w:val="24"/>
        </w:rPr>
        <w:t xml:space="preserve">) </w:t>
      </w:r>
      <w:r>
        <w:rPr>
          <w:rFonts w:hint="eastAsia" w:cs="宋体"/>
          <w:sz w:val="24"/>
          <w:szCs w:val="24"/>
        </w:rPr>
        <w:t>：</w:t>
      </w:r>
      <w:r>
        <w:rPr>
          <w:sz w:val="24"/>
          <w:szCs w:val="24"/>
        </w:rPr>
        <w:t xml:space="preserve">                     </w:t>
      </w:r>
    </w:p>
    <w:p>
      <w:pPr>
        <w:spacing w:line="480" w:lineRule="auto"/>
        <w:ind w:right="108" w:firstLine="493"/>
        <w:rPr>
          <w:sz w:val="24"/>
          <w:szCs w:val="24"/>
        </w:rPr>
      </w:pPr>
      <w:r>
        <w:rPr>
          <w:rFonts w:hint="eastAsia" w:cs="宋体"/>
          <w:sz w:val="24"/>
          <w:szCs w:val="24"/>
        </w:rPr>
        <w:t>法定代表人或授权代理人</w:t>
      </w:r>
      <w:r>
        <w:rPr>
          <w:sz w:val="24"/>
          <w:szCs w:val="24"/>
        </w:rPr>
        <w:t>(</w:t>
      </w:r>
      <w:r>
        <w:rPr>
          <w:rFonts w:hint="eastAsia" w:cs="宋体"/>
          <w:sz w:val="24"/>
          <w:szCs w:val="24"/>
        </w:rPr>
        <w:t>签字</w:t>
      </w:r>
      <w:r>
        <w:rPr>
          <w:sz w:val="24"/>
          <w:szCs w:val="24"/>
        </w:rPr>
        <w:t xml:space="preserve">) </w:t>
      </w:r>
      <w:r>
        <w:rPr>
          <w:rFonts w:hint="eastAsia" w:cs="宋体"/>
          <w:sz w:val="24"/>
          <w:szCs w:val="24"/>
        </w:rPr>
        <w:t>：</w:t>
      </w:r>
      <w:r>
        <w:rPr>
          <w:sz w:val="24"/>
          <w:szCs w:val="24"/>
        </w:rPr>
        <w:t xml:space="preserve">   </w:t>
      </w:r>
    </w:p>
    <w:p>
      <w:pPr>
        <w:spacing w:line="480" w:lineRule="auto"/>
        <w:ind w:right="108" w:firstLine="493"/>
        <w:rPr>
          <w:sz w:val="24"/>
          <w:szCs w:val="24"/>
        </w:rPr>
      </w:pPr>
      <w:r>
        <w:rPr>
          <w:rFonts w:hint="eastAsia" w:cs="宋体"/>
          <w:sz w:val="24"/>
          <w:szCs w:val="24"/>
        </w:rPr>
        <w:t>联系地址：</w:t>
      </w:r>
      <w:r>
        <w:rPr>
          <w:sz w:val="24"/>
          <w:szCs w:val="24"/>
        </w:rPr>
        <w:t xml:space="preserve">                      </w:t>
      </w:r>
    </w:p>
    <w:p>
      <w:pPr>
        <w:spacing w:line="480" w:lineRule="auto"/>
        <w:ind w:right="108" w:firstLine="493"/>
        <w:rPr>
          <w:sz w:val="24"/>
          <w:szCs w:val="24"/>
        </w:rPr>
      </w:pPr>
      <w:r>
        <w:rPr>
          <w:rFonts w:hint="eastAsia" w:cs="宋体"/>
          <w:sz w:val="24"/>
          <w:szCs w:val="24"/>
        </w:rPr>
        <w:t>电话：</w:t>
      </w:r>
      <w:r>
        <w:rPr>
          <w:sz w:val="24"/>
          <w:szCs w:val="24"/>
        </w:rPr>
        <w:t xml:space="preserve">                          </w:t>
      </w:r>
    </w:p>
    <w:p>
      <w:pPr>
        <w:spacing w:line="480" w:lineRule="auto"/>
        <w:ind w:right="108" w:firstLine="493"/>
        <w:rPr>
          <w:sz w:val="24"/>
          <w:szCs w:val="24"/>
        </w:rPr>
      </w:pPr>
      <w:r>
        <w:rPr>
          <w:sz w:val="24"/>
          <w:szCs w:val="24"/>
        </w:rPr>
        <w:t xml:space="preserve">       </w:t>
      </w:r>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r>
        <w:rPr>
          <w:rFonts w:hint="eastAsia" w:cs="宋体"/>
          <w:sz w:val="24"/>
          <w:szCs w:val="24"/>
        </w:rPr>
        <w:t>日</w:t>
      </w:r>
      <w:r>
        <w:rPr>
          <w:sz w:val="24"/>
          <w:szCs w:val="24"/>
        </w:rPr>
        <w:t xml:space="preserve">   </w:t>
      </w:r>
    </w:p>
    <w:p>
      <w:pPr>
        <w:spacing w:line="480" w:lineRule="auto"/>
        <w:ind w:right="108" w:firstLine="493"/>
        <w:rPr>
          <w:sz w:val="24"/>
          <w:szCs w:val="24"/>
        </w:rPr>
      </w:pPr>
    </w:p>
    <w:p>
      <w:pPr>
        <w:spacing w:line="480" w:lineRule="auto"/>
        <w:ind w:right="108" w:firstLine="493"/>
        <w:rPr>
          <w:sz w:val="24"/>
          <w:szCs w:val="24"/>
        </w:rPr>
      </w:pPr>
      <w:r>
        <w:rPr>
          <w:rFonts w:hint="eastAsia" w:cs="宋体"/>
          <w:sz w:val="24"/>
          <w:szCs w:val="24"/>
        </w:rPr>
        <w:t>乙方</w:t>
      </w:r>
      <w:r>
        <w:rPr>
          <w:sz w:val="24"/>
          <w:szCs w:val="24"/>
        </w:rPr>
        <w:t>(</w:t>
      </w:r>
      <w:r>
        <w:rPr>
          <w:rFonts w:hint="eastAsia" w:cs="宋体"/>
          <w:sz w:val="24"/>
          <w:szCs w:val="24"/>
        </w:rPr>
        <w:t>盖章</w:t>
      </w:r>
      <w:r>
        <w:rPr>
          <w:sz w:val="24"/>
          <w:szCs w:val="24"/>
        </w:rPr>
        <w:t xml:space="preserve">) </w:t>
      </w:r>
      <w:r>
        <w:rPr>
          <w:rFonts w:hint="eastAsia" w:cs="宋体"/>
          <w:sz w:val="24"/>
          <w:szCs w:val="24"/>
        </w:rPr>
        <w:t>：</w:t>
      </w:r>
    </w:p>
    <w:p>
      <w:pPr>
        <w:spacing w:line="480" w:lineRule="auto"/>
        <w:ind w:right="108" w:firstLine="493"/>
        <w:rPr>
          <w:sz w:val="24"/>
          <w:szCs w:val="24"/>
        </w:rPr>
      </w:pPr>
      <w:r>
        <w:rPr>
          <w:rFonts w:hint="eastAsia" w:cs="宋体"/>
          <w:sz w:val="24"/>
          <w:szCs w:val="24"/>
        </w:rPr>
        <w:t>法定代表人或授权代理人</w:t>
      </w:r>
      <w:r>
        <w:rPr>
          <w:sz w:val="24"/>
          <w:szCs w:val="24"/>
        </w:rPr>
        <w:t>(</w:t>
      </w:r>
      <w:r>
        <w:rPr>
          <w:rFonts w:hint="eastAsia" w:cs="宋体"/>
          <w:sz w:val="24"/>
          <w:szCs w:val="24"/>
        </w:rPr>
        <w:t>签字</w:t>
      </w:r>
      <w:r>
        <w:rPr>
          <w:sz w:val="24"/>
          <w:szCs w:val="24"/>
        </w:rPr>
        <w:t xml:space="preserve">) </w:t>
      </w:r>
      <w:r>
        <w:rPr>
          <w:rFonts w:hint="eastAsia" w:cs="宋体"/>
          <w:sz w:val="24"/>
          <w:szCs w:val="24"/>
        </w:rPr>
        <w:t>：</w:t>
      </w:r>
    </w:p>
    <w:p>
      <w:pPr>
        <w:spacing w:line="480" w:lineRule="auto"/>
        <w:ind w:right="108" w:firstLine="493"/>
        <w:rPr>
          <w:sz w:val="24"/>
          <w:szCs w:val="24"/>
        </w:rPr>
      </w:pPr>
      <w:r>
        <w:rPr>
          <w:rFonts w:hint="eastAsia" w:cs="宋体"/>
          <w:sz w:val="24"/>
          <w:szCs w:val="24"/>
        </w:rPr>
        <w:t>联系地址：</w:t>
      </w:r>
    </w:p>
    <w:p>
      <w:pPr>
        <w:spacing w:line="480" w:lineRule="auto"/>
        <w:ind w:right="108" w:firstLine="493"/>
        <w:rPr>
          <w:sz w:val="24"/>
          <w:szCs w:val="24"/>
        </w:rPr>
      </w:pPr>
      <w:r>
        <w:rPr>
          <w:rFonts w:hint="eastAsia" w:cs="宋体"/>
          <w:sz w:val="24"/>
          <w:szCs w:val="24"/>
        </w:rPr>
        <w:t>电话：</w:t>
      </w:r>
    </w:p>
    <w:p>
      <w:pPr>
        <w:spacing w:line="480" w:lineRule="auto"/>
        <w:ind w:right="108" w:firstLine="493"/>
        <w:rPr>
          <w:sz w:val="24"/>
          <w:szCs w:val="24"/>
        </w:rPr>
      </w:pPr>
      <w:r>
        <w:rPr>
          <w:sz w:val="24"/>
          <w:szCs w:val="24"/>
        </w:rPr>
        <w:t xml:space="preserve">       </w:t>
      </w:r>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r>
        <w:rPr>
          <w:rFonts w:hint="eastAsia" w:cs="宋体"/>
          <w:sz w:val="24"/>
          <w:szCs w:val="24"/>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lang w:val="zh-CN"/>
      </w:rPr>
      <w:t xml:space="preserve"> </w:t>
    </w:r>
    <w:r>
      <w:rPr>
        <w:b/>
        <w:bCs/>
      </w:rPr>
      <w:fldChar w:fldCharType="begin"/>
    </w:r>
    <w:r>
      <w:rPr>
        <w:b/>
        <w:bCs/>
      </w:rPr>
      <w:instrText xml:space="preserve">PAGE</w:instrText>
    </w:r>
    <w:r>
      <w:rPr>
        <w:b/>
        <w:bCs/>
      </w:rPr>
      <w:fldChar w:fldCharType="separate"/>
    </w:r>
    <w:r>
      <w:rPr>
        <w:b/>
        <w:bCs/>
      </w:rPr>
      <w:t>5</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5</w:t>
    </w:r>
    <w:r>
      <w:rPr>
        <w:b/>
        <w:bCs/>
      </w:rP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trackRevisions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9219B"/>
    <w:rsid w:val="00095788"/>
    <w:rsid w:val="000A1092"/>
    <w:rsid w:val="00116144"/>
    <w:rsid w:val="0013379B"/>
    <w:rsid w:val="001338A6"/>
    <w:rsid w:val="001570D8"/>
    <w:rsid w:val="001E3BE6"/>
    <w:rsid w:val="001E3C50"/>
    <w:rsid w:val="001F06B8"/>
    <w:rsid w:val="002C32D3"/>
    <w:rsid w:val="002E52E4"/>
    <w:rsid w:val="003C4C14"/>
    <w:rsid w:val="003F2A53"/>
    <w:rsid w:val="00427355"/>
    <w:rsid w:val="00447328"/>
    <w:rsid w:val="00463A0A"/>
    <w:rsid w:val="004839FA"/>
    <w:rsid w:val="004E5FFC"/>
    <w:rsid w:val="00524EC5"/>
    <w:rsid w:val="00534F27"/>
    <w:rsid w:val="00543A6A"/>
    <w:rsid w:val="005500BE"/>
    <w:rsid w:val="0057646B"/>
    <w:rsid w:val="00594DD6"/>
    <w:rsid w:val="005A0132"/>
    <w:rsid w:val="005B6011"/>
    <w:rsid w:val="005E2C87"/>
    <w:rsid w:val="006926F5"/>
    <w:rsid w:val="006E2711"/>
    <w:rsid w:val="006F47DA"/>
    <w:rsid w:val="007A2139"/>
    <w:rsid w:val="007D0891"/>
    <w:rsid w:val="007D2EC2"/>
    <w:rsid w:val="00834F20"/>
    <w:rsid w:val="008B00A9"/>
    <w:rsid w:val="008D4FDE"/>
    <w:rsid w:val="008E11D1"/>
    <w:rsid w:val="009117F5"/>
    <w:rsid w:val="009C071D"/>
    <w:rsid w:val="00A22AF2"/>
    <w:rsid w:val="00A500BC"/>
    <w:rsid w:val="00A70DF1"/>
    <w:rsid w:val="00A7312D"/>
    <w:rsid w:val="00B21F76"/>
    <w:rsid w:val="00B656EF"/>
    <w:rsid w:val="00B7192D"/>
    <w:rsid w:val="00C21946"/>
    <w:rsid w:val="00C30D76"/>
    <w:rsid w:val="00C84E2D"/>
    <w:rsid w:val="00CB09B2"/>
    <w:rsid w:val="00D818CD"/>
    <w:rsid w:val="00E3211C"/>
    <w:rsid w:val="00EB48DF"/>
    <w:rsid w:val="00F3596D"/>
    <w:rsid w:val="00FC4782"/>
    <w:rsid w:val="00FD0271"/>
    <w:rsid w:val="00FE49CB"/>
    <w:rsid w:val="00FF584C"/>
    <w:rsid w:val="01631C94"/>
    <w:rsid w:val="571051A3"/>
    <w:rsid w:val="62AA4EF9"/>
    <w:rsid w:val="65046B0A"/>
    <w:rsid w:val="6B42646B"/>
    <w:rsid w:val="73F877DC"/>
    <w:rsid w:val="79D81CD3"/>
    <w:rsid w:val="7E7A3EE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name="toc 1"/>
    <w:lsdException w:unhideWhenUsed="0" w:uiPriority="99" w:name="toc 2"/>
    <w:lsdException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7"/>
    <w:qFormat/>
    <w:uiPriority w:val="99"/>
    <w:pPr>
      <w:keepNext/>
      <w:keepLines/>
      <w:widowControl/>
      <w:spacing w:before="340" w:after="330" w:line="578" w:lineRule="auto"/>
      <w:ind w:right="50" w:rightChars="50" w:firstLine="236" w:firstLineChars="236"/>
      <w:outlineLvl w:val="0"/>
    </w:pPr>
    <w:rPr>
      <w:rFonts w:ascii="Calibri" w:hAnsi="Calibri" w:cs="Calibri"/>
      <w:b/>
      <w:bCs/>
      <w:kern w:val="44"/>
      <w:sz w:val="44"/>
      <w:szCs w:val="4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semiHidden/>
    <w:qFormat/>
    <w:uiPriority w:val="99"/>
    <w:pPr>
      <w:jc w:val="left"/>
    </w:pPr>
    <w:rPr>
      <w:rFonts w:eastAsia="仿宋_GB2312"/>
      <w:sz w:val="30"/>
      <w:szCs w:val="30"/>
    </w:rPr>
  </w:style>
  <w:style w:type="paragraph" w:styleId="4">
    <w:name w:val="Body Text"/>
    <w:basedOn w:val="1"/>
    <w:link w:val="21"/>
    <w:uiPriority w:val="99"/>
    <w:pPr>
      <w:spacing w:before="120" w:after="120" w:line="400" w:lineRule="exact"/>
    </w:pPr>
    <w:rPr>
      <w:rFonts w:eastAsia="仿宋_GB2312"/>
      <w:sz w:val="24"/>
      <w:szCs w:val="24"/>
    </w:rPr>
  </w:style>
  <w:style w:type="paragraph" w:styleId="5">
    <w:name w:val="Body Text Indent"/>
    <w:basedOn w:val="1"/>
    <w:link w:val="20"/>
    <w:qFormat/>
    <w:uiPriority w:val="99"/>
    <w:pPr>
      <w:tabs>
        <w:tab w:val="left" w:pos="720"/>
      </w:tabs>
      <w:spacing w:before="120" w:after="120" w:line="400" w:lineRule="exact"/>
      <w:ind w:left="360"/>
    </w:pPr>
    <w:rPr>
      <w:rFonts w:eastAsia="仿宋_GB2312"/>
      <w:sz w:val="24"/>
      <w:szCs w:val="24"/>
    </w:rPr>
  </w:style>
  <w:style w:type="paragraph" w:styleId="6">
    <w:name w:val="toc 3"/>
    <w:basedOn w:val="1"/>
    <w:next w:val="1"/>
    <w:semiHidden/>
    <w:uiPriority w:val="99"/>
    <w:pPr>
      <w:widowControl/>
      <w:spacing w:after="100" w:line="276" w:lineRule="auto"/>
      <w:ind w:left="440"/>
      <w:jc w:val="left"/>
    </w:pPr>
    <w:rPr>
      <w:rFonts w:ascii="Calibri" w:hAnsi="Calibri" w:cs="Calibri"/>
      <w:kern w:val="0"/>
      <w:sz w:val="22"/>
      <w:szCs w:val="22"/>
    </w:rPr>
  </w:style>
  <w:style w:type="paragraph" w:styleId="7">
    <w:name w:val="Balloon Text"/>
    <w:basedOn w:val="1"/>
    <w:link w:val="27"/>
    <w:semiHidden/>
    <w:unhideWhenUsed/>
    <w:uiPriority w:val="99"/>
    <w:rPr>
      <w:sz w:val="18"/>
      <w:szCs w:val="18"/>
    </w:rPr>
  </w:style>
  <w:style w:type="paragraph" w:styleId="8">
    <w:name w:val="footer"/>
    <w:basedOn w:val="1"/>
    <w:link w:val="25"/>
    <w:uiPriority w:val="99"/>
    <w:pPr>
      <w:tabs>
        <w:tab w:val="center" w:pos="4153"/>
        <w:tab w:val="right" w:pos="8306"/>
      </w:tabs>
      <w:snapToGrid w:val="0"/>
      <w:jc w:val="left"/>
    </w:pPr>
    <w:rPr>
      <w:sz w:val="18"/>
      <w:szCs w:val="18"/>
    </w:rPr>
  </w:style>
  <w:style w:type="paragraph" w:styleId="9">
    <w:name w:val="header"/>
    <w:basedOn w:val="1"/>
    <w:link w:val="24"/>
    <w:semiHidden/>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iPriority w:val="99"/>
    <w:pPr>
      <w:widowControl/>
      <w:spacing w:after="100" w:line="276" w:lineRule="auto"/>
      <w:jc w:val="left"/>
    </w:pPr>
    <w:rPr>
      <w:rFonts w:ascii="Calibri" w:hAnsi="Calibri" w:cs="Calibri"/>
      <w:kern w:val="0"/>
      <w:sz w:val="22"/>
      <w:szCs w:val="22"/>
    </w:rPr>
  </w:style>
  <w:style w:type="paragraph" w:styleId="11">
    <w:name w:val="toc 2"/>
    <w:basedOn w:val="1"/>
    <w:next w:val="1"/>
    <w:semiHidden/>
    <w:uiPriority w:val="99"/>
    <w:pPr>
      <w:widowControl/>
      <w:spacing w:after="100" w:line="276" w:lineRule="auto"/>
      <w:ind w:left="220"/>
      <w:jc w:val="left"/>
    </w:pPr>
    <w:rPr>
      <w:rFonts w:ascii="Calibri" w:hAnsi="Calibri" w:cs="Calibri"/>
      <w:kern w:val="0"/>
      <w:sz w:val="22"/>
      <w:szCs w:val="22"/>
    </w:rPr>
  </w:style>
  <w:style w:type="paragraph" w:styleId="12">
    <w:name w:val="Body Text 2"/>
    <w:basedOn w:val="1"/>
    <w:link w:val="22"/>
    <w:uiPriority w:val="99"/>
    <w:pPr>
      <w:spacing w:before="120" w:after="120" w:line="400" w:lineRule="exact"/>
    </w:pPr>
    <w:rPr>
      <w:rFonts w:ascii="宋体" w:hAnsi="宋体" w:cs="宋体"/>
      <w:b/>
      <w:bCs/>
      <w:sz w:val="24"/>
      <w:szCs w:val="24"/>
    </w:rPr>
  </w:style>
  <w:style w:type="paragraph" w:styleId="13">
    <w:name w:val="annotation subject"/>
    <w:basedOn w:val="3"/>
    <w:next w:val="3"/>
    <w:link w:val="26"/>
    <w:semiHidden/>
    <w:unhideWhenUsed/>
    <w:uiPriority w:val="99"/>
    <w:rPr>
      <w:rFonts w:eastAsia="宋体"/>
      <w:b/>
      <w:bCs/>
      <w:sz w:val="21"/>
      <w:szCs w:val="21"/>
    </w:rPr>
  </w:style>
  <w:style w:type="character" w:styleId="16">
    <w:name w:val="annotation reference"/>
    <w:semiHidden/>
    <w:unhideWhenUsed/>
    <w:uiPriority w:val="99"/>
    <w:rPr>
      <w:sz w:val="21"/>
      <w:szCs w:val="21"/>
    </w:rPr>
  </w:style>
  <w:style w:type="character" w:customStyle="1" w:styleId="17">
    <w:name w:val="标题 1 Char"/>
    <w:link w:val="2"/>
    <w:locked/>
    <w:uiPriority w:val="99"/>
    <w:rPr>
      <w:b/>
      <w:bCs/>
      <w:kern w:val="44"/>
      <w:sz w:val="44"/>
      <w:szCs w:val="44"/>
    </w:rPr>
  </w:style>
  <w:style w:type="paragraph" w:styleId="18">
    <w:name w:val="List Paragraph"/>
    <w:basedOn w:val="1"/>
    <w:qFormat/>
    <w:uiPriority w:val="99"/>
    <w:pPr>
      <w:widowControl/>
      <w:ind w:right="50" w:rightChars="50" w:firstLine="420" w:firstLineChars="200"/>
    </w:pPr>
    <w:rPr>
      <w:rFonts w:ascii="Calibri" w:hAnsi="Calibri" w:cs="Calibri"/>
    </w:rPr>
  </w:style>
  <w:style w:type="paragraph" w:customStyle="1" w:styleId="19">
    <w:name w:val="TOC Heading"/>
    <w:basedOn w:val="2"/>
    <w:next w:val="1"/>
    <w:qFormat/>
    <w:uiPriority w:val="99"/>
    <w:pPr>
      <w:spacing w:before="480" w:after="0" w:line="276" w:lineRule="auto"/>
      <w:ind w:right="0" w:rightChars="0" w:firstLine="0" w:firstLineChars="0"/>
      <w:jc w:val="left"/>
      <w:outlineLvl w:val="9"/>
    </w:pPr>
    <w:rPr>
      <w:rFonts w:ascii="Cambria" w:hAnsi="Cambria" w:cs="Cambria"/>
      <w:color w:val="365F91"/>
      <w:kern w:val="0"/>
      <w:sz w:val="28"/>
      <w:szCs w:val="28"/>
    </w:rPr>
  </w:style>
  <w:style w:type="character" w:customStyle="1" w:styleId="20">
    <w:name w:val="正文文本缩进 Char"/>
    <w:link w:val="5"/>
    <w:locked/>
    <w:uiPriority w:val="99"/>
    <w:rPr>
      <w:rFonts w:ascii="Times New Roman" w:hAnsi="Times New Roman" w:eastAsia="仿宋_GB2312" w:cs="Times New Roman"/>
      <w:sz w:val="20"/>
      <w:szCs w:val="20"/>
    </w:rPr>
  </w:style>
  <w:style w:type="character" w:customStyle="1" w:styleId="21">
    <w:name w:val="正文文本 Char"/>
    <w:link w:val="4"/>
    <w:locked/>
    <w:uiPriority w:val="99"/>
    <w:rPr>
      <w:rFonts w:ascii="Times New Roman" w:hAnsi="Times New Roman" w:eastAsia="仿宋_GB2312" w:cs="Times New Roman"/>
      <w:sz w:val="20"/>
      <w:szCs w:val="20"/>
    </w:rPr>
  </w:style>
  <w:style w:type="character" w:customStyle="1" w:styleId="22">
    <w:name w:val="正文文本 2 Char"/>
    <w:link w:val="12"/>
    <w:locked/>
    <w:uiPriority w:val="99"/>
    <w:rPr>
      <w:rFonts w:ascii="宋体" w:hAnsi="宋体" w:eastAsia="宋体" w:cs="宋体"/>
      <w:b/>
      <w:bCs/>
      <w:sz w:val="20"/>
      <w:szCs w:val="20"/>
    </w:rPr>
  </w:style>
  <w:style w:type="character" w:customStyle="1" w:styleId="23">
    <w:name w:val="批注文字 Char"/>
    <w:link w:val="3"/>
    <w:semiHidden/>
    <w:locked/>
    <w:uiPriority w:val="99"/>
    <w:rPr>
      <w:rFonts w:ascii="Times New Roman" w:hAnsi="Times New Roman" w:eastAsia="仿宋_GB2312" w:cs="Times New Roman"/>
      <w:sz w:val="30"/>
      <w:szCs w:val="30"/>
    </w:rPr>
  </w:style>
  <w:style w:type="character" w:customStyle="1" w:styleId="24">
    <w:name w:val="页眉 Char"/>
    <w:link w:val="9"/>
    <w:semiHidden/>
    <w:locked/>
    <w:uiPriority w:val="99"/>
    <w:rPr>
      <w:rFonts w:ascii="Times New Roman" w:hAnsi="Times New Roman" w:eastAsia="宋体" w:cs="Times New Roman"/>
      <w:sz w:val="18"/>
      <w:szCs w:val="18"/>
    </w:rPr>
  </w:style>
  <w:style w:type="character" w:customStyle="1" w:styleId="25">
    <w:name w:val="页脚 Char"/>
    <w:link w:val="8"/>
    <w:locked/>
    <w:uiPriority w:val="99"/>
    <w:rPr>
      <w:rFonts w:ascii="Times New Roman" w:hAnsi="Times New Roman" w:eastAsia="宋体" w:cs="Times New Roman"/>
      <w:sz w:val="18"/>
      <w:szCs w:val="18"/>
    </w:rPr>
  </w:style>
  <w:style w:type="character" w:customStyle="1" w:styleId="26">
    <w:name w:val="批注主题 Char"/>
    <w:link w:val="13"/>
    <w:semiHidden/>
    <w:uiPriority w:val="99"/>
    <w:rPr>
      <w:rFonts w:ascii="Times New Roman" w:hAnsi="Times New Roman" w:eastAsia="仿宋_GB2312" w:cs="Times New Roman"/>
      <w:b/>
      <w:bCs/>
      <w:kern w:val="2"/>
      <w:sz w:val="21"/>
      <w:szCs w:val="21"/>
    </w:rPr>
  </w:style>
  <w:style w:type="character" w:customStyle="1" w:styleId="27">
    <w:name w:val="批注框文本 Char"/>
    <w:link w:val="7"/>
    <w:semiHidden/>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461</Words>
  <Characters>2631</Characters>
  <Lines>21</Lines>
  <Paragraphs>6</Paragraphs>
  <TotalTime>8</TotalTime>
  <ScaleCrop>false</ScaleCrop>
  <LinksUpToDate>false</LinksUpToDate>
  <CharactersWithSpaces>3086</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2017-11-23T05:08:00Z</dcterms:created>
  <dc:creator>topvaluer</dc:creator>
  <cp:lastModifiedBy>Administrator</cp:lastModifiedBy>
  <cp:lastPrinted>2016-12-07T02:30:00Z</cp:lastPrinted>
  <dcterms:modified xsi:type="dcterms:W3CDTF">2021-08-20T06:19:32Z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7E69C0E466B04179B905567DE2EB9C3B</vt:lpwstr>
  </property>
</Properties>
</file>