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3E21B4">
        <w:rPr>
          <w:rFonts w:ascii="宋体" w:hAnsi="宋体" w:cs="宋体"/>
          <w:bCs/>
          <w:sz w:val="44"/>
          <w:szCs w:val="44"/>
        </w:rPr>
        <w:t>110000(CP)S00701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3E21B4">
        <w:rPr>
          <w:rFonts w:ascii="楷体_GB2312" w:eastAsia="楷体_GB2312" w:hAnsi="楷体_GB2312" w:cs="楷体_GB2312"/>
          <w:bCs/>
          <w:sz w:val="32"/>
          <w:szCs w:val="32"/>
        </w:rPr>
        <w:t>110000(CP)S00701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3E21B4">
        <w:rPr>
          <w:rFonts w:ascii="宋体" w:hAnsi="宋体" w:cs="宋体"/>
          <w:bCs/>
          <w:sz w:val="32"/>
          <w:szCs w:val="32"/>
        </w:rPr>
        <w:t>110000(CP)S00701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3E21B4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110000(CP)S00701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Pr="00004C5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proofErr w:type="gramStart"/>
      <w:r w:rsidR="003E21B4"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3E21B4"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文华路89号,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4F2EF6"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="003E21B4"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六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4F2EF6"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4F2EF6" w:rsidRPr="00004C52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110000(CP)S00</w:t>
      </w:r>
      <w:r w:rsidR="003E21B4" w:rsidRPr="00004C5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7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Pr="00004C5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004C5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 w:rsidRPr="00004C52">
        <w:rPr>
          <w:rFonts w:hAnsi="仿宋_GB2312" w:cs="仿宋_GB2312" w:hint="eastAsia"/>
          <w:szCs w:val="28"/>
        </w:rPr>
        <w:t>三、</w:t>
      </w:r>
      <w:bookmarkEnd w:id="4"/>
      <w:bookmarkEnd w:id="5"/>
      <w:r w:rsidRPr="00004C52">
        <w:rPr>
          <w:rFonts w:hAnsi="仿宋_GB2312" w:cs="仿宋_GB2312" w:hint="eastAsia"/>
          <w:szCs w:val="28"/>
        </w:rPr>
        <w:t>标准宗地名称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3E21B4" w:rsidRPr="003E21B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3E21B4" w:rsidRPr="003E21B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东小口镇马连店村（静雅</w:t>
      </w:r>
      <w:proofErr w:type="gramStart"/>
      <w:r w:rsidR="003E21B4" w:rsidRPr="003E21B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轩</w:t>
      </w:r>
      <w:proofErr w:type="gramEnd"/>
      <w:r w:rsidR="003E21B4" w:rsidRPr="003E21B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小区B区）商业金融</w:t>
      </w:r>
      <w:r w:rsid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项目</w:t>
      </w:r>
      <w:r w:rsidR="00004C52"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北京新龙房地产开发有限公司</w:t>
      </w:r>
      <w:r w:rsid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3E21B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11438.2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E70585" w:rsidRPr="00E70585">
        <w:rPr>
          <w:rFonts w:ascii="仿宋_GB2312" w:eastAsia="仿宋_GB2312" w:hAnsi="仿宋_GB2312" w:cs="仿宋_GB2312" w:hint="eastAsia"/>
          <w:spacing w:val="10"/>
          <w:sz w:val="28"/>
          <w:szCs w:val="28"/>
          <w:highlight w:val="yellow"/>
        </w:rPr>
        <w:t>商办及居住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3E21B4" w:rsidRPr="003E21B4">
        <w:rPr>
          <w:rFonts w:ascii="仿宋_GB2312" w:eastAsia="仿宋_GB2312" w:hAnsi="仿宋_GB2312" w:cs="仿宋_GB2312" w:hint="eastAsia"/>
          <w:sz w:val="28"/>
          <w:szCs w:val="28"/>
        </w:rPr>
        <w:t>估价对象现状土地上建有一栋多层商业楼-</w:t>
      </w:r>
      <w:proofErr w:type="gramStart"/>
      <w:r w:rsidR="003E21B4" w:rsidRPr="003E21B4">
        <w:rPr>
          <w:rFonts w:ascii="仿宋_GB2312" w:eastAsia="仿宋_GB2312" w:hAnsi="仿宋_GB2312" w:cs="仿宋_GB2312" w:hint="eastAsia"/>
          <w:sz w:val="28"/>
          <w:szCs w:val="28"/>
        </w:rPr>
        <w:t>禧乐汇综合</w:t>
      </w:r>
      <w:proofErr w:type="gramEnd"/>
      <w:r w:rsidR="003E21B4" w:rsidRPr="003E21B4">
        <w:rPr>
          <w:rFonts w:ascii="仿宋_GB2312" w:eastAsia="仿宋_GB2312" w:hAnsi="仿宋_GB2312" w:cs="仿宋_GB2312" w:hint="eastAsia"/>
          <w:sz w:val="28"/>
          <w:szCs w:val="28"/>
        </w:rPr>
        <w:t>商业项目，建筑面积22876.4平方米，建成于2012年，容积率为2.0，钢混结构，耐用年限为60年，设施设备完备，外墙面为涂料、玻璃幕墙、</w:t>
      </w:r>
      <w:r w:rsidR="003E21B4" w:rsidRPr="003E21B4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石材，该建筑现状用途为商业（连锁酒店、办公及商铺），使用状况良好。项目提供地面停车位。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4F2EF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004C52">
        <w:rPr>
          <w:rFonts w:ascii="仿宋_GB2312" w:eastAsia="仿宋_GB2312" w:hAnsi="仿宋_GB2312" w:cs="仿宋_GB2312" w:hint="eastAsia"/>
          <w:sz w:val="28"/>
          <w:szCs w:val="28"/>
        </w:rPr>
        <w:t>2.5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3E21B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3E21B4" w:rsidRPr="003E21B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2049年6月29日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3E21B4">
        <w:rPr>
          <w:rFonts w:ascii="仿宋_GB2312" w:eastAsia="仿宋_GB2312" w:hAnsi="仿宋_GB2312" w:cs="仿宋_GB2312" w:hint="eastAsia"/>
          <w:sz w:val="28"/>
          <w:szCs w:val="28"/>
        </w:rPr>
        <w:t>28.5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4F2EF6">
        <w:rPr>
          <w:rFonts w:ascii="仿宋_GB2312" w:eastAsia="仿宋_GB2312" w:hAnsi="仿宋_GB2312" w:cs="仿宋_GB2312" w:hint="eastAsia"/>
          <w:sz w:val="28"/>
          <w:szCs w:val="28"/>
        </w:rPr>
        <w:t>-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004C5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的方法为</w:t>
      </w:r>
      <w:r w:rsidRPr="00004C52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004C52" w:rsidRPr="00004C52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004C52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004C5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Pr="00004C52">
        <w:rPr>
          <w:rFonts w:ascii="仿宋_GB2312" w:eastAsia="仿宋_GB2312" w:hAnsi="仿宋_GB2312" w:cs="仿宋_GB2312" w:hint="eastAsia"/>
          <w:sz w:val="28"/>
          <w:szCs w:val="28"/>
        </w:rPr>
        <w:t>剩余法权重为0.5，</w:t>
      </w:r>
      <w:r w:rsidR="00004C52" w:rsidRPr="00004C52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004C52">
        <w:rPr>
          <w:rFonts w:ascii="仿宋_GB2312" w:eastAsia="仿宋_GB2312" w:hAnsi="仿宋_GB2312" w:cs="仿宋_GB2312" w:hint="eastAsia"/>
          <w:sz w:val="28"/>
          <w:szCs w:val="28"/>
        </w:rPr>
        <w:t>法权重值为0.5</w:t>
      </w:r>
      <w:r w:rsidRPr="00004C5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004C5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004C52">
        <w:rPr>
          <w:rFonts w:hAnsi="仿宋_GB2312" w:cs="仿宋_GB2312" w:hint="eastAsia"/>
          <w:szCs w:val="28"/>
        </w:rPr>
        <w:t>八、评估结果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004C52" w:rsidP="00004C52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24893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004C52" w:rsidP="00004C52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24893</w:t>
      </w:r>
      <w:bookmarkStart w:id="10" w:name="_GoBack"/>
      <w:bookmarkEnd w:id="10"/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284" w:rsidRDefault="00830284">
      <w:r>
        <w:separator/>
      </w:r>
    </w:p>
  </w:endnote>
  <w:endnote w:type="continuationSeparator" w:id="0">
    <w:p w:rsidR="00830284" w:rsidRDefault="0083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4C52" w:rsidRPr="00004C52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284" w:rsidRDefault="00830284">
      <w:r>
        <w:separator/>
      </w:r>
    </w:p>
  </w:footnote>
  <w:footnote w:type="continuationSeparator" w:id="0">
    <w:p w:rsidR="00830284" w:rsidRDefault="00830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4C5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0D71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21B4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2EF6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284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6F25"/>
    <w:rsid w:val="00867BB8"/>
    <w:rsid w:val="00870044"/>
    <w:rsid w:val="00870F99"/>
    <w:rsid w:val="00871EED"/>
    <w:rsid w:val="00872CC4"/>
    <w:rsid w:val="00873F53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432D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1A2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182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3</cp:revision>
  <cp:lastPrinted>2010-10-19T18:36:00Z</cp:lastPrinted>
  <dcterms:created xsi:type="dcterms:W3CDTF">2021-05-11T06:15:00Z</dcterms:created>
  <dcterms:modified xsi:type="dcterms:W3CDTF">2021-05-11T06:46:00Z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