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232FC4">
        <w:rPr>
          <w:rFonts w:ascii="宋体" w:hAnsi="宋体" w:cs="宋体"/>
          <w:bCs/>
          <w:sz w:val="44"/>
          <w:szCs w:val="44"/>
        </w:rPr>
        <w:t>110000(CP)Z00301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232FC4">
        <w:rPr>
          <w:rFonts w:ascii="楷体_GB2312" w:eastAsia="楷体_GB2312" w:hAnsi="楷体_GB2312" w:cs="楷体_GB2312"/>
          <w:bCs/>
          <w:sz w:val="32"/>
          <w:szCs w:val="32"/>
        </w:rPr>
        <w:t>110000(CP)Z00301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27664C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27664C" w:rsidRPr="0027664C">
        <w:rPr>
          <w:rFonts w:ascii="楷体_GB2312" w:eastAsia="楷体_GB2312" w:hAnsi="楷体_GB2312" w:cs="楷体_GB2312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232FC4">
        <w:rPr>
          <w:rFonts w:ascii="宋体" w:hAnsi="宋体" w:cs="宋体"/>
          <w:bCs/>
          <w:sz w:val="32"/>
          <w:szCs w:val="32"/>
        </w:rPr>
        <w:t>110000(CP)Z00301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232FC4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110000(CP)Z00301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Pr="00597B33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于北京市</w:t>
      </w:r>
      <w:proofErr w:type="gramStart"/>
      <w:r w:rsidR="00232FC4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232FC4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沙河镇</w:t>
      </w:r>
      <w:r w:rsidR="00597B33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高教园北二街</w:t>
      </w:r>
      <w:r w:rsidR="003E21B4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,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F66842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D76EAB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八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F66842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F66842" w:rsidRPr="00597B33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110000(CP)Z00</w:t>
      </w:r>
      <w:r w:rsidR="00232FC4" w:rsidRPr="00597B3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Pr="00597B33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Pr="00597B33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 w:rsidRPr="00597B33">
        <w:rPr>
          <w:rFonts w:hAnsi="仿宋_GB2312" w:cs="仿宋_GB2312" w:hint="eastAsia"/>
          <w:szCs w:val="28"/>
        </w:rPr>
        <w:t>三、</w:t>
      </w:r>
      <w:bookmarkEnd w:id="4"/>
      <w:bookmarkEnd w:id="5"/>
      <w:r w:rsidRPr="00597B33">
        <w:rPr>
          <w:rFonts w:hAnsi="仿宋_GB2312" w:cs="仿宋_GB2312" w:hint="eastAsia"/>
          <w:szCs w:val="28"/>
        </w:rPr>
        <w:t>标准宗地名称</w:t>
      </w:r>
    </w:p>
    <w:p w:rsidR="007D72F2" w:rsidRPr="00597B33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proofErr w:type="gramStart"/>
      <w:r w:rsidR="00232FC4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232FC4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沙河镇高教园区三期B区（规划D-06地块）北京罗顿沙河建设发展有限公司</w:t>
      </w:r>
      <w:r w:rsidR="00D76EAB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住宅用地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Pr="00597B33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 w:rsidRPr="00597B33">
        <w:rPr>
          <w:rFonts w:hAnsi="仿宋_GB2312" w:cs="仿宋_GB2312" w:hint="eastAsia"/>
          <w:szCs w:val="28"/>
        </w:rPr>
        <w:t>四、</w:t>
      </w:r>
      <w:bookmarkEnd w:id="6"/>
      <w:bookmarkEnd w:id="7"/>
      <w:r w:rsidRPr="00597B33">
        <w:rPr>
          <w:rFonts w:hAnsi="仿宋_GB2312" w:cs="仿宋_GB2312" w:hint="eastAsia"/>
          <w:szCs w:val="28"/>
        </w:rPr>
        <w:t>标准宗地土地面积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232FC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49010.44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E70585" w:rsidRPr="00141F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居住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232FC4" w:rsidRPr="00232FC4">
        <w:rPr>
          <w:rFonts w:ascii="仿宋_GB2312" w:eastAsia="仿宋_GB2312" w:hAnsi="仿宋_GB2312" w:cs="仿宋_GB2312" w:hint="eastAsia"/>
          <w:sz w:val="28"/>
          <w:szCs w:val="28"/>
        </w:rPr>
        <w:t>估价对象现状土地为北街</w:t>
      </w:r>
      <w:proofErr w:type="gramStart"/>
      <w:r w:rsidR="00232FC4" w:rsidRPr="00232FC4">
        <w:rPr>
          <w:rFonts w:ascii="仿宋_GB2312" w:eastAsia="仿宋_GB2312" w:hAnsi="仿宋_GB2312" w:cs="仿宋_GB2312" w:hint="eastAsia"/>
          <w:sz w:val="28"/>
          <w:szCs w:val="28"/>
        </w:rPr>
        <w:t>家园七</w:t>
      </w:r>
      <w:proofErr w:type="gramEnd"/>
      <w:r w:rsidR="00232FC4" w:rsidRPr="00232FC4">
        <w:rPr>
          <w:rFonts w:ascii="仿宋_GB2312" w:eastAsia="仿宋_GB2312" w:hAnsi="仿宋_GB2312" w:cs="仿宋_GB2312" w:hint="eastAsia"/>
          <w:sz w:val="28"/>
          <w:szCs w:val="28"/>
        </w:rPr>
        <w:t>区，宗地内建有多栋高层住宅</w:t>
      </w:r>
      <w:proofErr w:type="gramStart"/>
      <w:r w:rsidR="00232FC4" w:rsidRPr="00232FC4">
        <w:rPr>
          <w:rFonts w:ascii="仿宋_GB2312" w:eastAsia="仿宋_GB2312" w:hAnsi="仿宋_GB2312" w:cs="仿宋_GB2312" w:hint="eastAsia"/>
          <w:sz w:val="28"/>
          <w:szCs w:val="28"/>
        </w:rPr>
        <w:t>楼及其</w:t>
      </w:r>
      <w:proofErr w:type="gramEnd"/>
      <w:r w:rsidR="00232FC4" w:rsidRPr="00232FC4">
        <w:rPr>
          <w:rFonts w:ascii="仿宋_GB2312" w:eastAsia="仿宋_GB2312" w:hAnsi="仿宋_GB2312" w:cs="仿宋_GB2312" w:hint="eastAsia"/>
          <w:sz w:val="28"/>
          <w:szCs w:val="28"/>
        </w:rPr>
        <w:t>配套，本次估价范围为该地块住宅部分，建筑面积122378.72平方米，建成于2010年，容积率为2.5，钢混结构，耐用年限为60年，设施设备完备，外墙面为涂料，使用状况良好。项目户型有平层</w:t>
      </w:r>
      <w:r w:rsidR="00232FC4" w:rsidRPr="00232FC4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户型及跃层户型，按居室分别有50-60平方米一居，80-90平方米两居、三居和140平方米四居。小区绿化配套较好，普通物业管理，地面停车、人车分流。</w:t>
      </w:r>
    </w:p>
    <w:p w:rsidR="007D72F2" w:rsidRPr="00597B33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容积率为</w:t>
      </w:r>
      <w:r w:rsidRPr="00597B33">
        <w:rPr>
          <w:rFonts w:ascii="仿宋_GB2312" w:eastAsia="仿宋_GB2312" w:hAnsi="仿宋_GB2312" w:cs="仿宋_GB2312" w:hint="eastAsia"/>
          <w:sz w:val="28"/>
          <w:szCs w:val="28"/>
        </w:rPr>
        <w:t>1.5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D76EAB"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2.5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标定区域开发程度为“七通”（通路、通电、供水、排水、通讯、通气、通暖），估价对象现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状开发程度为红线外“七通”（通路、通电、供水、排水、通讯、通气、通暖）及红线内有建筑物。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</w:t>
      </w:r>
      <w:r w:rsidR="00141F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7</w:t>
      </w:r>
      <w:r w:rsidR="00232FC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</w:t>
      </w:r>
      <w:r w:rsidR="00D76E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月</w:t>
      </w:r>
      <w:r w:rsidR="00232FC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232FC4">
        <w:rPr>
          <w:rFonts w:ascii="仿宋_GB2312" w:eastAsia="仿宋_GB2312" w:hAnsi="仿宋_GB2312" w:cs="仿宋_GB2312" w:hint="eastAsia"/>
          <w:sz w:val="28"/>
          <w:szCs w:val="28"/>
        </w:rPr>
        <w:t>53.31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7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2.</w:t>
      </w:r>
      <w:r w:rsidR="00D76EAB">
        <w:rPr>
          <w:rFonts w:ascii="仿宋_GB2312" w:eastAsia="仿宋_GB2312" w:hAnsi="仿宋_GB2312" w:cs="仿宋_GB2312" w:hint="eastAsia"/>
          <w:sz w:val="28"/>
          <w:szCs w:val="28"/>
        </w:rPr>
        <w:t>5</w:t>
      </w:r>
    </w:p>
    <w:p w:rsidR="007D72F2" w:rsidRPr="00597B33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讯、通气、</w:t>
      </w:r>
      <w:proofErr w:type="gramStart"/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Pr="00597B33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Pr="00597B33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Pr="00597B33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597B33">
        <w:rPr>
          <w:rFonts w:hAnsi="仿宋_GB2312" w:cs="仿宋_GB2312" w:hint="eastAsia"/>
          <w:szCs w:val="28"/>
        </w:rPr>
        <w:t>七、评估方法</w:t>
      </w:r>
    </w:p>
    <w:p w:rsidR="007D72F2" w:rsidRPr="00597B33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本次评估所使用的方法为</w:t>
      </w:r>
      <w:r w:rsidRPr="00597B33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597B33" w:rsidRPr="00597B33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597B33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597B33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lastRenderedPageBreak/>
        <w:t>本次评估采用两种方法测算结果的加权平均值作为本标准宗地于2021年1月1日的评估价格。其中，</w:t>
      </w:r>
      <w:r w:rsidRPr="00597B33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597B33" w:rsidRPr="00597B33">
        <w:rPr>
          <w:rFonts w:ascii="仿宋_GB2312" w:eastAsia="仿宋_GB2312" w:hAnsi="仿宋_GB2312" w:cs="仿宋_GB2312" w:hint="eastAsia"/>
          <w:sz w:val="28"/>
          <w:szCs w:val="28"/>
        </w:rPr>
        <w:t>8</w:t>
      </w:r>
      <w:r w:rsidRPr="00597B33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597B33" w:rsidRPr="00597B33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597B33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597B33" w:rsidRPr="00597B33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597B3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597B33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bookmarkStart w:id="10" w:name="_GoBack"/>
      <w:bookmarkEnd w:id="10"/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597B33">
        <w:rPr>
          <w:rFonts w:hAnsi="仿宋_GB2312" w:cs="仿宋_GB2312" w:hint="eastAsia"/>
          <w:szCs w:val="28"/>
        </w:rPr>
        <w:t>八、评估结果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597B33" w:rsidP="00597B33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51258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597B33" w:rsidP="00597B33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20503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35DC8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CD4" w:rsidRDefault="007A0CD4">
      <w:r>
        <w:separator/>
      </w:r>
    </w:p>
  </w:endnote>
  <w:endnote w:type="continuationSeparator" w:id="0">
    <w:p w:rsidR="007A0CD4" w:rsidRDefault="007A0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1F56" w:rsidRPr="00141F56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CD4" w:rsidRDefault="007A0CD4">
      <w:r>
        <w:separator/>
      </w:r>
    </w:p>
  </w:footnote>
  <w:footnote w:type="continuationSeparator" w:id="0">
    <w:p w:rsidR="007A0CD4" w:rsidRDefault="007A0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06F2D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0B1"/>
    <w:rsid w:val="001402D8"/>
    <w:rsid w:val="0014058B"/>
    <w:rsid w:val="001405DC"/>
    <w:rsid w:val="0014069D"/>
    <w:rsid w:val="001409D6"/>
    <w:rsid w:val="00140B9A"/>
    <w:rsid w:val="00140F9D"/>
    <w:rsid w:val="00141F56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418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2FC4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0D71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21B4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2EF6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78A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33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0CD4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6DB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3AA6"/>
    <w:rsid w:val="00865187"/>
    <w:rsid w:val="00865918"/>
    <w:rsid w:val="00866257"/>
    <w:rsid w:val="00866F25"/>
    <w:rsid w:val="00867BB8"/>
    <w:rsid w:val="00870044"/>
    <w:rsid w:val="00870F99"/>
    <w:rsid w:val="00871EED"/>
    <w:rsid w:val="00872CC4"/>
    <w:rsid w:val="00873F53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6EAB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432D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585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6842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4</cp:revision>
  <cp:lastPrinted>2010-10-19T18:36:00Z</cp:lastPrinted>
  <dcterms:created xsi:type="dcterms:W3CDTF">2021-05-11T06:23:00Z</dcterms:created>
  <dcterms:modified xsi:type="dcterms:W3CDTF">2021-05-11T08:52:00Z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