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outlineLvl w:val="0"/>
        <w:rPr>
          <w:rFonts w:ascii="仿宋" w:hAnsi="仿宋" w:eastAsia="仿宋"/>
          <w:b/>
          <w:sz w:val="36"/>
          <w:szCs w:val="36"/>
        </w:rPr>
      </w:pPr>
      <w:bookmarkStart w:id="0" w:name="_Toc15603"/>
      <w:bookmarkStart w:id="1" w:name="_Toc2836"/>
      <w:bookmarkStart w:id="2" w:name="_Toc17899"/>
      <w:bookmarkStart w:id="3" w:name="_Toc31600"/>
      <w:r>
        <w:rPr>
          <w:rFonts w:hint="eastAsia" w:ascii="仿宋" w:hAnsi="仿宋" w:eastAsia="仿宋"/>
          <w:b/>
          <w:sz w:val="36"/>
          <w:szCs w:val="36"/>
        </w:rPr>
        <w:t>中航信托·天启【2020】</w:t>
      </w:r>
      <w:r>
        <w:rPr>
          <w:rFonts w:hint="eastAsia" w:ascii="仿宋" w:hAnsi="仿宋" w:eastAsia="仿宋"/>
          <w:b/>
          <w:bCs/>
          <w:sz w:val="36"/>
          <w:szCs w:val="36"/>
        </w:rPr>
        <w:t>201号福州螺洲TOD项目</w:t>
      </w:r>
      <w:r>
        <w:rPr>
          <w:rFonts w:hint="eastAsia" w:ascii="仿宋" w:hAnsi="仿宋" w:eastAsia="仿宋"/>
          <w:b/>
          <w:sz w:val="36"/>
          <w:szCs w:val="36"/>
        </w:rPr>
        <w:t>股权投资集合资金信托计划入场报告</w:t>
      </w:r>
      <w:bookmarkEnd w:id="0"/>
      <w:bookmarkEnd w:id="1"/>
      <w:bookmarkEnd w:id="2"/>
      <w:bookmarkEnd w:id="3"/>
    </w:p>
    <w:p/>
    <w:p/>
    <w:p/>
    <w:p/>
    <w:p/>
    <w:p/>
    <w:p/>
    <w:p/>
    <w:p/>
    <w:p/>
    <w:p/>
    <w:p/>
    <w:p/>
    <w:p/>
    <w:p/>
    <w:p/>
    <w:p/>
    <w:p/>
    <w:p/>
    <w:p>
      <w:pPr>
        <w:ind w:firstLine="280" w:firstLineChars="100"/>
        <w:jc w:val="center"/>
        <w:rPr>
          <w:sz w:val="28"/>
          <w:szCs w:val="28"/>
        </w:rPr>
      </w:pPr>
      <w:r>
        <w:rPr>
          <w:rFonts w:hint="eastAsia"/>
          <w:sz w:val="28"/>
          <w:szCs w:val="28"/>
        </w:rPr>
        <w:t>北京康信君安资产管理有限公司</w:t>
      </w:r>
    </w:p>
    <w:p/>
    <w:p>
      <w:pPr>
        <w:pStyle w:val="2"/>
        <w:ind w:firstLine="3570" w:firstLineChars="1700"/>
      </w:pPr>
      <w:r>
        <w:rPr>
          <w:rFonts w:hint="eastAsia"/>
        </w:rPr>
        <w:t>2020年8月10日</w:t>
      </w:r>
    </w:p>
    <w:p/>
    <w:sdt>
      <w:sdtPr>
        <w:rPr>
          <w:rFonts w:ascii="宋体" w:hAnsi="宋体" w:eastAsia="宋体"/>
        </w:rPr>
        <w:id w:val="147469111"/>
        <w:docPartObj>
          <w:docPartGallery w:val="Table of Contents"/>
          <w:docPartUnique/>
        </w:docPartObj>
      </w:sdtPr>
      <w:sdtEndPr>
        <w:rPr>
          <w:rFonts w:ascii="Arial" w:hAnsi="Arial" w:cs="Arial" w:eastAsiaTheme="minorEastAsia"/>
          <w:b/>
          <w:bCs/>
          <w:kern w:val="44"/>
          <w:szCs w:val="21"/>
        </w:rPr>
      </w:sdtEndPr>
      <w:sdtContent>
        <w:p>
          <w:pPr>
            <w:jc w:val="center"/>
          </w:pPr>
        </w:p>
        <w:p>
          <w:pPr>
            <w:pStyle w:val="15"/>
            <w:tabs>
              <w:tab w:val="right" w:leader="dot" w:pos="8306"/>
            </w:tabs>
            <w:jc w:val="center"/>
            <w:rPr>
              <w:rFonts w:ascii="Arial" w:hAnsi="Arial" w:cs="Arial"/>
              <w:b/>
              <w:kern w:val="44"/>
              <w:sz w:val="28"/>
              <w:szCs w:val="28"/>
            </w:rPr>
          </w:pPr>
          <w:r>
            <w:rPr>
              <w:rFonts w:hint="eastAsia" w:ascii="Arial" w:hAnsi="Arial" w:cs="Arial"/>
              <w:b/>
              <w:kern w:val="44"/>
              <w:sz w:val="28"/>
              <w:szCs w:val="28"/>
            </w:rPr>
            <w:t>目录</w:t>
          </w:r>
        </w:p>
        <w:p>
          <w:pPr>
            <w:pStyle w:val="6"/>
            <w:tabs>
              <w:tab w:val="right" w:leader="dot" w:pos="8306"/>
            </w:tabs>
            <w:spacing w:line="360" w:lineRule="auto"/>
          </w:pPr>
          <w:r>
            <w:rPr>
              <w:rFonts w:ascii="Arial" w:hAnsi="Arial" w:cs="Arial"/>
              <w:bCs/>
              <w:kern w:val="44"/>
              <w:szCs w:val="21"/>
            </w:rPr>
            <w:fldChar w:fldCharType="begin"/>
          </w:r>
          <w:r>
            <w:rPr>
              <w:rFonts w:ascii="Arial" w:hAnsi="Arial" w:cs="Arial"/>
              <w:bCs/>
              <w:kern w:val="44"/>
              <w:szCs w:val="21"/>
            </w:rPr>
            <w:instrText xml:space="preserve">TOC \o "1-2" \h \u </w:instrText>
          </w:r>
          <w:r>
            <w:rPr>
              <w:rFonts w:ascii="Arial" w:hAnsi="Arial" w:cs="Arial"/>
              <w:bCs/>
              <w:kern w:val="44"/>
              <w:szCs w:val="21"/>
            </w:rPr>
            <w:fldChar w:fldCharType="separate"/>
          </w:r>
        </w:p>
        <w:p>
          <w:pPr>
            <w:pStyle w:val="6"/>
            <w:tabs>
              <w:tab w:val="right" w:leader="dot" w:pos="8306"/>
            </w:tabs>
            <w:spacing w:line="360" w:lineRule="auto"/>
          </w:pPr>
          <w:r>
            <w:fldChar w:fldCharType="begin"/>
          </w:r>
          <w:r>
            <w:instrText xml:space="preserve"> HYPERLINK \l "_Toc7718" </w:instrText>
          </w:r>
          <w:r>
            <w:fldChar w:fldCharType="separate"/>
          </w:r>
          <w:r>
            <w:rPr>
              <w:rFonts w:hint="eastAsia"/>
              <w:bCs/>
              <w:szCs w:val="28"/>
            </w:rPr>
            <w:t>一、 项目地块基本情况</w:t>
          </w:r>
          <w:r>
            <w:tab/>
          </w:r>
          <w:r>
            <w:fldChar w:fldCharType="end"/>
          </w:r>
        </w:p>
        <w:p>
          <w:pPr>
            <w:pStyle w:val="6"/>
            <w:tabs>
              <w:tab w:val="right" w:leader="dot" w:pos="8306"/>
            </w:tabs>
            <w:spacing w:line="360" w:lineRule="auto"/>
          </w:pPr>
          <w:r>
            <w:fldChar w:fldCharType="begin"/>
          </w:r>
          <w:r>
            <w:instrText xml:space="preserve"> HYPERLINK \l "_Toc11299" </w:instrText>
          </w:r>
          <w:r>
            <w:fldChar w:fldCharType="separate"/>
          </w:r>
          <w:r>
            <w:rPr>
              <w:rFonts w:hint="eastAsia"/>
              <w:bCs/>
              <w:szCs w:val="28"/>
            </w:rPr>
            <w:t xml:space="preserve">二、 </w:t>
          </w:r>
          <w:r>
            <w:rPr>
              <w:bCs/>
              <w:szCs w:val="28"/>
            </w:rPr>
            <w:t>SPV</w:t>
          </w:r>
          <w:r>
            <w:rPr>
              <w:rFonts w:hint="eastAsia"/>
              <w:bCs/>
              <w:szCs w:val="28"/>
            </w:rPr>
            <w:t>公司及项目公司基本信息</w:t>
          </w:r>
          <w:r>
            <w:tab/>
          </w:r>
          <w:r>
            <w:fldChar w:fldCharType="end"/>
          </w:r>
        </w:p>
        <w:p>
          <w:pPr>
            <w:pStyle w:val="6"/>
            <w:tabs>
              <w:tab w:val="right" w:leader="dot" w:pos="8306"/>
            </w:tabs>
            <w:spacing w:line="360" w:lineRule="auto"/>
          </w:pPr>
          <w:r>
            <w:fldChar w:fldCharType="begin"/>
          </w:r>
          <w:r>
            <w:instrText xml:space="preserve"> HYPERLINK \l "_Toc26175" </w:instrText>
          </w:r>
          <w:r>
            <w:fldChar w:fldCharType="separate"/>
          </w:r>
          <w:r>
            <w:rPr>
              <w:rFonts w:hint="eastAsia"/>
              <w:bCs/>
              <w:szCs w:val="28"/>
            </w:rPr>
            <w:t>三、 竞品分析</w:t>
          </w:r>
          <w:r>
            <w:tab/>
          </w:r>
          <w:r>
            <w:fldChar w:fldCharType="end"/>
          </w:r>
        </w:p>
        <w:p>
          <w:pPr>
            <w:pStyle w:val="6"/>
            <w:tabs>
              <w:tab w:val="right" w:leader="dot" w:pos="8306"/>
            </w:tabs>
            <w:spacing w:line="360" w:lineRule="auto"/>
          </w:pPr>
          <w:r>
            <w:fldChar w:fldCharType="begin"/>
          </w:r>
          <w:r>
            <w:instrText xml:space="preserve"> HYPERLINK \l "_Toc30817" </w:instrText>
          </w:r>
          <w:r>
            <w:fldChar w:fldCharType="separate"/>
          </w:r>
          <w:r>
            <w:rPr>
              <w:rFonts w:hint="eastAsia"/>
              <w:bCs/>
              <w:szCs w:val="28"/>
            </w:rPr>
            <w:t>四、入场交接</w:t>
          </w:r>
          <w:r>
            <w:tab/>
          </w:r>
          <w:r>
            <w:fldChar w:fldCharType="end"/>
          </w:r>
        </w:p>
        <w:p>
          <w:pPr>
            <w:pStyle w:val="7"/>
            <w:tabs>
              <w:tab w:val="right" w:leader="dot" w:pos="8306"/>
            </w:tabs>
            <w:spacing w:line="360" w:lineRule="auto"/>
          </w:pPr>
          <w:r>
            <w:fldChar w:fldCharType="begin"/>
          </w:r>
          <w:r>
            <w:instrText xml:space="preserve"> HYPERLINK \l "_Toc31369" </w:instrText>
          </w:r>
          <w:r>
            <w:fldChar w:fldCharType="separate"/>
          </w:r>
          <w:r>
            <w:rPr>
              <w:bCs/>
            </w:rPr>
            <w:t xml:space="preserve">1、 </w:t>
          </w:r>
          <w:r>
            <w:rPr>
              <w:rFonts w:hint="eastAsia"/>
              <w:bCs/>
            </w:rPr>
            <w:t>交接及现场监管流程沟通</w:t>
          </w:r>
          <w:r>
            <w:tab/>
          </w:r>
          <w:r>
            <w:fldChar w:fldCharType="end"/>
          </w:r>
        </w:p>
        <w:p>
          <w:pPr>
            <w:pStyle w:val="7"/>
            <w:tabs>
              <w:tab w:val="right" w:leader="dot" w:pos="8306"/>
            </w:tabs>
            <w:spacing w:line="360" w:lineRule="auto"/>
          </w:pPr>
          <w:r>
            <w:fldChar w:fldCharType="begin"/>
          </w:r>
          <w:r>
            <w:instrText xml:space="preserve"> HYPERLINK \l "_Toc7318" </w:instrText>
          </w:r>
          <w:r>
            <w:fldChar w:fldCharType="separate"/>
          </w:r>
          <w:r>
            <w:rPr>
              <w:bCs/>
            </w:rPr>
            <w:t xml:space="preserve">2、 </w:t>
          </w:r>
          <w:r>
            <w:rPr>
              <w:rFonts w:hint="eastAsia"/>
              <w:bCs/>
            </w:rPr>
            <w:t>共管交接</w:t>
          </w:r>
          <w:r>
            <w:tab/>
          </w:r>
          <w:r>
            <w:fldChar w:fldCharType="end"/>
          </w:r>
        </w:p>
        <w:p>
          <w:pPr>
            <w:pStyle w:val="7"/>
            <w:tabs>
              <w:tab w:val="right" w:leader="dot" w:pos="8306"/>
            </w:tabs>
            <w:spacing w:line="360" w:lineRule="auto"/>
          </w:pPr>
          <w:r>
            <w:fldChar w:fldCharType="begin"/>
          </w:r>
          <w:r>
            <w:instrText xml:space="preserve"> HYPERLINK \l "_Toc1621" </w:instrText>
          </w:r>
          <w:r>
            <w:fldChar w:fldCharType="separate"/>
          </w:r>
          <w:r>
            <w:rPr>
              <w:bCs/>
            </w:rPr>
            <w:t xml:space="preserve">3、 </w:t>
          </w:r>
          <w:r>
            <w:rPr>
              <w:rFonts w:hint="eastAsia"/>
              <w:bCs/>
            </w:rPr>
            <w:t>印鉴核验</w:t>
          </w:r>
          <w:r>
            <w:tab/>
          </w:r>
          <w:r>
            <w:fldChar w:fldCharType="end"/>
          </w:r>
        </w:p>
        <w:p>
          <w:pPr>
            <w:pStyle w:val="7"/>
            <w:tabs>
              <w:tab w:val="right" w:leader="dot" w:pos="8306"/>
            </w:tabs>
            <w:spacing w:line="360" w:lineRule="auto"/>
          </w:pPr>
          <w:r>
            <w:fldChar w:fldCharType="begin"/>
          </w:r>
          <w:r>
            <w:instrText xml:space="preserve"> HYPERLINK \l "_Toc15639" </w:instrText>
          </w:r>
          <w:r>
            <w:fldChar w:fldCharType="separate"/>
          </w:r>
          <w:r>
            <w:rPr>
              <w:bCs/>
            </w:rPr>
            <w:t xml:space="preserve">4、 </w:t>
          </w:r>
          <w:r>
            <w:rPr>
              <w:rFonts w:hint="eastAsia"/>
              <w:bCs/>
            </w:rPr>
            <w:t>银行账户信息查询</w:t>
          </w:r>
          <w:r>
            <w:tab/>
          </w:r>
          <w:r>
            <w:fldChar w:fldCharType="end"/>
          </w:r>
        </w:p>
        <w:p>
          <w:pPr>
            <w:pStyle w:val="7"/>
            <w:tabs>
              <w:tab w:val="right" w:leader="dot" w:pos="8306"/>
            </w:tabs>
            <w:spacing w:line="360" w:lineRule="auto"/>
          </w:pPr>
          <w:r>
            <w:fldChar w:fldCharType="begin"/>
          </w:r>
          <w:r>
            <w:instrText xml:space="preserve"> HYPERLINK \l "_Toc20929" </w:instrText>
          </w:r>
          <w:r>
            <w:fldChar w:fldCharType="separate"/>
          </w:r>
          <w:r>
            <w:rPr>
              <w:rFonts w:hint="eastAsia"/>
              <w:bCs/>
            </w:rPr>
            <w:t>5、 项目现场</w:t>
          </w:r>
          <w:r>
            <w:tab/>
          </w:r>
          <w:r>
            <w:fldChar w:fldCharType="end"/>
          </w:r>
        </w:p>
        <w:p>
          <w:pPr>
            <w:spacing w:line="360" w:lineRule="auto"/>
            <w:jc w:val="left"/>
            <w:rPr>
              <w:rFonts w:ascii="Arial" w:hAnsi="Arial" w:cs="Arial"/>
              <w:bCs/>
              <w:kern w:val="44"/>
              <w:szCs w:val="21"/>
            </w:rPr>
          </w:pPr>
          <w:r>
            <w:rPr>
              <w:rFonts w:ascii="Arial" w:hAnsi="Arial" w:cs="Arial"/>
              <w:bCs/>
              <w:kern w:val="44"/>
              <w:szCs w:val="21"/>
            </w:rPr>
            <w:fldChar w:fldCharType="end"/>
          </w:r>
        </w:p>
      </w:sdtContent>
    </w:sdt>
    <w:p>
      <w:pPr>
        <w:spacing w:line="360" w:lineRule="auto"/>
        <w:jc w:val="left"/>
        <w:rPr>
          <w:rFonts w:ascii="Arial" w:hAnsi="Arial" w:cs="Arial"/>
          <w:bCs/>
          <w:kern w:val="44"/>
          <w:szCs w:val="21"/>
        </w:rPr>
      </w:pPr>
    </w:p>
    <w:p>
      <w:pPr>
        <w:spacing w:line="360" w:lineRule="auto"/>
        <w:jc w:val="left"/>
        <w:rPr>
          <w:rFonts w:ascii="Arial" w:hAnsi="Arial" w:cs="Arial"/>
          <w:bCs/>
          <w:kern w:val="44"/>
          <w:szCs w:val="21"/>
        </w:rPr>
      </w:pPr>
    </w:p>
    <w:p>
      <w:pPr>
        <w:spacing w:line="360" w:lineRule="auto"/>
        <w:jc w:val="left"/>
        <w:rPr>
          <w:rFonts w:ascii="Arial" w:hAnsi="Arial" w:cs="Arial"/>
          <w:bCs/>
          <w:kern w:val="44"/>
          <w:szCs w:val="21"/>
        </w:rPr>
      </w:pPr>
    </w:p>
    <w:p>
      <w:pPr>
        <w:spacing w:line="360" w:lineRule="auto"/>
        <w:jc w:val="left"/>
        <w:rPr>
          <w:rFonts w:ascii="Arial" w:hAnsi="Arial" w:cs="Arial"/>
          <w:bCs/>
          <w:kern w:val="44"/>
          <w:szCs w:val="21"/>
        </w:rPr>
      </w:pPr>
    </w:p>
    <w:p>
      <w:pPr>
        <w:spacing w:line="360" w:lineRule="auto"/>
        <w:jc w:val="left"/>
        <w:rPr>
          <w:rFonts w:ascii="Arial" w:hAnsi="Arial" w:cs="Arial"/>
          <w:bCs/>
          <w:kern w:val="44"/>
          <w:szCs w:val="21"/>
        </w:rPr>
      </w:pPr>
    </w:p>
    <w:p>
      <w:pPr>
        <w:spacing w:line="360" w:lineRule="auto"/>
        <w:jc w:val="left"/>
        <w:rPr>
          <w:rFonts w:ascii="Arial" w:hAnsi="Arial" w:cs="Arial"/>
          <w:bCs/>
          <w:kern w:val="44"/>
          <w:szCs w:val="21"/>
        </w:rPr>
      </w:pPr>
    </w:p>
    <w:p>
      <w:pPr>
        <w:spacing w:line="360" w:lineRule="auto"/>
        <w:jc w:val="left"/>
        <w:rPr>
          <w:rFonts w:ascii="Arial" w:hAnsi="Arial" w:cs="Arial"/>
          <w:bCs/>
          <w:kern w:val="44"/>
          <w:szCs w:val="21"/>
        </w:rPr>
      </w:pPr>
    </w:p>
    <w:p>
      <w:pPr>
        <w:spacing w:line="360" w:lineRule="auto"/>
        <w:jc w:val="left"/>
        <w:rPr>
          <w:rFonts w:ascii="Arial" w:hAnsi="Arial" w:cs="Arial"/>
          <w:bCs/>
          <w:kern w:val="44"/>
          <w:szCs w:val="21"/>
        </w:rPr>
      </w:pPr>
    </w:p>
    <w:p>
      <w:pPr>
        <w:spacing w:line="360" w:lineRule="auto"/>
        <w:jc w:val="left"/>
        <w:rPr>
          <w:rFonts w:ascii="Arial" w:hAnsi="Arial" w:cs="Arial"/>
          <w:bCs/>
          <w:kern w:val="44"/>
          <w:szCs w:val="21"/>
        </w:rPr>
      </w:pPr>
    </w:p>
    <w:p>
      <w:pPr>
        <w:spacing w:line="360" w:lineRule="auto"/>
        <w:jc w:val="left"/>
        <w:rPr>
          <w:rFonts w:ascii="Arial" w:hAnsi="Arial" w:cs="Arial"/>
          <w:bCs/>
          <w:kern w:val="44"/>
          <w:szCs w:val="21"/>
        </w:rPr>
      </w:pPr>
    </w:p>
    <w:p>
      <w:pPr>
        <w:spacing w:line="360" w:lineRule="auto"/>
        <w:jc w:val="left"/>
        <w:rPr>
          <w:rFonts w:ascii="Arial" w:hAnsi="Arial" w:cs="Arial"/>
          <w:bCs/>
          <w:kern w:val="44"/>
          <w:szCs w:val="21"/>
        </w:rPr>
      </w:pPr>
    </w:p>
    <w:p>
      <w:pPr>
        <w:spacing w:line="360" w:lineRule="auto"/>
        <w:jc w:val="left"/>
        <w:rPr>
          <w:rFonts w:ascii="Arial" w:hAnsi="Arial" w:cs="Arial"/>
          <w:bCs/>
          <w:kern w:val="44"/>
          <w:szCs w:val="21"/>
        </w:rPr>
      </w:pPr>
    </w:p>
    <w:p>
      <w:pPr>
        <w:spacing w:line="360" w:lineRule="auto"/>
        <w:jc w:val="left"/>
        <w:rPr>
          <w:rFonts w:ascii="Arial" w:hAnsi="Arial" w:cs="Arial"/>
          <w:bCs/>
          <w:kern w:val="44"/>
          <w:szCs w:val="21"/>
        </w:rPr>
      </w:pPr>
    </w:p>
    <w:p>
      <w:pPr>
        <w:spacing w:line="360" w:lineRule="auto"/>
        <w:jc w:val="left"/>
        <w:rPr>
          <w:rFonts w:ascii="Arial" w:hAnsi="Arial" w:cs="Arial"/>
          <w:bCs/>
          <w:kern w:val="44"/>
          <w:szCs w:val="21"/>
        </w:rPr>
      </w:pPr>
    </w:p>
    <w:p>
      <w:pPr>
        <w:spacing w:line="360" w:lineRule="auto"/>
        <w:jc w:val="left"/>
        <w:rPr>
          <w:rFonts w:ascii="Arial" w:hAnsi="Arial" w:cs="Arial"/>
          <w:bCs/>
          <w:kern w:val="44"/>
          <w:szCs w:val="21"/>
        </w:rPr>
      </w:pPr>
    </w:p>
    <w:p>
      <w:pPr>
        <w:spacing w:line="360" w:lineRule="auto"/>
        <w:jc w:val="left"/>
        <w:rPr>
          <w:rFonts w:ascii="Arial" w:hAnsi="Arial" w:cs="Arial"/>
          <w:bCs/>
          <w:kern w:val="44"/>
          <w:szCs w:val="21"/>
        </w:rPr>
      </w:pPr>
    </w:p>
    <w:p>
      <w:pPr>
        <w:spacing w:line="360" w:lineRule="auto"/>
        <w:jc w:val="left"/>
        <w:rPr>
          <w:rFonts w:ascii="Arial" w:hAnsi="Arial" w:cs="Arial"/>
          <w:bCs/>
          <w:kern w:val="44"/>
          <w:szCs w:val="21"/>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360" w:lineRule="auto"/>
        <w:jc w:val="left"/>
        <w:rPr>
          <w:rFonts w:ascii="Arial" w:hAnsi="Arial" w:cs="Arial"/>
          <w:bCs/>
          <w:kern w:val="44"/>
          <w:szCs w:val="21"/>
        </w:rPr>
      </w:pPr>
      <w:r>
        <w:rPr>
          <w:rFonts w:ascii="Arial" w:hAnsi="Arial" w:cs="Arial"/>
          <w:bCs/>
          <w:kern w:val="44"/>
          <w:szCs w:val="21"/>
        </w:rPr>
        <w:t>为了方便阅读之目的，本报告中将部分名称简写为：</w:t>
      </w:r>
    </w:p>
    <w:p>
      <w:pPr>
        <w:spacing w:line="360" w:lineRule="auto"/>
        <w:jc w:val="left"/>
        <w:rPr>
          <w:rFonts w:ascii="Arial" w:hAnsi="Arial" w:cs="Arial"/>
          <w:bCs/>
          <w:kern w:val="44"/>
          <w:szCs w:val="21"/>
        </w:rPr>
      </w:pPr>
      <w:r>
        <w:rPr>
          <w:rFonts w:ascii="Arial" w:hAnsi="Arial" w:cs="Arial"/>
          <w:bCs/>
          <w:kern w:val="44"/>
          <w:szCs w:val="21"/>
        </w:rPr>
        <w:t>·SPV</w:t>
      </w:r>
      <w:r>
        <w:rPr>
          <w:rFonts w:hint="eastAsia" w:ascii="Arial" w:hAnsi="Arial" w:cs="Arial"/>
          <w:bCs/>
          <w:kern w:val="44"/>
          <w:szCs w:val="21"/>
        </w:rPr>
        <w:t>公司：宁德融熙置业有限公司</w:t>
      </w:r>
    </w:p>
    <w:p>
      <w:pPr>
        <w:numPr>
          <w:ilvl w:val="255"/>
          <w:numId w:val="0"/>
        </w:numPr>
        <w:spacing w:line="360" w:lineRule="auto"/>
        <w:jc w:val="left"/>
        <w:rPr>
          <w:rFonts w:ascii="Arial" w:hAnsi="Arial" w:cs="Arial"/>
          <w:bCs/>
          <w:kern w:val="44"/>
          <w:szCs w:val="21"/>
        </w:rPr>
      </w:pPr>
      <w:r>
        <w:rPr>
          <w:rFonts w:ascii="Arial" w:hAnsi="Arial" w:cs="Arial"/>
          <w:bCs/>
          <w:kern w:val="44"/>
          <w:szCs w:val="21"/>
        </w:rPr>
        <w:t>·项目公司：</w:t>
      </w:r>
      <w:r>
        <w:rPr>
          <w:rFonts w:hint="eastAsia" w:ascii="Arial" w:hAnsi="Arial" w:cs="Arial"/>
          <w:bCs/>
          <w:kern w:val="44"/>
          <w:szCs w:val="21"/>
        </w:rPr>
        <w:t>福州首融房地产开发有限公司</w:t>
      </w:r>
    </w:p>
    <w:p>
      <w:pPr>
        <w:numPr>
          <w:ilvl w:val="255"/>
          <w:numId w:val="0"/>
        </w:numPr>
        <w:spacing w:line="360" w:lineRule="auto"/>
        <w:jc w:val="left"/>
        <w:rPr>
          <w:rFonts w:ascii="Arial" w:hAnsi="Arial" w:cs="Arial"/>
          <w:bCs/>
          <w:kern w:val="44"/>
          <w:szCs w:val="21"/>
        </w:rPr>
      </w:pPr>
      <w:r>
        <w:rPr>
          <w:rFonts w:ascii="Arial" w:hAnsi="Arial" w:cs="Arial"/>
          <w:bCs/>
          <w:kern w:val="44"/>
          <w:szCs w:val="21"/>
        </w:rPr>
        <w:t>·</w:t>
      </w:r>
      <w:r>
        <w:rPr>
          <w:rFonts w:hint="eastAsia" w:ascii="Arial" w:hAnsi="Arial" w:cs="Arial"/>
          <w:bCs/>
          <w:kern w:val="44"/>
          <w:szCs w:val="21"/>
        </w:rPr>
        <w:t>中航信托</w:t>
      </w:r>
      <w:r>
        <w:rPr>
          <w:rFonts w:ascii="Arial" w:hAnsi="Arial" w:cs="Arial"/>
          <w:bCs/>
          <w:kern w:val="44"/>
          <w:szCs w:val="21"/>
        </w:rPr>
        <w:t>：</w:t>
      </w:r>
      <w:r>
        <w:rPr>
          <w:rFonts w:hint="eastAsia" w:ascii="Arial" w:hAnsi="Arial" w:cs="Arial"/>
          <w:bCs/>
          <w:kern w:val="44"/>
          <w:szCs w:val="21"/>
        </w:rPr>
        <w:t>中航信托股份有限公司</w:t>
      </w:r>
    </w:p>
    <w:p>
      <w:pPr>
        <w:numPr>
          <w:ilvl w:val="255"/>
          <w:numId w:val="0"/>
        </w:numPr>
        <w:spacing w:line="360" w:lineRule="auto"/>
        <w:jc w:val="left"/>
        <w:rPr>
          <w:rFonts w:ascii="Arial" w:hAnsi="Arial" w:cs="Arial"/>
          <w:bCs/>
          <w:kern w:val="44"/>
          <w:szCs w:val="21"/>
        </w:rPr>
      </w:pPr>
      <w:r>
        <w:rPr>
          <w:rFonts w:ascii="Arial" w:hAnsi="Arial" w:cs="Arial"/>
          <w:bCs/>
          <w:kern w:val="44"/>
          <w:szCs w:val="21"/>
        </w:rPr>
        <w:t>·</w:t>
      </w:r>
      <w:r>
        <w:rPr>
          <w:rFonts w:hint="eastAsia" w:ascii="Arial" w:hAnsi="Arial" w:cs="Arial"/>
          <w:bCs/>
          <w:kern w:val="44"/>
          <w:szCs w:val="21"/>
        </w:rPr>
        <w:t>康信资管：北京康信君安资产管理有限公司</w:t>
      </w:r>
    </w:p>
    <w:p/>
    <w:p>
      <w:pPr>
        <w:numPr>
          <w:ilvl w:val="0"/>
          <w:numId w:val="1"/>
        </w:numPr>
        <w:outlineLvl w:val="0"/>
        <w:rPr>
          <w:b/>
          <w:bCs/>
          <w:color w:val="000000" w:themeColor="text1"/>
          <w:sz w:val="28"/>
          <w:szCs w:val="28"/>
          <w14:textFill>
            <w14:solidFill>
              <w14:schemeClr w14:val="tx1"/>
            </w14:solidFill>
          </w14:textFill>
        </w:rPr>
      </w:pPr>
      <w:bookmarkStart w:id="4" w:name="_Toc7718"/>
      <w:r>
        <w:rPr>
          <w:rFonts w:hint="eastAsia"/>
          <w:b/>
          <w:bCs/>
          <w:sz w:val="28"/>
          <w:szCs w:val="28"/>
        </w:rPr>
        <w:t>项</w:t>
      </w:r>
      <w:r>
        <w:rPr>
          <w:rFonts w:hint="eastAsia"/>
          <w:b/>
          <w:bCs/>
          <w:color w:val="000000" w:themeColor="text1"/>
          <w:sz w:val="28"/>
          <w:szCs w:val="28"/>
          <w14:textFill>
            <w14:solidFill>
              <w14:schemeClr w14:val="tx1"/>
            </w14:solidFill>
          </w14:textFill>
        </w:rPr>
        <w:t>目地块基本情况</w:t>
      </w:r>
      <w:bookmarkEnd w:id="4"/>
    </w:p>
    <w:p>
      <w:pPr>
        <w:spacing w:line="360" w:lineRule="auto"/>
        <w:ind w:firstLine="480" w:firstLineChars="200"/>
        <w:jc w:val="left"/>
        <w:rPr>
          <w:rFonts w:asciiTheme="minorEastAsia" w:hAnsiTheme="minorEastAsia"/>
          <w:color w:val="000000" w:themeColor="text1"/>
          <w:sz w:val="24"/>
          <w14:textFill>
            <w14:solidFill>
              <w14:schemeClr w14:val="tx1"/>
            </w14:solidFill>
          </w14:textFill>
        </w:rPr>
      </w:pPr>
      <w:r>
        <w:rPr>
          <w:rFonts w:cs="Arial" w:asciiTheme="minorEastAsia" w:hAnsiTheme="minorEastAsia"/>
          <w:color w:val="000000" w:themeColor="text1"/>
          <w:sz w:val="24"/>
          <w14:textFill>
            <w14:solidFill>
              <w14:schemeClr w14:val="tx1"/>
            </w14:solidFill>
          </w14:textFill>
        </w:rPr>
        <w:t>2020</w:t>
      </w:r>
      <w:r>
        <w:rPr>
          <w:rFonts w:hint="eastAsia" w:asciiTheme="minorEastAsia" w:hAnsiTheme="minorEastAsia"/>
          <w:color w:val="000000" w:themeColor="text1"/>
          <w:sz w:val="24"/>
          <w14:textFill>
            <w14:solidFill>
              <w14:schemeClr w14:val="tx1"/>
            </w14:solidFill>
          </w14:textFill>
        </w:rPr>
        <w:t>年2月1</w:t>
      </w:r>
      <w:r>
        <w:rPr>
          <w:rFonts w:asciiTheme="minorEastAsia" w:hAnsiTheme="minorEastAsia"/>
          <w:color w:val="000000" w:themeColor="text1"/>
          <w:sz w:val="24"/>
          <w14:textFill>
            <w14:solidFill>
              <w14:schemeClr w14:val="tx1"/>
            </w14:solidFill>
          </w14:textFill>
        </w:rPr>
        <w:t>7</w:t>
      </w:r>
      <w:r>
        <w:rPr>
          <w:rFonts w:hint="eastAsia" w:asciiTheme="minorEastAsia" w:hAnsiTheme="minorEastAsia"/>
          <w:color w:val="000000" w:themeColor="text1"/>
          <w:sz w:val="24"/>
          <w14:textFill>
            <w14:solidFill>
              <w14:schemeClr w14:val="tx1"/>
            </w14:solidFill>
          </w14:textFill>
        </w:rPr>
        <w:t>日，福州市公共资源交易服务中心组织实施土地现场交易工作，网挂宗号2020-08号（公告），挂出仓山区螺洲城峰路南侧（编号：2020-08）地块，总面积191,900.27㎡（2</w:t>
      </w:r>
      <w:r>
        <w:rPr>
          <w:rFonts w:asciiTheme="minorEastAsia" w:hAnsiTheme="minorEastAsia"/>
          <w:color w:val="000000" w:themeColor="text1"/>
          <w:sz w:val="24"/>
          <w14:textFill>
            <w14:solidFill>
              <w14:schemeClr w14:val="tx1"/>
            </w14:solidFill>
          </w14:textFill>
        </w:rPr>
        <w:t>87.85</w:t>
      </w:r>
      <w:r>
        <w:rPr>
          <w:rFonts w:hint="eastAsia" w:asciiTheme="minorEastAsia" w:hAnsiTheme="minorEastAsia"/>
          <w:color w:val="000000" w:themeColor="text1"/>
          <w:sz w:val="24"/>
          <w14:textFill>
            <w14:solidFill>
              <w14:schemeClr w14:val="tx1"/>
            </w14:solidFill>
          </w14:textFill>
        </w:rPr>
        <w:t>亩）,总起报价2</w:t>
      </w:r>
      <w:r>
        <w:rPr>
          <w:rFonts w:asciiTheme="minorEastAsia" w:hAnsiTheme="minorEastAsia"/>
          <w:color w:val="000000" w:themeColor="text1"/>
          <w:sz w:val="24"/>
          <w14:textFill>
            <w14:solidFill>
              <w14:schemeClr w14:val="tx1"/>
            </w14:solidFill>
          </w14:textFill>
        </w:rPr>
        <w:t>95,900.00</w:t>
      </w:r>
      <w:r>
        <w:rPr>
          <w:rFonts w:hint="eastAsia" w:asciiTheme="minorEastAsia" w:hAnsiTheme="minorEastAsia"/>
          <w:color w:val="000000" w:themeColor="text1"/>
          <w:sz w:val="24"/>
          <w14:textFill>
            <w14:solidFill>
              <w14:schemeClr w14:val="tx1"/>
            </w14:solidFill>
          </w14:textFill>
        </w:rPr>
        <w:t>万元,</w:t>
      </w:r>
      <w:r>
        <w:rPr>
          <w:rFonts w:asciiTheme="minorEastAsia" w:hAnsiTheme="minorEastAsia"/>
          <w:color w:val="000000" w:themeColor="text1"/>
          <w:sz w:val="24"/>
          <w14:textFill>
            <w14:solidFill>
              <w14:schemeClr w14:val="tx1"/>
            </w14:solidFill>
          </w14:textFill>
        </w:rPr>
        <w:t>(</w:t>
      </w:r>
      <w:r>
        <w:rPr>
          <w:rFonts w:hint="eastAsia" w:asciiTheme="minorEastAsia" w:hAnsiTheme="minorEastAsia"/>
          <w:color w:val="000000" w:themeColor="text1"/>
          <w:sz w:val="24"/>
          <w14:textFill>
            <w14:solidFill>
              <w14:schemeClr w14:val="tx1"/>
            </w14:solidFill>
          </w14:textFill>
        </w:rPr>
        <w:t>详见图1）。</w:t>
      </w:r>
      <w:r>
        <w:rPr>
          <w:rFonts w:hint="eastAsia" w:ascii="宋体" w:hAnsi="宋体"/>
          <w:color w:val="000000"/>
          <w:sz w:val="24"/>
        </w:rPr>
        <w:t>2020年2月27日该地块由福州首开福泰投资有限公司以底价获取，土地款总价295</w:t>
      </w:r>
      <w:r>
        <w:rPr>
          <w:rFonts w:ascii="宋体" w:hAnsi="宋体"/>
          <w:color w:val="000000"/>
          <w:sz w:val="24"/>
        </w:rPr>
        <w:t>,</w:t>
      </w:r>
      <w:r>
        <w:rPr>
          <w:rFonts w:hint="eastAsia" w:ascii="宋体" w:hAnsi="宋体"/>
          <w:color w:val="000000"/>
          <w:sz w:val="24"/>
        </w:rPr>
        <w:t>900万元，土地楼面价10280元/㎡。</w:t>
      </w:r>
    </w:p>
    <w:p>
      <w:pPr>
        <w:spacing w:line="360" w:lineRule="auto"/>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drawing>
          <wp:anchor distT="0" distB="0" distL="114300" distR="114300" simplePos="0" relativeHeight="251658240" behindDoc="0" locked="0" layoutInCell="1" allowOverlap="1">
            <wp:simplePos x="0" y="0"/>
            <wp:positionH relativeFrom="margin">
              <wp:posOffset>5080</wp:posOffset>
            </wp:positionH>
            <wp:positionV relativeFrom="paragraph">
              <wp:posOffset>694055</wp:posOffset>
            </wp:positionV>
            <wp:extent cx="5313680" cy="2051685"/>
            <wp:effectExtent l="0" t="0" r="1270" b="5715"/>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313680" cy="2051685"/>
                    </a:xfrm>
                    <a:prstGeom prst="rect">
                      <a:avLst/>
                    </a:prstGeom>
                  </pic:spPr>
                </pic:pic>
              </a:graphicData>
            </a:graphic>
          </wp:anchor>
        </w:drawing>
      </w:r>
      <w:r>
        <w:rPr>
          <w:rFonts w:hint="eastAsia" w:asciiTheme="minorEastAsia" w:hAnsiTheme="minorEastAsia"/>
          <w:color w:val="000000" w:themeColor="text1"/>
          <w:sz w:val="24"/>
          <w14:textFill>
            <w14:solidFill>
              <w14:schemeClr w14:val="tx1"/>
            </w14:solidFill>
          </w14:textFill>
        </w:rPr>
        <w:drawing>
          <wp:inline distT="0" distB="0" distL="0" distR="0">
            <wp:extent cx="5274310" cy="748665"/>
            <wp:effectExtent l="0" t="0" r="254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8"/>
                    <a:stretch>
                      <a:fillRect/>
                    </a:stretch>
                  </pic:blipFill>
                  <pic:spPr>
                    <a:xfrm>
                      <a:off x="0" y="0"/>
                      <a:ext cx="5274310" cy="748665"/>
                    </a:xfrm>
                    <a:prstGeom prst="rect">
                      <a:avLst/>
                    </a:prstGeom>
                  </pic:spPr>
                </pic:pic>
              </a:graphicData>
            </a:graphic>
          </wp:inline>
        </w:drawing>
      </w:r>
    </w:p>
    <w:p>
      <w:pPr>
        <w:spacing w:line="360" w:lineRule="auto"/>
        <w:jc w:val="left"/>
        <w:rPr>
          <w:rFonts w:asciiTheme="minorEastAsia" w:hAnsiTheme="minorEastAsia"/>
          <w:color w:val="000000" w:themeColor="text1"/>
          <w:sz w:val="24"/>
          <w14:textFill>
            <w14:solidFill>
              <w14:schemeClr w14:val="tx1"/>
            </w14:solidFill>
          </w14:textFill>
        </w:rPr>
      </w:pPr>
    </w:p>
    <w:p>
      <w:pPr>
        <w:spacing w:line="360" w:lineRule="auto"/>
        <w:ind w:firstLine="480" w:firstLineChars="200"/>
        <w:jc w:val="left"/>
        <w:rPr>
          <w:rFonts w:asciiTheme="minorEastAsia" w:hAnsiTheme="minorEastAsia"/>
          <w:color w:val="000000" w:themeColor="text1"/>
          <w:sz w:val="24"/>
          <w14:textFill>
            <w14:solidFill>
              <w14:schemeClr w14:val="tx1"/>
            </w14:solidFill>
          </w14:textFill>
        </w:rPr>
      </w:pPr>
    </w:p>
    <w:p>
      <w:pPr>
        <w:spacing w:line="360" w:lineRule="auto"/>
        <w:ind w:firstLine="420" w:firstLineChars="200"/>
        <w:jc w:val="center"/>
      </w:pPr>
    </w:p>
    <w:p>
      <w:pPr>
        <w:spacing w:line="360" w:lineRule="auto"/>
        <w:ind w:firstLine="420" w:firstLineChars="200"/>
        <w:jc w:val="center"/>
      </w:pPr>
    </w:p>
    <w:p>
      <w:pPr>
        <w:spacing w:line="360" w:lineRule="auto"/>
        <w:ind w:firstLine="420" w:firstLineChars="200"/>
        <w:jc w:val="center"/>
      </w:pPr>
    </w:p>
    <w:p>
      <w:pPr>
        <w:spacing w:line="360" w:lineRule="auto"/>
        <w:ind w:firstLine="420" w:firstLineChars="200"/>
        <w:jc w:val="center"/>
      </w:pPr>
    </w:p>
    <w:p>
      <w:pPr>
        <w:spacing w:line="360" w:lineRule="auto"/>
        <w:ind w:firstLine="420" w:firstLineChars="200"/>
        <w:jc w:val="center"/>
      </w:pPr>
    </w:p>
    <w:p>
      <w:pPr>
        <w:spacing w:line="360" w:lineRule="auto"/>
        <w:ind w:firstLine="420" w:firstLineChars="200"/>
        <w:jc w:val="center"/>
      </w:pPr>
      <w:r>
        <w:rPr>
          <w:rFonts w:hint="eastAsia"/>
        </w:rPr>
        <w:t>图1 地块挂牌信息</w:t>
      </w:r>
    </w:p>
    <w:p>
      <w:pPr>
        <w:numPr>
          <w:ilvl w:val="0"/>
          <w:numId w:val="1"/>
        </w:numPr>
        <w:jc w:val="left"/>
        <w:outlineLvl w:val="0"/>
        <w:rPr>
          <w:b/>
          <w:bCs/>
          <w:sz w:val="28"/>
          <w:szCs w:val="28"/>
        </w:rPr>
      </w:pPr>
      <w:bookmarkStart w:id="5" w:name="_Toc11299"/>
      <w:r>
        <w:rPr>
          <w:b/>
          <w:bCs/>
          <w:sz w:val="28"/>
          <w:szCs w:val="28"/>
        </w:rPr>
        <w:t>SPV</w:t>
      </w:r>
      <w:r>
        <w:rPr>
          <w:rFonts w:hint="eastAsia"/>
          <w:b/>
          <w:bCs/>
          <w:sz w:val="28"/>
          <w:szCs w:val="28"/>
        </w:rPr>
        <w:t>公司及项目公司基本信息</w:t>
      </w:r>
      <w:bookmarkEnd w:id="5"/>
    </w:p>
    <w:p>
      <w:pPr>
        <w:spacing w:line="360" w:lineRule="auto"/>
        <w:ind w:firstLine="420" w:firstLineChars="200"/>
        <w:jc w:val="left"/>
        <w:rPr>
          <w:rFonts w:asciiTheme="minorEastAsia" w:hAnsiTheme="minorEastAsia"/>
          <w:sz w:val="24"/>
        </w:rPr>
      </w:pPr>
      <w:r>
        <w:rPr>
          <w:rFonts w:ascii="Arial" w:hAnsi="Arial" w:cs="Arial"/>
          <w:bCs/>
          <w:kern w:val="44"/>
          <w:szCs w:val="21"/>
        </w:rPr>
        <w:t>SPV</w:t>
      </w:r>
      <w:r>
        <w:rPr>
          <w:rFonts w:hint="eastAsia" w:ascii="Arial" w:hAnsi="Arial" w:cs="Arial"/>
          <w:bCs/>
          <w:kern w:val="44"/>
          <w:szCs w:val="21"/>
        </w:rPr>
        <w:t>公司</w:t>
      </w:r>
      <w:r>
        <w:rPr>
          <w:rFonts w:asciiTheme="minorEastAsia" w:hAnsiTheme="minorEastAsia"/>
          <w:sz w:val="24"/>
        </w:rPr>
        <w:t>成立于2019年10月28日，注册地位于福建省宁德市蕉城区宁川南路1-1号华景嘉园1幢总部经济大厦801室，法定代表人为兰波。</w:t>
      </w:r>
      <w:r>
        <w:rPr>
          <w:rFonts w:hint="eastAsia" w:asciiTheme="minorEastAsia" w:hAnsiTheme="minorEastAsia"/>
          <w:sz w:val="24"/>
        </w:rPr>
        <w:t>（详见图2）。（转下页）</w:t>
      </w:r>
    </w:p>
    <w:p>
      <w:pPr>
        <w:spacing w:line="360" w:lineRule="auto"/>
        <w:jc w:val="left"/>
        <w:rPr>
          <w:rFonts w:asciiTheme="minorEastAsia" w:hAnsiTheme="minorEastAsia"/>
          <w:sz w:val="24"/>
        </w:rPr>
      </w:pPr>
      <w:r>
        <w:rPr>
          <w:rFonts w:hint="eastAsia" w:asciiTheme="minorEastAsia" w:hAnsiTheme="minorEastAsia"/>
          <w:sz w:val="24"/>
        </w:rPr>
        <w:drawing>
          <wp:inline distT="0" distB="0" distL="0" distR="0">
            <wp:extent cx="5274310" cy="3049270"/>
            <wp:effectExtent l="0" t="0" r="254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a:stretch>
                      <a:fillRect/>
                    </a:stretch>
                  </pic:blipFill>
                  <pic:spPr>
                    <a:xfrm>
                      <a:off x="0" y="0"/>
                      <a:ext cx="5274310" cy="3049270"/>
                    </a:xfrm>
                    <a:prstGeom prst="rect">
                      <a:avLst/>
                    </a:prstGeom>
                  </pic:spPr>
                </pic:pic>
              </a:graphicData>
            </a:graphic>
          </wp:inline>
        </w:drawing>
      </w:r>
    </w:p>
    <w:p>
      <w:pPr>
        <w:numPr>
          <w:ilvl w:val="255"/>
          <w:numId w:val="0"/>
        </w:numPr>
        <w:jc w:val="center"/>
      </w:pPr>
      <w:r>
        <w:rPr>
          <w:rFonts w:hint="eastAsia"/>
        </w:rPr>
        <w:t>图2 工商注册信息</w:t>
      </w:r>
    </w:p>
    <w:p>
      <w:pPr>
        <w:spacing w:line="360" w:lineRule="auto"/>
        <w:ind w:firstLine="480" w:firstLineChars="200"/>
        <w:jc w:val="left"/>
        <w:rPr>
          <w:rFonts w:asciiTheme="minorEastAsia" w:hAnsiTheme="minorEastAsia"/>
          <w:sz w:val="24"/>
        </w:rPr>
      </w:pPr>
      <w:r>
        <w:rPr>
          <w:rFonts w:hint="eastAsia" w:asciiTheme="minorEastAsia" w:hAnsiTheme="minorEastAsia"/>
          <w:sz w:val="24"/>
        </w:rPr>
        <w:t>福州衡越置业有限公司股东出资占比51%，中航信托股份有限公司出资占比49%。</w:t>
      </w:r>
    </w:p>
    <w:p>
      <w:pPr>
        <w:spacing w:line="360" w:lineRule="auto"/>
        <w:ind w:firstLine="480" w:firstLineChars="200"/>
        <w:jc w:val="left"/>
        <w:rPr>
          <w:rFonts w:asciiTheme="minorEastAsia" w:hAnsiTheme="minorEastAsia"/>
          <w:sz w:val="24"/>
        </w:rPr>
      </w:pPr>
      <w:r>
        <w:rPr>
          <w:rFonts w:asciiTheme="minorEastAsia" w:hAnsiTheme="minorEastAsia"/>
          <w:sz w:val="24"/>
        </w:rPr>
        <w:drawing>
          <wp:inline distT="0" distB="0" distL="0" distR="0">
            <wp:extent cx="4184015" cy="4251960"/>
            <wp:effectExtent l="0" t="0" r="698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4232399" cy="4300908"/>
                    </a:xfrm>
                    <a:prstGeom prst="rect">
                      <a:avLst/>
                    </a:prstGeom>
                  </pic:spPr>
                </pic:pic>
              </a:graphicData>
            </a:graphic>
          </wp:inline>
        </w:drawing>
      </w:r>
    </w:p>
    <w:p>
      <w:pPr>
        <w:numPr>
          <w:ilvl w:val="255"/>
          <w:numId w:val="0"/>
        </w:numPr>
        <w:jc w:val="center"/>
      </w:pPr>
      <w:r>
        <w:rPr>
          <w:rFonts w:hint="eastAsia"/>
        </w:rPr>
        <w:t>图3 SPV公司股权穿透图</w:t>
      </w:r>
    </w:p>
    <w:p>
      <w:pPr>
        <w:numPr>
          <w:ilvl w:val="255"/>
          <w:numId w:val="0"/>
        </w:numPr>
        <w:jc w:val="center"/>
      </w:pPr>
    </w:p>
    <w:p>
      <w:pPr>
        <w:spacing w:line="360" w:lineRule="auto"/>
        <w:ind w:firstLine="480" w:firstLineChars="200"/>
        <w:jc w:val="left"/>
      </w:pPr>
      <w:r>
        <w:rPr>
          <w:rFonts w:hint="eastAsia" w:asciiTheme="minorEastAsia" w:hAnsiTheme="minorEastAsia"/>
          <w:sz w:val="24"/>
        </w:rPr>
        <w:t>项目公司</w:t>
      </w:r>
      <w:r>
        <w:rPr>
          <w:rFonts w:asciiTheme="minorEastAsia" w:hAnsiTheme="minorEastAsia"/>
          <w:sz w:val="24"/>
        </w:rPr>
        <w:t>成立于2020年03月10日，注册地位于福建省福州市仓山区城门镇鳌里村敖里路204号301室，法定代表人为苏新。</w:t>
      </w:r>
      <w:r>
        <w:rPr>
          <w:rFonts w:hint="eastAsia" w:asciiTheme="minorEastAsia" w:hAnsiTheme="minorEastAsia"/>
          <w:sz w:val="24"/>
        </w:rPr>
        <w:t>（详见图4）。</w:t>
      </w:r>
      <w:r>
        <w:rPr>
          <w:rFonts w:hint="eastAsia"/>
        </w:rPr>
        <w:tab/>
      </w:r>
    </w:p>
    <w:p>
      <w:pPr>
        <w:numPr>
          <w:ilvl w:val="255"/>
          <w:numId w:val="0"/>
        </w:numPr>
        <w:jc w:val="left"/>
      </w:pPr>
      <w:r>
        <w:drawing>
          <wp:inline distT="0" distB="0" distL="0" distR="0">
            <wp:extent cx="5274310" cy="2905760"/>
            <wp:effectExtent l="0" t="0" r="2540" b="889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1"/>
                    <a:srcRect/>
                    <a:stretch>
                      <a:fillRect/>
                    </a:stretch>
                  </pic:blipFill>
                  <pic:spPr>
                    <a:xfrm>
                      <a:off x="0" y="0"/>
                      <a:ext cx="5274310" cy="2905760"/>
                    </a:xfrm>
                    <a:prstGeom prst="rect">
                      <a:avLst/>
                    </a:prstGeom>
                    <a:ln>
                      <a:noFill/>
                    </a:ln>
                  </pic:spPr>
                </pic:pic>
              </a:graphicData>
            </a:graphic>
          </wp:inline>
        </w:drawing>
      </w:r>
    </w:p>
    <w:p>
      <w:pPr>
        <w:numPr>
          <w:ilvl w:val="255"/>
          <w:numId w:val="0"/>
        </w:numPr>
        <w:jc w:val="center"/>
      </w:pPr>
      <w:r>
        <w:rPr>
          <w:rFonts w:hint="eastAsia"/>
        </w:rPr>
        <w:t>图4 工商注册信息</w:t>
      </w:r>
    </w:p>
    <w:p>
      <w:pPr>
        <w:spacing w:line="360" w:lineRule="auto"/>
        <w:ind w:firstLine="480" w:firstLineChars="200"/>
        <w:jc w:val="left"/>
        <w:rPr>
          <w:rFonts w:asciiTheme="minorEastAsia" w:hAnsiTheme="minorEastAsia"/>
          <w:sz w:val="24"/>
        </w:rPr>
      </w:pPr>
      <w:r>
        <w:rPr>
          <w:rFonts w:hint="eastAsia" w:asciiTheme="minorEastAsia" w:hAnsiTheme="minorEastAsia"/>
          <w:sz w:val="24"/>
        </w:rPr>
        <w:t>项目公司股东宁德融熙置业有限公司出资占比42%，福州首开福泰投资有限公司出资占比58%。</w:t>
      </w:r>
    </w:p>
    <w:p>
      <w:pPr>
        <w:numPr>
          <w:ilvl w:val="255"/>
          <w:numId w:val="0"/>
        </w:numPr>
        <w:jc w:val="left"/>
      </w:pPr>
      <w:r>
        <w:drawing>
          <wp:inline distT="0" distB="0" distL="0" distR="0">
            <wp:extent cx="5274310" cy="2896235"/>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2"/>
                    <a:stretch>
                      <a:fillRect/>
                    </a:stretch>
                  </pic:blipFill>
                  <pic:spPr>
                    <a:xfrm>
                      <a:off x="0" y="0"/>
                      <a:ext cx="5274310" cy="2896235"/>
                    </a:xfrm>
                    <a:prstGeom prst="rect">
                      <a:avLst/>
                    </a:prstGeom>
                  </pic:spPr>
                </pic:pic>
              </a:graphicData>
            </a:graphic>
          </wp:inline>
        </w:drawing>
      </w:r>
    </w:p>
    <w:p>
      <w:pPr>
        <w:numPr>
          <w:ilvl w:val="255"/>
          <w:numId w:val="0"/>
        </w:numPr>
        <w:jc w:val="center"/>
      </w:pPr>
      <w:r>
        <w:rPr>
          <w:rFonts w:hint="eastAsia"/>
        </w:rPr>
        <w:t>图5 项目公司股权穿透图</w:t>
      </w:r>
    </w:p>
    <w:p>
      <w:pPr>
        <w:numPr>
          <w:ilvl w:val="255"/>
          <w:numId w:val="0"/>
        </w:numPr>
        <w:jc w:val="center"/>
      </w:pPr>
    </w:p>
    <w:p>
      <w:pPr>
        <w:numPr>
          <w:ilvl w:val="255"/>
          <w:numId w:val="0"/>
        </w:numPr>
        <w:jc w:val="left"/>
      </w:pPr>
      <w:r>
        <w:rPr>
          <w:rFonts w:hint="eastAsia"/>
        </w:rPr>
        <w:t>（转下页）</w:t>
      </w:r>
    </w:p>
    <w:p>
      <w:pPr>
        <w:numPr>
          <w:ilvl w:val="255"/>
          <w:numId w:val="0"/>
        </w:numPr>
        <w:jc w:val="center"/>
      </w:pPr>
    </w:p>
    <w:p>
      <w:pPr>
        <w:numPr>
          <w:ilvl w:val="255"/>
          <w:numId w:val="0"/>
        </w:numPr>
        <w:jc w:val="center"/>
      </w:pPr>
    </w:p>
    <w:p>
      <w:pPr>
        <w:numPr>
          <w:ilvl w:val="255"/>
          <w:numId w:val="0"/>
        </w:numPr>
        <w:jc w:val="center"/>
      </w:pPr>
    </w:p>
    <w:p>
      <w:pPr>
        <w:numPr>
          <w:ilvl w:val="0"/>
          <w:numId w:val="1"/>
        </w:numPr>
        <w:outlineLvl w:val="0"/>
        <w:rPr>
          <w:b/>
          <w:bCs/>
          <w:sz w:val="28"/>
          <w:szCs w:val="28"/>
        </w:rPr>
      </w:pPr>
      <w:bookmarkStart w:id="6" w:name="_Toc26175"/>
      <w:r>
        <w:rPr>
          <w:rFonts w:hint="eastAsia"/>
          <w:b/>
          <w:bCs/>
          <w:sz w:val="28"/>
          <w:szCs w:val="28"/>
        </w:rPr>
        <w:t>竞品分析</w:t>
      </w:r>
      <w:bookmarkEnd w:id="6"/>
    </w:p>
    <w:p>
      <w:pPr>
        <w:spacing w:line="360" w:lineRule="auto"/>
        <w:ind w:firstLine="480" w:firstLineChars="200"/>
        <w:rPr>
          <w:rFonts w:asciiTheme="minorEastAsia" w:hAnsiTheme="minorEastAsia"/>
          <w:sz w:val="24"/>
        </w:rPr>
      </w:pPr>
      <w:r>
        <w:rPr>
          <w:rFonts w:hint="eastAsia" w:ascii="宋体" w:hAnsi="宋体"/>
          <w:sz w:val="24"/>
        </w:rPr>
        <w:t>螺洲TOD项目暂定推广名：云洲郡，主要规划小高层住宅产品。由于该板块近年来土地供应较少，主要可参考的近期有销售记录的竞品是首开的螺洲温泉小镇、阳光城大都会和泰禾福州院子。</w:t>
      </w:r>
      <w:r>
        <w:rPr>
          <w:rFonts w:hint="eastAsia" w:cs="Arial" w:asciiTheme="minorEastAsia" w:hAnsiTheme="minorEastAsia"/>
          <w:sz w:val="24"/>
        </w:rPr>
        <w:t>项目周边在售楼盘位置</w:t>
      </w:r>
      <w:r>
        <w:rPr>
          <w:rFonts w:hint="eastAsia" w:asciiTheme="minorEastAsia" w:hAnsiTheme="minorEastAsia"/>
          <w:sz w:val="24"/>
        </w:rPr>
        <w:t>（详见图6）</w:t>
      </w:r>
    </w:p>
    <w:p>
      <w:pPr>
        <w:spacing w:line="360" w:lineRule="auto"/>
        <w:rPr>
          <w:rFonts w:asciiTheme="minorEastAsia" w:hAnsiTheme="minorEastAsia"/>
          <w:sz w:val="24"/>
        </w:rPr>
      </w:pPr>
      <w:r>
        <w:drawing>
          <wp:inline distT="0" distB="0" distL="114300" distR="114300">
            <wp:extent cx="5270500" cy="2664460"/>
            <wp:effectExtent l="0" t="0" r="6350" b="254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3"/>
                    <a:srcRect/>
                    <a:stretch>
                      <a:fillRect/>
                    </a:stretch>
                  </pic:blipFill>
                  <pic:spPr>
                    <a:xfrm>
                      <a:off x="0" y="0"/>
                      <a:ext cx="5270500" cy="2664460"/>
                    </a:xfrm>
                    <a:prstGeom prst="rect">
                      <a:avLst/>
                    </a:prstGeom>
                    <a:noFill/>
                    <a:ln>
                      <a:noFill/>
                    </a:ln>
                  </pic:spPr>
                </pic:pic>
              </a:graphicData>
            </a:graphic>
          </wp:inline>
        </w:drawing>
      </w:r>
    </w:p>
    <w:p>
      <w:pPr>
        <w:spacing w:line="360" w:lineRule="auto"/>
        <w:ind w:firstLine="420" w:firstLineChars="200"/>
        <w:jc w:val="center"/>
      </w:pPr>
      <w:r>
        <w:rPr>
          <w:rFonts w:hint="eastAsia"/>
        </w:rPr>
        <w:t>图6 项目周边在售楼盘位置</w:t>
      </w:r>
    </w:p>
    <w:tbl>
      <w:tblPr>
        <w:tblStyle w:val="9"/>
        <w:tblW w:w="7933" w:type="dxa"/>
        <w:jc w:val="center"/>
        <w:tblLayout w:type="fixed"/>
        <w:tblCellMar>
          <w:top w:w="0" w:type="dxa"/>
          <w:left w:w="108" w:type="dxa"/>
          <w:bottom w:w="0" w:type="dxa"/>
          <w:right w:w="108" w:type="dxa"/>
        </w:tblCellMar>
      </w:tblPr>
      <w:tblGrid>
        <w:gridCol w:w="1069"/>
        <w:gridCol w:w="2288"/>
        <w:gridCol w:w="2288"/>
        <w:gridCol w:w="2288"/>
      </w:tblGrid>
      <w:tr>
        <w:tblPrEx>
          <w:tblCellMar>
            <w:top w:w="0" w:type="dxa"/>
            <w:left w:w="108" w:type="dxa"/>
            <w:bottom w:w="0" w:type="dxa"/>
            <w:right w:w="108" w:type="dxa"/>
          </w:tblCellMar>
        </w:tblPrEx>
        <w:trPr>
          <w:trHeight w:val="285" w:hRule="atLeast"/>
          <w:jc w:val="center"/>
        </w:trPr>
        <w:tc>
          <w:tcPr>
            <w:tcW w:w="1069" w:type="dxa"/>
            <w:tcBorders>
              <w:top w:val="single" w:color="auto" w:sz="4" w:space="0"/>
              <w:left w:val="single" w:color="auto" w:sz="4" w:space="0"/>
              <w:bottom w:val="single" w:color="auto" w:sz="4" w:space="0"/>
              <w:right w:val="single" w:color="auto" w:sz="4" w:space="0"/>
            </w:tcBorders>
            <w:shd w:val="clear" w:color="auto" w:fill="9CC2E5" w:themeFill="accent1" w:themeFillTint="99"/>
            <w:vAlign w:val="center"/>
          </w:tcPr>
          <w:p>
            <w:pPr>
              <w:widowControl/>
              <w:jc w:val="center"/>
              <w:rPr>
                <w:rFonts w:ascii="宋体" w:hAnsi="宋体" w:cs="宋体"/>
                <w:b/>
                <w:kern w:val="0"/>
                <w:szCs w:val="21"/>
              </w:rPr>
            </w:pPr>
            <w:r>
              <w:rPr>
                <w:rFonts w:hint="eastAsia" w:ascii="宋体" w:hAnsi="宋体" w:cs="宋体"/>
                <w:b/>
                <w:kern w:val="0"/>
                <w:szCs w:val="21"/>
              </w:rPr>
              <w:t>项目名称</w:t>
            </w:r>
          </w:p>
        </w:tc>
        <w:tc>
          <w:tcPr>
            <w:tcW w:w="2288" w:type="dxa"/>
            <w:tcBorders>
              <w:top w:val="single" w:color="auto" w:sz="4" w:space="0"/>
              <w:left w:val="nil"/>
              <w:bottom w:val="single" w:color="auto" w:sz="4" w:space="0"/>
              <w:right w:val="single" w:color="auto" w:sz="4" w:space="0"/>
            </w:tcBorders>
            <w:shd w:val="clear" w:color="auto" w:fill="9CC2E5" w:themeFill="accent1" w:themeFillTint="99"/>
            <w:vAlign w:val="center"/>
          </w:tcPr>
          <w:p>
            <w:pPr>
              <w:widowControl/>
              <w:jc w:val="center"/>
              <w:rPr>
                <w:rFonts w:ascii="宋体" w:hAnsi="宋体" w:cs="宋体"/>
                <w:b/>
                <w:kern w:val="0"/>
                <w:szCs w:val="21"/>
              </w:rPr>
            </w:pPr>
            <w:r>
              <w:rPr>
                <w:rFonts w:hint="eastAsia" w:ascii="宋体" w:hAnsi="宋体" w:cs="宋体"/>
                <w:b/>
                <w:kern w:val="0"/>
                <w:szCs w:val="21"/>
              </w:rPr>
              <w:t>螺洲温泉小镇</w:t>
            </w:r>
          </w:p>
        </w:tc>
        <w:tc>
          <w:tcPr>
            <w:tcW w:w="2288" w:type="dxa"/>
            <w:tcBorders>
              <w:top w:val="single" w:color="auto" w:sz="4" w:space="0"/>
              <w:left w:val="nil"/>
              <w:bottom w:val="single" w:color="auto" w:sz="4" w:space="0"/>
              <w:right w:val="single" w:color="auto" w:sz="4" w:space="0"/>
            </w:tcBorders>
            <w:shd w:val="clear" w:color="auto" w:fill="9CC2E5" w:themeFill="accent1" w:themeFillTint="99"/>
            <w:vAlign w:val="center"/>
          </w:tcPr>
          <w:p>
            <w:pPr>
              <w:widowControl/>
              <w:jc w:val="center"/>
              <w:rPr>
                <w:rFonts w:ascii="宋体" w:hAnsi="宋体" w:cs="宋体"/>
                <w:b/>
                <w:kern w:val="0"/>
                <w:szCs w:val="21"/>
              </w:rPr>
            </w:pPr>
            <w:r>
              <w:rPr>
                <w:rFonts w:hint="eastAsia" w:ascii="宋体" w:hAnsi="宋体" w:cs="宋体"/>
                <w:b/>
                <w:kern w:val="0"/>
                <w:szCs w:val="21"/>
              </w:rPr>
              <w:t>阳光城大都会</w:t>
            </w:r>
          </w:p>
        </w:tc>
        <w:tc>
          <w:tcPr>
            <w:tcW w:w="2288" w:type="dxa"/>
            <w:tcBorders>
              <w:top w:val="single" w:color="auto" w:sz="4" w:space="0"/>
              <w:left w:val="single" w:color="auto" w:sz="4" w:space="0"/>
              <w:bottom w:val="single" w:color="auto" w:sz="4" w:space="0"/>
              <w:right w:val="single" w:color="auto" w:sz="4" w:space="0"/>
            </w:tcBorders>
            <w:shd w:val="clear" w:color="auto" w:fill="9CC2E5" w:themeFill="accent1" w:themeFillTint="99"/>
            <w:vAlign w:val="center"/>
          </w:tcPr>
          <w:p>
            <w:pPr>
              <w:widowControl/>
              <w:jc w:val="center"/>
              <w:rPr>
                <w:rFonts w:ascii="宋体" w:hAnsi="宋体" w:cs="宋体"/>
                <w:b/>
                <w:kern w:val="0"/>
                <w:szCs w:val="21"/>
              </w:rPr>
            </w:pPr>
            <w:r>
              <w:rPr>
                <w:rFonts w:hint="eastAsia" w:ascii="宋体" w:hAnsi="宋体" w:cs="宋体"/>
                <w:b/>
                <w:kern w:val="0"/>
                <w:szCs w:val="21"/>
              </w:rPr>
              <w:t>泰禾福州院子</w:t>
            </w:r>
          </w:p>
        </w:tc>
      </w:tr>
      <w:tr>
        <w:tblPrEx>
          <w:tblCellMar>
            <w:top w:w="0" w:type="dxa"/>
            <w:left w:w="108" w:type="dxa"/>
            <w:bottom w:w="0" w:type="dxa"/>
            <w:right w:w="108" w:type="dxa"/>
          </w:tblCellMar>
        </w:tblPrEx>
        <w:trPr>
          <w:trHeight w:val="744" w:hRule="atLeast"/>
          <w:jc w:val="center"/>
        </w:trPr>
        <w:tc>
          <w:tcPr>
            <w:tcW w:w="1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项目地址</w:t>
            </w:r>
          </w:p>
        </w:tc>
        <w:tc>
          <w:tcPr>
            <w:tcW w:w="22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螺洲温泉小镇国仕府南台大道</w:t>
            </w:r>
          </w:p>
        </w:tc>
        <w:tc>
          <w:tcPr>
            <w:tcW w:w="22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福建省福州市仓山区永南路与胪雷路交叉口南50</w:t>
            </w:r>
            <w:r>
              <w:rPr>
                <w:rFonts w:ascii="宋体" w:hAnsi="宋体" w:cs="宋体"/>
                <w:color w:val="000000"/>
                <w:kern w:val="0"/>
                <w:szCs w:val="21"/>
              </w:rPr>
              <w:t>m</w:t>
            </w:r>
          </w:p>
        </w:tc>
        <w:tc>
          <w:tcPr>
            <w:tcW w:w="22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仓山区螺洲镇106号福州院子国院会</w:t>
            </w:r>
          </w:p>
        </w:tc>
      </w:tr>
      <w:tr>
        <w:tblPrEx>
          <w:tblCellMar>
            <w:top w:w="0" w:type="dxa"/>
            <w:left w:w="108" w:type="dxa"/>
            <w:bottom w:w="0" w:type="dxa"/>
            <w:right w:w="108" w:type="dxa"/>
          </w:tblCellMar>
        </w:tblPrEx>
        <w:trPr>
          <w:trHeight w:val="728" w:hRule="atLeast"/>
          <w:jc w:val="center"/>
        </w:trPr>
        <w:tc>
          <w:tcPr>
            <w:tcW w:w="1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成交均价</w:t>
            </w:r>
          </w:p>
          <w:p>
            <w:pPr>
              <w:widowControl/>
              <w:jc w:val="center"/>
              <w:rPr>
                <w:rFonts w:ascii="宋体" w:hAnsi="宋体" w:cs="宋体"/>
                <w:color w:val="000000"/>
                <w:kern w:val="0"/>
                <w:szCs w:val="21"/>
              </w:rPr>
            </w:pPr>
            <w:r>
              <w:rPr>
                <w:rFonts w:hint="eastAsia" w:ascii="宋体" w:hAnsi="宋体" w:cs="宋体"/>
                <w:color w:val="000000"/>
                <w:kern w:val="0"/>
                <w:szCs w:val="21"/>
              </w:rPr>
              <w:t>（元/㎡）</w:t>
            </w:r>
          </w:p>
        </w:tc>
        <w:tc>
          <w:tcPr>
            <w:tcW w:w="22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26361</w:t>
            </w:r>
          </w:p>
        </w:tc>
        <w:tc>
          <w:tcPr>
            <w:tcW w:w="22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23112</w:t>
            </w:r>
          </w:p>
        </w:tc>
        <w:tc>
          <w:tcPr>
            <w:tcW w:w="22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22073</w:t>
            </w:r>
          </w:p>
        </w:tc>
      </w:tr>
      <w:tr>
        <w:tblPrEx>
          <w:tblCellMar>
            <w:top w:w="0" w:type="dxa"/>
            <w:left w:w="108" w:type="dxa"/>
            <w:bottom w:w="0" w:type="dxa"/>
            <w:right w:w="108" w:type="dxa"/>
          </w:tblCellMar>
        </w:tblPrEx>
        <w:trPr>
          <w:trHeight w:val="270" w:hRule="atLeast"/>
          <w:jc w:val="center"/>
        </w:trPr>
        <w:tc>
          <w:tcPr>
            <w:tcW w:w="1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开发商</w:t>
            </w:r>
          </w:p>
        </w:tc>
        <w:tc>
          <w:tcPr>
            <w:tcW w:w="22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首开</w:t>
            </w:r>
          </w:p>
        </w:tc>
        <w:tc>
          <w:tcPr>
            <w:tcW w:w="22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阳光城</w:t>
            </w:r>
          </w:p>
        </w:tc>
        <w:tc>
          <w:tcPr>
            <w:tcW w:w="22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泰禾</w:t>
            </w:r>
          </w:p>
        </w:tc>
      </w:tr>
      <w:tr>
        <w:tblPrEx>
          <w:tblCellMar>
            <w:top w:w="0" w:type="dxa"/>
            <w:left w:w="108" w:type="dxa"/>
            <w:bottom w:w="0" w:type="dxa"/>
            <w:right w:w="108" w:type="dxa"/>
          </w:tblCellMar>
        </w:tblPrEx>
        <w:trPr>
          <w:trHeight w:val="270" w:hRule="atLeast"/>
          <w:jc w:val="center"/>
        </w:trPr>
        <w:tc>
          <w:tcPr>
            <w:tcW w:w="1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开盘时间</w:t>
            </w:r>
          </w:p>
        </w:tc>
        <w:tc>
          <w:tcPr>
            <w:tcW w:w="22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2019</w:t>
            </w:r>
            <w:r>
              <w:rPr>
                <w:rFonts w:hint="eastAsia" w:ascii="宋体" w:hAnsi="宋体" w:cs="宋体"/>
                <w:color w:val="000000"/>
                <w:kern w:val="0"/>
                <w:szCs w:val="21"/>
              </w:rPr>
              <w:t>年</w:t>
            </w:r>
            <w:r>
              <w:rPr>
                <w:rFonts w:ascii="宋体" w:hAnsi="宋体" w:cs="宋体"/>
                <w:color w:val="000000"/>
                <w:kern w:val="0"/>
                <w:szCs w:val="21"/>
              </w:rPr>
              <w:t>6</w:t>
            </w:r>
            <w:r>
              <w:rPr>
                <w:rFonts w:hint="eastAsia" w:ascii="宋体" w:hAnsi="宋体" w:cs="宋体"/>
                <w:color w:val="000000"/>
                <w:kern w:val="0"/>
                <w:szCs w:val="21"/>
              </w:rPr>
              <w:t>月</w:t>
            </w:r>
          </w:p>
        </w:tc>
        <w:tc>
          <w:tcPr>
            <w:tcW w:w="22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2015</w:t>
            </w:r>
            <w:r>
              <w:rPr>
                <w:rFonts w:hint="eastAsia" w:ascii="宋体" w:hAnsi="宋体" w:cs="宋体"/>
                <w:color w:val="000000"/>
                <w:kern w:val="0"/>
                <w:szCs w:val="21"/>
              </w:rPr>
              <w:t>年1月</w:t>
            </w:r>
          </w:p>
        </w:tc>
        <w:tc>
          <w:tcPr>
            <w:tcW w:w="22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201</w:t>
            </w:r>
            <w:r>
              <w:rPr>
                <w:rFonts w:hint="eastAsia" w:ascii="宋体" w:hAnsi="宋体" w:cs="宋体"/>
                <w:color w:val="000000"/>
                <w:kern w:val="0"/>
                <w:szCs w:val="21"/>
              </w:rPr>
              <w:t>7年03月</w:t>
            </w:r>
          </w:p>
        </w:tc>
      </w:tr>
      <w:tr>
        <w:tblPrEx>
          <w:tblCellMar>
            <w:top w:w="0" w:type="dxa"/>
            <w:left w:w="108" w:type="dxa"/>
            <w:bottom w:w="0" w:type="dxa"/>
            <w:right w:w="108" w:type="dxa"/>
          </w:tblCellMar>
        </w:tblPrEx>
        <w:trPr>
          <w:trHeight w:val="1268" w:hRule="atLeast"/>
          <w:jc w:val="center"/>
        </w:trPr>
        <w:tc>
          <w:tcPr>
            <w:tcW w:w="1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去化情况</w:t>
            </w:r>
          </w:p>
        </w:tc>
        <w:tc>
          <w:tcPr>
            <w:tcW w:w="2288"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供应212套，</w:t>
            </w:r>
          </w:p>
          <w:p>
            <w:pPr>
              <w:widowControl/>
              <w:jc w:val="center"/>
              <w:rPr>
                <w:rFonts w:ascii="宋体" w:hAnsi="宋体" w:cs="宋体"/>
                <w:color w:val="000000"/>
                <w:kern w:val="0"/>
                <w:szCs w:val="21"/>
              </w:rPr>
            </w:pPr>
            <w:r>
              <w:rPr>
                <w:rFonts w:hint="eastAsia" w:ascii="宋体" w:hAnsi="宋体" w:cs="宋体"/>
                <w:color w:val="000000"/>
                <w:kern w:val="0"/>
                <w:szCs w:val="21"/>
              </w:rPr>
              <w:t>成交114套，</w:t>
            </w:r>
          </w:p>
          <w:p>
            <w:pPr>
              <w:widowControl/>
              <w:jc w:val="center"/>
              <w:rPr>
                <w:rFonts w:ascii="宋体" w:hAnsi="宋体" w:cs="宋体"/>
                <w:color w:val="000000"/>
                <w:kern w:val="0"/>
                <w:szCs w:val="21"/>
              </w:rPr>
            </w:pPr>
            <w:r>
              <w:rPr>
                <w:rFonts w:hint="eastAsia" w:ascii="宋体" w:hAnsi="宋体" w:cs="宋体"/>
                <w:color w:val="000000"/>
                <w:kern w:val="0"/>
                <w:szCs w:val="21"/>
              </w:rPr>
              <w:t>成交率54%</w:t>
            </w:r>
          </w:p>
        </w:tc>
        <w:tc>
          <w:tcPr>
            <w:tcW w:w="2288" w:type="dxa"/>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住宅部分已售罄</w:t>
            </w:r>
          </w:p>
        </w:tc>
        <w:tc>
          <w:tcPr>
            <w:tcW w:w="2288" w:type="dxa"/>
            <w:tcBorders>
              <w:top w:val="nil"/>
              <w:left w:val="single" w:color="auto" w:sz="4" w:space="0"/>
              <w:bottom w:val="single" w:color="000000"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供应2554套（含车位），</w:t>
            </w:r>
          </w:p>
          <w:p>
            <w:pPr>
              <w:widowControl/>
              <w:jc w:val="center"/>
              <w:rPr>
                <w:rFonts w:ascii="宋体" w:hAnsi="宋体" w:cs="宋体"/>
                <w:kern w:val="0"/>
                <w:szCs w:val="21"/>
              </w:rPr>
            </w:pPr>
            <w:r>
              <w:rPr>
                <w:rFonts w:hint="eastAsia" w:ascii="宋体" w:hAnsi="宋体" w:cs="宋体"/>
                <w:kern w:val="0"/>
                <w:szCs w:val="21"/>
              </w:rPr>
              <w:t>成交1184套，</w:t>
            </w:r>
          </w:p>
          <w:p>
            <w:pPr>
              <w:widowControl/>
              <w:jc w:val="center"/>
              <w:rPr>
                <w:rFonts w:ascii="宋体" w:hAnsi="宋体" w:cs="宋体"/>
                <w:color w:val="000000"/>
                <w:kern w:val="0"/>
                <w:szCs w:val="21"/>
              </w:rPr>
            </w:pPr>
            <w:r>
              <w:rPr>
                <w:rFonts w:hint="eastAsia" w:ascii="宋体" w:hAnsi="宋体" w:cs="宋体"/>
                <w:kern w:val="0"/>
                <w:szCs w:val="21"/>
              </w:rPr>
              <w:t>成交率为46%</w:t>
            </w:r>
          </w:p>
        </w:tc>
      </w:tr>
      <w:tr>
        <w:tblPrEx>
          <w:tblCellMar>
            <w:top w:w="0" w:type="dxa"/>
            <w:left w:w="108" w:type="dxa"/>
            <w:bottom w:w="0" w:type="dxa"/>
            <w:right w:w="108" w:type="dxa"/>
          </w:tblCellMar>
        </w:tblPrEx>
        <w:trPr>
          <w:trHeight w:val="946" w:hRule="atLeast"/>
          <w:jc w:val="center"/>
        </w:trPr>
        <w:tc>
          <w:tcPr>
            <w:tcW w:w="1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主要户型</w:t>
            </w:r>
          </w:p>
        </w:tc>
        <w:tc>
          <w:tcPr>
            <w:tcW w:w="2288"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95/117/145㎡</w:t>
            </w:r>
          </w:p>
          <w:p>
            <w:pPr>
              <w:widowControl/>
              <w:jc w:val="center"/>
              <w:rPr>
                <w:rFonts w:ascii="宋体" w:hAnsi="宋体" w:cs="宋体"/>
                <w:color w:val="000000"/>
                <w:kern w:val="0"/>
                <w:szCs w:val="21"/>
              </w:rPr>
            </w:pPr>
            <w:r>
              <w:rPr>
                <w:rFonts w:hint="eastAsia" w:ascii="宋体" w:hAnsi="宋体" w:cs="宋体"/>
                <w:color w:val="000000"/>
                <w:kern w:val="0"/>
                <w:szCs w:val="21"/>
              </w:rPr>
              <w:t>小高层</w:t>
            </w:r>
          </w:p>
        </w:tc>
        <w:tc>
          <w:tcPr>
            <w:tcW w:w="2288" w:type="dxa"/>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78/88/103/128</w:t>
            </w:r>
            <w:r>
              <w:rPr>
                <w:rFonts w:hint="eastAsia" w:ascii="宋体" w:hAnsi="宋体" w:cs="宋体"/>
                <w:color w:val="000000"/>
                <w:kern w:val="0"/>
                <w:szCs w:val="21"/>
              </w:rPr>
              <w:t>㎡，高层</w:t>
            </w:r>
          </w:p>
        </w:tc>
        <w:tc>
          <w:tcPr>
            <w:tcW w:w="2288"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153</w:t>
            </w:r>
            <w:r>
              <w:rPr>
                <w:rFonts w:ascii="宋体" w:hAnsi="宋体" w:cs="宋体"/>
                <w:kern w:val="0"/>
                <w:szCs w:val="21"/>
              </w:rPr>
              <w:t>/260(5</w:t>
            </w:r>
            <w:r>
              <w:rPr>
                <w:rFonts w:hint="eastAsia" w:ascii="宋体" w:hAnsi="宋体" w:cs="宋体"/>
                <w:kern w:val="0"/>
                <w:szCs w:val="21"/>
              </w:rPr>
              <w:t>-12居</w:t>
            </w:r>
            <w:r>
              <w:rPr>
                <w:rFonts w:ascii="宋体" w:hAnsi="宋体" w:cs="宋体"/>
                <w:kern w:val="0"/>
                <w:szCs w:val="21"/>
              </w:rPr>
              <w:t>)</w:t>
            </w:r>
            <w:r>
              <w:rPr>
                <w:rFonts w:hint="eastAsia" w:ascii="宋体" w:hAnsi="宋体" w:cs="宋体"/>
                <w:kern w:val="0"/>
                <w:szCs w:val="21"/>
              </w:rPr>
              <w:t>㎡，高层</w:t>
            </w:r>
          </w:p>
        </w:tc>
      </w:tr>
      <w:tr>
        <w:tblPrEx>
          <w:tblCellMar>
            <w:top w:w="0" w:type="dxa"/>
            <w:left w:w="108" w:type="dxa"/>
            <w:bottom w:w="0" w:type="dxa"/>
            <w:right w:w="108" w:type="dxa"/>
          </w:tblCellMar>
        </w:tblPrEx>
        <w:trPr>
          <w:trHeight w:val="270" w:hRule="atLeast"/>
          <w:jc w:val="center"/>
        </w:trPr>
        <w:tc>
          <w:tcPr>
            <w:tcW w:w="1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容积率</w:t>
            </w:r>
          </w:p>
        </w:tc>
        <w:tc>
          <w:tcPr>
            <w:tcW w:w="22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2.0</w:t>
            </w:r>
          </w:p>
        </w:tc>
        <w:tc>
          <w:tcPr>
            <w:tcW w:w="22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3.0</w:t>
            </w:r>
          </w:p>
        </w:tc>
        <w:tc>
          <w:tcPr>
            <w:tcW w:w="22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0.7</w:t>
            </w:r>
          </w:p>
        </w:tc>
      </w:tr>
      <w:tr>
        <w:tblPrEx>
          <w:tblCellMar>
            <w:top w:w="0" w:type="dxa"/>
            <w:left w:w="108" w:type="dxa"/>
            <w:bottom w:w="0" w:type="dxa"/>
            <w:right w:w="108" w:type="dxa"/>
          </w:tblCellMar>
        </w:tblPrEx>
        <w:trPr>
          <w:trHeight w:val="270" w:hRule="atLeast"/>
          <w:jc w:val="center"/>
        </w:trPr>
        <w:tc>
          <w:tcPr>
            <w:tcW w:w="1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装修状况</w:t>
            </w:r>
          </w:p>
        </w:tc>
        <w:tc>
          <w:tcPr>
            <w:tcW w:w="22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毛坯</w:t>
            </w:r>
          </w:p>
        </w:tc>
        <w:tc>
          <w:tcPr>
            <w:tcW w:w="22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毛坯</w:t>
            </w:r>
          </w:p>
        </w:tc>
        <w:tc>
          <w:tcPr>
            <w:tcW w:w="22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毛坯</w:t>
            </w:r>
          </w:p>
        </w:tc>
      </w:tr>
      <w:tr>
        <w:tblPrEx>
          <w:tblCellMar>
            <w:top w:w="0" w:type="dxa"/>
            <w:left w:w="108" w:type="dxa"/>
            <w:bottom w:w="0" w:type="dxa"/>
            <w:right w:w="108" w:type="dxa"/>
          </w:tblCellMar>
        </w:tblPrEx>
        <w:trPr>
          <w:trHeight w:val="270" w:hRule="atLeast"/>
          <w:jc w:val="center"/>
        </w:trPr>
        <w:tc>
          <w:tcPr>
            <w:tcW w:w="1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总建筑面积</w:t>
            </w:r>
          </w:p>
          <w:p>
            <w:pPr>
              <w:widowControl/>
              <w:jc w:val="center"/>
              <w:rPr>
                <w:rFonts w:ascii="宋体" w:hAnsi="宋体" w:cs="宋体"/>
                <w:color w:val="000000"/>
                <w:kern w:val="0"/>
                <w:szCs w:val="21"/>
              </w:rPr>
            </w:pPr>
            <w:r>
              <w:rPr>
                <w:rFonts w:hint="eastAsia" w:ascii="宋体" w:hAnsi="宋体" w:cs="宋体"/>
                <w:color w:val="000000"/>
                <w:kern w:val="0"/>
                <w:szCs w:val="21"/>
              </w:rPr>
              <w:t>（万方）</w:t>
            </w:r>
          </w:p>
        </w:tc>
        <w:tc>
          <w:tcPr>
            <w:tcW w:w="22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16.4</w:t>
            </w:r>
            <w:r>
              <w:rPr>
                <w:rFonts w:hint="eastAsia" w:ascii="宋体" w:hAnsi="宋体" w:cs="宋体"/>
                <w:color w:val="000000"/>
                <w:kern w:val="0"/>
                <w:szCs w:val="21"/>
              </w:rPr>
              <w:t>万方</w:t>
            </w:r>
          </w:p>
          <w:p>
            <w:pPr>
              <w:widowControl/>
              <w:jc w:val="center"/>
              <w:rPr>
                <w:rFonts w:ascii="宋体" w:hAnsi="宋体" w:cs="宋体"/>
                <w:color w:val="000000"/>
                <w:kern w:val="0"/>
                <w:szCs w:val="21"/>
              </w:rPr>
            </w:pPr>
            <w:r>
              <w:rPr>
                <w:rFonts w:hint="eastAsia" w:ascii="宋体" w:hAnsi="宋体" w:cs="宋体"/>
                <w:color w:val="000000"/>
                <w:kern w:val="0"/>
                <w:szCs w:val="21"/>
              </w:rPr>
              <w:t>（可售住宅10万方）</w:t>
            </w:r>
          </w:p>
        </w:tc>
        <w:tc>
          <w:tcPr>
            <w:tcW w:w="22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59</w:t>
            </w:r>
            <w:r>
              <w:rPr>
                <w:rFonts w:hint="eastAsia" w:ascii="宋体" w:hAnsi="宋体" w:cs="宋体"/>
                <w:color w:val="000000"/>
                <w:kern w:val="0"/>
                <w:szCs w:val="21"/>
              </w:rPr>
              <w:t>万方，（可售住宅20万方，公寓24万方）</w:t>
            </w:r>
          </w:p>
        </w:tc>
        <w:tc>
          <w:tcPr>
            <w:tcW w:w="22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kern w:val="0"/>
                <w:szCs w:val="21"/>
              </w:rPr>
              <w:t>96万方</w:t>
            </w:r>
          </w:p>
        </w:tc>
      </w:tr>
    </w:tbl>
    <w:p>
      <w:pPr>
        <w:outlineLvl w:val="0"/>
        <w:rPr>
          <w:b/>
          <w:bCs/>
          <w:sz w:val="28"/>
          <w:szCs w:val="28"/>
        </w:rPr>
      </w:pPr>
    </w:p>
    <w:p>
      <w:pPr>
        <w:outlineLvl w:val="0"/>
        <w:rPr>
          <w:sz w:val="28"/>
          <w:szCs w:val="28"/>
        </w:rPr>
      </w:pPr>
      <w:bookmarkStart w:id="7" w:name="_Toc30817"/>
      <w:r>
        <w:rPr>
          <w:rFonts w:hint="eastAsia"/>
          <w:b/>
          <w:bCs/>
          <w:sz w:val="28"/>
          <w:szCs w:val="28"/>
        </w:rPr>
        <w:t>四、入场交接</w:t>
      </w:r>
      <w:bookmarkEnd w:id="7"/>
    </w:p>
    <w:p>
      <w:pPr>
        <w:numPr>
          <w:ilvl w:val="0"/>
          <w:numId w:val="2"/>
        </w:numPr>
        <w:outlineLvl w:val="1"/>
        <w:rPr>
          <w:b/>
          <w:bCs/>
          <w:sz w:val="24"/>
        </w:rPr>
      </w:pPr>
      <w:bookmarkStart w:id="8" w:name="_Toc31369"/>
      <w:r>
        <w:rPr>
          <w:rFonts w:hint="eastAsia"/>
          <w:b/>
          <w:bCs/>
          <w:sz w:val="24"/>
        </w:rPr>
        <w:t>交接及现场监管流程沟通</w:t>
      </w:r>
      <w:bookmarkEnd w:id="8"/>
    </w:p>
    <w:p>
      <w:pPr>
        <w:spacing w:line="360" w:lineRule="auto"/>
        <w:ind w:firstLine="480" w:firstLineChars="200"/>
        <w:rPr>
          <w:rFonts w:cs="Arial" w:asciiTheme="minorEastAsia" w:hAnsiTheme="minorEastAsia"/>
          <w:sz w:val="24"/>
        </w:rPr>
      </w:pPr>
      <w:r>
        <w:rPr>
          <w:rFonts w:hint="eastAsia" w:cs="Arial" w:asciiTheme="minorEastAsia" w:hAnsiTheme="minorEastAsia"/>
          <w:sz w:val="24"/>
        </w:rPr>
        <w:t>2020年8月6日上午9时，康信资管投后主管杜喆、驻场人员王存丽与中航信托经理王立里、融创地产融资部郭恬、行政部庄小玲在融创中国东南区域集团办公地点就交接事项进行对接，就交接事项、交接流程及后期现场监管流程沟通如下 ：</w:t>
      </w:r>
    </w:p>
    <w:p>
      <w:pPr>
        <w:numPr>
          <w:ilvl w:val="255"/>
          <w:numId w:val="0"/>
        </w:numPr>
        <w:spacing w:line="360" w:lineRule="auto"/>
        <w:ind w:firstLine="480" w:firstLineChars="200"/>
        <w:rPr>
          <w:rFonts w:cs="Arial" w:asciiTheme="minorEastAsia" w:hAnsiTheme="minorEastAsia"/>
          <w:sz w:val="24"/>
        </w:rPr>
      </w:pPr>
      <w:r>
        <w:rPr>
          <w:rFonts w:hint="eastAsia" w:cs="Arial" w:asciiTheme="minorEastAsia" w:hAnsiTheme="minorEastAsia"/>
          <w:sz w:val="24"/>
        </w:rPr>
        <w:t>融创地产方对S</w:t>
      </w:r>
      <w:r>
        <w:rPr>
          <w:rFonts w:cs="Arial" w:asciiTheme="minorEastAsia" w:hAnsiTheme="minorEastAsia"/>
          <w:sz w:val="24"/>
        </w:rPr>
        <w:t>PV</w:t>
      </w:r>
      <w:r>
        <w:rPr>
          <w:rFonts w:hint="eastAsia" w:cs="Arial" w:asciiTheme="minorEastAsia" w:hAnsiTheme="minorEastAsia"/>
          <w:sz w:val="24"/>
        </w:rPr>
        <w:t>公司及项目公司情况进行介绍，S</w:t>
      </w:r>
      <w:r>
        <w:rPr>
          <w:rFonts w:cs="Arial" w:asciiTheme="minorEastAsia" w:hAnsiTheme="minorEastAsia"/>
          <w:sz w:val="24"/>
        </w:rPr>
        <w:t>PV</w:t>
      </w:r>
      <w:r>
        <w:rPr>
          <w:rFonts w:hint="eastAsia" w:cs="Arial" w:asciiTheme="minorEastAsia" w:hAnsiTheme="minorEastAsia"/>
          <w:sz w:val="24"/>
        </w:rPr>
        <w:t>公司目前仅在中国建设银行股份有限公司福州金融街支行开设了一个基本存款账户，领取U盾2个，其中1个操作盾（制单功能），1个管理盾（复核功能），其中管理盾（复核功能）将进行共管。项目公司在中国建设银行股份有限公司福州城东支行开设了一个基本存款账户，开立了网银账号一个，领取U盾3个，其中1个操作盾（制单功能），2个管理盾（复核功能），其中由SPV公司持有的管理盾（复核功能）将进行共管。</w:t>
      </w:r>
    </w:p>
    <w:p>
      <w:pPr>
        <w:spacing w:line="360" w:lineRule="auto"/>
        <w:ind w:firstLine="480" w:firstLineChars="200"/>
        <w:rPr>
          <w:rFonts w:asciiTheme="minorEastAsia" w:hAnsiTheme="minorEastAsia"/>
          <w:sz w:val="24"/>
        </w:rPr>
      </w:pPr>
      <w:r>
        <w:rPr>
          <w:rFonts w:hint="eastAsia" w:cs="Arial" w:asciiTheme="minorEastAsia" w:hAnsiTheme="minorEastAsia"/>
          <w:sz w:val="24"/>
        </w:rPr>
        <w:t>融创地产方表示，由于项目公司另一股东</w:t>
      </w:r>
      <w:r>
        <w:rPr>
          <w:rFonts w:hint="eastAsia" w:asciiTheme="minorEastAsia" w:hAnsiTheme="minorEastAsia"/>
          <w:sz w:val="24"/>
        </w:rPr>
        <w:t>福州首开福泰投资有限公司在项目公司现场派驻了财务、行政等工作人员，交接手续由融创融资部郭恬作为SPV公司及项目公司代表在融创公司进行，项目公司现场只进行清点工作；驻场人员在项目公司现场办公，所有事项只可与融创方派驻工作人员沟通，不得将对项目公司的共管事项告知首开派驻人员。由于首开方派驻人员不同意在交接单印模处盖章，对项目公司的交接单仅作为对SPV公司的共管交接单的附件，由SPV公司代表签字、盖章，对项目公司印鉴、账户的核验手续取消，康信资管只对SPV公司共管资料进行核验。</w:t>
      </w:r>
    </w:p>
    <w:p>
      <w:pPr>
        <w:spacing w:line="360" w:lineRule="auto"/>
        <w:ind w:firstLine="480" w:firstLineChars="200"/>
        <w:rPr>
          <w:rFonts w:asciiTheme="minorEastAsia" w:hAnsiTheme="minorEastAsia"/>
          <w:sz w:val="24"/>
        </w:rPr>
      </w:pPr>
      <w:r>
        <w:rPr>
          <w:rFonts w:hint="eastAsia" w:asciiTheme="minorEastAsia" w:hAnsiTheme="minorEastAsia"/>
          <w:sz w:val="24"/>
        </w:rPr>
        <w:t>由于项目公司所有审批手续均未上传融创系统，后期现场监管期间，康信资管驻场人员根据项目公司线下审批单对相关事项进行审核，为加快审核速度，建议项目公司相应申请人提前向驻场人员发送资料邮件，驻场人员对资料进行审核，待项目公司审核通过后，根据《监管协议》配合办理。</w:t>
      </w:r>
    </w:p>
    <w:p>
      <w:pPr>
        <w:spacing w:line="360" w:lineRule="auto"/>
        <w:ind w:firstLine="480" w:firstLineChars="200"/>
        <w:rPr>
          <w:rFonts w:cs="Arial" w:asciiTheme="minorEastAsia" w:hAnsiTheme="minorEastAsia"/>
          <w:sz w:val="24"/>
        </w:rPr>
      </w:pPr>
      <w:r>
        <w:rPr>
          <w:rFonts w:hint="eastAsia" w:cs="Arial" w:asciiTheme="minorEastAsia" w:hAnsiTheme="minorEastAsia"/>
          <w:sz w:val="24"/>
        </w:rPr>
        <w:t>经信托经理王立里对交接及驻场事项确认，康信驻场人员与</w:t>
      </w:r>
      <w:r>
        <w:rPr>
          <w:rFonts w:hint="eastAsia" w:asciiTheme="minorEastAsia" w:hAnsiTheme="minorEastAsia"/>
          <w:sz w:val="24"/>
        </w:rPr>
        <w:t>融创融资部</w:t>
      </w:r>
      <w:r>
        <w:rPr>
          <w:rFonts w:hint="eastAsia" w:cs="Arial" w:asciiTheme="minorEastAsia" w:hAnsiTheme="minorEastAsia"/>
          <w:sz w:val="24"/>
        </w:rPr>
        <w:t>郭恬对</w:t>
      </w:r>
      <w:r>
        <w:rPr>
          <w:rFonts w:cs="Arial" w:asciiTheme="minorEastAsia" w:hAnsiTheme="minorEastAsia"/>
          <w:sz w:val="24"/>
        </w:rPr>
        <w:t>SPV</w:t>
      </w:r>
      <w:r>
        <w:rPr>
          <w:rFonts w:hint="eastAsia" w:cs="Arial" w:asciiTheme="minorEastAsia" w:hAnsiTheme="minorEastAsia"/>
          <w:sz w:val="24"/>
        </w:rPr>
        <w:t>公司及项目公司基础证照、印鉴、进行核对，并编辑共管资料交接单。</w:t>
      </w:r>
    </w:p>
    <w:p>
      <w:pPr>
        <w:spacing w:line="360" w:lineRule="auto"/>
        <w:ind w:firstLine="480" w:firstLineChars="200"/>
        <w:rPr>
          <w:rFonts w:cs="Arial" w:asciiTheme="minorEastAsia" w:hAnsiTheme="minorEastAsia"/>
          <w:sz w:val="24"/>
        </w:rPr>
      </w:pPr>
    </w:p>
    <w:p>
      <w:pPr>
        <w:numPr>
          <w:ilvl w:val="0"/>
          <w:numId w:val="2"/>
        </w:numPr>
        <w:outlineLvl w:val="1"/>
        <w:rPr>
          <w:b/>
          <w:bCs/>
          <w:sz w:val="24"/>
        </w:rPr>
      </w:pPr>
      <w:bookmarkStart w:id="9" w:name="_Toc7318"/>
      <w:r>
        <w:rPr>
          <w:rFonts w:hint="eastAsia"/>
          <w:b/>
          <w:bCs/>
          <w:sz w:val="24"/>
        </w:rPr>
        <w:t>共管交接</w:t>
      </w:r>
      <w:bookmarkEnd w:id="9"/>
    </w:p>
    <w:p>
      <w:pPr>
        <w:spacing w:line="360" w:lineRule="auto"/>
        <w:ind w:firstLine="480" w:firstLineChars="200"/>
        <w:rPr>
          <w:rFonts w:cs="Arial" w:asciiTheme="minorEastAsia" w:hAnsiTheme="minorEastAsia"/>
          <w:sz w:val="24"/>
        </w:rPr>
      </w:pPr>
      <w:r>
        <w:rPr>
          <w:rFonts w:hint="eastAsia" w:cs="Arial" w:asciiTheme="minorEastAsia" w:hAnsiTheme="minorEastAsia"/>
          <w:sz w:val="24"/>
        </w:rPr>
        <w:t>（1）2020年</w:t>
      </w:r>
      <w:r>
        <w:rPr>
          <w:rFonts w:cs="Arial" w:asciiTheme="minorEastAsia" w:hAnsiTheme="minorEastAsia"/>
          <w:sz w:val="24"/>
        </w:rPr>
        <w:t>8</w:t>
      </w:r>
      <w:r>
        <w:rPr>
          <w:rFonts w:hint="eastAsia" w:cs="Arial" w:asciiTheme="minorEastAsia" w:hAnsiTheme="minorEastAsia"/>
          <w:sz w:val="24"/>
        </w:rPr>
        <w:t>月</w:t>
      </w:r>
      <w:r>
        <w:rPr>
          <w:rFonts w:cs="Arial" w:asciiTheme="minorEastAsia" w:hAnsiTheme="minorEastAsia"/>
          <w:sz w:val="24"/>
        </w:rPr>
        <w:t>6</w:t>
      </w:r>
      <w:r>
        <w:rPr>
          <w:rFonts w:hint="eastAsia" w:cs="Arial" w:asciiTheme="minorEastAsia" w:hAnsiTheme="minorEastAsia"/>
          <w:sz w:val="24"/>
        </w:rPr>
        <w:t>日中午康信资管驻场人员在中航信托经理王立里见证下，与</w:t>
      </w:r>
      <w:r>
        <w:rPr>
          <w:rFonts w:hint="eastAsia" w:asciiTheme="minorEastAsia" w:hAnsiTheme="minorEastAsia"/>
          <w:sz w:val="24"/>
        </w:rPr>
        <w:t>融创融资部</w:t>
      </w:r>
      <w:r>
        <w:rPr>
          <w:rFonts w:hint="eastAsia" w:cs="Arial" w:asciiTheme="minorEastAsia" w:hAnsiTheme="minorEastAsia"/>
          <w:sz w:val="24"/>
        </w:rPr>
        <w:t>郭恬对</w:t>
      </w:r>
      <w:r>
        <w:rPr>
          <w:rFonts w:cs="Arial" w:asciiTheme="minorEastAsia" w:hAnsiTheme="minorEastAsia"/>
          <w:sz w:val="24"/>
        </w:rPr>
        <w:t>SPV</w:t>
      </w:r>
      <w:r>
        <w:rPr>
          <w:rFonts w:hint="eastAsia" w:cs="Arial" w:asciiTheme="minorEastAsia" w:hAnsiTheme="minorEastAsia"/>
          <w:sz w:val="24"/>
        </w:rPr>
        <w:t>公司共管资料进行交接，交接单如下：</w:t>
      </w:r>
    </w:p>
    <w:p>
      <w:pPr>
        <w:rPr>
          <w:rFonts w:asciiTheme="minorEastAsia" w:hAnsiTheme="minorEastAsia"/>
          <w:sz w:val="24"/>
        </w:rPr>
      </w:pPr>
      <w:r>
        <w:rPr>
          <w:rFonts w:asciiTheme="minorEastAsia" w:hAnsiTheme="minorEastAsia"/>
          <w:sz w:val="24"/>
        </w:rPr>
        <w:drawing>
          <wp:inline distT="0" distB="0" distL="0" distR="0">
            <wp:extent cx="5274310" cy="7284720"/>
            <wp:effectExtent l="0" t="0" r="254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rcRect/>
                    <a:stretch>
                      <a:fillRect/>
                    </a:stretch>
                  </pic:blipFill>
                  <pic:spPr>
                    <a:xfrm>
                      <a:off x="0" y="0"/>
                      <a:ext cx="5274310" cy="7284720"/>
                    </a:xfrm>
                    <a:prstGeom prst="rect">
                      <a:avLst/>
                    </a:prstGeom>
                    <a:ln>
                      <a:noFill/>
                    </a:ln>
                  </pic:spPr>
                </pic:pic>
              </a:graphicData>
            </a:graphic>
          </wp:inline>
        </w:drawing>
      </w:r>
    </w:p>
    <w:p>
      <w:pPr>
        <w:rPr>
          <w:rFonts w:asciiTheme="minorEastAsia" w:hAnsiTheme="minorEastAsia"/>
          <w:sz w:val="24"/>
        </w:rPr>
      </w:pPr>
      <w:r>
        <w:rPr>
          <w:rFonts w:asciiTheme="minorEastAsia" w:hAnsiTheme="minorEastAsia"/>
          <w:sz w:val="24"/>
        </w:rPr>
        <w:drawing>
          <wp:inline distT="0" distB="0" distL="0" distR="0">
            <wp:extent cx="5274310" cy="7527925"/>
            <wp:effectExtent l="0" t="0" r="2540" b="158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5274310" cy="7527925"/>
                    </a:xfrm>
                    <a:prstGeom prst="rect">
                      <a:avLst/>
                    </a:prstGeom>
                  </pic:spPr>
                </pic:pic>
              </a:graphicData>
            </a:graphic>
          </wp:inline>
        </w:drawing>
      </w:r>
    </w:p>
    <w:p>
      <w:pPr>
        <w:rPr>
          <w:sz w:val="28"/>
          <w:szCs w:val="28"/>
        </w:rPr>
      </w:pPr>
    </w:p>
    <w:p>
      <w:pPr>
        <w:spacing w:line="360" w:lineRule="auto"/>
        <w:ind w:firstLine="480" w:firstLineChars="200"/>
        <w:rPr>
          <w:rFonts w:cs="Arial" w:asciiTheme="minorEastAsia" w:hAnsiTheme="minorEastAsia"/>
          <w:sz w:val="24"/>
        </w:rPr>
      </w:pPr>
    </w:p>
    <w:p>
      <w:pPr>
        <w:spacing w:line="360" w:lineRule="auto"/>
        <w:ind w:firstLine="480" w:firstLineChars="200"/>
        <w:rPr>
          <w:rFonts w:cs="Arial" w:asciiTheme="minorEastAsia" w:hAnsiTheme="minorEastAsia"/>
          <w:sz w:val="24"/>
        </w:rPr>
      </w:pPr>
    </w:p>
    <w:p>
      <w:pPr>
        <w:spacing w:line="360" w:lineRule="auto"/>
        <w:rPr>
          <w:rFonts w:cs="Arial" w:asciiTheme="minorEastAsia" w:hAnsiTheme="minorEastAsia"/>
          <w:sz w:val="24"/>
        </w:rPr>
      </w:pPr>
      <w:r>
        <w:rPr>
          <w:rFonts w:hint="eastAsia" w:cs="Arial" w:asciiTheme="minorEastAsia" w:hAnsiTheme="minorEastAsia"/>
          <w:sz w:val="24"/>
        </w:rPr>
        <w:t xml:space="preserve"> </w:t>
      </w:r>
      <w:r>
        <w:rPr>
          <w:rFonts w:cs="Arial" w:asciiTheme="minorEastAsia" w:hAnsiTheme="minorEastAsia"/>
          <w:sz w:val="24"/>
        </w:rPr>
        <w:t xml:space="preserve"> </w:t>
      </w:r>
      <w:r>
        <w:rPr>
          <w:rFonts w:hint="eastAsia" w:cs="Arial" w:asciiTheme="minorEastAsia" w:hAnsiTheme="minorEastAsia"/>
          <w:sz w:val="24"/>
        </w:rPr>
        <w:t>（2）随后康信资管驻场人员与中航信托经理王立里、融创行政部庄小玲前往项目公司，对项目公司共管资料进行清点，交接单如下：</w:t>
      </w:r>
      <w:r>
        <w:rPr>
          <w:rFonts w:cs="Arial" w:asciiTheme="minorEastAsia" w:hAnsiTheme="minorEastAsia"/>
          <w:sz w:val="24"/>
        </w:rPr>
        <w:t xml:space="preserve"> </w:t>
      </w:r>
    </w:p>
    <w:p>
      <w:pPr>
        <w:rPr>
          <w:sz w:val="28"/>
          <w:szCs w:val="28"/>
        </w:rPr>
      </w:pPr>
      <w:r>
        <w:rPr>
          <w:sz w:val="28"/>
          <w:szCs w:val="28"/>
        </w:rPr>
        <w:drawing>
          <wp:inline distT="0" distB="0" distL="0" distR="0">
            <wp:extent cx="5274310" cy="7645400"/>
            <wp:effectExtent l="0" t="0" r="2540"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a:stretch>
                      <a:fillRect/>
                    </a:stretch>
                  </pic:blipFill>
                  <pic:spPr>
                    <a:xfrm>
                      <a:off x="0" y="0"/>
                      <a:ext cx="5274310" cy="7645400"/>
                    </a:xfrm>
                    <a:prstGeom prst="rect">
                      <a:avLst/>
                    </a:prstGeom>
                  </pic:spPr>
                </pic:pic>
              </a:graphicData>
            </a:graphic>
          </wp:inline>
        </w:drawing>
      </w:r>
    </w:p>
    <w:p>
      <w:pPr>
        <w:rPr>
          <w:rFonts w:cs="Arial" w:asciiTheme="minorEastAsia" w:hAnsiTheme="minorEastAsia"/>
          <w:sz w:val="24"/>
        </w:rPr>
      </w:pPr>
      <w:r>
        <w:rPr>
          <w:rFonts w:hint="eastAsia" w:cs="Arial" w:asciiTheme="minorEastAsia" w:hAnsiTheme="minorEastAsia"/>
          <w:sz w:val="24"/>
        </w:rPr>
        <w:t>注：项目已取得《建设用地规划许可证》，目前由首开方保管，融创方尚在协调共管事宜</w:t>
      </w:r>
    </w:p>
    <w:p>
      <w:pPr>
        <w:ind w:firstLine="240" w:firstLineChars="100"/>
        <w:rPr>
          <w:rFonts w:cs="Arial" w:asciiTheme="minorEastAsia" w:hAnsiTheme="minorEastAsia"/>
          <w:sz w:val="24"/>
        </w:rPr>
      </w:pPr>
      <w:r>
        <w:rPr>
          <w:rFonts w:hint="eastAsia" w:cs="Arial" w:asciiTheme="minorEastAsia" w:hAnsiTheme="minorEastAsia"/>
          <w:sz w:val="24"/>
        </w:rPr>
        <w:t>（3）2020年8月7日下午康信资管驻场人员与融创财务张峰燕对S</w:t>
      </w:r>
      <w:r>
        <w:rPr>
          <w:rFonts w:cs="Arial" w:asciiTheme="minorEastAsia" w:hAnsiTheme="minorEastAsia"/>
          <w:sz w:val="24"/>
        </w:rPr>
        <w:t>PV</w:t>
      </w:r>
      <w:r>
        <w:rPr>
          <w:rFonts w:hint="eastAsia" w:cs="Arial" w:asciiTheme="minorEastAsia" w:hAnsiTheme="minorEastAsia"/>
          <w:sz w:val="24"/>
        </w:rPr>
        <w:t>公司发票专用章进行共管交接，交接单如下：</w:t>
      </w:r>
    </w:p>
    <w:p>
      <w:pPr>
        <w:rPr>
          <w:sz w:val="28"/>
          <w:szCs w:val="28"/>
        </w:rPr>
      </w:pPr>
      <w:r>
        <w:rPr>
          <w:rFonts w:hint="eastAsia"/>
          <w:sz w:val="28"/>
          <w:szCs w:val="28"/>
        </w:rPr>
        <w:drawing>
          <wp:inline distT="0" distB="0" distL="0" distR="0">
            <wp:extent cx="5274310" cy="7851140"/>
            <wp:effectExtent l="0" t="0" r="2540" b="165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7"/>
                    <a:stretch>
                      <a:fillRect/>
                    </a:stretch>
                  </pic:blipFill>
                  <pic:spPr>
                    <a:xfrm>
                      <a:off x="0" y="0"/>
                      <a:ext cx="5274310" cy="7851140"/>
                    </a:xfrm>
                    <a:prstGeom prst="rect">
                      <a:avLst/>
                    </a:prstGeom>
                  </pic:spPr>
                </pic:pic>
              </a:graphicData>
            </a:graphic>
          </wp:inline>
        </w:drawing>
      </w:r>
    </w:p>
    <w:p>
      <w:pPr>
        <w:outlineLvl w:val="1"/>
        <w:rPr>
          <w:b/>
          <w:bCs/>
          <w:sz w:val="24"/>
        </w:rPr>
      </w:pPr>
    </w:p>
    <w:p>
      <w:pPr>
        <w:outlineLvl w:val="1"/>
        <w:rPr>
          <w:b/>
          <w:bCs/>
          <w:sz w:val="24"/>
        </w:rPr>
      </w:pPr>
    </w:p>
    <w:p>
      <w:pPr>
        <w:numPr>
          <w:ilvl w:val="0"/>
          <w:numId w:val="2"/>
        </w:numPr>
        <w:outlineLvl w:val="1"/>
        <w:rPr>
          <w:b/>
          <w:bCs/>
          <w:sz w:val="24"/>
        </w:rPr>
      </w:pPr>
      <w:bookmarkStart w:id="10" w:name="_Toc1621"/>
      <w:r>
        <w:rPr>
          <w:rFonts w:hint="eastAsia"/>
          <w:b/>
          <w:bCs/>
          <w:sz w:val="24"/>
        </w:rPr>
        <w:t>印鉴核验</w:t>
      </w:r>
      <w:bookmarkEnd w:id="10"/>
    </w:p>
    <w:p>
      <w:pPr>
        <w:spacing w:line="360" w:lineRule="auto"/>
        <w:ind w:firstLine="480" w:firstLineChars="200"/>
        <w:rPr>
          <w:rFonts w:cs="Arial" w:asciiTheme="minorEastAsia" w:hAnsiTheme="minorEastAsia"/>
          <w:sz w:val="24"/>
        </w:rPr>
      </w:pPr>
      <w:r>
        <w:rPr>
          <w:rFonts w:hint="eastAsia" w:cs="Arial" w:asciiTheme="minorEastAsia" w:hAnsiTheme="minorEastAsia"/>
          <w:sz w:val="24"/>
        </w:rPr>
        <w:t>2020年8月7日中午康信资管投后主管、驻场人员及融创行政部庄小玲携已收归共管的公章、法人章、财务专用章前往刻章店核验印鉴。根据公安印章备案系统显示，S</w:t>
      </w:r>
      <w:r>
        <w:rPr>
          <w:rFonts w:cs="Arial" w:asciiTheme="minorEastAsia" w:hAnsiTheme="minorEastAsia"/>
          <w:sz w:val="24"/>
        </w:rPr>
        <w:t>PV</w:t>
      </w:r>
      <w:r>
        <w:rPr>
          <w:rFonts w:hint="eastAsia" w:cs="Arial" w:asciiTheme="minorEastAsia" w:hAnsiTheme="minorEastAsia"/>
          <w:sz w:val="24"/>
        </w:rPr>
        <w:t>公司目前共有3枚备案印鉴，分别为：公章、财务专用章、发票专用章（详见图8）。S</w:t>
      </w:r>
      <w:r>
        <w:rPr>
          <w:rFonts w:cs="Arial" w:asciiTheme="minorEastAsia" w:hAnsiTheme="minorEastAsia"/>
          <w:sz w:val="24"/>
        </w:rPr>
        <w:t>PV</w:t>
      </w:r>
      <w:r>
        <w:rPr>
          <w:rFonts w:hint="eastAsia" w:cs="Arial" w:asciiTheme="minorEastAsia" w:hAnsiTheme="minorEastAsia"/>
          <w:sz w:val="24"/>
        </w:rPr>
        <w:t>公司已备案印鉴并不是芯片章，经刻章店人员辨认，已共管的SPV公司公章、财务章为该店所刻制。</w:t>
      </w:r>
    </w:p>
    <w:p>
      <w:pPr>
        <w:rPr>
          <w:sz w:val="28"/>
          <w:szCs w:val="28"/>
        </w:rPr>
      </w:pPr>
      <w:r>
        <w:rPr>
          <w:sz w:val="28"/>
          <w:szCs w:val="28"/>
        </w:rPr>
        <w:drawing>
          <wp:inline distT="0" distB="0" distL="0" distR="0">
            <wp:extent cx="5274310" cy="1402080"/>
            <wp:effectExtent l="0" t="0" r="254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8"/>
                    <a:srcRect/>
                    <a:stretch>
                      <a:fillRect/>
                    </a:stretch>
                  </pic:blipFill>
                  <pic:spPr>
                    <a:xfrm>
                      <a:off x="0" y="0"/>
                      <a:ext cx="5274310" cy="1402080"/>
                    </a:xfrm>
                    <a:prstGeom prst="rect">
                      <a:avLst/>
                    </a:prstGeom>
                    <a:ln>
                      <a:noFill/>
                    </a:ln>
                  </pic:spPr>
                </pic:pic>
              </a:graphicData>
            </a:graphic>
          </wp:inline>
        </w:drawing>
      </w:r>
    </w:p>
    <w:p>
      <w:pPr>
        <w:jc w:val="center"/>
        <w:rPr>
          <w:szCs w:val="21"/>
        </w:rPr>
      </w:pPr>
      <w:r>
        <w:rPr>
          <w:rFonts w:hint="eastAsia"/>
          <w:szCs w:val="21"/>
        </w:rPr>
        <w:t>图8 备案印鉴明细</w:t>
      </w:r>
    </w:p>
    <w:p>
      <w:pPr>
        <w:numPr>
          <w:ilvl w:val="0"/>
          <w:numId w:val="2"/>
        </w:numPr>
        <w:spacing w:line="360" w:lineRule="auto"/>
        <w:outlineLvl w:val="1"/>
        <w:rPr>
          <w:b/>
          <w:bCs/>
          <w:sz w:val="24"/>
        </w:rPr>
      </w:pPr>
      <w:bookmarkStart w:id="11" w:name="_Toc15639"/>
      <w:r>
        <w:rPr>
          <w:rFonts w:hint="eastAsia"/>
          <w:b/>
          <w:bCs/>
          <w:sz w:val="24"/>
        </w:rPr>
        <w:t>银行账户信息查询</w:t>
      </w:r>
      <w:bookmarkEnd w:id="11"/>
    </w:p>
    <w:p>
      <w:pPr>
        <w:spacing w:line="360" w:lineRule="auto"/>
        <w:ind w:firstLine="480" w:firstLineChars="200"/>
        <w:rPr>
          <w:rFonts w:cs="Arial" w:asciiTheme="minorEastAsia" w:hAnsiTheme="minorEastAsia"/>
          <w:sz w:val="24"/>
        </w:rPr>
      </w:pPr>
      <w:r>
        <w:rPr>
          <w:rFonts w:hint="eastAsia" w:cs="Arial" w:asciiTheme="minorEastAsia" w:hAnsiTheme="minorEastAsia"/>
          <w:sz w:val="24"/>
        </w:rPr>
        <w:t>2020年</w:t>
      </w:r>
      <w:r>
        <w:rPr>
          <w:rFonts w:cs="Arial" w:asciiTheme="minorEastAsia" w:hAnsiTheme="minorEastAsia"/>
          <w:sz w:val="24"/>
        </w:rPr>
        <w:t>8</w:t>
      </w:r>
      <w:r>
        <w:rPr>
          <w:rFonts w:hint="eastAsia" w:cs="Arial" w:asciiTheme="minorEastAsia" w:hAnsiTheme="minorEastAsia"/>
          <w:sz w:val="24"/>
        </w:rPr>
        <w:t>月</w:t>
      </w:r>
      <w:r>
        <w:rPr>
          <w:rFonts w:cs="Arial" w:asciiTheme="minorEastAsia" w:hAnsiTheme="minorEastAsia"/>
          <w:sz w:val="24"/>
        </w:rPr>
        <w:t>7</w:t>
      </w:r>
      <w:r>
        <w:rPr>
          <w:rFonts w:hint="eastAsia" w:cs="Arial" w:asciiTheme="minorEastAsia" w:hAnsiTheme="minorEastAsia"/>
          <w:sz w:val="24"/>
        </w:rPr>
        <w:t>日上午康信资管投后主管、驻场人员与融创公司财务江楚楚、行政周小玲前往S</w:t>
      </w:r>
      <w:r>
        <w:rPr>
          <w:rFonts w:cs="Arial" w:asciiTheme="minorEastAsia" w:hAnsiTheme="minorEastAsia"/>
          <w:sz w:val="24"/>
        </w:rPr>
        <w:t>PV</w:t>
      </w:r>
      <w:r>
        <w:rPr>
          <w:rFonts w:hint="eastAsia" w:cs="Arial" w:asciiTheme="minorEastAsia" w:hAnsiTheme="minorEastAsia"/>
          <w:sz w:val="24"/>
        </w:rPr>
        <w:t>公司基本户银行核验预留印鉴及开户情况，打印出已开立银行结算清单。</w:t>
      </w:r>
    </w:p>
    <w:p>
      <w:pPr>
        <w:spacing w:line="360" w:lineRule="auto"/>
        <w:ind w:firstLine="480" w:firstLineChars="200"/>
        <w:rPr>
          <w:rFonts w:cs="Arial" w:asciiTheme="minorEastAsia" w:hAnsiTheme="minorEastAsia"/>
          <w:sz w:val="24"/>
        </w:rPr>
      </w:pPr>
      <w:r>
        <w:rPr>
          <w:rFonts w:hint="eastAsia" w:cs="Arial" w:asciiTheme="minorEastAsia" w:hAnsiTheme="minorEastAsia"/>
          <w:sz w:val="24"/>
        </w:rPr>
        <w:t>（1）经银行核实，S</w:t>
      </w:r>
      <w:r>
        <w:rPr>
          <w:rFonts w:cs="Arial" w:asciiTheme="minorEastAsia" w:hAnsiTheme="minorEastAsia"/>
          <w:sz w:val="24"/>
        </w:rPr>
        <w:t>PV</w:t>
      </w:r>
      <w:r>
        <w:rPr>
          <w:rFonts w:hint="eastAsia" w:cs="Arial" w:asciiTheme="minorEastAsia" w:hAnsiTheme="minorEastAsia"/>
          <w:sz w:val="24"/>
        </w:rPr>
        <w:t>公司银行预留印鉴为公章、财务专用章、法人章，且与现场所携印鉴一致；</w:t>
      </w:r>
    </w:p>
    <w:p>
      <w:pPr>
        <w:spacing w:line="360" w:lineRule="auto"/>
        <w:ind w:firstLine="480" w:firstLineChars="200"/>
        <w:rPr>
          <w:rFonts w:cs="Arial" w:asciiTheme="minorEastAsia" w:hAnsiTheme="minorEastAsia"/>
          <w:sz w:val="24"/>
        </w:rPr>
      </w:pPr>
      <w:r>
        <w:rPr>
          <w:rFonts w:hint="eastAsia" w:cs="Arial" w:asciiTheme="minorEastAsia" w:hAnsiTheme="minorEastAsia"/>
          <w:sz w:val="24"/>
        </w:rPr>
        <w:t>（2）S</w:t>
      </w:r>
      <w:r>
        <w:rPr>
          <w:rFonts w:cs="Arial" w:asciiTheme="minorEastAsia" w:hAnsiTheme="minorEastAsia"/>
          <w:sz w:val="24"/>
        </w:rPr>
        <w:t>PV</w:t>
      </w:r>
      <w:r>
        <w:rPr>
          <w:rFonts w:hint="eastAsia" w:cs="Arial" w:asciiTheme="minorEastAsia" w:hAnsiTheme="minorEastAsia"/>
          <w:sz w:val="24"/>
        </w:rPr>
        <w:t>公司仅开立一个基本存款账户（开户行：中国建设银行股份有限公司福州金融街支行、账号：35050188740700001328、账户余额：37</w:t>
      </w:r>
      <w:r>
        <w:rPr>
          <w:rFonts w:cs="Arial" w:asciiTheme="minorEastAsia" w:hAnsiTheme="minorEastAsia"/>
          <w:sz w:val="24"/>
        </w:rPr>
        <w:t>,648.48</w:t>
      </w:r>
      <w:r>
        <w:rPr>
          <w:rFonts w:hint="eastAsia" w:cs="Arial" w:asciiTheme="minorEastAsia" w:hAnsiTheme="minorEastAsia"/>
          <w:sz w:val="24"/>
        </w:rPr>
        <w:t>元）；</w:t>
      </w:r>
    </w:p>
    <w:p>
      <w:pPr>
        <w:spacing w:line="360" w:lineRule="auto"/>
        <w:ind w:firstLine="480" w:firstLineChars="200"/>
        <w:rPr>
          <w:rFonts w:cs="Arial" w:asciiTheme="minorEastAsia" w:hAnsiTheme="minorEastAsia"/>
          <w:sz w:val="24"/>
        </w:rPr>
      </w:pPr>
      <w:r>
        <w:rPr>
          <w:rFonts w:hint="eastAsia" w:cs="Arial" w:asciiTheme="minorEastAsia" w:hAnsiTheme="minorEastAsia"/>
          <w:sz w:val="24"/>
        </w:rPr>
        <w:t>（3）核实S</w:t>
      </w:r>
      <w:r>
        <w:rPr>
          <w:rFonts w:cs="Arial" w:asciiTheme="minorEastAsia" w:hAnsiTheme="minorEastAsia"/>
          <w:sz w:val="24"/>
        </w:rPr>
        <w:t>PV</w:t>
      </w:r>
      <w:r>
        <w:rPr>
          <w:rFonts w:hint="eastAsia" w:cs="Arial" w:asciiTheme="minorEastAsia" w:hAnsiTheme="minorEastAsia"/>
          <w:sz w:val="24"/>
        </w:rPr>
        <w:t>公司仅开立一个网银账号，共领取2个U盾，其中1个操作</w:t>
      </w:r>
      <w:bookmarkStart w:id="13" w:name="_GoBack"/>
      <w:bookmarkEnd w:id="13"/>
      <w:r>
        <w:rPr>
          <w:rFonts w:hint="eastAsia" w:cs="Arial" w:asciiTheme="minorEastAsia" w:hAnsiTheme="minorEastAsia"/>
          <w:sz w:val="24"/>
        </w:rPr>
        <w:t>盾（制单功能）、1个管理盾（复核功能），管理盾（复核功能）的序列号60G904528060与已共管的SPV公司网银U盾一致。</w:t>
      </w:r>
    </w:p>
    <w:p>
      <w:pPr>
        <w:rPr>
          <w:rFonts w:cs="Arial" w:asciiTheme="minorEastAsia" w:hAnsiTheme="minorEastAsia"/>
          <w:sz w:val="24"/>
        </w:rPr>
      </w:pPr>
      <w:r>
        <w:rPr>
          <w:rFonts w:hint="eastAsia" w:cs="Arial" w:asciiTheme="minorEastAsia" w:hAnsiTheme="minorEastAsia"/>
          <w:sz w:val="24"/>
        </w:rPr>
        <w:br w:type="page"/>
      </w:r>
    </w:p>
    <w:p>
      <w:pPr>
        <w:spacing w:line="360" w:lineRule="auto"/>
        <w:ind w:firstLine="480" w:firstLineChars="200"/>
        <w:rPr>
          <w:rFonts w:cs="Arial" w:asciiTheme="minorEastAsia" w:hAnsiTheme="minorEastAsia"/>
          <w:sz w:val="24"/>
        </w:rPr>
      </w:pPr>
    </w:p>
    <w:p>
      <w:pPr>
        <w:numPr>
          <w:ilvl w:val="0"/>
          <w:numId w:val="2"/>
        </w:numPr>
        <w:spacing w:line="360" w:lineRule="auto"/>
        <w:outlineLvl w:val="1"/>
        <w:rPr>
          <w:b/>
          <w:bCs/>
          <w:sz w:val="24"/>
        </w:rPr>
      </w:pPr>
      <w:bookmarkStart w:id="12" w:name="_Toc20929"/>
      <w:r>
        <w:rPr>
          <w:rFonts w:hint="eastAsia"/>
          <w:b/>
          <w:bCs/>
          <w:sz w:val="24"/>
        </w:rPr>
        <w:t>项目现场</w:t>
      </w:r>
      <w:bookmarkEnd w:id="12"/>
    </w:p>
    <w:p>
      <w:pPr>
        <w:spacing w:line="360" w:lineRule="auto"/>
        <w:ind w:firstLine="420" w:firstLineChars="200"/>
        <w:rPr>
          <w:rFonts w:cs="Arial" w:asciiTheme="minorEastAsia" w:hAnsiTheme="minorEastAsia"/>
          <w:sz w:val="24"/>
        </w:rPr>
      </w:pPr>
      <w:r>
        <w:drawing>
          <wp:anchor distT="0" distB="0" distL="114300" distR="114300" simplePos="0" relativeHeight="251686912" behindDoc="0" locked="0" layoutInCell="1" allowOverlap="1">
            <wp:simplePos x="0" y="0"/>
            <wp:positionH relativeFrom="column">
              <wp:posOffset>-19685</wp:posOffset>
            </wp:positionH>
            <wp:positionV relativeFrom="paragraph">
              <wp:posOffset>266700</wp:posOffset>
            </wp:positionV>
            <wp:extent cx="4931410" cy="3609340"/>
            <wp:effectExtent l="0" t="0" r="2540" b="10160"/>
            <wp:wrapNone/>
            <wp:docPr id="16" name="图片 8" descr="项目地块航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descr="项目地块航拍图"/>
                    <pic:cNvPicPr>
                      <a:picLocks noChangeAspect="1"/>
                    </pic:cNvPicPr>
                  </pic:nvPicPr>
                  <pic:blipFill>
                    <a:blip r:embed="rId19"/>
                    <a:stretch>
                      <a:fillRect/>
                    </a:stretch>
                  </pic:blipFill>
                  <pic:spPr>
                    <a:xfrm>
                      <a:off x="0" y="0"/>
                      <a:ext cx="4931410" cy="3609340"/>
                    </a:xfrm>
                    <a:prstGeom prst="rect">
                      <a:avLst/>
                    </a:prstGeom>
                    <a:noFill/>
                    <a:ln>
                      <a:noFill/>
                    </a:ln>
                  </pic:spPr>
                </pic:pic>
              </a:graphicData>
            </a:graphic>
          </wp:anchor>
        </w:drawing>
      </w:r>
      <w:r>
        <w:rPr>
          <w:rFonts w:hint="eastAsia" w:cs="Arial" w:asciiTheme="minorEastAsia" w:hAnsiTheme="minorEastAsia"/>
          <w:sz w:val="24"/>
        </w:rPr>
        <w:t>项目尚未交地，现场仍由地铁方进行施工。</w:t>
      </w:r>
    </w:p>
    <w:p>
      <w:pPr>
        <w:spacing w:line="360" w:lineRule="auto"/>
        <w:rPr>
          <w:rFonts w:cs="Arial" w:asciiTheme="minorEastAsia" w:hAnsiTheme="minorEastAsia"/>
          <w:sz w:val="24"/>
        </w:rPr>
      </w:pPr>
      <w:r>
        <w:rPr>
          <w:rFonts w:hint="eastAsia" w:cs="Arial" w:asciiTheme="minorEastAsia" w:hAnsiTheme="minorEastAsia"/>
          <w:sz w:val="24"/>
        </w:rPr>
        <w:drawing>
          <wp:inline distT="0" distB="0" distL="114300" distR="114300">
            <wp:extent cx="1988185" cy="1491615"/>
            <wp:effectExtent l="0" t="0" r="12065" b="13335"/>
            <wp:docPr id="22" name="图片 22" descr="IMG_20200809_18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0200809_183316"/>
                    <pic:cNvPicPr>
                      <a:picLocks noChangeAspect="1"/>
                    </pic:cNvPicPr>
                  </pic:nvPicPr>
                  <pic:blipFill>
                    <a:blip r:embed="rId20"/>
                    <a:stretch>
                      <a:fillRect/>
                    </a:stretch>
                  </pic:blipFill>
                  <pic:spPr>
                    <a:xfrm>
                      <a:off x="0" y="0"/>
                      <a:ext cx="1988185" cy="1491615"/>
                    </a:xfrm>
                    <a:prstGeom prst="rect">
                      <a:avLst/>
                    </a:prstGeom>
                  </pic:spPr>
                </pic:pic>
              </a:graphicData>
            </a:graphic>
          </wp:inline>
        </w:drawing>
      </w:r>
    </w:p>
    <w:p>
      <w:pPr>
        <w:spacing w:line="360" w:lineRule="auto"/>
        <w:rPr>
          <w:rFonts w:cs="Arial" w:asciiTheme="minorEastAsia" w:hAnsiTheme="minorEastAsia"/>
          <w:sz w:val="24"/>
        </w:rPr>
      </w:pPr>
    </w:p>
    <w:p>
      <w:pPr>
        <w:spacing w:line="360" w:lineRule="auto"/>
        <w:rPr>
          <w:rFonts w:cs="Arial" w:asciiTheme="minorEastAsia" w:hAnsiTheme="minorEastAsia"/>
          <w:sz w:val="24"/>
        </w:rPr>
      </w:pPr>
    </w:p>
    <w:p>
      <w:pPr>
        <w:spacing w:line="360" w:lineRule="auto"/>
        <w:rPr>
          <w:rFonts w:cs="Arial" w:asciiTheme="minorEastAsia" w:hAnsiTheme="minorEastAsia"/>
          <w:sz w:val="24"/>
        </w:rPr>
      </w:pPr>
    </w:p>
    <w:p>
      <w:pPr>
        <w:spacing w:line="360" w:lineRule="auto"/>
        <w:rPr>
          <w:rFonts w:cs="Arial" w:asciiTheme="minorEastAsia" w:hAnsiTheme="minorEastAsia"/>
          <w:sz w:val="24"/>
        </w:rPr>
      </w:pPr>
      <w:r>
        <w:drawing>
          <wp:anchor distT="0" distB="0" distL="114300" distR="114300" simplePos="0" relativeHeight="251674624" behindDoc="0" locked="0" layoutInCell="1" allowOverlap="1">
            <wp:simplePos x="0" y="0"/>
            <wp:positionH relativeFrom="column">
              <wp:posOffset>1393190</wp:posOffset>
            </wp:positionH>
            <wp:positionV relativeFrom="paragraph">
              <wp:posOffset>6537325</wp:posOffset>
            </wp:positionV>
            <wp:extent cx="2705100" cy="1979930"/>
            <wp:effectExtent l="0" t="0" r="0" b="1270"/>
            <wp:wrapNone/>
            <wp:docPr id="11" name="图片 5" descr="项目地块航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项目地块航拍图"/>
                    <pic:cNvPicPr>
                      <a:picLocks noChangeAspect="1"/>
                    </pic:cNvPicPr>
                  </pic:nvPicPr>
                  <pic:blipFill>
                    <a:blip r:embed="rId21"/>
                    <a:stretch>
                      <a:fillRect/>
                    </a:stretch>
                  </pic:blipFill>
                  <pic:spPr>
                    <a:xfrm>
                      <a:off x="0" y="0"/>
                      <a:ext cx="2705100" cy="1979930"/>
                    </a:xfrm>
                    <a:prstGeom prst="rect">
                      <a:avLst/>
                    </a:prstGeom>
                    <a:noFill/>
                    <a:ln>
                      <a:noFill/>
                    </a:ln>
                  </pic:spPr>
                </pic:pic>
              </a:graphicData>
            </a:graphic>
          </wp:anchor>
        </w:drawing>
      </w:r>
      <w:r>
        <w:drawing>
          <wp:anchor distT="0" distB="0" distL="114300" distR="114300" simplePos="0" relativeHeight="251670528" behindDoc="0" locked="0" layoutInCell="1" allowOverlap="1">
            <wp:simplePos x="0" y="0"/>
            <wp:positionH relativeFrom="column">
              <wp:posOffset>1240790</wp:posOffset>
            </wp:positionH>
            <wp:positionV relativeFrom="paragraph">
              <wp:posOffset>6384925</wp:posOffset>
            </wp:positionV>
            <wp:extent cx="2705100" cy="1979930"/>
            <wp:effectExtent l="0" t="0" r="0" b="1270"/>
            <wp:wrapNone/>
            <wp:docPr id="10" name="图片 4" descr="项目地块航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项目地块航拍图"/>
                    <pic:cNvPicPr>
                      <a:picLocks noChangeAspect="1"/>
                    </pic:cNvPicPr>
                  </pic:nvPicPr>
                  <pic:blipFill>
                    <a:blip r:embed="rId21"/>
                    <a:stretch>
                      <a:fillRect/>
                    </a:stretch>
                  </pic:blipFill>
                  <pic:spPr>
                    <a:xfrm>
                      <a:off x="0" y="0"/>
                      <a:ext cx="2705100" cy="1979930"/>
                    </a:xfrm>
                    <a:prstGeom prst="rect">
                      <a:avLst/>
                    </a:prstGeom>
                    <a:noFill/>
                    <a:ln>
                      <a:noFill/>
                    </a:ln>
                  </pic:spPr>
                </pic:pic>
              </a:graphicData>
            </a:graphic>
          </wp:anchor>
        </w:drawing>
      </w:r>
    </w:p>
    <w:p>
      <w:pPr>
        <w:rPr>
          <w:sz w:val="28"/>
          <w:szCs w:val="28"/>
        </w:rPr>
      </w:pPr>
    </w:p>
    <w:p>
      <w:pPr>
        <w:rPr>
          <w:sz w:val="28"/>
          <w:szCs w:val="28"/>
        </w:rPr>
      </w:pPr>
    </w:p>
    <w:p>
      <w:pPr>
        <w:rPr>
          <w:sz w:val="28"/>
          <w:szCs w:val="28"/>
        </w:rPr>
      </w:pPr>
      <w:r>
        <w:rPr>
          <w:rFonts w:hint="eastAsia"/>
          <w:sz w:val="28"/>
          <w:szCs w:val="28"/>
        </w:rPr>
        <w:drawing>
          <wp:inline distT="0" distB="0" distL="114300" distR="114300">
            <wp:extent cx="4931410" cy="3698875"/>
            <wp:effectExtent l="0" t="0" r="2540" b="15875"/>
            <wp:docPr id="25" name="图片 25" descr="IMG_20200809_18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20200809_181407"/>
                    <pic:cNvPicPr>
                      <a:picLocks noChangeAspect="1"/>
                    </pic:cNvPicPr>
                  </pic:nvPicPr>
                  <pic:blipFill>
                    <a:blip r:embed="rId22"/>
                    <a:stretch>
                      <a:fillRect/>
                    </a:stretch>
                  </pic:blipFill>
                  <pic:spPr>
                    <a:xfrm>
                      <a:off x="0" y="0"/>
                      <a:ext cx="4931410" cy="3698875"/>
                    </a:xfrm>
                    <a:prstGeom prst="rect">
                      <a:avLst/>
                    </a:prstGeom>
                  </pic:spPr>
                </pic:pic>
              </a:graphicData>
            </a:graphic>
          </wp:inline>
        </w:drawing>
      </w:r>
    </w:p>
    <w:p>
      <w:pPr>
        <w:rPr>
          <w:sz w:val="28"/>
          <w:szCs w:val="28"/>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Vx3w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JVx3wPAgAACQQAAA4AAAAAAAAAAQAgAAAA&#10;HwEAAGRycy9lMm9Eb2MueG1sUEsFBgAAAAAGAAYAWQEAAKAFA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2575560</wp:posOffset>
              </wp:positionH>
              <wp:positionV relativeFrom="paragraph">
                <wp:posOffset>-1270</wp:posOffset>
              </wp:positionV>
              <wp:extent cx="198120" cy="1828800"/>
              <wp:effectExtent l="0" t="0" r="11430" b="6350"/>
              <wp:wrapNone/>
              <wp:docPr id="13" name="文本框 13"/>
              <wp:cNvGraphicFramePr/>
              <a:graphic xmlns:a="http://schemas.openxmlformats.org/drawingml/2006/main">
                <a:graphicData uri="http://schemas.microsoft.com/office/word/2010/wordprocessingShape">
                  <wps:wsp>
                    <wps:cNvSpPr txBox="1"/>
                    <wps:spPr>
                      <a:xfrm>
                        <a:off x="0" y="0"/>
                        <a:ext cx="1981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2.8pt;margin-top:-0.1pt;height:144pt;width:15.6pt;mso-position-horizontal-relative:margin;z-index:251659264;mso-width-relative:page;mso-height-relative:page;" filled="f" stroked="f" coordsize="21600,21600" o:gfxdata="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l5dM3YAAAACQEAAA8AAAAA&#10;AAAAAQAgAAAAIgAAAGRycy9kb3ducmV2LnhtbFBLAQIUABQAAAAIAIdO4kAJoNfhFAIAAAoEAAAO&#10;AAAAAAAAAAEAIAAAACcBAABkcnMvZTJvRG9jLnhtbFBLBQYAAAAABgAGAFkBAACt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楷体_GB2312" w:eastAsia="楷体_GB2312"/>
        <w:spacing w:val="-20"/>
        <w:sz w:val="24"/>
      </w:rPr>
    </w:pPr>
    <w:r>
      <w:rPr>
        <w:rFonts w:ascii="楷体_GB2312" w:eastAsia="楷体_GB2312"/>
        <w:spacing w:val="-20"/>
        <w:sz w:val="24"/>
      </w:rPr>
      <w:drawing>
        <wp:inline distT="0" distB="0" distL="0" distR="0">
          <wp:extent cx="5273675" cy="372110"/>
          <wp:effectExtent l="0" t="0" r="952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3675" cy="3721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811CDD"/>
    <w:multiLevelType w:val="singleLevel"/>
    <w:tmpl w:val="95811CDD"/>
    <w:lvl w:ilvl="0" w:tentative="0">
      <w:start w:val="1"/>
      <w:numFmt w:val="decimal"/>
      <w:suff w:val="nothing"/>
      <w:lvlText w:val="%1、"/>
      <w:lvlJc w:val="left"/>
    </w:lvl>
  </w:abstractNum>
  <w:abstractNum w:abstractNumId="1">
    <w:nsid w:val="F54178CB"/>
    <w:multiLevelType w:val="singleLevel"/>
    <w:tmpl w:val="F54178C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681"/>
    <w:rsid w:val="0004087C"/>
    <w:rsid w:val="00096253"/>
    <w:rsid w:val="000B5742"/>
    <w:rsid w:val="000D3805"/>
    <w:rsid w:val="00104EAB"/>
    <w:rsid w:val="001356C5"/>
    <w:rsid w:val="0017053E"/>
    <w:rsid w:val="001C2651"/>
    <w:rsid w:val="001F4935"/>
    <w:rsid w:val="00224FAB"/>
    <w:rsid w:val="00266959"/>
    <w:rsid w:val="002B149E"/>
    <w:rsid w:val="0031037D"/>
    <w:rsid w:val="003235EA"/>
    <w:rsid w:val="004343B7"/>
    <w:rsid w:val="0048343F"/>
    <w:rsid w:val="004B4B91"/>
    <w:rsid w:val="005444F4"/>
    <w:rsid w:val="005618F7"/>
    <w:rsid w:val="00586F99"/>
    <w:rsid w:val="005F5C02"/>
    <w:rsid w:val="0061362B"/>
    <w:rsid w:val="00625943"/>
    <w:rsid w:val="0065778C"/>
    <w:rsid w:val="006D18EB"/>
    <w:rsid w:val="006E76F2"/>
    <w:rsid w:val="00773E4E"/>
    <w:rsid w:val="0079009C"/>
    <w:rsid w:val="007B6E2F"/>
    <w:rsid w:val="0086539C"/>
    <w:rsid w:val="008673E0"/>
    <w:rsid w:val="008B388E"/>
    <w:rsid w:val="009447E5"/>
    <w:rsid w:val="009B5425"/>
    <w:rsid w:val="00A0438E"/>
    <w:rsid w:val="00AC1FB1"/>
    <w:rsid w:val="00B30575"/>
    <w:rsid w:val="00B848CF"/>
    <w:rsid w:val="00B85087"/>
    <w:rsid w:val="00BF0681"/>
    <w:rsid w:val="00C40BAA"/>
    <w:rsid w:val="00C60C5A"/>
    <w:rsid w:val="00CB2C1E"/>
    <w:rsid w:val="00DC58BD"/>
    <w:rsid w:val="00E35EEC"/>
    <w:rsid w:val="00EE1524"/>
    <w:rsid w:val="00F21851"/>
    <w:rsid w:val="00F57BB1"/>
    <w:rsid w:val="00F63032"/>
    <w:rsid w:val="05721B52"/>
    <w:rsid w:val="06406278"/>
    <w:rsid w:val="069367D5"/>
    <w:rsid w:val="0C263E59"/>
    <w:rsid w:val="10035D90"/>
    <w:rsid w:val="11C66D3E"/>
    <w:rsid w:val="1211363E"/>
    <w:rsid w:val="15087B06"/>
    <w:rsid w:val="18A704B0"/>
    <w:rsid w:val="1AE627C7"/>
    <w:rsid w:val="22955826"/>
    <w:rsid w:val="266B13AF"/>
    <w:rsid w:val="30EC4CC0"/>
    <w:rsid w:val="326D1D74"/>
    <w:rsid w:val="32E20806"/>
    <w:rsid w:val="33BE6837"/>
    <w:rsid w:val="3B2B05D8"/>
    <w:rsid w:val="42663006"/>
    <w:rsid w:val="48F4196B"/>
    <w:rsid w:val="49A4243F"/>
    <w:rsid w:val="49B65664"/>
    <w:rsid w:val="4A0E7463"/>
    <w:rsid w:val="4FE964A0"/>
    <w:rsid w:val="54F36899"/>
    <w:rsid w:val="552C0983"/>
    <w:rsid w:val="556D79F4"/>
    <w:rsid w:val="60956A3D"/>
    <w:rsid w:val="60FA27E6"/>
    <w:rsid w:val="63152FDC"/>
    <w:rsid w:val="63494A40"/>
    <w:rsid w:val="68D13A70"/>
    <w:rsid w:val="6B0A3C7F"/>
    <w:rsid w:val="6C4305B6"/>
    <w:rsid w:val="6CD339F0"/>
    <w:rsid w:val="72BF376A"/>
    <w:rsid w:val="72C02A83"/>
    <w:rsid w:val="76E91466"/>
    <w:rsid w:val="79B40972"/>
    <w:rsid w:val="7A921598"/>
    <w:rsid w:val="7C0C0F97"/>
    <w:rsid w:val="7FE30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annotation subject"/>
    <w:basedOn w:val="2"/>
    <w:next w:val="2"/>
    <w:link w:val="20"/>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563C1"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数字"/>
    <w:basedOn w:val="1"/>
    <w:qFormat/>
    <w:uiPriority w:val="0"/>
    <w:rPr>
      <w:sz w:val="18"/>
    </w:rPr>
  </w:style>
  <w:style w:type="paragraph" w:customStyle="1" w:styleId="1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8">
    <w:name w:val="批注框文本 Char"/>
    <w:basedOn w:val="11"/>
    <w:link w:val="3"/>
    <w:qFormat/>
    <w:uiPriority w:val="0"/>
    <w:rPr>
      <w:rFonts w:asciiTheme="minorHAnsi" w:hAnsiTheme="minorHAnsi" w:eastAsiaTheme="minorEastAsia" w:cstheme="minorBidi"/>
      <w:kern w:val="2"/>
      <w:sz w:val="18"/>
      <w:szCs w:val="18"/>
    </w:rPr>
  </w:style>
  <w:style w:type="character" w:customStyle="1" w:styleId="19">
    <w:name w:val="批注文字 Char"/>
    <w:basedOn w:val="11"/>
    <w:link w:val="2"/>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8"/>
    <w:qFormat/>
    <w:uiPriority w:val="0"/>
    <w:rPr>
      <w:rFonts w:asciiTheme="minorHAnsi" w:hAnsiTheme="minorHAnsi" w:eastAsiaTheme="minorEastAsia" w:cstheme="minorBidi"/>
      <w:b/>
      <w:bCs/>
      <w:kern w:val="2"/>
      <w:sz w:val="21"/>
      <w:szCs w:val="24"/>
    </w:rPr>
  </w:style>
  <w:style w:type="character" w:customStyle="1" w:styleId="21">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pn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513</Words>
  <Characters>2929</Characters>
  <Lines>24</Lines>
  <Paragraphs>6</Paragraphs>
  <TotalTime>15</TotalTime>
  <ScaleCrop>false</ScaleCrop>
  <LinksUpToDate>false</LinksUpToDate>
  <CharactersWithSpaces>3436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2020-08-08T12:12:00Z</dcterms:created>
  <dc:creator>Yang</dc:creator>
  <cp:lastModifiedBy>zhenny</cp:lastModifiedBy>
  <dcterms:modified xsi:type="dcterms:W3CDTF">2020-08-18T07:14:48Z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