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36"/>
          <w:szCs w:val="36"/>
        </w:rPr>
      </w:pPr>
      <w:r>
        <w:rPr>
          <w:rFonts w:hint="eastAsia" w:ascii="宋体" w:hAnsi="宋体" w:cs="宋体"/>
          <w:b/>
          <w:bCs/>
          <w:sz w:val="36"/>
          <w:szCs w:val="36"/>
        </w:rPr>
        <w:t>关于</w:t>
      </w:r>
      <w:r>
        <w:rPr>
          <w:rFonts w:hint="eastAsia" w:ascii="宋体" w:hAnsi="宋体" w:cs="宋体"/>
          <w:b/>
          <w:bCs/>
          <w:sz w:val="36"/>
          <w:szCs w:val="36"/>
          <w:lang w:val="en-US" w:eastAsia="zh-CN"/>
        </w:rPr>
        <w:t>融创杭州庆隆</w:t>
      </w:r>
      <w:r>
        <w:rPr>
          <w:rFonts w:hint="eastAsia" w:ascii="宋体" w:hAnsi="宋体" w:cs="宋体"/>
          <w:b/>
          <w:bCs/>
          <w:sz w:val="36"/>
          <w:szCs w:val="36"/>
        </w:rPr>
        <w:t>项目</w:t>
      </w:r>
      <w:r>
        <w:rPr>
          <w:rFonts w:ascii="Arial" w:hAnsi="Arial" w:cs="Arial"/>
          <w:b/>
          <w:bCs/>
          <w:sz w:val="36"/>
          <w:szCs w:val="36"/>
        </w:rPr>
        <w:t>20</w:t>
      </w:r>
      <w:r>
        <w:rPr>
          <w:rFonts w:hint="eastAsia" w:ascii="Arial" w:hAnsi="Arial" w:cs="Arial"/>
          <w:b/>
          <w:bCs/>
          <w:sz w:val="36"/>
          <w:szCs w:val="36"/>
          <w:lang w:val="en-US" w:eastAsia="zh-CN"/>
        </w:rPr>
        <w:t>21</w:t>
      </w:r>
      <w:r>
        <w:rPr>
          <w:rFonts w:hint="eastAsia" w:ascii="宋体" w:hAnsi="宋体" w:cs="宋体"/>
          <w:b/>
          <w:bCs/>
          <w:sz w:val="36"/>
          <w:szCs w:val="36"/>
        </w:rPr>
        <w:t>年</w:t>
      </w:r>
      <w:r>
        <w:rPr>
          <w:rFonts w:hint="eastAsia" w:ascii="Arial" w:hAnsi="Arial" w:cs="Arial"/>
          <w:b/>
          <w:bCs/>
          <w:sz w:val="36"/>
          <w:szCs w:val="36"/>
        </w:rPr>
        <w:t>1</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杭州</w:t>
      </w:r>
      <w:r>
        <w:rPr>
          <w:rFonts w:hint="eastAsia" w:ascii="宋体" w:hAnsi="宋体"/>
          <w:sz w:val="24"/>
          <w:szCs w:val="24"/>
          <w:lang w:val="en-US" w:eastAsia="zh-CN"/>
        </w:rPr>
        <w:t>融滨昌盛</w:t>
      </w:r>
      <w:r>
        <w:rPr>
          <w:rFonts w:hint="eastAsia" w:ascii="宋体" w:hAnsi="宋体"/>
          <w:sz w:val="24"/>
          <w:szCs w:val="24"/>
        </w:rPr>
        <w:t>置业有限公司（以下简称项目公司）于</w:t>
      </w:r>
      <w:r>
        <w:rPr>
          <w:rFonts w:ascii="宋体" w:hAnsi="宋体"/>
          <w:sz w:val="24"/>
          <w:szCs w:val="24"/>
        </w:rPr>
        <w:t>2020年</w:t>
      </w:r>
      <w:r>
        <w:rPr>
          <w:rFonts w:hint="eastAsia" w:ascii="宋体" w:hAnsi="宋体"/>
          <w:sz w:val="24"/>
          <w:szCs w:val="24"/>
        </w:rPr>
        <w:t>12</w:t>
      </w:r>
      <w:r>
        <w:rPr>
          <w:rFonts w:ascii="宋体" w:hAnsi="宋体"/>
          <w:sz w:val="24"/>
          <w:szCs w:val="24"/>
        </w:rPr>
        <w:t>月</w:t>
      </w:r>
      <w:r>
        <w:rPr>
          <w:rFonts w:hint="eastAsia" w:ascii="宋体" w:hAnsi="宋体"/>
          <w:sz w:val="24"/>
          <w:szCs w:val="24"/>
          <w:lang w:val="en-US" w:eastAsia="zh-CN"/>
        </w:rPr>
        <w:t>31</w:t>
      </w:r>
      <w:r>
        <w:rPr>
          <w:rFonts w:ascii="宋体" w:hAnsi="宋体"/>
          <w:sz w:val="24"/>
          <w:szCs w:val="24"/>
        </w:rPr>
        <w:t>日</w:t>
      </w:r>
      <w:r>
        <w:rPr>
          <w:rFonts w:hint="eastAsia" w:ascii="宋体" w:hAnsi="宋体"/>
          <w:sz w:val="24"/>
          <w:szCs w:val="24"/>
        </w:rPr>
        <w:t>提交了《</w:t>
      </w:r>
      <w:r>
        <w:rPr>
          <w:rFonts w:hint="eastAsia" w:ascii="宋体" w:hAnsi="宋体"/>
          <w:sz w:val="24"/>
          <w:szCs w:val="24"/>
          <w:lang w:val="en-US" w:eastAsia="zh-CN"/>
        </w:rPr>
        <w:t>融创</w:t>
      </w:r>
      <w:r>
        <w:rPr>
          <w:rFonts w:hint="eastAsia" w:ascii="宋体" w:hAnsi="宋体"/>
          <w:sz w:val="24"/>
          <w:szCs w:val="24"/>
        </w:rPr>
        <w:t>杭州</w:t>
      </w:r>
      <w:r>
        <w:rPr>
          <w:rFonts w:hint="eastAsia" w:ascii="宋体" w:hAnsi="宋体"/>
          <w:sz w:val="24"/>
          <w:szCs w:val="24"/>
          <w:lang w:val="en-US" w:eastAsia="zh-CN"/>
        </w:rPr>
        <w:t>庆隆</w:t>
      </w:r>
      <w:r>
        <w:rPr>
          <w:rFonts w:hint="eastAsia" w:ascii="宋体" w:hAnsi="宋体"/>
          <w:sz w:val="24"/>
          <w:szCs w:val="24"/>
        </w:rPr>
        <w:t>项目202</w:t>
      </w:r>
      <w:r>
        <w:rPr>
          <w:rFonts w:hint="eastAsia" w:ascii="宋体" w:hAnsi="宋体"/>
          <w:sz w:val="24"/>
          <w:szCs w:val="24"/>
          <w:lang w:val="en-US" w:eastAsia="zh-CN"/>
        </w:rPr>
        <w:t>1</w:t>
      </w:r>
      <w:r>
        <w:rPr>
          <w:rFonts w:hint="eastAsia" w:ascii="宋体" w:hAnsi="宋体"/>
          <w:sz w:val="24"/>
          <w:szCs w:val="24"/>
        </w:rPr>
        <w:t>年1月支付计划》，我司对项目公司申报的资金计划进行了审核，审核结果如下：</w:t>
      </w:r>
    </w:p>
    <w:p>
      <w:pPr>
        <w:numPr>
          <w:ilvl w:val="0"/>
          <w:numId w:val="1"/>
        </w:numPr>
        <w:spacing w:before="160" w:beforeLines="50" w:after="160" w:afterLines="50" w:line="360" w:lineRule="auto"/>
        <w:ind w:firstLine="120" w:firstLineChars="50"/>
        <w:rPr>
          <w:rFonts w:ascii="宋体" w:hAnsi="宋体"/>
          <w:b/>
          <w:sz w:val="24"/>
          <w:szCs w:val="24"/>
        </w:rPr>
      </w:pPr>
      <w:r>
        <w:rPr>
          <w:rFonts w:hint="eastAsia" w:ascii="宋体" w:hAnsi="宋体"/>
          <w:b/>
          <w:sz w:val="24"/>
          <w:szCs w:val="24"/>
        </w:rPr>
        <w:t>融创</w:t>
      </w:r>
      <w:r>
        <w:rPr>
          <w:rFonts w:hint="eastAsia" w:ascii="宋体" w:hAnsi="宋体"/>
          <w:b/>
          <w:sz w:val="24"/>
          <w:szCs w:val="24"/>
          <w:lang w:val="en-US" w:eastAsia="zh-CN"/>
        </w:rPr>
        <w:t>庆隆</w:t>
      </w:r>
      <w:r>
        <w:rPr>
          <w:rFonts w:hint="eastAsia" w:ascii="宋体" w:hAnsi="宋体"/>
          <w:b/>
          <w:sz w:val="24"/>
          <w:szCs w:val="24"/>
        </w:rPr>
        <w:t>项目202</w:t>
      </w:r>
      <w:r>
        <w:rPr>
          <w:rFonts w:hint="eastAsia" w:ascii="宋体" w:hAnsi="宋体"/>
          <w:b/>
          <w:sz w:val="24"/>
          <w:szCs w:val="24"/>
          <w:lang w:val="en-US" w:eastAsia="zh-CN"/>
        </w:rPr>
        <w:t>1</w:t>
      </w:r>
      <w:r>
        <w:rPr>
          <w:rFonts w:hint="eastAsia" w:ascii="宋体" w:hAnsi="宋体"/>
          <w:b/>
          <w:sz w:val="24"/>
          <w:szCs w:val="24"/>
        </w:rPr>
        <w:t>年1月资金汇总</w:t>
      </w:r>
    </w:p>
    <w:p>
      <w:pPr>
        <w:spacing w:before="160" w:beforeLines="50" w:after="160" w:afterLines="50" w:line="360" w:lineRule="auto"/>
        <w:ind w:firstLine="480" w:firstLineChars="200"/>
        <w:rPr>
          <w:rFonts w:ascii="宋体" w:hAnsi="宋体"/>
          <w:sz w:val="24"/>
          <w:szCs w:val="24"/>
        </w:rPr>
      </w:pPr>
      <w:r>
        <w:rPr>
          <w:rFonts w:hint="eastAsia" w:ascii="宋体" w:hAnsi="宋体"/>
          <w:sz w:val="24"/>
          <w:szCs w:val="24"/>
        </w:rPr>
        <w:t>项目公司</w:t>
      </w:r>
      <w:r>
        <w:rPr>
          <w:rFonts w:ascii="宋体" w:hAnsi="宋体"/>
          <w:sz w:val="24"/>
          <w:szCs w:val="24"/>
        </w:rPr>
        <w:t>202</w:t>
      </w:r>
      <w:r>
        <w:rPr>
          <w:rFonts w:hint="eastAsia" w:ascii="宋体" w:hAnsi="宋体"/>
          <w:sz w:val="24"/>
          <w:szCs w:val="24"/>
          <w:lang w:val="en-US" w:eastAsia="zh-CN"/>
        </w:rPr>
        <w:t>0</w:t>
      </w:r>
      <w:r>
        <w:rPr>
          <w:rFonts w:ascii="宋体" w:hAnsi="宋体"/>
          <w:sz w:val="24"/>
          <w:szCs w:val="24"/>
        </w:rPr>
        <w:t>年</w:t>
      </w:r>
      <w:r>
        <w:rPr>
          <w:rFonts w:hint="eastAsia" w:ascii="宋体" w:hAnsi="宋体"/>
          <w:sz w:val="24"/>
          <w:szCs w:val="24"/>
        </w:rPr>
        <w:t>12</w:t>
      </w:r>
      <w:r>
        <w:rPr>
          <w:rFonts w:ascii="宋体" w:hAnsi="宋体"/>
          <w:sz w:val="24"/>
          <w:szCs w:val="24"/>
        </w:rPr>
        <w:t>月</w:t>
      </w:r>
      <w:r>
        <w:rPr>
          <w:rFonts w:hint="eastAsia" w:ascii="宋体" w:hAnsi="宋体"/>
          <w:sz w:val="24"/>
          <w:szCs w:val="24"/>
          <w:lang w:val="en-US" w:eastAsia="zh-CN"/>
        </w:rPr>
        <w:t>31</w:t>
      </w:r>
      <w:r>
        <w:rPr>
          <w:rFonts w:ascii="宋体" w:hAnsi="宋体"/>
          <w:sz w:val="24"/>
          <w:szCs w:val="24"/>
        </w:rPr>
        <w:t>日</w:t>
      </w:r>
      <w:r>
        <w:rPr>
          <w:rFonts w:hint="eastAsia" w:ascii="宋体" w:hAnsi="宋体"/>
          <w:sz w:val="24"/>
          <w:szCs w:val="24"/>
        </w:rPr>
        <w:t>提交的202</w:t>
      </w:r>
      <w:r>
        <w:rPr>
          <w:rFonts w:hint="eastAsia" w:ascii="宋体" w:hAnsi="宋体"/>
          <w:sz w:val="24"/>
          <w:szCs w:val="24"/>
          <w:lang w:val="en-US" w:eastAsia="zh-CN"/>
        </w:rPr>
        <w:t>1</w:t>
      </w:r>
      <w:r>
        <w:rPr>
          <w:rFonts w:hint="eastAsia" w:ascii="宋体" w:hAnsi="宋体"/>
          <w:sz w:val="24"/>
          <w:szCs w:val="24"/>
        </w:rPr>
        <w:t>年1月资金</w:t>
      </w:r>
      <w:r>
        <w:rPr>
          <w:rFonts w:hint="eastAsia" w:ascii="宋体" w:hAnsi="宋体"/>
          <w:sz w:val="24"/>
          <w:szCs w:val="24"/>
          <w:lang w:eastAsia="zh-CN"/>
        </w:rPr>
        <w:t>收支</w:t>
      </w:r>
      <w:r>
        <w:rPr>
          <w:rFonts w:hint="eastAsia" w:ascii="宋体" w:hAnsi="宋体"/>
          <w:sz w:val="24"/>
          <w:szCs w:val="24"/>
        </w:rPr>
        <w:t>计划，</w:t>
      </w:r>
      <w:r>
        <w:rPr>
          <w:rFonts w:hint="eastAsia" w:ascii="宋体" w:hAnsi="宋体"/>
          <w:sz w:val="24"/>
          <w:szCs w:val="24"/>
          <w:lang w:eastAsia="zh-CN"/>
        </w:rPr>
        <w:t>计划资金流入</w:t>
      </w:r>
      <w:r>
        <w:rPr>
          <w:rFonts w:hint="eastAsia" w:ascii="宋体" w:hAnsi="宋体"/>
          <w:sz w:val="24"/>
          <w:szCs w:val="24"/>
          <w:lang w:val="en-US" w:eastAsia="zh-CN"/>
        </w:rPr>
        <w:t>22,000.00万元，为南京银行开发贷放款。</w:t>
      </w:r>
      <w:r>
        <w:rPr>
          <w:rFonts w:ascii="宋体" w:hAnsi="宋体"/>
          <w:sz w:val="24"/>
          <w:szCs w:val="24"/>
        </w:rPr>
        <w:t>计划</w:t>
      </w:r>
      <w:r>
        <w:rPr>
          <w:rFonts w:hint="eastAsia" w:ascii="宋体" w:hAnsi="宋体"/>
          <w:sz w:val="24"/>
          <w:szCs w:val="24"/>
        </w:rPr>
        <w:t>资金支出共计</w:t>
      </w:r>
      <w:r>
        <w:rPr>
          <w:rFonts w:hint="eastAsia" w:ascii="宋体" w:hAnsi="宋体"/>
          <w:sz w:val="24"/>
          <w:szCs w:val="24"/>
          <w:lang w:val="en-US" w:eastAsia="zh-CN"/>
        </w:rPr>
        <w:t>27</w:t>
      </w:r>
      <w:r>
        <w:rPr>
          <w:rFonts w:hint="eastAsia" w:ascii="宋体" w:hAnsi="宋体"/>
          <w:sz w:val="24"/>
          <w:szCs w:val="24"/>
        </w:rPr>
        <w:t>笔，合计</w:t>
      </w:r>
      <w:r>
        <w:rPr>
          <w:rFonts w:hint="eastAsia" w:ascii="宋体" w:hAnsi="宋体"/>
          <w:sz w:val="24"/>
          <w:szCs w:val="24"/>
          <w:lang w:val="en-US" w:eastAsia="zh-CN"/>
        </w:rPr>
        <w:t>5,876.24</w:t>
      </w:r>
      <w:r>
        <w:rPr>
          <w:rFonts w:hint="eastAsia" w:ascii="宋体" w:hAnsi="宋体"/>
          <w:sz w:val="24"/>
          <w:szCs w:val="24"/>
        </w:rPr>
        <w:t>万元。根据尽调报告中的目标成本分类方式，我司对资金计划中的支付项进行整理、分类，其中：</w:t>
      </w:r>
      <w:r>
        <w:rPr>
          <w:rFonts w:hint="eastAsia" w:ascii="宋体" w:hAnsi="宋体"/>
          <w:sz w:val="24"/>
          <w:szCs w:val="24"/>
          <w:lang w:eastAsia="zh-CN"/>
        </w:rPr>
        <w:t>工程费用</w:t>
      </w:r>
      <w:r>
        <w:rPr>
          <w:rFonts w:hint="eastAsia" w:ascii="宋体" w:hAnsi="宋体"/>
          <w:sz w:val="24"/>
          <w:szCs w:val="24"/>
        </w:rPr>
        <w:t>支出</w:t>
      </w:r>
      <w:r>
        <w:rPr>
          <w:rFonts w:hint="eastAsia" w:ascii="宋体" w:hAnsi="宋体"/>
          <w:sz w:val="24"/>
          <w:szCs w:val="24"/>
          <w:lang w:val="en-US" w:eastAsia="zh-CN"/>
        </w:rPr>
        <w:t xml:space="preserve"> 3,787.88</w:t>
      </w:r>
      <w:r>
        <w:rPr>
          <w:rFonts w:hint="eastAsia" w:ascii="宋体" w:hAnsi="宋体"/>
          <w:sz w:val="24"/>
          <w:szCs w:val="24"/>
        </w:rPr>
        <w:t>万元，前期费用支出</w:t>
      </w:r>
      <w:r>
        <w:rPr>
          <w:rFonts w:hint="eastAsia" w:ascii="宋体" w:hAnsi="宋体"/>
          <w:sz w:val="24"/>
          <w:szCs w:val="24"/>
          <w:lang w:val="en-US" w:eastAsia="zh-CN"/>
        </w:rPr>
        <w:t>510.94</w:t>
      </w:r>
      <w:r>
        <w:rPr>
          <w:rFonts w:hint="eastAsia" w:ascii="宋体" w:hAnsi="宋体"/>
          <w:sz w:val="24"/>
          <w:szCs w:val="24"/>
        </w:rPr>
        <w:t>万元，管理费</w:t>
      </w:r>
      <w:r>
        <w:rPr>
          <w:rFonts w:hint="eastAsia" w:ascii="宋体" w:hAnsi="宋体"/>
          <w:sz w:val="24"/>
          <w:szCs w:val="24"/>
          <w:lang w:val="en-US" w:eastAsia="zh-CN"/>
        </w:rPr>
        <w:t>用</w:t>
      </w:r>
      <w:r>
        <w:rPr>
          <w:rFonts w:hint="eastAsia" w:ascii="宋体" w:hAnsi="宋体"/>
          <w:sz w:val="24"/>
          <w:szCs w:val="24"/>
        </w:rPr>
        <w:t>支出</w:t>
      </w:r>
      <w:r>
        <w:rPr>
          <w:rFonts w:hint="eastAsia" w:ascii="宋体" w:hAnsi="宋体"/>
          <w:sz w:val="24"/>
          <w:szCs w:val="24"/>
          <w:lang w:val="en-US" w:eastAsia="zh-CN"/>
        </w:rPr>
        <w:t>100.00</w:t>
      </w:r>
      <w:r>
        <w:rPr>
          <w:rFonts w:hint="eastAsia" w:ascii="宋体" w:hAnsi="宋体"/>
          <w:sz w:val="24"/>
          <w:szCs w:val="24"/>
        </w:rPr>
        <w:t>万元,营销费</w:t>
      </w:r>
      <w:r>
        <w:rPr>
          <w:rFonts w:hint="eastAsia" w:ascii="宋体" w:hAnsi="宋体"/>
          <w:sz w:val="24"/>
          <w:szCs w:val="24"/>
          <w:lang w:val="en-US" w:eastAsia="zh-CN"/>
        </w:rPr>
        <w:t>用</w:t>
      </w:r>
      <w:r>
        <w:rPr>
          <w:rFonts w:hint="eastAsia" w:ascii="宋体" w:hAnsi="宋体"/>
          <w:sz w:val="24"/>
          <w:szCs w:val="24"/>
        </w:rPr>
        <w:t>支出</w:t>
      </w:r>
      <w:r>
        <w:rPr>
          <w:rFonts w:hint="eastAsia" w:ascii="宋体" w:hAnsi="宋体"/>
          <w:sz w:val="24"/>
          <w:szCs w:val="24"/>
          <w:lang w:val="en-US" w:eastAsia="zh-CN"/>
        </w:rPr>
        <w:t>549.42</w:t>
      </w:r>
      <w:r>
        <w:rPr>
          <w:rFonts w:hint="eastAsia" w:ascii="宋体" w:hAnsi="宋体"/>
          <w:sz w:val="24"/>
          <w:szCs w:val="24"/>
        </w:rPr>
        <w:t>万元，</w:t>
      </w:r>
      <w:r>
        <w:rPr>
          <w:rFonts w:hint="eastAsia" w:ascii="宋体" w:hAnsi="宋体"/>
          <w:sz w:val="24"/>
          <w:szCs w:val="24"/>
          <w:lang w:val="en-US" w:eastAsia="zh-CN"/>
        </w:rPr>
        <w:t>财务费用支出928.00万元。</w:t>
      </w:r>
    </w:p>
    <w:tbl>
      <w:tblPr>
        <w:tblStyle w:val="11"/>
        <w:tblW w:w="10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863"/>
        <w:gridCol w:w="1863"/>
        <w:gridCol w:w="1863"/>
        <w:gridCol w:w="1863"/>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46" w:type="dxa"/>
            <w:gridSpan w:val="6"/>
            <w:shd w:val="clear" w:color="auto" w:fill="CCC0D9"/>
          </w:tcPr>
          <w:p>
            <w:pPr>
              <w:spacing w:line="360" w:lineRule="auto"/>
              <w:jc w:val="center"/>
              <w:rPr>
                <w:rFonts w:ascii="宋体" w:hAnsi="宋体"/>
                <w:b/>
                <w:bCs/>
                <w:sz w:val="24"/>
                <w:szCs w:val="24"/>
              </w:rPr>
            </w:pPr>
            <w:r>
              <w:rPr>
                <w:rFonts w:hint="eastAsia" w:ascii="宋体" w:hAnsi="宋体"/>
                <w:b/>
                <w:bCs/>
                <w:sz w:val="24"/>
                <w:szCs w:val="24"/>
              </w:rPr>
              <w:t>中航信托•天垣</w:t>
            </w:r>
            <w:r>
              <w:rPr>
                <w:rFonts w:hint="eastAsia" w:ascii="宋体" w:hAnsi="宋体"/>
                <w:b/>
                <w:bCs/>
                <w:sz w:val="24"/>
                <w:szCs w:val="24"/>
                <w:lang w:val="en-US" w:eastAsia="zh-CN"/>
              </w:rPr>
              <w:t>12号融创庆隆项目</w:t>
            </w:r>
            <w:r>
              <w:rPr>
                <w:rFonts w:hint="eastAsia" w:ascii="宋体" w:hAnsi="宋体"/>
                <w:b/>
                <w:bCs/>
                <w:sz w:val="24"/>
                <w:szCs w:val="24"/>
              </w:rPr>
              <w:t>股权投资集合资金信托计划</w:t>
            </w:r>
          </w:p>
          <w:p>
            <w:pPr>
              <w:spacing w:line="360" w:lineRule="auto"/>
              <w:jc w:val="center"/>
              <w:rPr>
                <w:rFonts w:ascii="宋体" w:hAnsi="宋体"/>
                <w:b/>
                <w:bCs/>
                <w:sz w:val="24"/>
                <w:szCs w:val="24"/>
              </w:rPr>
            </w:pPr>
            <w:r>
              <w:rPr>
                <w:rFonts w:hint="eastAsia" w:ascii="宋体" w:hAnsi="宋体"/>
                <w:b/>
                <w:bCs/>
                <w:sz w:val="24"/>
                <w:szCs w:val="24"/>
              </w:rPr>
              <w:t>-</w:t>
            </w:r>
            <w:r>
              <w:rPr>
                <w:rFonts w:hint="eastAsia" w:ascii="宋体" w:hAnsi="宋体"/>
                <w:b/>
                <w:bCs/>
                <w:sz w:val="24"/>
                <w:szCs w:val="24"/>
                <w:lang w:val="en-US" w:eastAsia="zh-CN"/>
              </w:rPr>
              <w:t>融创杭州庆隆</w:t>
            </w:r>
            <w:r>
              <w:rPr>
                <w:rFonts w:hint="eastAsia" w:ascii="宋体" w:hAnsi="宋体"/>
                <w:b/>
                <w:bCs/>
                <w:sz w:val="24"/>
                <w:szCs w:val="24"/>
              </w:rPr>
              <w:t>项目月度资金使用计划（202</w:t>
            </w:r>
            <w:r>
              <w:rPr>
                <w:rFonts w:hint="eastAsia" w:ascii="宋体" w:hAnsi="宋体"/>
                <w:b/>
                <w:bCs/>
                <w:sz w:val="24"/>
                <w:szCs w:val="24"/>
                <w:lang w:val="en-US" w:eastAsia="zh-CN"/>
              </w:rPr>
              <w:t>1</w:t>
            </w:r>
            <w:r>
              <w:rPr>
                <w:rFonts w:hint="eastAsia" w:ascii="宋体" w:hAnsi="宋体"/>
                <w:b/>
                <w:bCs/>
                <w:sz w:val="24"/>
                <w:szCs w:val="24"/>
              </w:rPr>
              <w:t>年1月份）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46" w:type="dxa"/>
            <w:gridSpan w:val="6"/>
            <w:shd w:val="clear" w:color="auto" w:fill="CCC0D9"/>
          </w:tcPr>
          <w:p>
            <w:pPr>
              <w:spacing w:line="360" w:lineRule="auto"/>
              <w:rPr>
                <w:rFonts w:ascii="宋体" w:hAnsi="宋体"/>
                <w:b/>
                <w:bCs/>
                <w:sz w:val="24"/>
                <w:szCs w:val="24"/>
              </w:rPr>
            </w:pPr>
            <w:bookmarkStart w:id="0" w:name="_Hlk16606321"/>
            <w:r>
              <w:rPr>
                <w:rFonts w:hint="eastAsia" w:ascii="宋体" w:hAnsi="宋体"/>
                <w:b/>
                <w:bCs/>
                <w:sz w:val="24"/>
                <w:szCs w:val="24"/>
              </w:rPr>
              <w:t>编制：杭州</w:t>
            </w:r>
            <w:r>
              <w:rPr>
                <w:rFonts w:hint="eastAsia" w:ascii="宋体" w:hAnsi="宋体"/>
                <w:b/>
                <w:bCs/>
                <w:sz w:val="24"/>
                <w:szCs w:val="24"/>
                <w:lang w:val="en-US" w:eastAsia="zh-CN"/>
              </w:rPr>
              <w:t>融滨昌盛</w:t>
            </w:r>
            <w:r>
              <w:rPr>
                <w:rFonts w:hint="eastAsia" w:ascii="宋体" w:hAnsi="宋体"/>
                <w:b/>
                <w:bCs/>
                <w:sz w:val="24"/>
                <w:szCs w:val="24"/>
              </w:rPr>
              <w:t xml:space="preserve">置业有限公司                           </w:t>
            </w:r>
            <w:r>
              <w:rPr>
                <w:rFonts w:ascii="宋体" w:hAnsi="宋体"/>
                <w:b/>
                <w:bCs/>
                <w:sz w:val="24"/>
                <w:szCs w:val="24"/>
              </w:rPr>
              <w:t xml:space="preserve">  </w:t>
            </w:r>
            <w:r>
              <w:rPr>
                <w:rFonts w:hint="eastAsia" w:ascii="宋体" w:hAnsi="宋体"/>
                <w:b/>
                <w:bCs/>
                <w:sz w:val="24"/>
                <w:szCs w:val="24"/>
              </w:rPr>
              <w:t xml:space="preserve">           </w:t>
            </w:r>
            <w:r>
              <w:rPr>
                <w:rFonts w:ascii="宋体" w:hAnsi="宋体"/>
                <w:b/>
                <w:bCs/>
                <w:sz w:val="24"/>
                <w:szCs w:val="24"/>
              </w:rPr>
              <w:t xml:space="preserve">  </w:t>
            </w:r>
            <w:r>
              <w:rPr>
                <w:rFonts w:hint="eastAsia" w:ascii="宋体" w:hAnsi="宋体"/>
                <w:b/>
                <w:bCs/>
                <w:sz w:val="24"/>
                <w:szCs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1228" w:type="dxa"/>
            <w:shd w:val="clear" w:color="auto" w:fill="DCD8C2"/>
            <w:vAlign w:val="center"/>
          </w:tcPr>
          <w:p>
            <w:pPr>
              <w:jc w:val="center"/>
              <w:rPr>
                <w:rFonts w:ascii="宋体" w:hAnsi="宋体"/>
                <w:b/>
                <w:bCs/>
                <w:sz w:val="24"/>
                <w:szCs w:val="24"/>
              </w:rPr>
            </w:pPr>
            <w:r>
              <w:rPr>
                <w:rFonts w:hint="eastAsia" w:ascii="宋体" w:hAnsi="宋体"/>
                <w:b/>
                <w:bCs/>
                <w:sz w:val="24"/>
                <w:szCs w:val="24"/>
              </w:rPr>
              <w:t>项目</w:t>
            </w:r>
          </w:p>
        </w:tc>
        <w:tc>
          <w:tcPr>
            <w:tcW w:w="1863" w:type="dxa"/>
            <w:shd w:val="clear" w:color="auto" w:fill="DCD8C2"/>
            <w:vAlign w:val="center"/>
          </w:tcPr>
          <w:p>
            <w:pPr>
              <w:jc w:val="center"/>
              <w:rPr>
                <w:rFonts w:ascii="宋体" w:hAnsi="宋体"/>
                <w:b/>
                <w:bCs/>
                <w:sz w:val="24"/>
                <w:szCs w:val="24"/>
              </w:rPr>
            </w:pPr>
            <w:r>
              <w:rPr>
                <w:rFonts w:hint="eastAsia" w:ascii="宋体" w:hAnsi="宋体"/>
                <w:b/>
                <w:bCs/>
                <w:sz w:val="24"/>
                <w:szCs w:val="24"/>
              </w:rPr>
              <w:t>目标成本</w:t>
            </w:r>
          </w:p>
        </w:tc>
        <w:tc>
          <w:tcPr>
            <w:tcW w:w="1863" w:type="dxa"/>
            <w:shd w:val="clear" w:color="auto" w:fill="DCD8C2"/>
            <w:vAlign w:val="center"/>
          </w:tcPr>
          <w:p>
            <w:pPr>
              <w:jc w:val="center"/>
              <w:rPr>
                <w:rFonts w:ascii="宋体" w:hAnsi="宋体"/>
                <w:b/>
                <w:bCs/>
                <w:sz w:val="24"/>
                <w:szCs w:val="24"/>
              </w:rPr>
            </w:pPr>
            <w:r>
              <w:rPr>
                <w:rFonts w:hint="eastAsia" w:ascii="宋体" w:hAnsi="宋体"/>
                <w:b/>
                <w:bCs/>
                <w:sz w:val="24"/>
                <w:szCs w:val="24"/>
              </w:rPr>
              <w:t>合同金额</w:t>
            </w:r>
          </w:p>
        </w:tc>
        <w:tc>
          <w:tcPr>
            <w:tcW w:w="1863" w:type="dxa"/>
            <w:shd w:val="clear" w:color="auto" w:fill="DCD8C2"/>
            <w:vAlign w:val="center"/>
          </w:tcPr>
          <w:p>
            <w:pPr>
              <w:jc w:val="center"/>
              <w:rPr>
                <w:rFonts w:ascii="宋体" w:hAnsi="宋体"/>
                <w:b/>
                <w:bCs/>
                <w:sz w:val="24"/>
                <w:szCs w:val="24"/>
              </w:rPr>
            </w:pPr>
            <w:r>
              <w:rPr>
                <w:rFonts w:hint="eastAsia" w:ascii="宋体" w:hAnsi="宋体"/>
                <w:b/>
                <w:bCs/>
                <w:sz w:val="24"/>
                <w:szCs w:val="24"/>
              </w:rPr>
              <w:t>已签订合同占目标成本比例</w:t>
            </w:r>
          </w:p>
        </w:tc>
        <w:tc>
          <w:tcPr>
            <w:tcW w:w="1863" w:type="dxa"/>
            <w:shd w:val="clear" w:color="auto" w:fill="DCD8C2"/>
            <w:vAlign w:val="center"/>
          </w:tcPr>
          <w:p>
            <w:pPr>
              <w:jc w:val="center"/>
              <w:rPr>
                <w:rFonts w:ascii="宋体" w:hAnsi="宋体"/>
                <w:b/>
                <w:bCs/>
                <w:sz w:val="24"/>
                <w:szCs w:val="24"/>
              </w:rPr>
            </w:pPr>
            <w:r>
              <w:rPr>
                <w:rFonts w:hint="eastAsia" w:ascii="宋体" w:hAnsi="宋体"/>
                <w:b/>
                <w:bCs/>
                <w:sz w:val="24"/>
                <w:szCs w:val="24"/>
              </w:rPr>
              <w:t>累计已付款</w:t>
            </w:r>
          </w:p>
        </w:tc>
        <w:tc>
          <w:tcPr>
            <w:tcW w:w="1866" w:type="dxa"/>
            <w:shd w:val="clear" w:color="auto" w:fill="DCD8C2"/>
            <w:vAlign w:val="center"/>
          </w:tcPr>
          <w:p>
            <w:pPr>
              <w:jc w:val="center"/>
              <w:rPr>
                <w:rFonts w:ascii="宋体" w:hAnsi="宋体"/>
                <w:b/>
                <w:bCs/>
                <w:sz w:val="24"/>
                <w:szCs w:val="24"/>
              </w:rPr>
            </w:pPr>
            <w:r>
              <w:rPr>
                <w:rFonts w:hint="eastAsia" w:ascii="宋体" w:hAnsi="宋体"/>
                <w:b/>
                <w:bCs/>
                <w:sz w:val="24"/>
                <w:szCs w:val="24"/>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228" w:type="dxa"/>
            <w:vAlign w:val="center"/>
          </w:tcPr>
          <w:p>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土地费用</w:t>
            </w:r>
          </w:p>
        </w:tc>
        <w:tc>
          <w:tcPr>
            <w:tcW w:w="1863"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310,081.00</w:t>
            </w:r>
          </w:p>
        </w:tc>
        <w:tc>
          <w:tcPr>
            <w:tcW w:w="1863"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299,550.00</w:t>
            </w:r>
          </w:p>
        </w:tc>
        <w:tc>
          <w:tcPr>
            <w:tcW w:w="1863" w:type="dxa"/>
            <w:vAlign w:val="center"/>
          </w:tcPr>
          <w:p>
            <w:pPr>
              <w:keepNext w:val="0"/>
              <w:keepLines w:val="0"/>
              <w:widowControl/>
              <w:suppressLineNumbers w:val="0"/>
              <w:jc w:val="right"/>
              <w:textAlignment w:val="center"/>
              <w:rPr>
                <w:rFonts w:hint="default" w:ascii="Arial" w:hAnsi="Arial" w:eastAsia="宋体" w:cs="Arial"/>
                <w:sz w:val="21"/>
                <w:szCs w:val="21"/>
                <w:lang w:val="en-US" w:eastAsia="zh-CN"/>
              </w:rPr>
            </w:pPr>
            <w:r>
              <w:rPr>
                <w:rFonts w:hint="default" w:ascii="Arial" w:hAnsi="Arial" w:eastAsia="宋体" w:cs="Arial"/>
                <w:i w:val="0"/>
                <w:color w:val="000000"/>
                <w:kern w:val="0"/>
                <w:sz w:val="21"/>
                <w:szCs w:val="21"/>
                <w:u w:val="none"/>
                <w:lang w:val="en-US" w:eastAsia="zh-CN" w:bidi="ar"/>
              </w:rPr>
              <w:t>96.60%</w:t>
            </w:r>
          </w:p>
        </w:tc>
        <w:tc>
          <w:tcPr>
            <w:tcW w:w="1863" w:type="dxa"/>
            <w:vAlign w:val="center"/>
          </w:tcPr>
          <w:p>
            <w:pPr>
              <w:widowControl/>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308,777.58</w:t>
            </w:r>
          </w:p>
        </w:tc>
        <w:tc>
          <w:tcPr>
            <w:tcW w:w="1866"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228" w:type="dxa"/>
            <w:vAlign w:val="center"/>
          </w:tcPr>
          <w:p>
            <w:pPr>
              <w:jc w:val="center"/>
              <w:rPr>
                <w:rFonts w:hint="default" w:ascii="Arial" w:hAnsi="Arial" w:eastAsia="宋体" w:cs="Arial"/>
                <w:sz w:val="21"/>
                <w:szCs w:val="21"/>
              </w:rPr>
            </w:pPr>
            <w:r>
              <w:rPr>
                <w:rFonts w:hint="default" w:ascii="Arial" w:hAnsi="Arial" w:eastAsia="宋体" w:cs="Arial"/>
                <w:sz w:val="21"/>
                <w:szCs w:val="21"/>
              </w:rPr>
              <w:t>工程费用</w:t>
            </w:r>
          </w:p>
        </w:tc>
        <w:tc>
          <w:tcPr>
            <w:tcW w:w="1863"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116,273.00</w:t>
            </w:r>
          </w:p>
        </w:tc>
        <w:tc>
          <w:tcPr>
            <w:tcW w:w="1863"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45,465.65</w:t>
            </w:r>
          </w:p>
        </w:tc>
        <w:tc>
          <w:tcPr>
            <w:tcW w:w="1863" w:type="dxa"/>
            <w:vAlign w:val="center"/>
          </w:tcPr>
          <w:p>
            <w:pPr>
              <w:keepNext w:val="0"/>
              <w:keepLines w:val="0"/>
              <w:widowControl/>
              <w:suppressLineNumbers w:val="0"/>
              <w:jc w:val="right"/>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39.10%</w:t>
            </w:r>
          </w:p>
        </w:tc>
        <w:tc>
          <w:tcPr>
            <w:tcW w:w="1863" w:type="dxa"/>
            <w:vAlign w:val="center"/>
          </w:tcPr>
          <w:p>
            <w:pPr>
              <w:widowControl/>
              <w:jc w:val="right"/>
              <w:rPr>
                <w:rFonts w:hint="default" w:ascii="Arial" w:hAnsi="Arial" w:eastAsia="宋体" w:cs="Arial"/>
                <w:sz w:val="21"/>
                <w:szCs w:val="21"/>
              </w:rPr>
            </w:pPr>
            <w:r>
              <w:rPr>
                <w:rFonts w:hint="default" w:ascii="Arial" w:hAnsi="Arial" w:eastAsia="宋体" w:cs="Arial"/>
                <w:sz w:val="21"/>
                <w:szCs w:val="21"/>
                <w:lang w:val="en-US" w:eastAsia="zh-CN"/>
              </w:rPr>
              <w:t>5</w:t>
            </w:r>
            <w:r>
              <w:rPr>
                <w:rFonts w:hint="eastAsia" w:ascii="Arial" w:hAnsi="Arial" w:cs="Arial"/>
                <w:sz w:val="21"/>
                <w:szCs w:val="21"/>
                <w:lang w:val="en-US" w:eastAsia="zh-CN"/>
              </w:rPr>
              <w:t>,</w:t>
            </w:r>
            <w:r>
              <w:rPr>
                <w:rFonts w:hint="default" w:ascii="Arial" w:hAnsi="Arial" w:eastAsia="宋体" w:cs="Arial"/>
                <w:sz w:val="21"/>
                <w:szCs w:val="21"/>
                <w:lang w:val="en-US" w:eastAsia="zh-CN"/>
              </w:rPr>
              <w:t>495.49</w:t>
            </w:r>
          </w:p>
        </w:tc>
        <w:tc>
          <w:tcPr>
            <w:tcW w:w="1866"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3,787.88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228" w:type="dxa"/>
            <w:vAlign w:val="center"/>
          </w:tcPr>
          <w:p>
            <w:pPr>
              <w:jc w:val="center"/>
              <w:rPr>
                <w:rFonts w:hint="default" w:ascii="Arial" w:hAnsi="Arial" w:eastAsia="宋体" w:cs="Arial"/>
                <w:sz w:val="21"/>
                <w:szCs w:val="21"/>
              </w:rPr>
            </w:pPr>
            <w:r>
              <w:rPr>
                <w:rFonts w:hint="default" w:ascii="Arial" w:hAnsi="Arial" w:eastAsia="宋体" w:cs="Arial"/>
                <w:sz w:val="21"/>
                <w:szCs w:val="21"/>
              </w:rPr>
              <w:t>前期费用</w:t>
            </w:r>
          </w:p>
        </w:tc>
        <w:tc>
          <w:tcPr>
            <w:tcW w:w="1863"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2,438.00</w:t>
            </w:r>
          </w:p>
        </w:tc>
        <w:tc>
          <w:tcPr>
            <w:tcW w:w="1863"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2,761.1</w:t>
            </w:r>
            <w:r>
              <w:rPr>
                <w:rFonts w:hint="eastAsia" w:ascii="Arial" w:hAnsi="Arial" w:cs="Arial"/>
                <w:sz w:val="21"/>
                <w:szCs w:val="21"/>
                <w:lang w:val="en-US" w:eastAsia="zh-CN"/>
              </w:rPr>
              <w:t>0</w:t>
            </w:r>
          </w:p>
        </w:tc>
        <w:tc>
          <w:tcPr>
            <w:tcW w:w="1863" w:type="dxa"/>
            <w:vAlign w:val="center"/>
          </w:tcPr>
          <w:p>
            <w:pPr>
              <w:keepNext w:val="0"/>
              <w:keepLines w:val="0"/>
              <w:widowControl/>
              <w:suppressLineNumbers w:val="0"/>
              <w:jc w:val="right"/>
              <w:textAlignment w:val="center"/>
              <w:rPr>
                <w:rFonts w:hint="default" w:ascii="Arial" w:hAnsi="Arial" w:eastAsia="宋体" w:cs="Arial"/>
                <w:sz w:val="21"/>
                <w:szCs w:val="21"/>
                <w:lang w:val="en-US" w:eastAsia="zh-CN"/>
              </w:rPr>
            </w:pPr>
            <w:r>
              <w:rPr>
                <w:rFonts w:hint="default" w:ascii="Arial" w:hAnsi="Arial" w:eastAsia="宋体" w:cs="Arial"/>
                <w:i w:val="0"/>
                <w:color w:val="000000"/>
                <w:kern w:val="0"/>
                <w:sz w:val="21"/>
                <w:szCs w:val="21"/>
                <w:u w:val="none"/>
                <w:lang w:val="en-US" w:eastAsia="zh-CN" w:bidi="ar"/>
              </w:rPr>
              <w:t>113.25%</w:t>
            </w:r>
          </w:p>
        </w:tc>
        <w:tc>
          <w:tcPr>
            <w:tcW w:w="1863" w:type="dxa"/>
            <w:vAlign w:val="center"/>
          </w:tcPr>
          <w:p>
            <w:pPr>
              <w:widowControl/>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1,079.50</w:t>
            </w:r>
          </w:p>
        </w:tc>
        <w:tc>
          <w:tcPr>
            <w:tcW w:w="1866"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510.94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228" w:type="dxa"/>
            <w:vAlign w:val="center"/>
          </w:tcPr>
          <w:p>
            <w:pPr>
              <w:jc w:val="center"/>
              <w:rPr>
                <w:rFonts w:hint="default" w:ascii="Arial" w:hAnsi="Arial" w:eastAsia="宋体" w:cs="Arial"/>
                <w:sz w:val="21"/>
                <w:szCs w:val="21"/>
              </w:rPr>
            </w:pPr>
            <w:r>
              <w:rPr>
                <w:rFonts w:hint="default" w:ascii="Arial" w:hAnsi="Arial" w:eastAsia="宋体" w:cs="Arial"/>
                <w:sz w:val="21"/>
                <w:szCs w:val="21"/>
              </w:rPr>
              <w:t>管理费用</w:t>
            </w:r>
          </w:p>
        </w:tc>
        <w:tc>
          <w:tcPr>
            <w:tcW w:w="1863"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10,955.00</w:t>
            </w:r>
          </w:p>
        </w:tc>
        <w:tc>
          <w:tcPr>
            <w:tcW w:w="1863" w:type="dxa"/>
            <w:vAlign w:val="center"/>
          </w:tcPr>
          <w:p>
            <w:pPr>
              <w:jc w:val="right"/>
              <w:rPr>
                <w:rFonts w:hint="default" w:ascii="Arial" w:hAnsi="Arial" w:eastAsia="宋体" w:cs="Arial"/>
                <w:sz w:val="21"/>
                <w:szCs w:val="21"/>
              </w:rPr>
            </w:pPr>
            <w:r>
              <w:rPr>
                <w:rFonts w:hint="default" w:ascii="Arial" w:hAnsi="Arial" w:eastAsia="宋体" w:cs="Arial"/>
                <w:sz w:val="21"/>
                <w:szCs w:val="21"/>
              </w:rPr>
              <w:t>0.00</w:t>
            </w:r>
          </w:p>
        </w:tc>
        <w:tc>
          <w:tcPr>
            <w:tcW w:w="1863" w:type="dxa"/>
            <w:vAlign w:val="center"/>
          </w:tcPr>
          <w:p>
            <w:pPr>
              <w:keepNext w:val="0"/>
              <w:keepLines w:val="0"/>
              <w:widowControl/>
              <w:suppressLineNumbers w:val="0"/>
              <w:jc w:val="right"/>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0.00%</w:t>
            </w:r>
          </w:p>
        </w:tc>
        <w:tc>
          <w:tcPr>
            <w:tcW w:w="1863" w:type="dxa"/>
            <w:vAlign w:val="center"/>
          </w:tcPr>
          <w:p>
            <w:pPr>
              <w:widowControl/>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32.50</w:t>
            </w:r>
          </w:p>
        </w:tc>
        <w:tc>
          <w:tcPr>
            <w:tcW w:w="1866"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228" w:type="dxa"/>
            <w:vAlign w:val="center"/>
          </w:tcPr>
          <w:p>
            <w:pPr>
              <w:jc w:val="center"/>
              <w:rPr>
                <w:rFonts w:hint="default" w:ascii="Arial" w:hAnsi="Arial" w:eastAsia="宋体" w:cs="Arial"/>
                <w:sz w:val="21"/>
                <w:szCs w:val="21"/>
              </w:rPr>
            </w:pPr>
            <w:r>
              <w:rPr>
                <w:rFonts w:hint="default" w:ascii="Arial" w:hAnsi="Arial" w:eastAsia="宋体" w:cs="Arial"/>
                <w:sz w:val="21"/>
                <w:szCs w:val="21"/>
              </w:rPr>
              <w:t>营销费用</w:t>
            </w:r>
          </w:p>
        </w:tc>
        <w:tc>
          <w:tcPr>
            <w:tcW w:w="1863"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10,955.00</w:t>
            </w:r>
          </w:p>
        </w:tc>
        <w:tc>
          <w:tcPr>
            <w:tcW w:w="1863" w:type="dxa"/>
            <w:vAlign w:val="center"/>
          </w:tcPr>
          <w:p>
            <w:pPr>
              <w:jc w:val="right"/>
              <w:rPr>
                <w:rFonts w:hint="default" w:ascii="Arial" w:hAnsi="Arial" w:eastAsia="宋体" w:cs="Arial"/>
                <w:sz w:val="21"/>
                <w:szCs w:val="21"/>
                <w:lang w:val="en-US" w:eastAsia="zh-CN"/>
              </w:rPr>
            </w:pPr>
            <w:r>
              <w:rPr>
                <w:rFonts w:hint="eastAsia" w:ascii="Arial" w:hAnsi="Arial" w:cs="Arial"/>
                <w:sz w:val="21"/>
                <w:szCs w:val="21"/>
                <w:lang w:val="en-US" w:eastAsia="zh-CN"/>
              </w:rPr>
              <w:t>656.45</w:t>
            </w:r>
          </w:p>
        </w:tc>
        <w:tc>
          <w:tcPr>
            <w:tcW w:w="1863" w:type="dxa"/>
            <w:vAlign w:val="center"/>
          </w:tcPr>
          <w:p>
            <w:pPr>
              <w:keepNext w:val="0"/>
              <w:keepLines w:val="0"/>
              <w:widowControl/>
              <w:suppressLineNumbers w:val="0"/>
              <w:jc w:val="right"/>
              <w:textAlignment w:val="center"/>
              <w:rPr>
                <w:rFonts w:hint="default" w:ascii="Arial" w:hAnsi="Arial" w:eastAsia="宋体" w:cs="Arial"/>
                <w:sz w:val="21"/>
                <w:szCs w:val="21"/>
                <w:lang w:val="en-US" w:eastAsia="zh-CN"/>
              </w:rPr>
            </w:pPr>
            <w:r>
              <w:rPr>
                <w:rFonts w:hint="default" w:ascii="Arial" w:hAnsi="Arial" w:eastAsia="宋体" w:cs="Arial"/>
                <w:i w:val="0"/>
                <w:color w:val="000000"/>
                <w:kern w:val="0"/>
                <w:sz w:val="21"/>
                <w:szCs w:val="21"/>
                <w:u w:val="none"/>
                <w:lang w:val="en-US" w:eastAsia="zh-CN" w:bidi="ar"/>
              </w:rPr>
              <w:t>5.99%</w:t>
            </w:r>
          </w:p>
        </w:tc>
        <w:tc>
          <w:tcPr>
            <w:tcW w:w="1863" w:type="dxa"/>
            <w:vAlign w:val="center"/>
          </w:tcPr>
          <w:p>
            <w:pPr>
              <w:widowControl/>
              <w:jc w:val="right"/>
              <w:rPr>
                <w:rFonts w:hint="default" w:ascii="Arial" w:hAnsi="Arial" w:eastAsia="宋体" w:cs="Arial"/>
                <w:sz w:val="21"/>
                <w:szCs w:val="21"/>
                <w:lang w:val="en-US"/>
              </w:rPr>
            </w:pPr>
            <w:r>
              <w:rPr>
                <w:rFonts w:hint="default" w:ascii="Arial" w:hAnsi="Arial" w:eastAsia="宋体" w:cs="Arial"/>
                <w:sz w:val="21"/>
                <w:szCs w:val="21"/>
                <w:lang w:val="en-US" w:eastAsia="zh-CN"/>
              </w:rPr>
              <w:t>317.20</w:t>
            </w:r>
          </w:p>
        </w:tc>
        <w:tc>
          <w:tcPr>
            <w:tcW w:w="1866" w:type="dxa"/>
            <w:vAlign w:val="center"/>
          </w:tcPr>
          <w:p>
            <w:pPr>
              <w:jc w:val="right"/>
              <w:rPr>
                <w:rFonts w:hint="default" w:ascii="Arial" w:hAnsi="Arial" w:eastAsia="宋体" w:cs="Arial"/>
                <w:sz w:val="21"/>
                <w:szCs w:val="21"/>
                <w:lang w:val="en-US" w:eastAsia="zh-CN"/>
              </w:rPr>
            </w:pPr>
            <w:r>
              <w:rPr>
                <w:rFonts w:hint="default" w:ascii="Arial" w:hAnsi="Arial" w:eastAsia="宋体" w:cs="Arial"/>
                <w:color w:val="auto"/>
                <w:sz w:val="21"/>
                <w:szCs w:val="21"/>
                <w:lang w:val="en-US" w:bidi="zh-CN"/>
              </w:rPr>
              <w:t>549.42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228" w:type="dxa"/>
            <w:vAlign w:val="center"/>
          </w:tcPr>
          <w:p>
            <w:pPr>
              <w:jc w:val="center"/>
              <w:rPr>
                <w:rFonts w:hint="default" w:ascii="Arial" w:hAnsi="Arial" w:eastAsia="宋体" w:cs="Arial"/>
                <w:sz w:val="21"/>
                <w:szCs w:val="21"/>
              </w:rPr>
            </w:pPr>
            <w:r>
              <w:rPr>
                <w:rFonts w:hint="default" w:ascii="Arial" w:hAnsi="Arial" w:eastAsia="宋体" w:cs="Arial"/>
                <w:sz w:val="21"/>
                <w:szCs w:val="21"/>
              </w:rPr>
              <w:t>财务费用</w:t>
            </w:r>
          </w:p>
        </w:tc>
        <w:tc>
          <w:tcPr>
            <w:tcW w:w="1863"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14,869.00</w:t>
            </w:r>
          </w:p>
        </w:tc>
        <w:tc>
          <w:tcPr>
            <w:tcW w:w="1863" w:type="dxa"/>
            <w:vAlign w:val="center"/>
          </w:tcPr>
          <w:p>
            <w:pPr>
              <w:jc w:val="right"/>
              <w:rPr>
                <w:rFonts w:hint="default" w:ascii="Arial" w:hAnsi="Arial" w:eastAsia="宋体" w:cs="Arial"/>
                <w:sz w:val="21"/>
                <w:szCs w:val="21"/>
                <w:lang w:val="en-US" w:eastAsia="zh-CN"/>
              </w:rPr>
            </w:pPr>
            <w:r>
              <w:rPr>
                <w:rFonts w:hint="eastAsia" w:ascii="Arial" w:hAnsi="Arial" w:cs="Arial"/>
                <w:sz w:val="21"/>
                <w:szCs w:val="21"/>
                <w:lang w:val="en-US" w:eastAsia="zh-CN"/>
              </w:rPr>
              <w:t>1021.25</w:t>
            </w:r>
          </w:p>
        </w:tc>
        <w:tc>
          <w:tcPr>
            <w:tcW w:w="1863" w:type="dxa"/>
            <w:vAlign w:val="center"/>
          </w:tcPr>
          <w:p>
            <w:pPr>
              <w:keepNext w:val="0"/>
              <w:keepLines w:val="0"/>
              <w:widowControl/>
              <w:suppressLineNumbers w:val="0"/>
              <w:jc w:val="right"/>
              <w:textAlignment w:val="center"/>
              <w:rPr>
                <w:rFonts w:hint="default" w:ascii="Arial" w:hAnsi="Arial" w:eastAsia="宋体" w:cs="Arial"/>
                <w:sz w:val="21"/>
                <w:szCs w:val="21"/>
                <w:lang w:eastAsia="zh-CN"/>
              </w:rPr>
            </w:pPr>
            <w:r>
              <w:rPr>
                <w:rFonts w:hint="default" w:ascii="Arial" w:hAnsi="Arial" w:eastAsia="宋体" w:cs="Arial"/>
                <w:i w:val="0"/>
                <w:color w:val="000000"/>
                <w:kern w:val="0"/>
                <w:sz w:val="21"/>
                <w:szCs w:val="21"/>
                <w:u w:val="none"/>
                <w:lang w:val="en-US" w:eastAsia="zh-CN" w:bidi="ar"/>
              </w:rPr>
              <w:t>6.87%</w:t>
            </w:r>
          </w:p>
        </w:tc>
        <w:tc>
          <w:tcPr>
            <w:tcW w:w="1863" w:type="dxa"/>
            <w:vAlign w:val="center"/>
          </w:tcPr>
          <w:p>
            <w:pPr>
              <w:widowControl/>
              <w:jc w:val="right"/>
              <w:rPr>
                <w:rFonts w:hint="default" w:ascii="Arial" w:hAnsi="Arial" w:eastAsia="宋体" w:cs="Arial"/>
                <w:sz w:val="21"/>
                <w:szCs w:val="21"/>
              </w:rPr>
            </w:pPr>
            <w:r>
              <w:rPr>
                <w:rFonts w:hint="default" w:ascii="Arial" w:hAnsi="Arial" w:eastAsia="宋体" w:cs="Arial"/>
                <w:sz w:val="21"/>
                <w:szCs w:val="21"/>
                <w:lang w:val="en-US" w:eastAsia="zh-CN"/>
              </w:rPr>
              <w:t>549.50</w:t>
            </w:r>
          </w:p>
        </w:tc>
        <w:tc>
          <w:tcPr>
            <w:tcW w:w="1866" w:type="dxa"/>
            <w:vAlign w:val="center"/>
          </w:tcPr>
          <w:p>
            <w:pPr>
              <w:jc w:val="right"/>
              <w:rPr>
                <w:rFonts w:hint="default" w:ascii="Arial" w:hAnsi="Arial" w:eastAsia="宋体" w:cs="Arial"/>
                <w:sz w:val="21"/>
                <w:szCs w:val="21"/>
              </w:rPr>
            </w:pPr>
            <w:r>
              <w:rPr>
                <w:rFonts w:hint="default" w:ascii="Arial" w:hAnsi="Arial" w:eastAsia="宋体" w:cs="Arial"/>
                <w:sz w:val="21"/>
                <w:szCs w:val="21"/>
                <w:lang w:val="en-US" w:bidi="zh-CN"/>
              </w:rPr>
              <w:t>928</w:t>
            </w:r>
            <w:r>
              <w:rPr>
                <w:rFonts w:hint="default" w:ascii="Arial" w:hAnsi="Arial" w:eastAsia="宋体" w:cs="Arial"/>
                <w:sz w:val="21"/>
                <w:szCs w:val="21"/>
                <w:lang w:bidi="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228" w:type="dxa"/>
            <w:vAlign w:val="center"/>
          </w:tcPr>
          <w:p>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税费</w:t>
            </w:r>
          </w:p>
        </w:tc>
        <w:tc>
          <w:tcPr>
            <w:tcW w:w="1863"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318,55.00</w:t>
            </w:r>
          </w:p>
        </w:tc>
        <w:tc>
          <w:tcPr>
            <w:tcW w:w="1863" w:type="dxa"/>
            <w:vAlign w:val="center"/>
          </w:tcPr>
          <w:p>
            <w:pPr>
              <w:jc w:val="right"/>
              <w:rPr>
                <w:rFonts w:hint="default" w:ascii="Arial" w:hAnsi="Arial" w:eastAsia="宋体" w:cs="Arial"/>
                <w:sz w:val="21"/>
                <w:szCs w:val="21"/>
              </w:rPr>
            </w:pPr>
            <w:r>
              <w:rPr>
                <w:rFonts w:hint="default" w:ascii="Arial" w:hAnsi="Arial" w:eastAsia="宋体" w:cs="Arial"/>
                <w:sz w:val="21"/>
                <w:szCs w:val="21"/>
              </w:rPr>
              <w:t>0.00</w:t>
            </w:r>
          </w:p>
        </w:tc>
        <w:tc>
          <w:tcPr>
            <w:tcW w:w="1863" w:type="dxa"/>
            <w:vAlign w:val="center"/>
          </w:tcPr>
          <w:p>
            <w:pPr>
              <w:jc w:val="right"/>
              <w:rPr>
                <w:rFonts w:hint="default" w:ascii="Arial" w:hAnsi="Arial" w:eastAsia="宋体" w:cs="Arial"/>
                <w:sz w:val="21"/>
                <w:szCs w:val="21"/>
              </w:rPr>
            </w:pPr>
            <w:r>
              <w:rPr>
                <w:rFonts w:hint="default" w:ascii="Arial" w:hAnsi="Arial" w:eastAsia="宋体" w:cs="Arial"/>
                <w:sz w:val="21"/>
                <w:szCs w:val="21"/>
              </w:rPr>
              <w:t>0.00</w:t>
            </w:r>
          </w:p>
        </w:tc>
        <w:tc>
          <w:tcPr>
            <w:tcW w:w="1863" w:type="dxa"/>
            <w:vAlign w:val="center"/>
          </w:tcPr>
          <w:p>
            <w:pPr>
              <w:widowControl/>
              <w:jc w:val="right"/>
              <w:rPr>
                <w:rFonts w:hint="default" w:ascii="Arial" w:hAnsi="Arial" w:eastAsia="宋体" w:cs="Arial"/>
                <w:sz w:val="21"/>
                <w:szCs w:val="21"/>
              </w:rPr>
            </w:pPr>
            <w:r>
              <w:rPr>
                <w:rFonts w:hint="default" w:ascii="Arial" w:hAnsi="Arial" w:eastAsia="宋体" w:cs="Arial"/>
                <w:sz w:val="21"/>
                <w:szCs w:val="21"/>
                <w:lang w:val="en-US" w:eastAsia="zh-CN"/>
              </w:rPr>
              <w:t>37.60</w:t>
            </w:r>
          </w:p>
        </w:tc>
        <w:tc>
          <w:tcPr>
            <w:tcW w:w="1866"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228" w:type="dxa"/>
            <w:vAlign w:val="center"/>
          </w:tcPr>
          <w:p>
            <w:pPr>
              <w:jc w:val="center"/>
              <w:rPr>
                <w:rFonts w:hint="default" w:ascii="Arial" w:hAnsi="Arial" w:eastAsia="宋体" w:cs="Arial"/>
                <w:b/>
                <w:bCs/>
                <w:sz w:val="21"/>
                <w:szCs w:val="21"/>
                <w:lang w:val="en-US" w:eastAsia="zh-CN"/>
              </w:rPr>
            </w:pPr>
            <w:r>
              <w:rPr>
                <w:rFonts w:hint="default" w:ascii="Arial" w:hAnsi="Arial" w:eastAsia="宋体" w:cs="Arial"/>
                <w:b w:val="0"/>
                <w:bCs w:val="0"/>
                <w:sz w:val="21"/>
                <w:szCs w:val="21"/>
                <w:lang w:val="en-US" w:eastAsia="zh-CN"/>
              </w:rPr>
              <w:t>其他</w:t>
            </w:r>
          </w:p>
        </w:tc>
        <w:tc>
          <w:tcPr>
            <w:tcW w:w="1863" w:type="dxa"/>
            <w:vAlign w:val="center"/>
          </w:tcPr>
          <w:p>
            <w:pPr>
              <w:jc w:val="right"/>
              <w:rPr>
                <w:rFonts w:hint="default" w:ascii="Arial" w:hAnsi="Arial" w:eastAsia="宋体" w:cs="Arial"/>
                <w:b/>
                <w:bCs/>
                <w:sz w:val="21"/>
                <w:szCs w:val="21"/>
                <w:lang w:val="en-US" w:eastAsia="zh-CN"/>
              </w:rPr>
            </w:pPr>
            <w:r>
              <w:rPr>
                <w:rFonts w:hint="default" w:ascii="Arial" w:hAnsi="Arial" w:eastAsia="宋体" w:cs="Arial"/>
                <w:sz w:val="21"/>
                <w:szCs w:val="21"/>
              </w:rPr>
              <w:t>0.00</w:t>
            </w:r>
          </w:p>
        </w:tc>
        <w:tc>
          <w:tcPr>
            <w:tcW w:w="1863" w:type="dxa"/>
            <w:vAlign w:val="center"/>
          </w:tcPr>
          <w:p>
            <w:pPr>
              <w:jc w:val="right"/>
              <w:rPr>
                <w:rFonts w:hint="default" w:ascii="Arial" w:hAnsi="Arial" w:eastAsia="宋体" w:cs="Arial"/>
                <w:b/>
                <w:bCs/>
                <w:sz w:val="21"/>
                <w:szCs w:val="21"/>
              </w:rPr>
            </w:pPr>
            <w:r>
              <w:rPr>
                <w:rFonts w:hint="default" w:ascii="Arial" w:hAnsi="Arial" w:eastAsia="宋体" w:cs="Arial"/>
                <w:sz w:val="21"/>
                <w:szCs w:val="21"/>
              </w:rPr>
              <w:t>0.00</w:t>
            </w:r>
          </w:p>
        </w:tc>
        <w:tc>
          <w:tcPr>
            <w:tcW w:w="1863" w:type="dxa"/>
            <w:vAlign w:val="center"/>
          </w:tcPr>
          <w:p>
            <w:pPr>
              <w:jc w:val="right"/>
              <w:rPr>
                <w:rFonts w:hint="default" w:ascii="Arial" w:hAnsi="Arial" w:eastAsia="宋体" w:cs="Arial"/>
                <w:b/>
                <w:bCs/>
                <w:sz w:val="21"/>
                <w:szCs w:val="21"/>
                <w:lang w:val="en-US" w:eastAsia="zh-CN"/>
              </w:rPr>
            </w:pPr>
            <w:r>
              <w:rPr>
                <w:rFonts w:hint="default" w:ascii="Arial" w:hAnsi="Arial" w:eastAsia="宋体" w:cs="Arial"/>
                <w:sz w:val="21"/>
                <w:szCs w:val="21"/>
              </w:rPr>
              <w:t>0.00</w:t>
            </w:r>
          </w:p>
        </w:tc>
        <w:tc>
          <w:tcPr>
            <w:tcW w:w="1863" w:type="dxa"/>
            <w:vAlign w:val="center"/>
          </w:tcPr>
          <w:p>
            <w:pPr>
              <w:widowControl/>
              <w:jc w:val="right"/>
              <w:rPr>
                <w:rFonts w:hint="default" w:ascii="Arial" w:hAnsi="Arial" w:eastAsia="宋体" w:cs="Arial"/>
                <w:b w:val="0"/>
                <w:bCs w:val="0"/>
                <w:sz w:val="21"/>
                <w:szCs w:val="21"/>
                <w:lang w:val="en-US" w:eastAsia="zh-CN"/>
              </w:rPr>
            </w:pPr>
            <w:r>
              <w:rPr>
                <w:rFonts w:hint="default" w:ascii="Arial" w:hAnsi="Arial" w:eastAsia="宋体" w:cs="Arial"/>
                <w:b w:val="0"/>
                <w:bCs w:val="0"/>
                <w:sz w:val="21"/>
                <w:szCs w:val="21"/>
                <w:lang w:val="en-US" w:eastAsia="zh-CN"/>
              </w:rPr>
              <w:t>20.00</w:t>
            </w:r>
          </w:p>
        </w:tc>
        <w:tc>
          <w:tcPr>
            <w:tcW w:w="1866" w:type="dxa"/>
            <w:vAlign w:val="center"/>
          </w:tcPr>
          <w:p>
            <w:pPr>
              <w:jc w:val="right"/>
              <w:rPr>
                <w:rFonts w:hint="default" w:ascii="Arial" w:hAnsi="Arial" w:eastAsia="宋体" w:cs="Arial"/>
                <w:b w:val="0"/>
                <w:bCs w:val="0"/>
                <w:sz w:val="21"/>
                <w:szCs w:val="21"/>
                <w:lang w:val="en-US" w:eastAsia="zh-CN"/>
              </w:rPr>
            </w:pPr>
            <w:r>
              <w:rPr>
                <w:rFonts w:hint="default" w:ascii="Arial" w:hAnsi="Arial" w:eastAsia="宋体" w:cs="Arial"/>
                <w:b w:val="0"/>
                <w:bCs w:val="0"/>
                <w:sz w:val="21"/>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228" w:type="dxa"/>
            <w:vAlign w:val="center"/>
          </w:tcPr>
          <w:p>
            <w:pPr>
              <w:jc w:val="center"/>
              <w:rPr>
                <w:rFonts w:hint="default" w:ascii="Arial" w:hAnsi="Arial" w:eastAsia="宋体" w:cs="Arial"/>
                <w:b/>
                <w:bCs/>
                <w:sz w:val="21"/>
                <w:szCs w:val="21"/>
              </w:rPr>
            </w:pPr>
            <w:r>
              <w:rPr>
                <w:rFonts w:hint="default" w:ascii="Arial" w:hAnsi="Arial" w:eastAsia="宋体" w:cs="Arial"/>
                <w:b/>
                <w:bCs/>
                <w:sz w:val="21"/>
                <w:szCs w:val="21"/>
              </w:rPr>
              <w:t>总计</w:t>
            </w:r>
          </w:p>
        </w:tc>
        <w:tc>
          <w:tcPr>
            <w:tcW w:w="1863" w:type="dxa"/>
            <w:vAlign w:val="center"/>
          </w:tcPr>
          <w:p>
            <w:pPr>
              <w:jc w:val="right"/>
              <w:rPr>
                <w:rFonts w:hint="default" w:ascii="Arial" w:hAnsi="Arial" w:eastAsia="宋体" w:cs="Arial"/>
                <w:b/>
                <w:bCs/>
                <w:sz w:val="21"/>
                <w:szCs w:val="21"/>
                <w:lang w:val="en-US" w:eastAsia="zh-CN"/>
              </w:rPr>
            </w:pPr>
            <w:r>
              <w:rPr>
                <w:rFonts w:hint="default" w:ascii="Arial" w:hAnsi="Arial" w:eastAsia="宋体" w:cs="Arial"/>
                <w:b/>
                <w:bCs/>
                <w:sz w:val="21"/>
                <w:szCs w:val="21"/>
                <w:lang w:val="en-US" w:eastAsia="zh-CN"/>
              </w:rPr>
              <w:t>497,426.00</w:t>
            </w:r>
          </w:p>
        </w:tc>
        <w:tc>
          <w:tcPr>
            <w:tcW w:w="1863" w:type="dxa"/>
            <w:vAlign w:val="center"/>
          </w:tcPr>
          <w:p>
            <w:pPr>
              <w:keepNext w:val="0"/>
              <w:keepLines w:val="0"/>
              <w:widowControl/>
              <w:suppressLineNumbers w:val="0"/>
              <w:jc w:val="right"/>
              <w:textAlignment w:val="center"/>
              <w:rPr>
                <w:rFonts w:hint="default" w:ascii="Arial" w:hAnsi="Arial" w:eastAsia="宋体" w:cs="Arial"/>
                <w:b/>
                <w:bCs/>
                <w:sz w:val="21"/>
                <w:szCs w:val="21"/>
                <w:lang w:val="en-US" w:eastAsia="zh-CN"/>
              </w:rPr>
            </w:pPr>
            <w:r>
              <w:rPr>
                <w:rFonts w:hint="default" w:ascii="Arial" w:hAnsi="Arial" w:eastAsia="宋体" w:cs="Arial"/>
                <w:b/>
                <w:bCs/>
                <w:i w:val="0"/>
                <w:kern w:val="2"/>
                <w:sz w:val="21"/>
                <w:szCs w:val="21"/>
                <w:lang w:val="en-US" w:eastAsia="zh-CN" w:bidi="ar"/>
              </w:rPr>
              <w:t>348</w:t>
            </w:r>
            <w:r>
              <w:rPr>
                <w:rFonts w:hint="eastAsia" w:ascii="Arial" w:hAnsi="Arial" w:cs="Arial"/>
                <w:b/>
                <w:bCs/>
                <w:i w:val="0"/>
                <w:kern w:val="2"/>
                <w:sz w:val="21"/>
                <w:szCs w:val="21"/>
                <w:lang w:val="en-US" w:eastAsia="zh-CN" w:bidi="ar"/>
              </w:rPr>
              <w:t>,</w:t>
            </w:r>
            <w:r>
              <w:rPr>
                <w:rFonts w:hint="default" w:ascii="Arial" w:hAnsi="Arial" w:eastAsia="宋体" w:cs="Arial"/>
                <w:b/>
                <w:bCs/>
                <w:i w:val="0"/>
                <w:kern w:val="2"/>
                <w:sz w:val="21"/>
                <w:szCs w:val="21"/>
                <w:lang w:val="en-US" w:eastAsia="zh-CN" w:bidi="ar"/>
              </w:rPr>
              <w:t>718.2</w:t>
            </w:r>
            <w:r>
              <w:rPr>
                <w:rFonts w:hint="eastAsia" w:ascii="Arial" w:hAnsi="Arial" w:cs="Arial"/>
                <w:b/>
                <w:bCs/>
                <w:i w:val="0"/>
                <w:kern w:val="2"/>
                <w:sz w:val="21"/>
                <w:szCs w:val="21"/>
                <w:lang w:val="en-US" w:eastAsia="zh-CN" w:bidi="ar"/>
              </w:rPr>
              <w:t>0</w:t>
            </w:r>
          </w:p>
        </w:tc>
        <w:tc>
          <w:tcPr>
            <w:tcW w:w="1863"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bookmarkStart w:id="1" w:name="_GoBack"/>
            <w:r>
              <w:rPr>
                <w:rFonts w:hint="default" w:ascii="Arial" w:hAnsi="Arial" w:eastAsia="宋体" w:cs="Arial"/>
                <w:b/>
                <w:bCs/>
                <w:i w:val="0"/>
                <w:color w:val="000000"/>
                <w:kern w:val="0"/>
                <w:sz w:val="21"/>
                <w:szCs w:val="21"/>
                <w:u w:val="none"/>
                <w:lang w:val="en-US" w:eastAsia="zh-CN" w:bidi="ar"/>
              </w:rPr>
              <w:t>75.06%</w:t>
            </w:r>
            <w:bookmarkEnd w:id="1"/>
          </w:p>
        </w:tc>
        <w:tc>
          <w:tcPr>
            <w:tcW w:w="1863" w:type="dxa"/>
            <w:vAlign w:val="center"/>
          </w:tcPr>
          <w:p>
            <w:pPr>
              <w:widowControl/>
              <w:jc w:val="right"/>
              <w:rPr>
                <w:rFonts w:hint="default" w:ascii="Arial" w:hAnsi="Arial" w:eastAsia="宋体" w:cs="Arial"/>
                <w:b/>
                <w:bCs/>
                <w:sz w:val="21"/>
                <w:szCs w:val="21"/>
                <w:lang w:val="en-US" w:eastAsia="zh-CN"/>
              </w:rPr>
            </w:pPr>
            <w:r>
              <w:rPr>
                <w:rFonts w:hint="default" w:ascii="Arial" w:hAnsi="Arial" w:eastAsia="宋体" w:cs="Arial"/>
                <w:b/>
                <w:bCs/>
                <w:sz w:val="21"/>
                <w:szCs w:val="21"/>
                <w:lang w:val="en-US" w:eastAsia="zh-CN"/>
              </w:rPr>
              <w:t>316,309.37</w:t>
            </w:r>
          </w:p>
        </w:tc>
        <w:tc>
          <w:tcPr>
            <w:tcW w:w="1866" w:type="dxa"/>
            <w:vAlign w:val="center"/>
          </w:tcPr>
          <w:p>
            <w:pPr>
              <w:jc w:val="right"/>
              <w:rPr>
                <w:rFonts w:hint="default" w:ascii="Arial" w:hAnsi="Arial" w:eastAsia="宋体" w:cs="Arial"/>
                <w:b/>
                <w:bCs/>
                <w:sz w:val="21"/>
                <w:szCs w:val="21"/>
                <w:lang w:val="en-US" w:eastAsia="zh-CN"/>
              </w:rPr>
            </w:pPr>
            <w:r>
              <w:rPr>
                <w:rFonts w:hint="default" w:ascii="Arial" w:hAnsi="Arial" w:eastAsia="宋体" w:cs="Arial"/>
                <w:b/>
                <w:bCs/>
                <w:sz w:val="21"/>
                <w:szCs w:val="21"/>
                <w:lang w:val="en-US" w:eastAsia="zh-CN"/>
              </w:rPr>
              <w:t>5,876.24</w:t>
            </w:r>
          </w:p>
        </w:tc>
      </w:tr>
      <w:bookmarkEnd w:id="0"/>
    </w:tbl>
    <w:p>
      <w:pPr>
        <w:pStyle w:val="10"/>
        <w:spacing w:after="0"/>
        <w:ind w:firstLine="0" w:firstLineChars="0"/>
        <w:rPr>
          <w:rFonts w:ascii="Arial" w:hAnsi="Arial" w:cs="Arial"/>
          <w:bCs/>
          <w:sz w:val="18"/>
          <w:szCs w:val="18"/>
        </w:rPr>
      </w:pPr>
      <w:r>
        <w:rPr>
          <w:rFonts w:hint="eastAsia" w:ascii="Arial" w:hAnsi="Arial" w:cs="Arial"/>
          <w:bCs/>
          <w:sz w:val="18"/>
          <w:szCs w:val="18"/>
        </w:rPr>
        <w:t>注：1、上表采用电算化连续计算得出，由于计算数据均按四舍五入保留两位小数或取整，故可能出现个别加总不完全相等的情况；</w:t>
      </w:r>
    </w:p>
    <w:p>
      <w:pPr>
        <w:pStyle w:val="10"/>
        <w:numPr>
          <w:ilvl w:val="0"/>
          <w:numId w:val="2"/>
        </w:numPr>
        <w:spacing w:after="0"/>
        <w:ind w:firstLine="180"/>
        <w:rPr>
          <w:rFonts w:ascii="Arial" w:hAnsi="Arial" w:cs="Arial"/>
          <w:bCs/>
          <w:sz w:val="18"/>
          <w:szCs w:val="18"/>
        </w:rPr>
      </w:pPr>
      <w:r>
        <w:rPr>
          <w:rFonts w:hint="eastAsia" w:ascii="Arial" w:hAnsi="Arial" w:cs="Arial"/>
          <w:bCs/>
          <w:sz w:val="18"/>
          <w:szCs w:val="18"/>
        </w:rPr>
        <w:t>项目公司目标成本来源于信托尽调报告，待取得首董会批准的目标成本测算后将进行修正；</w:t>
      </w:r>
    </w:p>
    <w:p>
      <w:pPr>
        <w:pStyle w:val="10"/>
        <w:numPr>
          <w:ilvl w:val="0"/>
          <w:numId w:val="2"/>
        </w:numPr>
        <w:spacing w:after="0"/>
        <w:ind w:firstLine="180"/>
        <w:rPr>
          <w:rFonts w:ascii="Arial" w:hAnsi="Arial" w:cs="Arial"/>
          <w:bCs/>
          <w:sz w:val="18"/>
          <w:szCs w:val="18"/>
        </w:rPr>
      </w:pPr>
      <w:r>
        <w:rPr>
          <w:rFonts w:hint="eastAsia" w:ascii="Arial" w:hAnsi="Arial" w:cs="Arial"/>
          <w:bCs/>
          <w:sz w:val="18"/>
          <w:szCs w:val="18"/>
          <w:lang w:val="en-US" w:eastAsia="zh-CN"/>
        </w:rPr>
        <w:t>土地成本及土地合同：（1）土地款、（2）土地契税和印花税、（3）市政配套费；</w:t>
      </w:r>
    </w:p>
    <w:p>
      <w:pPr>
        <w:pStyle w:val="10"/>
        <w:numPr>
          <w:ilvl w:val="0"/>
          <w:numId w:val="2"/>
        </w:numPr>
        <w:spacing w:after="0"/>
        <w:ind w:firstLine="180"/>
        <w:rPr>
          <w:rFonts w:ascii="Arial" w:hAnsi="Arial" w:cs="Arial"/>
          <w:bCs/>
          <w:sz w:val="18"/>
          <w:szCs w:val="18"/>
        </w:rPr>
      </w:pPr>
      <w:r>
        <w:rPr>
          <w:rFonts w:hint="default" w:ascii="Arial" w:hAnsi="Arial" w:eastAsia="宋体" w:cs="Arial"/>
          <w:sz w:val="18"/>
          <w:szCs w:val="18"/>
        </w:rPr>
        <w:t>工程费用</w:t>
      </w:r>
      <w:r>
        <w:rPr>
          <w:rFonts w:hint="eastAsia" w:ascii="Arial" w:hAnsi="Arial" w:cs="Arial"/>
          <w:bCs/>
          <w:sz w:val="18"/>
          <w:szCs w:val="18"/>
        </w:rPr>
        <w:t>成本包括：（1）建安工程款、（2）</w:t>
      </w:r>
      <w:r>
        <w:rPr>
          <w:rFonts w:hint="eastAsia" w:ascii="Arial" w:hAnsi="Arial" w:cs="Arial"/>
          <w:color w:val="000000"/>
          <w:kern w:val="0"/>
          <w:sz w:val="18"/>
          <w:szCs w:val="18"/>
          <w:lang w:bidi="ar"/>
        </w:rPr>
        <w:t>基础设施工程款、（3）公共配套设施工程款</w:t>
      </w:r>
      <w:r>
        <w:rPr>
          <w:rFonts w:hint="eastAsia" w:ascii="Arial" w:hAnsi="Arial" w:cs="Arial"/>
          <w:color w:val="000000"/>
          <w:kern w:val="0"/>
          <w:sz w:val="18"/>
          <w:szCs w:val="18"/>
          <w:lang w:eastAsia="zh-CN" w:bidi="ar"/>
        </w:rPr>
        <w:t>；</w:t>
      </w:r>
    </w:p>
    <w:p>
      <w:pPr>
        <w:pStyle w:val="10"/>
        <w:numPr>
          <w:ilvl w:val="0"/>
          <w:numId w:val="2"/>
        </w:numPr>
        <w:spacing w:after="0"/>
        <w:ind w:firstLine="180"/>
        <w:rPr>
          <w:rFonts w:ascii="Arial" w:hAnsi="Arial" w:cs="Arial"/>
          <w:bCs/>
          <w:sz w:val="18"/>
          <w:szCs w:val="18"/>
        </w:rPr>
      </w:pPr>
      <w:r>
        <w:rPr>
          <w:rFonts w:hint="eastAsia" w:ascii="Arial" w:hAnsi="Arial" w:cs="Arial"/>
          <w:bCs/>
          <w:sz w:val="18"/>
          <w:szCs w:val="18"/>
          <w:lang w:val="en-US" w:eastAsia="zh-CN"/>
        </w:rPr>
        <w:t>税费包括：增值税加及附加、所得税；</w:t>
      </w:r>
    </w:p>
    <w:p>
      <w:pPr>
        <w:pStyle w:val="10"/>
        <w:numPr>
          <w:ilvl w:val="0"/>
          <w:numId w:val="2"/>
        </w:numPr>
        <w:spacing w:after="0"/>
        <w:ind w:firstLine="180"/>
        <w:rPr>
          <w:rFonts w:ascii="Arial" w:hAnsi="Arial" w:cs="Times New Roman"/>
          <w:bCs/>
          <w:sz w:val="18"/>
          <w:szCs w:val="24"/>
        </w:rPr>
      </w:pPr>
      <w:r>
        <w:rPr>
          <w:rFonts w:hint="eastAsia" w:ascii="Arial" w:hAnsi="Arial" w:cs="Arial"/>
          <w:bCs/>
          <w:sz w:val="18"/>
          <w:szCs w:val="18"/>
          <w:lang w:val="en-US" w:eastAsia="zh-CN"/>
        </w:rPr>
        <w:t>其他包括：缴纳保证金。</w:t>
      </w:r>
    </w:p>
    <w:p>
      <w:pPr>
        <w:spacing w:before="162" w:beforeLines="50" w:after="162" w:afterLines="50" w:line="360" w:lineRule="auto"/>
        <w:rPr>
          <w:rFonts w:hint="default" w:ascii="Times New Roman" w:hAnsi="Times New Roman" w:cs="Times New Roman"/>
          <w:bCs/>
          <w:sz w:val="24"/>
          <w:szCs w:val="24"/>
          <w:highlight w:val="yellow"/>
          <w:lang w:bidi="ar-SA"/>
        </w:rPr>
      </w:pPr>
      <w:r>
        <w:rPr>
          <w:rFonts w:hint="eastAsia" w:ascii="宋体" w:hAnsi="宋体"/>
          <w:bCs/>
          <w:color w:val="000000"/>
          <w:sz w:val="24"/>
          <w:szCs w:val="24"/>
          <w:lang w:val="en-US" w:bidi="zh-CN"/>
        </w:rPr>
        <w:t xml:space="preserve">   </w:t>
      </w:r>
      <w:r>
        <w:rPr>
          <w:rFonts w:hint="eastAsia" w:ascii="宋体" w:hAnsi="宋体" w:cs="Times New Roman"/>
          <w:bCs/>
          <w:sz w:val="24"/>
          <w:szCs w:val="24"/>
          <w:lang w:val="en-US" w:bidi="ar-SA"/>
        </w:rPr>
        <w:t xml:space="preserve"> </w:t>
      </w:r>
      <w:r>
        <w:rPr>
          <w:rFonts w:hint="eastAsia" w:ascii="宋体" w:hAnsi="宋体" w:cs="Times New Roman"/>
          <w:bCs/>
          <w:sz w:val="24"/>
          <w:szCs w:val="24"/>
          <w:lang w:bidi="ar-SA"/>
        </w:rPr>
        <w:t>根据《1月份</w:t>
      </w:r>
      <w:r>
        <w:rPr>
          <w:rFonts w:hint="eastAsia" w:ascii="宋体" w:hAnsi="宋体" w:cs="Times New Roman"/>
          <w:bCs/>
          <w:sz w:val="24"/>
          <w:szCs w:val="24"/>
          <w:lang w:val="en-US" w:bidi="ar-SA"/>
        </w:rPr>
        <w:t>月度资金使用计划</w:t>
      </w:r>
      <w:r>
        <w:rPr>
          <w:rFonts w:hint="eastAsia" w:ascii="宋体" w:hAnsi="宋体" w:cs="Times New Roman"/>
          <w:bCs/>
          <w:sz w:val="24"/>
          <w:szCs w:val="24"/>
          <w:lang w:bidi="ar-SA"/>
        </w:rPr>
        <w:t>》显示，</w:t>
      </w:r>
      <w:r>
        <w:rPr>
          <w:rFonts w:hint="eastAsia" w:ascii="宋体" w:hAnsi="宋体" w:cs="Times New Roman"/>
          <w:bCs/>
          <w:sz w:val="24"/>
          <w:szCs w:val="24"/>
          <w:lang w:val="en-US" w:bidi="ar-SA"/>
        </w:rPr>
        <w:t>前期费用已签订合同金额超出目标成本</w:t>
      </w:r>
      <w:r>
        <w:rPr>
          <w:rFonts w:hint="eastAsia" w:ascii="宋体" w:hAnsi="宋体" w:cs="Times New Roman"/>
          <w:bCs/>
          <w:sz w:val="24"/>
          <w:szCs w:val="24"/>
          <w:lang w:val="en-US" w:eastAsia="zh-CN" w:bidi="ar-SA"/>
        </w:rPr>
        <w:t>13.25</w:t>
      </w:r>
      <w:r>
        <w:rPr>
          <w:rFonts w:hint="eastAsia" w:ascii="宋体" w:hAnsi="宋体" w:cs="Times New Roman"/>
          <w:bCs/>
          <w:sz w:val="24"/>
          <w:szCs w:val="24"/>
          <w:lang w:val="en-US" w:bidi="ar-SA"/>
        </w:rPr>
        <w:t>%，主要原因是</w:t>
      </w:r>
      <w:r>
        <w:rPr>
          <w:rFonts w:hint="eastAsia" w:ascii="宋体" w:hAnsi="宋体" w:cs="Times New Roman"/>
          <w:bCs/>
          <w:sz w:val="24"/>
          <w:szCs w:val="24"/>
          <w:lang w:val="en-US" w:eastAsia="zh-CN" w:bidi="ar-SA"/>
        </w:rPr>
        <w:t>尽调报告</w:t>
      </w:r>
      <w:r>
        <w:rPr>
          <w:rFonts w:hint="eastAsia" w:ascii="宋体" w:hAnsi="宋体" w:cs="Times New Roman"/>
          <w:bCs/>
          <w:sz w:val="24"/>
          <w:szCs w:val="24"/>
          <w:lang w:val="en-US" w:bidi="ar-SA"/>
        </w:rPr>
        <w:t>目标</w:t>
      </w:r>
      <w:r>
        <w:rPr>
          <w:rFonts w:hint="eastAsia" w:ascii="宋体" w:hAnsi="宋体" w:cs="Times New Roman"/>
          <w:bCs/>
          <w:sz w:val="24"/>
          <w:szCs w:val="24"/>
          <w:lang w:val="en-US" w:eastAsia="zh-CN" w:bidi="ar-SA"/>
        </w:rPr>
        <w:t>成本中的工程费用、前期费用与项目公司实际目标成本存在差异</w:t>
      </w:r>
      <w:r>
        <w:rPr>
          <w:rFonts w:hint="eastAsia" w:ascii="宋体" w:hAnsi="宋体" w:cs="Times New Roman"/>
          <w:bCs/>
          <w:sz w:val="24"/>
          <w:szCs w:val="24"/>
          <w:lang w:val="en-US" w:bidi="ar-SA"/>
        </w:rPr>
        <w:t>，</w:t>
      </w:r>
      <w:r>
        <w:rPr>
          <w:rFonts w:hint="eastAsia" w:ascii="宋体" w:hAnsi="宋体" w:cs="Times New Roman"/>
          <w:bCs/>
          <w:sz w:val="24"/>
          <w:szCs w:val="24"/>
          <w:lang w:val="en-US" w:eastAsia="zh-CN" w:bidi="ar-SA"/>
        </w:rPr>
        <w:t>目标成本待首董会批准通过后进行调整。</w:t>
      </w:r>
    </w:p>
    <w:p>
      <w:pPr>
        <w:spacing w:before="160" w:beforeLines="50" w:after="160" w:afterLines="50" w:line="360" w:lineRule="auto"/>
        <w:rPr>
          <w:rFonts w:hint="eastAsia" w:ascii="宋体" w:hAnsi="宋体" w:eastAsia="宋体" w:cs="宋体"/>
          <w:b/>
          <w:sz w:val="24"/>
          <w:szCs w:val="24"/>
          <w:lang w:val="en-US" w:eastAsia="zh-CN"/>
        </w:rPr>
      </w:pPr>
      <w:r>
        <w:rPr>
          <w:rFonts w:hint="eastAsia" w:ascii="宋体" w:hAnsi="宋体"/>
          <w:b/>
          <w:color w:val="000000"/>
          <w:sz w:val="24"/>
          <w:szCs w:val="24"/>
          <w:lang w:bidi="zh-CN"/>
        </w:rPr>
        <w:t>二、</w:t>
      </w:r>
      <w:r>
        <w:rPr>
          <w:rFonts w:hint="eastAsia" w:ascii="宋体" w:hAnsi="宋体"/>
          <w:b/>
          <w:color w:val="000000"/>
          <w:sz w:val="24"/>
          <w:szCs w:val="24"/>
          <w:lang w:val="en-US" w:bidi="zh-CN"/>
        </w:rPr>
        <w:t>2020年12</w:t>
      </w:r>
      <w:r>
        <w:rPr>
          <w:rFonts w:hint="eastAsia" w:ascii="宋体" w:hAnsi="宋体" w:cs="宋体"/>
          <w:b/>
          <w:sz w:val="24"/>
          <w:szCs w:val="24"/>
        </w:rPr>
        <w:t>月份资</w:t>
      </w:r>
      <w:r>
        <w:rPr>
          <w:rFonts w:ascii="宋体" w:hAnsi="宋体" w:cs="宋体"/>
          <w:b/>
          <w:sz w:val="24"/>
          <w:szCs w:val="24"/>
        </w:rPr>
        <w:t>金计划使用情况</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ascii="宋体" w:hAnsi="宋体" w:cs="宋体"/>
          <w:sz w:val="24"/>
          <w:lang w:bidi="zh-CN"/>
        </w:rPr>
      </w:pPr>
      <w:r>
        <w:rPr>
          <w:rFonts w:hint="eastAsia" w:ascii="宋体" w:hAnsi="宋体"/>
          <w:sz w:val="24"/>
        </w:rPr>
        <w:t>项目公司</w:t>
      </w:r>
      <w:r>
        <w:rPr>
          <w:rFonts w:ascii="宋体" w:hAnsi="宋体"/>
          <w:sz w:val="24"/>
        </w:rPr>
        <w:t>202</w:t>
      </w:r>
      <w:r>
        <w:rPr>
          <w:rFonts w:hint="eastAsia" w:ascii="宋体" w:hAnsi="宋体"/>
          <w:sz w:val="24"/>
          <w:lang w:val="en-US" w:eastAsia="zh-CN"/>
        </w:rPr>
        <w:t>0</w:t>
      </w:r>
      <w:r>
        <w:rPr>
          <w:rFonts w:hint="eastAsia" w:ascii="宋体" w:hAnsi="宋体"/>
          <w:sz w:val="24"/>
        </w:rPr>
        <w:t>年1</w:t>
      </w:r>
      <w:r>
        <w:rPr>
          <w:rFonts w:hint="eastAsia" w:ascii="宋体" w:hAnsi="宋体"/>
          <w:sz w:val="24"/>
          <w:lang w:val="en-US" w:eastAsia="zh-CN"/>
        </w:rPr>
        <w:t>2</w:t>
      </w:r>
      <w:r>
        <w:rPr>
          <w:rFonts w:ascii="宋体" w:hAnsi="宋体"/>
          <w:sz w:val="24"/>
        </w:rPr>
        <w:t>月资金支出计</w:t>
      </w:r>
      <w:r>
        <w:rPr>
          <w:rFonts w:hint="eastAsia" w:ascii="宋体" w:hAnsi="宋体"/>
          <w:sz w:val="24"/>
          <w:lang w:val="en-US" w:eastAsia="zh-CN"/>
        </w:rPr>
        <w:t>划3,520.17</w:t>
      </w:r>
      <w:r>
        <w:rPr>
          <w:rFonts w:hint="eastAsia" w:ascii="宋体" w:hAnsi="宋体"/>
          <w:bCs/>
          <w:sz w:val="24"/>
        </w:rPr>
        <w:t>万元，</w:t>
      </w:r>
      <w:r>
        <w:rPr>
          <w:rFonts w:hint="eastAsia" w:ascii="宋体" w:hAnsi="宋体"/>
          <w:sz w:val="24"/>
        </w:rPr>
        <w:t>实际资金支付</w:t>
      </w:r>
      <w:r>
        <w:rPr>
          <w:rFonts w:hint="eastAsia" w:ascii="宋体" w:hAnsi="宋体"/>
          <w:sz w:val="24"/>
          <w:lang w:val="en-US" w:eastAsia="zh-CN"/>
        </w:rPr>
        <w:t>3,420.84</w:t>
      </w:r>
      <w:r>
        <w:rPr>
          <w:rFonts w:hint="eastAsia" w:ascii="宋体" w:hAnsi="宋体"/>
          <w:sz w:val="24"/>
        </w:rPr>
        <w:t>万元</w:t>
      </w:r>
      <w:r>
        <w:rPr>
          <w:rFonts w:hint="eastAsia" w:ascii="宋体" w:hAnsi="宋体"/>
          <w:sz w:val="24"/>
          <w:lang w:eastAsia="zh-CN"/>
        </w:rPr>
        <w:t>，</w:t>
      </w:r>
      <w:r>
        <w:rPr>
          <w:rFonts w:hint="eastAsia" w:ascii="宋体" w:hAnsi="宋体"/>
          <w:sz w:val="24"/>
        </w:rPr>
        <w:t>其中：前期费用支出</w:t>
      </w:r>
      <w:r>
        <w:rPr>
          <w:rFonts w:hint="eastAsia" w:ascii="宋体" w:hAnsi="宋体"/>
          <w:sz w:val="24"/>
          <w:lang w:val="en-US" w:eastAsia="zh-CN"/>
        </w:rPr>
        <w:t>15.00</w:t>
      </w:r>
      <w:r>
        <w:rPr>
          <w:rFonts w:hint="eastAsia" w:ascii="宋体" w:hAnsi="宋体"/>
          <w:sz w:val="24"/>
        </w:rPr>
        <w:t>万元；工程费用支出</w:t>
      </w:r>
      <w:r>
        <w:rPr>
          <w:rFonts w:hint="eastAsia" w:ascii="宋体" w:hAnsi="宋体"/>
          <w:sz w:val="24"/>
          <w:lang w:val="en-US" w:eastAsia="zh-CN"/>
        </w:rPr>
        <w:t>2,622.40</w:t>
      </w:r>
      <w:r>
        <w:rPr>
          <w:rFonts w:hint="eastAsia" w:ascii="宋体" w:hAnsi="宋体"/>
          <w:sz w:val="24"/>
        </w:rPr>
        <w:t>万元；管理费用支出</w:t>
      </w:r>
      <w:r>
        <w:rPr>
          <w:rFonts w:hint="eastAsia" w:ascii="宋体" w:hAnsi="宋体"/>
          <w:sz w:val="24"/>
          <w:lang w:val="en-US" w:eastAsia="zh-CN"/>
        </w:rPr>
        <w:t>16.17</w:t>
      </w:r>
      <w:r>
        <w:rPr>
          <w:rFonts w:hint="eastAsia" w:ascii="宋体" w:hAnsi="宋体"/>
          <w:sz w:val="24"/>
        </w:rPr>
        <w:t>万元；</w:t>
      </w:r>
      <w:r>
        <w:rPr>
          <w:rFonts w:hint="eastAsia" w:ascii="宋体" w:hAnsi="宋体"/>
          <w:sz w:val="24"/>
          <w:lang w:val="en-US" w:eastAsia="zh-CN"/>
        </w:rPr>
        <w:t>营销费用支出 207.10万元；</w:t>
      </w:r>
      <w:r>
        <w:rPr>
          <w:rFonts w:hint="eastAsia" w:ascii="宋体" w:hAnsi="宋体"/>
          <w:sz w:val="24"/>
        </w:rPr>
        <w:t>财务费用支出</w:t>
      </w:r>
      <w:r>
        <w:rPr>
          <w:rFonts w:hint="eastAsia" w:ascii="宋体" w:hAnsi="宋体"/>
          <w:sz w:val="24"/>
          <w:lang w:val="en-US" w:eastAsia="zh-CN"/>
        </w:rPr>
        <w:t>549.09</w:t>
      </w:r>
      <w:r>
        <w:rPr>
          <w:rFonts w:hint="eastAsia" w:ascii="宋体" w:hAnsi="宋体"/>
          <w:sz w:val="24"/>
        </w:rPr>
        <w:t>万元，</w:t>
      </w:r>
      <w:r>
        <w:rPr>
          <w:rFonts w:hint="eastAsia" w:ascii="宋体" w:hAnsi="宋体"/>
          <w:sz w:val="24"/>
          <w:lang w:eastAsia="zh-CN"/>
        </w:rPr>
        <w:t>税费支出</w:t>
      </w:r>
      <w:r>
        <w:rPr>
          <w:rFonts w:hint="eastAsia" w:ascii="宋体" w:hAnsi="宋体"/>
          <w:sz w:val="24"/>
          <w:lang w:val="en-US" w:eastAsia="zh-CN"/>
        </w:rPr>
        <w:t>11.08万元。</w:t>
      </w:r>
      <w:r>
        <w:rPr>
          <w:rFonts w:hint="eastAsia" w:ascii="宋体" w:hAnsi="宋体"/>
          <w:bCs/>
          <w:sz w:val="24"/>
          <w:lang w:val="en-US" w:eastAsia="zh-CN"/>
        </w:rPr>
        <w:t>12</w:t>
      </w:r>
      <w:r>
        <w:rPr>
          <w:rFonts w:ascii="宋体" w:hAnsi="宋体" w:cs="宋体"/>
          <w:sz w:val="24"/>
          <w:lang w:bidi="zh-CN"/>
        </w:rPr>
        <w:t>月</w:t>
      </w:r>
      <w:r>
        <w:rPr>
          <w:rFonts w:hint="eastAsia" w:ascii="宋体" w:hAnsi="宋体" w:cs="宋体"/>
          <w:sz w:val="24"/>
          <w:lang w:bidi="zh-CN"/>
        </w:rPr>
        <w:t>份资金计划金额与执行情况对比如下表所示：</w:t>
      </w:r>
    </w:p>
    <w:p>
      <w:pPr>
        <w:pStyle w:val="10"/>
        <w:spacing w:after="0" w:line="480" w:lineRule="auto"/>
        <w:ind w:firstLine="0" w:firstLineChars="0"/>
        <w:jc w:val="center"/>
        <w:rPr>
          <w:rFonts w:ascii="宋体" w:hAnsi="宋体" w:cs="宋体"/>
          <w:sz w:val="24"/>
          <w:lang w:bidi="ar"/>
        </w:rPr>
      </w:pPr>
      <w:r>
        <w:rPr>
          <w:rFonts w:hint="eastAsia" w:ascii="宋体" w:hAnsi="宋体" w:cs="宋体"/>
          <w:sz w:val="24"/>
          <w:lang w:bidi="ar"/>
        </w:rPr>
        <w:t>1</w:t>
      </w:r>
      <w:r>
        <w:rPr>
          <w:rFonts w:hint="eastAsia" w:ascii="宋体" w:hAnsi="宋体" w:cs="宋体"/>
          <w:sz w:val="24"/>
          <w:lang w:val="en-US" w:eastAsia="zh-CN" w:bidi="ar"/>
        </w:rPr>
        <w:t>2</w:t>
      </w:r>
      <w:r>
        <w:rPr>
          <w:rFonts w:ascii="宋体" w:hAnsi="宋体" w:cs="宋体"/>
          <w:sz w:val="24"/>
          <w:lang w:bidi="ar"/>
        </w:rPr>
        <w:t>月份资金计划</w:t>
      </w:r>
      <w:r>
        <w:rPr>
          <w:rFonts w:hint="eastAsia" w:ascii="宋体" w:hAnsi="宋体" w:cs="宋体"/>
          <w:sz w:val="24"/>
          <w:lang w:bidi="ar"/>
        </w:rPr>
        <w:t>金额与执行情况对比表</w:t>
      </w:r>
    </w:p>
    <w:tbl>
      <w:tblPr>
        <w:tblStyle w:val="11"/>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160"/>
        <w:gridCol w:w="1146"/>
        <w:gridCol w:w="1125"/>
        <w:gridCol w:w="5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03"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资金</w:t>
            </w:r>
          </w:p>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类别</w:t>
            </w:r>
          </w:p>
        </w:tc>
        <w:tc>
          <w:tcPr>
            <w:tcW w:w="1160"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1</w:t>
            </w:r>
            <w:r>
              <w:rPr>
                <w:rFonts w:hint="eastAsia" w:ascii="宋体" w:hAnsi="宋体" w:cs="宋体"/>
                <w:b/>
                <w:bCs/>
                <w:color w:val="000000"/>
                <w:kern w:val="0"/>
                <w:sz w:val="22"/>
                <w:lang w:val="en-US" w:eastAsia="zh-CN" w:bidi="ar"/>
              </w:rPr>
              <w:t>2</w:t>
            </w:r>
            <w:r>
              <w:rPr>
                <w:rFonts w:ascii="宋体" w:hAnsi="宋体" w:cs="宋体"/>
                <w:b/>
                <w:bCs/>
                <w:color w:val="000000"/>
                <w:kern w:val="0"/>
                <w:sz w:val="22"/>
                <w:lang w:bidi="ar"/>
              </w:rPr>
              <w:t>月份资金计划</w:t>
            </w:r>
            <w:r>
              <w:rPr>
                <w:rFonts w:hint="eastAsia" w:ascii="宋体" w:hAnsi="宋体" w:cs="宋体"/>
                <w:b/>
                <w:bCs/>
                <w:color w:val="000000"/>
                <w:kern w:val="0"/>
                <w:sz w:val="22"/>
                <w:lang w:bidi="ar"/>
              </w:rPr>
              <w:t>申请金额（万元）</w:t>
            </w:r>
          </w:p>
        </w:tc>
        <w:tc>
          <w:tcPr>
            <w:tcW w:w="1146"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1</w:t>
            </w:r>
            <w:r>
              <w:rPr>
                <w:rFonts w:hint="eastAsia" w:ascii="宋体" w:hAnsi="宋体" w:cs="宋体"/>
                <w:b/>
                <w:bCs/>
                <w:color w:val="000000"/>
                <w:kern w:val="0"/>
                <w:sz w:val="22"/>
                <w:lang w:val="en-US" w:eastAsia="zh-CN" w:bidi="ar"/>
              </w:rPr>
              <w:t>2</w:t>
            </w:r>
            <w:r>
              <w:rPr>
                <w:rFonts w:ascii="宋体" w:hAnsi="宋体" w:cs="宋体"/>
                <w:b/>
                <w:bCs/>
                <w:color w:val="000000"/>
                <w:kern w:val="0"/>
                <w:sz w:val="22"/>
                <w:lang w:bidi="ar"/>
              </w:rPr>
              <w:t>月份资金计划</w:t>
            </w:r>
            <w:r>
              <w:rPr>
                <w:rFonts w:hint="eastAsia" w:ascii="宋体" w:hAnsi="宋体" w:cs="宋体"/>
                <w:b/>
                <w:bCs/>
                <w:color w:val="000000"/>
                <w:kern w:val="0"/>
                <w:sz w:val="22"/>
                <w:lang w:bidi="ar"/>
              </w:rPr>
              <w:t>执行金额</w:t>
            </w:r>
          </w:p>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（万元）</w:t>
            </w:r>
          </w:p>
        </w:tc>
        <w:tc>
          <w:tcPr>
            <w:tcW w:w="1125"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月度计划资金使用率</w:t>
            </w:r>
          </w:p>
        </w:tc>
        <w:tc>
          <w:tcPr>
            <w:tcW w:w="5496"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支出说明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3" w:type="dxa"/>
            <w:vAlign w:val="center"/>
          </w:tcPr>
          <w:p>
            <w:pPr>
              <w:widowControl/>
              <w:jc w:val="center"/>
              <w:textAlignment w:val="top"/>
              <w:rPr>
                <w:rFonts w:hint="default" w:ascii="Arial" w:hAnsi="Arial" w:eastAsia="宋体" w:cs="Arial"/>
                <w:kern w:val="0"/>
                <w:sz w:val="21"/>
                <w:szCs w:val="21"/>
                <w:lang w:bidi="ar"/>
              </w:rPr>
            </w:pPr>
            <w:r>
              <w:rPr>
                <w:rFonts w:hint="default" w:ascii="Arial" w:hAnsi="Arial" w:eastAsia="宋体" w:cs="Arial"/>
                <w:kern w:val="0"/>
                <w:sz w:val="21"/>
                <w:szCs w:val="21"/>
                <w:lang w:bidi="ar"/>
              </w:rPr>
              <w:t>前期费用</w:t>
            </w:r>
          </w:p>
        </w:tc>
        <w:tc>
          <w:tcPr>
            <w:tcW w:w="1160" w:type="dxa"/>
            <w:vAlign w:val="center"/>
          </w:tcPr>
          <w:p>
            <w:pPr>
              <w:widowControl/>
              <w:jc w:val="right"/>
              <w:textAlignment w:val="top"/>
              <w:rPr>
                <w:rFonts w:hint="default" w:ascii="Arial" w:hAnsi="Arial" w:eastAsia="宋体" w:cs="Arial"/>
                <w:kern w:val="0"/>
                <w:sz w:val="21"/>
                <w:szCs w:val="21"/>
                <w:lang w:val="en-US" w:eastAsia="zh-CN" w:bidi="ar"/>
              </w:rPr>
            </w:pPr>
            <w:r>
              <w:rPr>
                <w:rFonts w:hint="default" w:ascii="Arial" w:hAnsi="Arial" w:eastAsia="宋体" w:cs="Arial"/>
                <w:kern w:val="0"/>
                <w:sz w:val="21"/>
                <w:szCs w:val="21"/>
                <w:lang w:val="en-US" w:eastAsia="zh-CN" w:bidi="ar"/>
              </w:rPr>
              <w:t>504.31</w:t>
            </w:r>
          </w:p>
        </w:tc>
        <w:tc>
          <w:tcPr>
            <w:tcW w:w="1146" w:type="dxa"/>
            <w:vAlign w:val="center"/>
          </w:tcPr>
          <w:p>
            <w:pPr>
              <w:widowControl/>
              <w:jc w:val="right"/>
              <w:textAlignment w:val="top"/>
              <w:rPr>
                <w:rFonts w:hint="default" w:ascii="Arial" w:hAnsi="Arial" w:eastAsia="宋体" w:cs="Arial"/>
                <w:sz w:val="21"/>
                <w:szCs w:val="21"/>
                <w:lang w:val="en-US" w:eastAsia="zh-CN"/>
              </w:rPr>
            </w:pPr>
            <w:r>
              <w:rPr>
                <w:rFonts w:hint="default" w:ascii="Arial" w:hAnsi="Arial" w:eastAsia="宋体" w:cs="Arial"/>
                <w:sz w:val="21"/>
                <w:szCs w:val="21"/>
                <w:lang w:val="en-US" w:eastAsia="zh-CN"/>
              </w:rPr>
              <w:t>15.00</w:t>
            </w:r>
          </w:p>
        </w:tc>
        <w:tc>
          <w:tcPr>
            <w:tcW w:w="1125" w:type="dxa"/>
            <w:vAlign w:val="center"/>
          </w:tcPr>
          <w:p>
            <w:pPr>
              <w:widowControl/>
              <w:jc w:val="right"/>
              <w:textAlignment w:val="center"/>
              <w:rPr>
                <w:rFonts w:hint="default" w:ascii="Arial" w:hAnsi="Arial" w:eastAsia="宋体" w:cs="Arial"/>
                <w:kern w:val="0"/>
                <w:sz w:val="21"/>
                <w:szCs w:val="21"/>
                <w:lang w:val="en-US" w:eastAsia="zh-CN" w:bidi="ar"/>
              </w:rPr>
            </w:pPr>
            <w:r>
              <w:rPr>
                <w:rFonts w:hint="default" w:ascii="Arial" w:hAnsi="Arial" w:eastAsia="宋体" w:cs="Arial"/>
                <w:kern w:val="0"/>
                <w:sz w:val="21"/>
                <w:szCs w:val="21"/>
                <w:lang w:val="en-US" w:eastAsia="zh-CN" w:bidi="ar"/>
              </w:rPr>
              <w:t>2.97%</w:t>
            </w:r>
          </w:p>
        </w:tc>
        <w:tc>
          <w:tcPr>
            <w:tcW w:w="5496" w:type="dxa"/>
            <w:vAlign w:val="center"/>
          </w:tcPr>
          <w:p>
            <w:pPr>
              <w:pStyle w:val="10"/>
              <w:ind w:firstLine="0" w:firstLineChars="0"/>
              <w:jc w:val="center"/>
              <w:rPr>
                <w:rFonts w:hint="default" w:ascii="Arial" w:hAnsi="Arial" w:eastAsia="宋体" w:cs="Arial"/>
                <w:kern w:val="0"/>
                <w:sz w:val="21"/>
                <w:szCs w:val="21"/>
                <w:lang w:bidi="ar"/>
              </w:rPr>
            </w:pPr>
            <w:r>
              <w:rPr>
                <w:rFonts w:hint="default" w:ascii="Arial" w:hAnsi="Arial" w:eastAsia="宋体" w:cs="Arial"/>
                <w:kern w:val="0"/>
                <w:sz w:val="21"/>
                <w:szCs w:val="21"/>
                <w:lang w:val="en-US" w:eastAsia="zh-CN" w:bidi="ar"/>
              </w:rPr>
              <w:t>支付了物业招标代理费15.00万元，其他前期费用未支付</w:t>
            </w:r>
            <w:r>
              <w:rPr>
                <w:rFonts w:hint="eastAsia" w:ascii="Arial" w:hAnsi="Arial" w:cs="Arial"/>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3" w:type="dxa"/>
            <w:vAlign w:val="center"/>
          </w:tcPr>
          <w:p>
            <w:pPr>
              <w:widowControl/>
              <w:jc w:val="center"/>
              <w:textAlignment w:val="top"/>
              <w:rPr>
                <w:rFonts w:hint="default" w:ascii="Arial" w:hAnsi="Arial" w:eastAsia="宋体" w:cs="Arial"/>
                <w:kern w:val="0"/>
                <w:sz w:val="21"/>
                <w:szCs w:val="21"/>
                <w:lang w:bidi="ar"/>
              </w:rPr>
            </w:pPr>
            <w:r>
              <w:rPr>
                <w:rFonts w:hint="default" w:ascii="Arial" w:hAnsi="Arial" w:eastAsia="宋体" w:cs="Arial"/>
                <w:sz w:val="21"/>
                <w:szCs w:val="21"/>
              </w:rPr>
              <w:t>工程费用</w:t>
            </w:r>
          </w:p>
        </w:tc>
        <w:tc>
          <w:tcPr>
            <w:tcW w:w="1160" w:type="dxa"/>
            <w:vAlign w:val="center"/>
          </w:tcPr>
          <w:p>
            <w:pPr>
              <w:widowControl/>
              <w:jc w:val="right"/>
              <w:textAlignment w:val="center"/>
              <w:rPr>
                <w:rFonts w:hint="default" w:ascii="Arial" w:hAnsi="Arial" w:eastAsia="宋体" w:cs="Arial"/>
                <w:kern w:val="0"/>
                <w:sz w:val="21"/>
                <w:szCs w:val="21"/>
                <w:lang w:val="en-US" w:eastAsia="zh-CN" w:bidi="ar"/>
              </w:rPr>
            </w:pPr>
            <w:r>
              <w:rPr>
                <w:rFonts w:hint="default" w:ascii="Arial" w:hAnsi="Arial" w:eastAsia="宋体" w:cs="Arial"/>
                <w:kern w:val="0"/>
                <w:sz w:val="21"/>
                <w:szCs w:val="21"/>
                <w:lang w:val="en-US" w:eastAsia="zh-CN" w:bidi="ar"/>
              </w:rPr>
              <w:t>1,935.86</w:t>
            </w:r>
          </w:p>
        </w:tc>
        <w:tc>
          <w:tcPr>
            <w:tcW w:w="1146" w:type="dxa"/>
            <w:vAlign w:val="center"/>
          </w:tcPr>
          <w:p>
            <w:pPr>
              <w:widowControl/>
              <w:jc w:val="right"/>
              <w:textAlignment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2,622.40</w:t>
            </w:r>
          </w:p>
        </w:tc>
        <w:tc>
          <w:tcPr>
            <w:tcW w:w="1125" w:type="dxa"/>
            <w:vAlign w:val="center"/>
          </w:tcPr>
          <w:p>
            <w:pPr>
              <w:widowControl/>
              <w:jc w:val="right"/>
              <w:textAlignment w:val="center"/>
              <w:rPr>
                <w:rFonts w:hint="default" w:ascii="Arial" w:hAnsi="Arial" w:eastAsia="宋体" w:cs="Arial"/>
                <w:kern w:val="0"/>
                <w:sz w:val="21"/>
                <w:szCs w:val="21"/>
                <w:lang w:val="en-US" w:eastAsia="zh-CN" w:bidi="ar"/>
              </w:rPr>
            </w:pPr>
            <w:r>
              <w:rPr>
                <w:rFonts w:hint="default" w:ascii="Arial" w:hAnsi="Arial" w:eastAsia="宋体" w:cs="Arial"/>
                <w:kern w:val="0"/>
                <w:sz w:val="21"/>
                <w:szCs w:val="21"/>
                <w:lang w:val="en-US" w:eastAsia="zh-CN" w:bidi="ar"/>
              </w:rPr>
              <w:t>135.46%</w:t>
            </w:r>
          </w:p>
        </w:tc>
        <w:tc>
          <w:tcPr>
            <w:tcW w:w="5496" w:type="dxa"/>
            <w:vAlign w:val="center"/>
          </w:tcPr>
          <w:p>
            <w:pPr>
              <w:widowControl/>
              <w:jc w:val="center"/>
              <w:textAlignment w:val="top"/>
              <w:rPr>
                <w:rFonts w:hint="default" w:ascii="Arial" w:hAnsi="Arial" w:eastAsia="宋体" w:cs="Arial"/>
                <w:kern w:val="0"/>
                <w:sz w:val="21"/>
                <w:szCs w:val="21"/>
                <w:lang w:val="en-US" w:eastAsia="zh-CN" w:bidi="ar"/>
              </w:rPr>
            </w:pPr>
            <w:r>
              <w:rPr>
                <w:rFonts w:hint="default" w:ascii="Arial" w:hAnsi="Arial" w:eastAsia="宋体" w:cs="Arial"/>
                <w:kern w:val="0"/>
                <w:sz w:val="21"/>
                <w:szCs w:val="21"/>
                <w:lang w:val="en-US" w:eastAsia="zh-CN" w:bidi="ar"/>
              </w:rPr>
              <w:t>支出电费20.00万元，水费9.31万元，保险费13.09万元，应支付总包单位1,900.32万元工程款，实际支付2,580万元，累计多支付679.68万元在下次支付工程款中扣除（因浙商银行开发贷转总包，总包回流资金多扣留299.68万元作为工程款，另支付到农民工工资专户380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3" w:type="dxa"/>
            <w:vAlign w:val="center"/>
          </w:tcPr>
          <w:p>
            <w:pPr>
              <w:widowControl/>
              <w:jc w:val="center"/>
              <w:textAlignment w:val="top"/>
              <w:rPr>
                <w:rFonts w:hint="default" w:ascii="Arial" w:hAnsi="Arial" w:eastAsia="宋体" w:cs="Arial"/>
                <w:kern w:val="0"/>
                <w:sz w:val="21"/>
                <w:szCs w:val="21"/>
                <w:lang w:bidi="ar"/>
              </w:rPr>
            </w:pPr>
            <w:r>
              <w:rPr>
                <w:rFonts w:hint="default" w:ascii="Arial" w:hAnsi="Arial" w:eastAsia="宋体" w:cs="Arial"/>
                <w:sz w:val="21"/>
                <w:szCs w:val="21"/>
              </w:rPr>
              <w:t>营销费用</w:t>
            </w:r>
          </w:p>
        </w:tc>
        <w:tc>
          <w:tcPr>
            <w:tcW w:w="1160" w:type="dxa"/>
            <w:vAlign w:val="center"/>
          </w:tcPr>
          <w:p>
            <w:pPr>
              <w:widowControl/>
              <w:jc w:val="right"/>
              <w:textAlignment w:val="center"/>
              <w:rPr>
                <w:rFonts w:hint="default" w:ascii="Arial" w:hAnsi="Arial" w:eastAsia="宋体" w:cs="Arial"/>
                <w:kern w:val="0"/>
                <w:sz w:val="21"/>
                <w:szCs w:val="21"/>
                <w:lang w:val="en-US" w:eastAsia="zh-CN" w:bidi="ar"/>
              </w:rPr>
            </w:pPr>
            <w:r>
              <w:rPr>
                <w:rFonts w:hint="default" w:ascii="Arial" w:hAnsi="Arial" w:eastAsia="宋体" w:cs="Arial"/>
                <w:kern w:val="0"/>
                <w:sz w:val="21"/>
                <w:szCs w:val="21"/>
                <w:lang w:val="en-US" w:eastAsia="zh-CN" w:bidi="ar"/>
              </w:rPr>
              <w:t>400.00</w:t>
            </w:r>
          </w:p>
        </w:tc>
        <w:tc>
          <w:tcPr>
            <w:tcW w:w="1146" w:type="dxa"/>
            <w:vAlign w:val="center"/>
          </w:tcPr>
          <w:p>
            <w:pPr>
              <w:widowControl/>
              <w:jc w:val="right"/>
              <w:textAlignment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207.10</w:t>
            </w:r>
          </w:p>
        </w:tc>
        <w:tc>
          <w:tcPr>
            <w:tcW w:w="1125" w:type="dxa"/>
            <w:vAlign w:val="center"/>
          </w:tcPr>
          <w:p>
            <w:pPr>
              <w:widowControl/>
              <w:jc w:val="right"/>
              <w:textAlignment w:val="center"/>
              <w:rPr>
                <w:rFonts w:hint="default" w:ascii="Arial" w:hAnsi="Arial" w:eastAsia="宋体" w:cs="Arial"/>
                <w:kern w:val="0"/>
                <w:sz w:val="21"/>
                <w:szCs w:val="21"/>
                <w:lang w:val="en-US" w:eastAsia="zh-CN" w:bidi="ar"/>
              </w:rPr>
            </w:pPr>
            <w:r>
              <w:rPr>
                <w:rFonts w:hint="default" w:ascii="Arial" w:hAnsi="Arial" w:eastAsia="宋体" w:cs="Arial"/>
                <w:kern w:val="0"/>
                <w:sz w:val="21"/>
                <w:szCs w:val="21"/>
                <w:lang w:val="en-US" w:eastAsia="zh-CN" w:bidi="ar"/>
              </w:rPr>
              <w:t>51.78%</w:t>
            </w:r>
          </w:p>
        </w:tc>
        <w:tc>
          <w:tcPr>
            <w:tcW w:w="5496" w:type="dxa"/>
            <w:vAlign w:val="center"/>
          </w:tcPr>
          <w:p>
            <w:pPr>
              <w:pStyle w:val="10"/>
              <w:ind w:firstLine="0" w:firstLineChars="0"/>
              <w:jc w:val="center"/>
              <w:rPr>
                <w:rFonts w:hint="default" w:ascii="Arial" w:hAnsi="Arial" w:eastAsia="宋体" w:cs="Arial"/>
                <w:kern w:val="0"/>
                <w:sz w:val="21"/>
                <w:szCs w:val="21"/>
                <w:lang w:val="en-US" w:eastAsia="zh-CN" w:bidi="ar"/>
              </w:rPr>
            </w:pPr>
            <w:r>
              <w:rPr>
                <w:rFonts w:hint="default" w:ascii="Arial" w:hAnsi="Arial" w:eastAsia="宋体" w:cs="Arial"/>
                <w:kern w:val="0"/>
                <w:sz w:val="21"/>
                <w:szCs w:val="21"/>
                <w:lang w:val="en-US" w:eastAsia="zh-CN" w:bidi="ar"/>
              </w:rPr>
              <w:t>支付样板间软装及采购费用，因项目未开盘，开盘前的策划费、广告费均未支出。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3" w:type="dxa"/>
            <w:vAlign w:val="center"/>
          </w:tcPr>
          <w:p>
            <w:pPr>
              <w:widowControl/>
              <w:jc w:val="center"/>
              <w:textAlignment w:val="top"/>
              <w:rPr>
                <w:rFonts w:hint="default" w:ascii="Arial" w:hAnsi="Arial" w:eastAsia="宋体" w:cs="Arial"/>
                <w:kern w:val="0"/>
                <w:sz w:val="21"/>
                <w:szCs w:val="21"/>
                <w:lang w:bidi="ar"/>
              </w:rPr>
            </w:pPr>
            <w:r>
              <w:rPr>
                <w:rFonts w:hint="default" w:ascii="Arial" w:hAnsi="Arial" w:eastAsia="宋体" w:cs="Arial"/>
                <w:sz w:val="21"/>
                <w:szCs w:val="21"/>
              </w:rPr>
              <w:t>管理费用</w:t>
            </w:r>
          </w:p>
        </w:tc>
        <w:tc>
          <w:tcPr>
            <w:tcW w:w="1160" w:type="dxa"/>
            <w:vAlign w:val="center"/>
          </w:tcPr>
          <w:p>
            <w:pPr>
              <w:widowControl/>
              <w:jc w:val="right"/>
              <w:textAlignment w:val="center"/>
              <w:rPr>
                <w:rFonts w:hint="default" w:ascii="Arial" w:hAnsi="Arial" w:eastAsia="宋体" w:cs="Arial"/>
                <w:kern w:val="0"/>
                <w:sz w:val="21"/>
                <w:szCs w:val="21"/>
                <w:lang w:val="en-US" w:eastAsia="zh-CN" w:bidi="ar"/>
              </w:rPr>
            </w:pPr>
            <w:r>
              <w:rPr>
                <w:rFonts w:hint="default" w:ascii="Arial" w:hAnsi="Arial" w:eastAsia="宋体" w:cs="Arial"/>
                <w:kern w:val="0"/>
                <w:sz w:val="21"/>
                <w:szCs w:val="21"/>
                <w:lang w:val="en-US" w:eastAsia="zh-CN" w:bidi="ar"/>
              </w:rPr>
              <w:t>40.00</w:t>
            </w:r>
          </w:p>
        </w:tc>
        <w:tc>
          <w:tcPr>
            <w:tcW w:w="1146" w:type="dxa"/>
            <w:vAlign w:val="center"/>
          </w:tcPr>
          <w:p>
            <w:pPr>
              <w:widowControl/>
              <w:jc w:val="right"/>
              <w:textAlignment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16.17</w:t>
            </w:r>
          </w:p>
        </w:tc>
        <w:tc>
          <w:tcPr>
            <w:tcW w:w="1125" w:type="dxa"/>
            <w:vAlign w:val="center"/>
          </w:tcPr>
          <w:p>
            <w:pPr>
              <w:widowControl/>
              <w:jc w:val="right"/>
              <w:textAlignment w:val="center"/>
              <w:rPr>
                <w:rFonts w:hint="default" w:ascii="Arial" w:hAnsi="Arial" w:eastAsia="宋体" w:cs="Arial"/>
                <w:kern w:val="0"/>
                <w:sz w:val="21"/>
                <w:szCs w:val="21"/>
                <w:lang w:val="en-US" w:eastAsia="zh-CN" w:bidi="ar"/>
              </w:rPr>
            </w:pPr>
            <w:r>
              <w:rPr>
                <w:rFonts w:hint="default" w:ascii="Arial" w:hAnsi="Arial" w:eastAsia="宋体" w:cs="Arial"/>
                <w:kern w:val="0"/>
                <w:sz w:val="21"/>
                <w:szCs w:val="21"/>
                <w:lang w:val="en-US" w:eastAsia="zh-CN" w:bidi="ar"/>
              </w:rPr>
              <w:t>40.43%</w:t>
            </w:r>
          </w:p>
        </w:tc>
        <w:tc>
          <w:tcPr>
            <w:tcW w:w="5496" w:type="dxa"/>
            <w:vAlign w:val="center"/>
          </w:tcPr>
          <w:p>
            <w:pPr>
              <w:pStyle w:val="10"/>
              <w:ind w:firstLine="0" w:firstLineChars="0"/>
              <w:jc w:val="center"/>
              <w:rPr>
                <w:rFonts w:hint="default" w:ascii="Arial" w:hAnsi="Arial" w:eastAsia="宋体" w:cs="Arial"/>
                <w:kern w:val="0"/>
                <w:sz w:val="21"/>
                <w:szCs w:val="21"/>
                <w:lang w:bidi="ar"/>
              </w:rPr>
            </w:pPr>
            <w:r>
              <w:rPr>
                <w:rFonts w:hint="default" w:ascii="Arial" w:hAnsi="Arial" w:eastAsia="宋体" w:cs="Arial"/>
                <w:kern w:val="0"/>
                <w:sz w:val="21"/>
                <w:szCs w:val="21"/>
                <w:lang w:bidi="ar"/>
              </w:rPr>
              <w:t>支付</w:t>
            </w:r>
            <w:r>
              <w:rPr>
                <w:rFonts w:hint="default" w:ascii="Arial" w:hAnsi="Arial" w:eastAsia="宋体" w:cs="Arial"/>
                <w:kern w:val="0"/>
                <w:sz w:val="21"/>
                <w:szCs w:val="21"/>
                <w:lang w:val="en-US" w:eastAsia="zh-CN" w:bidi="ar"/>
              </w:rPr>
              <w:t>人员工资及日常招待费、交通费、办公费等</w:t>
            </w:r>
          </w:p>
          <w:p>
            <w:pPr>
              <w:pStyle w:val="10"/>
              <w:ind w:firstLine="0" w:firstLineChars="0"/>
              <w:jc w:val="center"/>
              <w:rPr>
                <w:rFonts w:hint="default" w:ascii="Arial" w:hAnsi="Arial" w:eastAsia="宋体" w:cs="Arial"/>
                <w:kern w:val="0"/>
                <w:sz w:val="21"/>
                <w:szCs w:val="21"/>
                <w:lang w:bidi="ar"/>
              </w:rPr>
            </w:pPr>
            <w:r>
              <w:rPr>
                <w:rFonts w:hint="default" w:ascii="Arial" w:hAnsi="Arial" w:eastAsia="宋体" w:cs="Arial"/>
                <w:kern w:val="0"/>
                <w:sz w:val="21"/>
                <w:szCs w:val="21"/>
                <w:lang w:val="en-US" w:eastAsia="zh-CN" w:bidi="ar"/>
              </w:rPr>
              <w:t>因项目未开盘，预计开盘新增管理费用均未支出。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3" w:type="dxa"/>
            <w:vAlign w:val="center"/>
          </w:tcPr>
          <w:p>
            <w:pPr>
              <w:widowControl/>
              <w:jc w:val="center"/>
              <w:textAlignment w:val="top"/>
              <w:rPr>
                <w:rFonts w:hint="default" w:ascii="Arial" w:hAnsi="Arial" w:eastAsia="宋体" w:cs="Arial"/>
                <w:color w:val="000000"/>
                <w:kern w:val="0"/>
                <w:sz w:val="21"/>
                <w:szCs w:val="21"/>
                <w:lang w:bidi="ar"/>
              </w:rPr>
            </w:pPr>
            <w:r>
              <w:rPr>
                <w:rFonts w:hint="default" w:ascii="Arial" w:hAnsi="Arial" w:eastAsia="宋体" w:cs="Arial"/>
                <w:color w:val="000000"/>
                <w:kern w:val="0"/>
                <w:sz w:val="21"/>
                <w:szCs w:val="21"/>
                <w:lang w:bidi="ar"/>
              </w:rPr>
              <w:t>财务费用</w:t>
            </w:r>
          </w:p>
        </w:tc>
        <w:tc>
          <w:tcPr>
            <w:tcW w:w="1160" w:type="dxa"/>
            <w:vAlign w:val="center"/>
          </w:tcPr>
          <w:p>
            <w:pPr>
              <w:widowControl/>
              <w:jc w:val="right"/>
              <w:textAlignment w:val="center"/>
              <w:rPr>
                <w:rFonts w:hint="default" w:ascii="Arial" w:hAnsi="Arial" w:eastAsia="宋体" w:cs="Arial"/>
                <w:color w:val="000000"/>
                <w:kern w:val="0"/>
                <w:sz w:val="21"/>
                <w:szCs w:val="21"/>
                <w:lang w:val="en-US" w:eastAsia="zh-CN" w:bidi="ar"/>
              </w:rPr>
            </w:pPr>
            <w:r>
              <w:rPr>
                <w:rFonts w:hint="default" w:ascii="Arial" w:hAnsi="Arial" w:eastAsia="宋体" w:cs="Arial"/>
                <w:color w:val="000000"/>
                <w:kern w:val="0"/>
                <w:sz w:val="21"/>
                <w:szCs w:val="21"/>
                <w:lang w:val="en-US" w:eastAsia="zh-CN" w:bidi="ar"/>
              </w:rPr>
              <w:t>640.00</w:t>
            </w:r>
          </w:p>
        </w:tc>
        <w:tc>
          <w:tcPr>
            <w:tcW w:w="1146" w:type="dxa"/>
            <w:vAlign w:val="center"/>
          </w:tcPr>
          <w:p>
            <w:pPr>
              <w:widowControl/>
              <w:jc w:val="right"/>
              <w:textAlignment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549.09</w:t>
            </w:r>
          </w:p>
        </w:tc>
        <w:tc>
          <w:tcPr>
            <w:tcW w:w="1125" w:type="dxa"/>
            <w:vAlign w:val="center"/>
          </w:tcPr>
          <w:p>
            <w:pPr>
              <w:widowControl/>
              <w:jc w:val="right"/>
              <w:textAlignment w:val="center"/>
              <w:rPr>
                <w:rFonts w:hint="default" w:ascii="Arial" w:hAnsi="Arial" w:eastAsia="宋体" w:cs="Arial"/>
                <w:color w:val="000000"/>
                <w:kern w:val="0"/>
                <w:sz w:val="21"/>
                <w:szCs w:val="21"/>
                <w:lang w:val="en-US" w:eastAsia="zh-CN" w:bidi="ar"/>
              </w:rPr>
            </w:pPr>
            <w:r>
              <w:rPr>
                <w:rFonts w:hint="default" w:ascii="Arial" w:hAnsi="Arial" w:eastAsia="宋体" w:cs="Arial"/>
                <w:color w:val="000000"/>
                <w:kern w:val="0"/>
                <w:sz w:val="21"/>
                <w:szCs w:val="21"/>
                <w:lang w:val="en-US" w:eastAsia="zh-CN" w:bidi="ar"/>
              </w:rPr>
              <w:t>85.8%</w:t>
            </w:r>
          </w:p>
        </w:tc>
        <w:tc>
          <w:tcPr>
            <w:tcW w:w="5496" w:type="dxa"/>
            <w:vAlign w:val="center"/>
          </w:tcPr>
          <w:p>
            <w:pPr>
              <w:pStyle w:val="10"/>
              <w:ind w:firstLine="0" w:firstLineChars="0"/>
              <w:jc w:val="center"/>
              <w:rPr>
                <w:rFonts w:hint="default" w:ascii="Arial" w:hAnsi="Arial" w:eastAsia="宋体" w:cs="Arial"/>
                <w:color w:val="000000"/>
                <w:kern w:val="0"/>
                <w:sz w:val="21"/>
                <w:szCs w:val="21"/>
                <w:lang w:val="en-US" w:eastAsia="zh-CN" w:bidi="ar"/>
              </w:rPr>
            </w:pPr>
            <w:r>
              <w:rPr>
                <w:rFonts w:hint="default" w:ascii="Arial" w:hAnsi="Arial" w:eastAsia="宋体" w:cs="Arial"/>
                <w:color w:val="000000"/>
                <w:kern w:val="0"/>
                <w:sz w:val="21"/>
                <w:szCs w:val="21"/>
                <w:lang w:val="en-US" w:eastAsia="zh-CN" w:bidi="ar"/>
              </w:rPr>
              <w:t>支付开发贷利息513.79万元，支付浙商银行银团代理费35.00万元，银行自动划扣手续费0.30万元</w:t>
            </w:r>
            <w:r>
              <w:rPr>
                <w:rFonts w:hint="eastAsia" w:ascii="Arial" w:hAnsi="Arial" w:cs="Arial"/>
                <w:color w:val="00000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dxa"/>
            <w:vAlign w:val="center"/>
          </w:tcPr>
          <w:p>
            <w:pPr>
              <w:widowControl/>
              <w:jc w:val="center"/>
              <w:textAlignment w:val="top"/>
              <w:rPr>
                <w:rFonts w:hint="default" w:ascii="Arial" w:hAnsi="Arial" w:eastAsia="宋体" w:cs="Arial"/>
                <w:b w:val="0"/>
                <w:kern w:val="2"/>
                <w:sz w:val="21"/>
                <w:szCs w:val="21"/>
                <w:lang w:val="en-US" w:eastAsia="zh-CN" w:bidi="ar"/>
              </w:rPr>
            </w:pPr>
            <w:r>
              <w:rPr>
                <w:rFonts w:hint="default" w:ascii="Arial" w:hAnsi="Arial" w:eastAsia="宋体" w:cs="Arial"/>
                <w:b w:val="0"/>
                <w:kern w:val="2"/>
                <w:sz w:val="21"/>
                <w:szCs w:val="21"/>
                <w:lang w:val="en-US" w:eastAsia="zh-CN" w:bidi="ar"/>
              </w:rPr>
              <w:t>税费</w:t>
            </w:r>
          </w:p>
        </w:tc>
        <w:tc>
          <w:tcPr>
            <w:tcW w:w="1160" w:type="dxa"/>
            <w:vAlign w:val="center"/>
          </w:tcPr>
          <w:p>
            <w:pPr>
              <w:widowControl/>
              <w:jc w:val="right"/>
              <w:textAlignment w:val="top"/>
              <w:rPr>
                <w:rFonts w:hint="default" w:ascii="Arial" w:hAnsi="Arial" w:eastAsia="宋体" w:cs="Arial"/>
                <w:b w:val="0"/>
                <w:bCs w:val="0"/>
                <w:kern w:val="2"/>
                <w:sz w:val="21"/>
                <w:szCs w:val="21"/>
                <w:lang w:val="en-US" w:eastAsia="zh-CN" w:bidi="ar"/>
              </w:rPr>
            </w:pPr>
            <w:r>
              <w:rPr>
                <w:rFonts w:hint="default" w:ascii="Arial" w:hAnsi="Arial" w:eastAsia="宋体" w:cs="Arial"/>
                <w:b w:val="0"/>
                <w:bCs w:val="0"/>
                <w:kern w:val="2"/>
                <w:sz w:val="21"/>
                <w:szCs w:val="21"/>
                <w:lang w:val="en-US" w:eastAsia="zh-CN" w:bidi="ar"/>
              </w:rPr>
              <w:t>0.00</w:t>
            </w:r>
          </w:p>
        </w:tc>
        <w:tc>
          <w:tcPr>
            <w:tcW w:w="1146" w:type="dxa"/>
            <w:vAlign w:val="center"/>
          </w:tcPr>
          <w:p>
            <w:pPr>
              <w:widowControl/>
              <w:jc w:val="right"/>
              <w:textAlignment w:val="top"/>
              <w:rPr>
                <w:rFonts w:hint="default" w:ascii="Arial" w:hAnsi="Arial" w:eastAsia="宋体" w:cs="Arial"/>
                <w:b w:val="0"/>
                <w:bCs w:val="0"/>
                <w:sz w:val="21"/>
                <w:szCs w:val="21"/>
                <w:lang w:val="en-US" w:eastAsia="zh-CN"/>
              </w:rPr>
            </w:pPr>
            <w:r>
              <w:rPr>
                <w:rFonts w:hint="default" w:ascii="Arial" w:hAnsi="Arial" w:eastAsia="宋体" w:cs="Arial"/>
                <w:b w:val="0"/>
                <w:bCs w:val="0"/>
                <w:sz w:val="21"/>
                <w:szCs w:val="21"/>
                <w:lang w:val="en-US" w:eastAsia="zh-CN"/>
              </w:rPr>
              <w:t>11.08</w:t>
            </w:r>
          </w:p>
        </w:tc>
        <w:tc>
          <w:tcPr>
            <w:tcW w:w="1125" w:type="dxa"/>
            <w:vAlign w:val="center"/>
          </w:tcPr>
          <w:p>
            <w:pPr>
              <w:widowControl/>
              <w:jc w:val="right"/>
              <w:textAlignment w:val="top"/>
              <w:rPr>
                <w:rFonts w:hint="default" w:ascii="Arial" w:hAnsi="Arial" w:eastAsia="宋体" w:cs="Arial"/>
                <w:b w:val="0"/>
                <w:kern w:val="2"/>
                <w:sz w:val="21"/>
                <w:szCs w:val="21"/>
                <w:lang w:val="en-US" w:eastAsia="zh-CN" w:bidi="ar"/>
              </w:rPr>
            </w:pPr>
            <w:r>
              <w:rPr>
                <w:rFonts w:hint="default" w:ascii="Arial" w:hAnsi="Arial" w:eastAsia="宋体" w:cs="Arial"/>
                <w:b w:val="0"/>
                <w:kern w:val="2"/>
                <w:sz w:val="21"/>
                <w:szCs w:val="21"/>
                <w:lang w:val="en-US" w:eastAsia="zh-CN" w:bidi="ar"/>
              </w:rPr>
              <w:t>0.00%</w:t>
            </w:r>
          </w:p>
        </w:tc>
        <w:tc>
          <w:tcPr>
            <w:tcW w:w="5496" w:type="dxa"/>
            <w:vAlign w:val="center"/>
          </w:tcPr>
          <w:p>
            <w:pPr>
              <w:widowControl/>
              <w:jc w:val="center"/>
              <w:textAlignment w:val="top"/>
              <w:rPr>
                <w:rFonts w:hint="default" w:ascii="Arial" w:hAnsi="Arial" w:eastAsia="宋体" w:cs="Arial"/>
                <w:b/>
                <w:color w:val="000000"/>
                <w:kern w:val="0"/>
                <w:sz w:val="21"/>
                <w:szCs w:val="21"/>
                <w:lang w:val="en-US" w:eastAsia="zh-CN" w:bidi="ar"/>
              </w:rPr>
            </w:pPr>
            <w:r>
              <w:rPr>
                <w:rFonts w:hint="default" w:ascii="Arial" w:hAnsi="Arial" w:eastAsia="宋体" w:cs="Arial"/>
                <w:b w:val="0"/>
                <w:color w:val="000000"/>
                <w:kern w:val="0"/>
                <w:sz w:val="21"/>
                <w:szCs w:val="21"/>
                <w:lang w:val="en-US" w:eastAsia="zh-CN" w:bidi="ar"/>
              </w:rPr>
              <w:t>支付印花税10.98万元，个人所得税0.09万元，（银行自动划扣）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dxa"/>
            <w:vAlign w:val="center"/>
          </w:tcPr>
          <w:p>
            <w:pPr>
              <w:widowControl/>
              <w:jc w:val="center"/>
              <w:textAlignment w:val="top"/>
              <w:rPr>
                <w:rFonts w:ascii="宋体" w:hAnsi="宋体" w:cs="宋体"/>
                <w:b/>
                <w:color w:val="000000"/>
                <w:kern w:val="0"/>
                <w:sz w:val="22"/>
                <w:lang w:bidi="ar"/>
              </w:rPr>
            </w:pPr>
            <w:r>
              <w:rPr>
                <w:rFonts w:hint="eastAsia" w:ascii="宋体" w:hAnsi="宋体" w:cs="宋体"/>
                <w:b/>
                <w:color w:val="000000"/>
                <w:kern w:val="0"/>
                <w:sz w:val="22"/>
                <w:lang w:bidi="ar"/>
              </w:rPr>
              <w:t>合计</w:t>
            </w:r>
          </w:p>
        </w:tc>
        <w:tc>
          <w:tcPr>
            <w:tcW w:w="1160" w:type="dxa"/>
            <w:vAlign w:val="center"/>
          </w:tcPr>
          <w:p>
            <w:pPr>
              <w:widowControl/>
              <w:jc w:val="right"/>
              <w:textAlignment w:val="center"/>
              <w:rPr>
                <w:rFonts w:hint="eastAsia" w:ascii="宋体" w:hAnsi="宋体" w:eastAsia="宋体" w:cs="宋体"/>
                <w:b/>
                <w:bCs/>
                <w:color w:val="000000"/>
                <w:kern w:val="0"/>
                <w:sz w:val="22"/>
                <w:lang w:val="en-US" w:eastAsia="zh-CN" w:bidi="ar"/>
              </w:rPr>
            </w:pPr>
            <w:r>
              <w:rPr>
                <w:rFonts w:hint="eastAsia" w:ascii="宋体" w:hAnsi="宋体" w:cs="宋体"/>
                <w:b/>
                <w:bCs/>
                <w:color w:val="000000"/>
                <w:kern w:val="0"/>
                <w:sz w:val="22"/>
                <w:lang w:val="en-US" w:eastAsia="zh-CN" w:bidi="ar"/>
              </w:rPr>
              <w:t>3,520.17</w:t>
            </w:r>
          </w:p>
        </w:tc>
        <w:tc>
          <w:tcPr>
            <w:tcW w:w="1146" w:type="dxa"/>
            <w:vAlign w:val="center"/>
          </w:tcPr>
          <w:p>
            <w:pPr>
              <w:widowControl/>
              <w:jc w:val="right"/>
              <w:textAlignment w:val="center"/>
              <w:rPr>
                <w:rFonts w:hint="default" w:ascii="宋体" w:hAnsi="宋体" w:eastAsia="宋体"/>
                <w:b/>
                <w:bCs/>
                <w:sz w:val="22"/>
                <w:lang w:val="en-US" w:eastAsia="zh-CN"/>
              </w:rPr>
            </w:pPr>
            <w:r>
              <w:rPr>
                <w:rFonts w:hint="eastAsia" w:ascii="宋体" w:hAnsi="宋体"/>
                <w:b/>
                <w:bCs/>
                <w:sz w:val="22"/>
                <w:lang w:val="en-US" w:eastAsia="zh-CN"/>
              </w:rPr>
              <w:t>3,420.84</w:t>
            </w:r>
          </w:p>
        </w:tc>
        <w:tc>
          <w:tcPr>
            <w:tcW w:w="1125" w:type="dxa"/>
            <w:vAlign w:val="center"/>
          </w:tcPr>
          <w:p>
            <w:pPr>
              <w:widowControl/>
              <w:jc w:val="right"/>
              <w:textAlignment w:val="center"/>
              <w:rPr>
                <w:rFonts w:ascii="宋体" w:hAnsi="宋体" w:cs="宋体"/>
                <w:b/>
                <w:color w:val="000000"/>
                <w:kern w:val="0"/>
                <w:sz w:val="22"/>
                <w:lang w:bidi="ar"/>
              </w:rPr>
            </w:pPr>
            <w:r>
              <w:rPr>
                <w:rFonts w:hint="eastAsia" w:ascii="宋体" w:hAnsi="宋体" w:cs="宋体"/>
                <w:b/>
                <w:color w:val="000000"/>
                <w:kern w:val="0"/>
                <w:sz w:val="22"/>
                <w:lang w:val="en-US" w:eastAsia="zh-CN" w:bidi="ar"/>
              </w:rPr>
              <w:t>97.18%</w:t>
            </w:r>
          </w:p>
        </w:tc>
        <w:tc>
          <w:tcPr>
            <w:tcW w:w="5496" w:type="dxa"/>
            <w:vAlign w:val="center"/>
          </w:tcPr>
          <w:p>
            <w:pPr>
              <w:widowControl/>
              <w:jc w:val="center"/>
              <w:textAlignment w:val="top"/>
              <w:rPr>
                <w:rFonts w:hint="eastAsia" w:ascii="宋体" w:hAnsi="宋体" w:eastAsia="宋体" w:cs="宋体"/>
                <w:b/>
                <w:color w:val="000000"/>
                <w:kern w:val="0"/>
                <w:sz w:val="22"/>
                <w:lang w:val="en-US" w:eastAsia="zh-CN" w:bidi="ar"/>
              </w:rPr>
            </w:pPr>
            <w:r>
              <w:rPr>
                <w:rFonts w:hint="eastAsia" w:ascii="宋体" w:hAnsi="宋体" w:cs="宋体"/>
                <w:b/>
                <w:color w:val="000000"/>
                <w:kern w:val="0"/>
                <w:sz w:val="22"/>
                <w:lang w:val="en-US" w:eastAsia="zh-CN" w:bidi="ar"/>
              </w:rPr>
              <w:t>---</w:t>
            </w:r>
          </w:p>
        </w:tc>
      </w:tr>
    </w:tbl>
    <w:p>
      <w:pPr>
        <w:pStyle w:val="10"/>
        <w:spacing w:after="160" w:afterLines="50"/>
        <w:ind w:firstLine="0" w:firstLineChars="0"/>
        <w:rPr>
          <w:rFonts w:ascii="宋体" w:hAnsi="宋体" w:cs="宋体"/>
          <w:b/>
          <w:sz w:val="24"/>
        </w:rPr>
      </w:pPr>
      <w:r>
        <w:rPr>
          <w:rFonts w:hint="eastAsia" w:ascii="宋体" w:hAnsi="宋体" w:cs="Arial"/>
          <w:bCs/>
          <w:sz w:val="15"/>
          <w:szCs w:val="13"/>
        </w:rPr>
        <w:t>注：上表采用电算化连续计算得出，由于计算数据均按四舍五入保留两位小数或取整，故可能出现个别加总不完全相等的情况。</w:t>
      </w:r>
    </w:p>
    <w:p>
      <w:pPr>
        <w:spacing w:before="160" w:beforeLines="50" w:after="160" w:afterLines="50" w:line="360" w:lineRule="auto"/>
        <w:ind w:left="0" w:firstLine="0" w:firstLineChars="0"/>
        <w:rPr>
          <w:rFonts w:hint="eastAsia" w:ascii="宋体" w:hAnsi="宋体"/>
          <w:bCs/>
          <w:color w:val="000000"/>
          <w:sz w:val="24"/>
          <w:szCs w:val="24"/>
          <w:lang w:bidi="zh-CN"/>
        </w:rPr>
      </w:pPr>
      <w:r>
        <w:rPr>
          <w:rFonts w:hint="eastAsia" w:ascii="宋体" w:hAnsi="宋体"/>
          <w:bCs/>
          <w:color w:val="000000"/>
          <w:sz w:val="24"/>
          <w:szCs w:val="24"/>
          <w:lang w:val="en-US" w:bidi="zh-CN"/>
        </w:rPr>
        <w:t xml:space="preserve">    项目公司12月份银行开发贷放款24,000.00万元，开发贷资金12月份回流至项目公司87,800.00万元（包含：11月份开发贷放款回流至项目公司账户66,000.00万元，12月开发贷放款回流至项目公司21,800.00万元），12月份回流到项目公司账户的开发贷分配给各股东共计78,000.00万元。</w:t>
      </w:r>
    </w:p>
    <w:p>
      <w:pPr>
        <w:spacing w:before="160" w:beforeLines="50" w:after="160" w:afterLines="50" w:line="360" w:lineRule="auto"/>
        <w:ind w:left="0" w:firstLine="0" w:firstLineChars="0"/>
        <w:rPr>
          <w:rFonts w:hint="eastAsia" w:ascii="宋体" w:hAnsi="宋体"/>
          <w:bCs/>
          <w:color w:val="000000"/>
          <w:sz w:val="24"/>
          <w:szCs w:val="24"/>
          <w:lang w:bidi="zh-CN"/>
        </w:rPr>
      </w:pPr>
      <w:r>
        <w:rPr>
          <w:rFonts w:hint="eastAsia" w:ascii="宋体" w:hAnsi="宋体"/>
          <w:bCs/>
          <w:color w:val="000000"/>
          <w:sz w:val="24"/>
          <w:szCs w:val="24"/>
          <w:lang w:val="en-US" w:bidi="zh-CN"/>
        </w:rPr>
        <w:t xml:space="preserve">    </w:t>
      </w:r>
      <w:r>
        <w:rPr>
          <w:rFonts w:hint="eastAsia" w:ascii="宋体" w:hAnsi="宋体"/>
          <w:bCs/>
          <w:color w:val="000000"/>
          <w:sz w:val="24"/>
          <w:szCs w:val="24"/>
          <w:lang w:bidi="zh-CN"/>
        </w:rPr>
        <w:t>根据《1</w:t>
      </w:r>
      <w:r>
        <w:rPr>
          <w:rFonts w:hint="eastAsia" w:ascii="宋体" w:hAnsi="宋体"/>
          <w:bCs/>
          <w:color w:val="000000"/>
          <w:sz w:val="24"/>
          <w:szCs w:val="24"/>
          <w:lang w:val="en-US" w:bidi="zh-CN"/>
        </w:rPr>
        <w:t>2</w:t>
      </w:r>
      <w:r>
        <w:rPr>
          <w:rFonts w:hint="eastAsia" w:ascii="宋体" w:hAnsi="宋体"/>
          <w:bCs/>
          <w:color w:val="000000"/>
          <w:sz w:val="24"/>
          <w:szCs w:val="24"/>
          <w:lang w:bidi="zh-CN"/>
        </w:rPr>
        <w:t>月份资金计划金额与执行情况对比表》显示，项目公司的</w:t>
      </w:r>
      <w:r>
        <w:rPr>
          <w:rFonts w:hint="eastAsia" w:ascii="宋体" w:hAnsi="宋体"/>
          <w:bCs/>
          <w:color w:val="000000"/>
          <w:sz w:val="24"/>
          <w:szCs w:val="24"/>
          <w:lang w:val="en-US" w:bidi="zh-CN"/>
        </w:rPr>
        <w:t>资金计划与实际资金总支出差异较小，但工程费用、前期费用资金计划与实际支出差异较大，工程费用实际支出超出资金计划的35.46%，主要为总包款多支付679.68万元，多支付部分在1月份应付总包款中扣除；前期费用中实际支付金额仅占资金计划的2.97%，</w:t>
      </w:r>
      <w:r>
        <w:rPr>
          <w:rFonts w:hint="eastAsia" w:ascii="宋体" w:hAnsi="宋体"/>
          <w:bCs/>
          <w:color w:val="000000"/>
          <w:sz w:val="24"/>
          <w:szCs w:val="24"/>
          <w:lang w:bidi="zh-CN"/>
        </w:rPr>
        <w:t>项目处于</w:t>
      </w:r>
      <w:r>
        <w:rPr>
          <w:rFonts w:hint="eastAsia" w:ascii="宋体" w:hAnsi="宋体"/>
          <w:bCs/>
          <w:color w:val="000000"/>
          <w:sz w:val="24"/>
          <w:szCs w:val="24"/>
          <w:lang w:val="en-US" w:bidi="zh-CN"/>
        </w:rPr>
        <w:t>前</w:t>
      </w:r>
      <w:r>
        <w:rPr>
          <w:rFonts w:hint="eastAsia" w:ascii="宋体" w:hAnsi="宋体"/>
          <w:bCs/>
          <w:color w:val="000000"/>
          <w:sz w:val="24"/>
          <w:szCs w:val="24"/>
          <w:lang w:bidi="zh-CN"/>
        </w:rPr>
        <w:t>期</w:t>
      </w:r>
      <w:r>
        <w:rPr>
          <w:rFonts w:hint="eastAsia" w:ascii="宋体" w:hAnsi="宋体"/>
          <w:bCs/>
          <w:color w:val="000000"/>
          <w:sz w:val="24"/>
          <w:szCs w:val="24"/>
          <w:lang w:val="en-US" w:bidi="zh-CN"/>
        </w:rPr>
        <w:t>开发</w:t>
      </w:r>
      <w:r>
        <w:rPr>
          <w:rFonts w:hint="eastAsia" w:ascii="宋体" w:hAnsi="宋体"/>
          <w:bCs/>
          <w:color w:val="000000"/>
          <w:sz w:val="24"/>
          <w:szCs w:val="24"/>
          <w:lang w:bidi="zh-CN"/>
        </w:rPr>
        <w:t>阶段,部分费用暂未达到付款节点、项目公司申请付款的流程暂未完成及延迟支</w:t>
      </w:r>
      <w:r>
        <w:rPr>
          <w:rFonts w:hint="eastAsia" w:ascii="宋体" w:hAnsi="宋体"/>
          <w:bCs/>
          <w:color w:val="000000"/>
          <w:sz w:val="24"/>
          <w:szCs w:val="24"/>
          <w:lang w:eastAsia="zh-CN" w:bidi="zh-CN"/>
        </w:rPr>
        <w:t>付等是造成实际支付比例较低的原因</w:t>
      </w:r>
      <w:r>
        <w:rPr>
          <w:rFonts w:hint="eastAsia" w:ascii="宋体" w:hAnsi="宋体"/>
          <w:bCs/>
          <w:color w:val="000000"/>
          <w:sz w:val="24"/>
          <w:szCs w:val="24"/>
          <w:lang w:val="en-US" w:bidi="zh-CN"/>
        </w:rPr>
        <w:t>。</w:t>
      </w:r>
    </w:p>
    <w:p>
      <w:pPr>
        <w:pStyle w:val="10"/>
        <w:spacing w:after="0" w:line="360" w:lineRule="auto"/>
        <w:ind w:firstLine="0" w:firstLineChars="0"/>
        <w:rPr>
          <w:rFonts w:ascii="宋体" w:hAnsi="宋体"/>
          <w:b/>
          <w:color w:val="000000"/>
          <w:sz w:val="24"/>
          <w:lang w:bidi="zh-CN"/>
        </w:rPr>
      </w:pPr>
      <w:r>
        <w:rPr>
          <w:rFonts w:hint="eastAsia" w:ascii="宋体" w:hAnsi="宋体" w:cs="宋体"/>
          <w:b/>
          <w:sz w:val="24"/>
        </w:rPr>
        <w:t>三、</w:t>
      </w:r>
      <w:r>
        <w:rPr>
          <w:rFonts w:ascii="宋体" w:hAnsi="宋体"/>
          <w:b/>
          <w:color w:val="000000"/>
          <w:sz w:val="24"/>
          <w:lang w:val="zh-CN" w:bidi="zh-CN"/>
        </w:rPr>
        <w:t>付款情况</w:t>
      </w:r>
      <w:r>
        <w:rPr>
          <w:rFonts w:hint="eastAsia" w:ascii="宋体" w:hAnsi="宋体"/>
          <w:b/>
          <w:color w:val="000000"/>
          <w:sz w:val="24"/>
          <w:lang w:bidi="zh-CN"/>
        </w:rPr>
        <w:t>审核说明</w:t>
      </w:r>
    </w:p>
    <w:p>
      <w:pPr>
        <w:numPr>
          <w:ilvl w:val="0"/>
          <w:numId w:val="3"/>
        </w:numPr>
        <w:spacing w:before="160" w:beforeLines="50" w:after="160" w:afterLines="50" w:line="360" w:lineRule="auto"/>
        <w:rPr>
          <w:rFonts w:ascii="宋体" w:hAnsi="宋体"/>
          <w:bCs/>
          <w:color w:val="000000"/>
          <w:sz w:val="24"/>
          <w:szCs w:val="24"/>
          <w:lang w:bidi="zh-CN"/>
        </w:rPr>
      </w:pPr>
      <w:r>
        <w:rPr>
          <w:rFonts w:hint="eastAsia" w:ascii="宋体" w:hAnsi="宋体"/>
          <w:b/>
          <w:color w:val="000000"/>
          <w:sz w:val="24"/>
          <w:szCs w:val="24"/>
          <w:lang w:val="en-US" w:bidi="zh-CN"/>
        </w:rPr>
        <w:t>工程费用</w:t>
      </w:r>
      <w:r>
        <w:rPr>
          <w:rFonts w:hint="eastAsia" w:ascii="宋体" w:hAnsi="宋体"/>
          <w:b/>
          <w:color w:val="000000"/>
          <w:sz w:val="24"/>
          <w:szCs w:val="24"/>
          <w:lang w:bidi="zh-CN"/>
        </w:rPr>
        <w:t>支出计划说明</w:t>
      </w:r>
    </w:p>
    <w:p>
      <w:pPr>
        <w:spacing w:before="160" w:beforeLines="50" w:after="160" w:afterLines="50" w:line="360" w:lineRule="auto"/>
        <w:ind w:left="225"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项目公司在202</w:t>
      </w:r>
      <w:r>
        <w:rPr>
          <w:rFonts w:hint="eastAsia" w:ascii="宋体" w:hAnsi="宋体"/>
          <w:bCs/>
          <w:color w:val="000000"/>
          <w:sz w:val="24"/>
          <w:szCs w:val="24"/>
          <w:lang w:val="en-US" w:bidi="zh-CN"/>
        </w:rPr>
        <w:t>1</w:t>
      </w:r>
      <w:r>
        <w:rPr>
          <w:rFonts w:hint="eastAsia" w:ascii="宋体" w:hAnsi="宋体"/>
          <w:bCs/>
          <w:color w:val="000000"/>
          <w:sz w:val="24"/>
          <w:szCs w:val="24"/>
          <w:lang w:bidi="zh-CN"/>
        </w:rPr>
        <w:t>年1月计划支付</w:t>
      </w:r>
      <w:r>
        <w:rPr>
          <w:rFonts w:hint="eastAsia" w:ascii="宋体" w:hAnsi="宋体"/>
          <w:bCs/>
          <w:color w:val="000000"/>
          <w:sz w:val="24"/>
          <w:szCs w:val="24"/>
          <w:lang w:val="en-US" w:bidi="zh-CN"/>
        </w:rPr>
        <w:t>工程</w:t>
      </w:r>
      <w:r>
        <w:rPr>
          <w:rFonts w:hint="eastAsia" w:ascii="宋体" w:hAnsi="宋体"/>
          <w:bCs/>
          <w:color w:val="000000"/>
          <w:sz w:val="24"/>
          <w:szCs w:val="24"/>
          <w:lang w:bidi="zh-CN"/>
        </w:rPr>
        <w:t>费用共</w:t>
      </w:r>
      <w:r>
        <w:rPr>
          <w:rFonts w:hint="eastAsia" w:ascii="宋体" w:hAnsi="宋体"/>
          <w:bCs/>
          <w:sz w:val="24"/>
          <w:szCs w:val="24"/>
          <w:lang w:bidi="zh-CN"/>
        </w:rPr>
        <w:t>计</w:t>
      </w:r>
      <w:r>
        <w:rPr>
          <w:rFonts w:hint="eastAsia" w:ascii="宋体" w:hAnsi="宋体"/>
          <w:sz w:val="24"/>
          <w:szCs w:val="24"/>
          <w:lang w:val="en-US" w:eastAsia="zh-CN"/>
        </w:rPr>
        <w:t>3,787.88</w:t>
      </w:r>
      <w:r>
        <w:rPr>
          <w:rFonts w:hint="eastAsia" w:ascii="宋体" w:hAnsi="宋体"/>
          <w:bCs/>
          <w:color w:val="000000"/>
          <w:sz w:val="24"/>
          <w:szCs w:val="24"/>
          <w:lang w:bidi="zh-CN"/>
        </w:rPr>
        <w:t>万元，具体分析如下：</w:t>
      </w:r>
    </w:p>
    <w:p>
      <w:pPr>
        <w:numPr>
          <w:ilvl w:val="0"/>
          <w:numId w:val="0"/>
        </w:numPr>
        <w:spacing w:before="156" w:beforeLines="50" w:after="156" w:afterLines="50" w:line="360" w:lineRule="auto"/>
        <w:ind w:firstLine="480" w:firstLineChars="200"/>
        <w:rPr>
          <w:rFonts w:ascii="宋体" w:hAnsi="宋体"/>
          <w:color w:val="auto"/>
          <w:sz w:val="24"/>
          <w:szCs w:val="24"/>
        </w:rPr>
      </w:pPr>
      <w:r>
        <w:rPr>
          <w:rFonts w:hint="eastAsia" w:ascii="宋体" w:hAnsi="宋体"/>
          <w:bCs/>
          <w:color w:val="000000"/>
          <w:sz w:val="24"/>
          <w:szCs w:val="24"/>
          <w:lang w:eastAsia="zh-CN" w:bidi="zh-CN"/>
        </w:rPr>
        <w:t>（1）依据项目</w:t>
      </w:r>
      <w:r>
        <w:rPr>
          <w:rFonts w:hint="eastAsia" w:ascii="宋体" w:hAnsi="宋体"/>
          <w:sz w:val="24"/>
          <w:szCs w:val="24"/>
          <w:lang w:eastAsia="zh-CN"/>
        </w:rPr>
        <w:t>公</w:t>
      </w:r>
      <w:r>
        <w:rPr>
          <w:rFonts w:hint="eastAsia" w:ascii="宋体" w:hAnsi="宋体" w:eastAsia="宋体" w:cs="宋体"/>
          <w:color w:val="auto"/>
          <w:sz w:val="24"/>
          <w:szCs w:val="24"/>
        </w:rPr>
        <w:t>司提供资料</w:t>
      </w:r>
      <w:r>
        <w:rPr>
          <w:rFonts w:hint="eastAsia" w:ascii="宋体" w:hAnsi="宋体" w:eastAsia="宋体" w:cs="宋体"/>
          <w:color w:val="auto"/>
          <w:sz w:val="24"/>
          <w:szCs w:val="24"/>
          <w:lang w:val="en-US" w:eastAsia="zh-CN"/>
        </w:rPr>
        <w:t>，杭政储【2020】41号地块总包工程合同，合同总价</w:t>
      </w:r>
      <w:r>
        <w:rPr>
          <w:rFonts w:hint="eastAsia" w:ascii="宋体" w:hAnsi="宋体" w:cs="宋体"/>
          <w:color w:val="auto"/>
          <w:sz w:val="24"/>
          <w:szCs w:val="24"/>
          <w:lang w:val="en-US" w:eastAsia="zh-CN"/>
        </w:rPr>
        <w:t>：</w:t>
      </w:r>
      <w:r>
        <w:rPr>
          <w:rFonts w:hint="eastAsia" w:ascii="宋体" w:hAnsi="宋体" w:eastAsia="宋体" w:cs="宋体"/>
          <w:b w:val="0"/>
          <w:color w:val="333333"/>
          <w:sz w:val="24"/>
          <w:szCs w:val="24"/>
          <w:lang w:val="en-US" w:eastAsia="zh-CN"/>
        </w:rPr>
        <w:t>38,579.79</w:t>
      </w:r>
      <w:r>
        <w:rPr>
          <w:rFonts w:hint="eastAsia" w:ascii="宋体" w:hAnsi="宋体" w:eastAsia="宋体" w:cs="宋体"/>
          <w:color w:val="auto"/>
          <w:sz w:val="24"/>
          <w:szCs w:val="24"/>
          <w:lang w:val="en-US" w:eastAsia="zh-CN"/>
        </w:rPr>
        <w:t>万元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根据合同约定每次按确认产值的80%支付，</w:t>
      </w:r>
      <w:r>
        <w:rPr>
          <w:rFonts w:hint="eastAsia" w:ascii="宋体" w:hAnsi="宋体" w:eastAsia="宋体" w:cs="宋体"/>
          <w:b w:val="0"/>
          <w:color w:val="333333"/>
          <w:sz w:val="24"/>
          <w:szCs w:val="24"/>
        </w:rPr>
        <w:t>累计</w:t>
      </w:r>
      <w:r>
        <w:rPr>
          <w:rFonts w:hint="eastAsia" w:ascii="宋体" w:hAnsi="宋体" w:cs="宋体"/>
          <w:b w:val="0"/>
          <w:color w:val="333333"/>
          <w:sz w:val="24"/>
          <w:szCs w:val="24"/>
          <w:lang w:val="en-US" w:eastAsia="zh-CN"/>
        </w:rPr>
        <w:t>已支付</w:t>
      </w:r>
      <w:r>
        <w:rPr>
          <w:rFonts w:hint="eastAsia" w:ascii="宋体" w:hAnsi="宋体" w:eastAsia="宋体" w:cs="宋体"/>
          <w:b w:val="0"/>
          <w:color w:val="333333"/>
          <w:sz w:val="24"/>
          <w:szCs w:val="24"/>
          <w:lang w:val="en-US" w:eastAsia="zh-CN"/>
        </w:rPr>
        <w:t>2</w:t>
      </w:r>
      <w:r>
        <w:rPr>
          <w:rFonts w:hint="eastAsia" w:ascii="宋体" w:hAnsi="宋体" w:cs="宋体"/>
          <w:b w:val="0"/>
          <w:color w:val="333333"/>
          <w:sz w:val="24"/>
          <w:szCs w:val="24"/>
          <w:lang w:val="en-US" w:eastAsia="zh-CN"/>
        </w:rPr>
        <w:t>,</w:t>
      </w:r>
      <w:r>
        <w:rPr>
          <w:rFonts w:hint="eastAsia" w:ascii="宋体" w:hAnsi="宋体" w:eastAsia="宋体" w:cs="宋体"/>
          <w:b w:val="0"/>
          <w:color w:val="333333"/>
          <w:sz w:val="24"/>
          <w:szCs w:val="24"/>
          <w:lang w:val="en-US" w:eastAsia="zh-CN"/>
        </w:rPr>
        <w:t>580</w:t>
      </w:r>
      <w:r>
        <w:rPr>
          <w:rFonts w:hint="eastAsia" w:ascii="宋体" w:hAnsi="宋体" w:cs="宋体"/>
          <w:b w:val="0"/>
          <w:color w:val="333333"/>
          <w:sz w:val="24"/>
          <w:szCs w:val="24"/>
          <w:lang w:val="en-US" w:eastAsia="zh-CN"/>
        </w:rPr>
        <w:t>.00</w:t>
      </w:r>
      <w:r>
        <w:rPr>
          <w:rFonts w:hint="eastAsia" w:ascii="宋体" w:hAnsi="宋体" w:eastAsia="宋体" w:cs="宋体"/>
          <w:b w:val="0"/>
          <w:color w:val="333333"/>
          <w:sz w:val="24"/>
          <w:szCs w:val="24"/>
        </w:rPr>
        <w:t>万元</w:t>
      </w:r>
      <w:r>
        <w:rPr>
          <w:rFonts w:hint="eastAsia" w:ascii="宋体" w:hAnsi="宋体" w:eastAsia="宋体" w:cs="宋体"/>
          <w:color w:val="auto"/>
          <w:sz w:val="24"/>
          <w:szCs w:val="24"/>
          <w:lang w:val="en-US" w:eastAsia="zh-CN"/>
        </w:rPr>
        <w:t>，本次</w:t>
      </w:r>
      <w:r>
        <w:rPr>
          <w:rFonts w:hint="eastAsia" w:ascii="宋体" w:hAnsi="宋体" w:cs="宋体"/>
          <w:color w:val="auto"/>
          <w:sz w:val="24"/>
          <w:szCs w:val="24"/>
          <w:lang w:val="en-US" w:eastAsia="zh-CN"/>
        </w:rPr>
        <w:t>预计</w:t>
      </w:r>
      <w:r>
        <w:rPr>
          <w:rFonts w:hint="eastAsia" w:ascii="宋体" w:hAnsi="宋体" w:eastAsia="宋体" w:cs="宋体"/>
          <w:color w:val="auto"/>
          <w:sz w:val="24"/>
          <w:szCs w:val="24"/>
          <w:lang w:val="en-US" w:eastAsia="zh-CN"/>
        </w:rPr>
        <w:t>支付金额1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818.73万元，</w:t>
      </w:r>
      <w:r>
        <w:rPr>
          <w:rFonts w:hint="eastAsia" w:ascii="宋体" w:hAnsi="宋体" w:cs="宋体"/>
          <w:color w:val="auto"/>
          <w:sz w:val="24"/>
          <w:szCs w:val="24"/>
          <w:lang w:val="en-US" w:eastAsia="zh-CN"/>
        </w:rPr>
        <w:t>本次支付完成后，累计支付金额占合同总价的11.4%。</w:t>
      </w:r>
      <w:r>
        <w:rPr>
          <w:rFonts w:hint="eastAsia" w:ascii="宋体" w:hAnsi="宋体" w:eastAsia="宋体" w:cs="宋体"/>
          <w:color w:val="auto"/>
          <w:sz w:val="24"/>
          <w:szCs w:val="24"/>
          <w:lang w:bidi="zh-CN"/>
        </w:rPr>
        <w:t>实际支付时，我司会对付款申请、发票、流程、工程合同、现场签证等依据进行审核、计算，</w:t>
      </w:r>
      <w:r>
        <w:rPr>
          <w:rFonts w:hint="eastAsia" w:ascii="宋体" w:hAnsi="宋体" w:eastAsia="宋体" w:cs="宋体"/>
          <w:color w:val="auto"/>
          <w:sz w:val="24"/>
          <w:szCs w:val="24"/>
        </w:rPr>
        <w:t>严格把控，确保资金支付合理、合规</w:t>
      </w:r>
      <w:r>
        <w:rPr>
          <w:rFonts w:ascii="宋体" w:hAnsi="宋体"/>
          <w:color w:val="auto"/>
          <w:sz w:val="24"/>
          <w:szCs w:val="24"/>
        </w:rPr>
        <w:t>。</w:t>
      </w:r>
    </w:p>
    <w:p>
      <w:pPr>
        <w:numPr>
          <w:ilvl w:val="0"/>
          <w:numId w:val="0"/>
        </w:numPr>
        <w:spacing w:before="156" w:beforeLines="50" w:after="156" w:afterLines="50" w:line="360" w:lineRule="auto"/>
        <w:ind w:firstLine="480" w:firstLineChars="200"/>
        <w:rPr>
          <w:rFonts w:ascii="宋体" w:hAnsi="宋体"/>
          <w:color w:val="auto"/>
          <w:sz w:val="24"/>
          <w:szCs w:val="24"/>
        </w:rPr>
      </w:pPr>
      <w:r>
        <w:rPr>
          <w:rFonts w:hint="eastAsia" w:ascii="宋体" w:hAnsi="宋体"/>
          <w:bCs/>
          <w:color w:val="auto"/>
          <w:sz w:val="24"/>
          <w:szCs w:val="24"/>
          <w:lang w:bidi="zh-CN"/>
        </w:rPr>
        <w:t>（2）</w:t>
      </w:r>
      <w:r>
        <w:rPr>
          <w:rFonts w:hint="eastAsia" w:ascii="宋体" w:hAnsi="宋体" w:eastAsia="宋体" w:cs="宋体"/>
          <w:color w:val="auto"/>
          <w:sz w:val="24"/>
          <w:szCs w:val="24"/>
        </w:rPr>
        <w:t>依据项目公司提供资料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杭政储【2020】41号地块桩基及基坑支付工程合同，合同总价6,359.05万元，根据合同约定每次按确认产值的80%支付，累计已支付2,804.78万元</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本月</w:t>
      </w:r>
      <w:r>
        <w:rPr>
          <w:rFonts w:hint="eastAsia" w:ascii="宋体" w:hAnsi="宋体" w:cs="宋体"/>
          <w:color w:val="auto"/>
          <w:sz w:val="24"/>
          <w:szCs w:val="24"/>
          <w:lang w:val="en-US" w:eastAsia="zh-CN"/>
        </w:rPr>
        <w:t>预计</w:t>
      </w:r>
      <w:r>
        <w:rPr>
          <w:rFonts w:hint="eastAsia" w:ascii="宋体" w:hAnsi="宋体" w:eastAsia="宋体" w:cs="宋体"/>
          <w:color w:val="auto"/>
          <w:sz w:val="24"/>
          <w:szCs w:val="24"/>
          <w:lang w:val="en-US" w:eastAsia="zh-CN"/>
        </w:rPr>
        <w:t>支付1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307.99万元，</w:t>
      </w:r>
      <w:r>
        <w:rPr>
          <w:rFonts w:hint="eastAsia" w:ascii="宋体" w:hAnsi="宋体" w:cs="宋体"/>
          <w:color w:val="auto"/>
          <w:sz w:val="24"/>
          <w:szCs w:val="24"/>
          <w:lang w:val="en-US" w:eastAsia="zh-CN"/>
        </w:rPr>
        <w:t>本次支付完成后，累计付款金额占合同总价的64.68%。</w:t>
      </w:r>
      <w:r>
        <w:rPr>
          <w:rFonts w:hint="eastAsia" w:ascii="宋体" w:hAnsi="宋体" w:eastAsia="宋体" w:cs="宋体"/>
          <w:color w:val="auto"/>
          <w:sz w:val="24"/>
          <w:szCs w:val="24"/>
          <w:lang w:bidi="zh-CN"/>
        </w:rPr>
        <w:t>实际支付时，我司会对付款申请、发票、流程、工程合同、现场签证等依据进行审核、计算，</w:t>
      </w:r>
      <w:r>
        <w:rPr>
          <w:rFonts w:hint="eastAsia" w:ascii="宋体" w:hAnsi="宋体" w:eastAsia="宋体" w:cs="宋体"/>
          <w:color w:val="auto"/>
          <w:sz w:val="24"/>
          <w:szCs w:val="24"/>
        </w:rPr>
        <w:t>严格把控，确保资金支付合理、合规</w:t>
      </w:r>
      <w:r>
        <w:rPr>
          <w:rFonts w:ascii="宋体" w:hAnsi="宋体"/>
          <w:color w:val="auto"/>
          <w:sz w:val="24"/>
          <w:szCs w:val="24"/>
        </w:rPr>
        <w:t>。</w:t>
      </w:r>
    </w:p>
    <w:p>
      <w:pPr>
        <w:keepNext w:val="0"/>
        <w:keepLines w:val="0"/>
        <w:pageBreakBefore w:val="0"/>
        <w:widowControl w:val="0"/>
        <w:kinsoku/>
        <w:wordWrap/>
        <w:overflowPunct/>
        <w:topLinePunct w:val="0"/>
        <w:autoSpaceDE/>
        <w:autoSpaceDN/>
        <w:bidi w:val="0"/>
        <w:adjustRightInd/>
        <w:snapToGrid/>
        <w:spacing w:before="162" w:beforeLines="50" w:after="162" w:afterLines="50" w:line="360" w:lineRule="auto"/>
        <w:ind w:firstLine="480" w:firstLineChars="200"/>
        <w:textAlignment w:val="auto"/>
        <w:rPr>
          <w:rFonts w:hint="eastAsia" w:ascii="宋体" w:hAnsi="宋体"/>
          <w:color w:val="auto"/>
          <w:sz w:val="24"/>
          <w:szCs w:val="24"/>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3</w:t>
      </w:r>
      <w:r>
        <w:rPr>
          <w:rFonts w:hint="eastAsia" w:ascii="宋体" w:hAnsi="宋体"/>
          <w:color w:val="auto"/>
          <w:sz w:val="24"/>
          <w:szCs w:val="24"/>
          <w:lang w:eastAsia="zh-CN"/>
        </w:rPr>
        <w:t>）</w:t>
      </w:r>
      <w:r>
        <w:rPr>
          <w:rFonts w:hint="eastAsia" w:ascii="宋体" w:hAnsi="宋体"/>
          <w:color w:val="auto"/>
          <w:sz w:val="24"/>
          <w:szCs w:val="24"/>
          <w:lang w:val="en-US" w:eastAsia="zh-CN"/>
        </w:rPr>
        <w:t>依据项目公司提供的资金计划，示范区幕墙工程合同，合同总价50.00万元，本月预计支付金额26.16万元占合同总价52.32%，项目公司未提供合同文本。实际支付时，我司会对合同文本、</w:t>
      </w:r>
      <w:r>
        <w:rPr>
          <w:rFonts w:hint="eastAsia" w:ascii="宋体" w:hAnsi="宋体"/>
          <w:color w:val="auto"/>
          <w:sz w:val="24"/>
          <w:szCs w:val="24"/>
          <w:lang w:bidi="zh-CN"/>
        </w:rPr>
        <w:t>付款申请、发票、流程、签证等依据进行审核、计算，</w:t>
      </w:r>
      <w:r>
        <w:rPr>
          <w:rFonts w:ascii="宋体" w:hAnsi="宋体"/>
          <w:color w:val="auto"/>
          <w:sz w:val="24"/>
          <w:szCs w:val="24"/>
        </w:rPr>
        <w:t>严格把控</w:t>
      </w:r>
      <w:r>
        <w:rPr>
          <w:rFonts w:hint="eastAsia" w:ascii="宋体" w:hAnsi="宋体"/>
          <w:color w:val="auto"/>
          <w:sz w:val="24"/>
          <w:szCs w:val="24"/>
          <w:lang w:eastAsia="zh-CN"/>
        </w:rPr>
        <w:t>，</w:t>
      </w:r>
      <w:r>
        <w:rPr>
          <w:rFonts w:ascii="宋体" w:hAnsi="宋体"/>
          <w:color w:val="auto"/>
          <w:sz w:val="24"/>
          <w:szCs w:val="24"/>
        </w:rPr>
        <w:t>确保资金支付合理、合规</w:t>
      </w:r>
      <w:r>
        <w:rPr>
          <w:rFonts w:hint="eastAsia" w:ascii="宋体" w:hAnsi="宋体"/>
          <w:color w:val="auto"/>
          <w:sz w:val="24"/>
          <w:szCs w:val="24"/>
          <w:lang w:eastAsia="zh-CN"/>
        </w:rPr>
        <w:t>。</w:t>
      </w:r>
    </w:p>
    <w:p>
      <w:pPr>
        <w:numPr>
          <w:ilvl w:val="0"/>
          <w:numId w:val="0"/>
        </w:numPr>
        <w:spacing w:before="156" w:beforeLines="50" w:after="156" w:afterLines="50"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w:t>
      </w:r>
      <w:r>
        <w:rPr>
          <w:rFonts w:hint="eastAsia" w:ascii="宋体" w:hAnsi="宋体"/>
          <w:color w:val="auto"/>
          <w:sz w:val="24"/>
          <w:szCs w:val="24"/>
          <w:lang w:eastAsia="zh-CN"/>
        </w:rPr>
        <w:t>）</w:t>
      </w:r>
      <w:r>
        <w:rPr>
          <w:rFonts w:hint="eastAsia" w:ascii="宋体" w:hAnsi="宋体"/>
          <w:color w:val="auto"/>
          <w:sz w:val="24"/>
          <w:szCs w:val="24"/>
          <w:lang w:val="en-US" w:eastAsia="zh-CN"/>
        </w:rPr>
        <w:t>依据项目公司提供的资金计划，水电费预计支出35.00万元；</w:t>
      </w:r>
      <w:r>
        <w:rPr>
          <w:rFonts w:hint="eastAsia" w:ascii="宋体" w:hAnsi="宋体"/>
          <w:sz w:val="24"/>
          <w:szCs w:val="24"/>
          <w:lang w:val="en-US" w:bidi="zh-CN"/>
        </w:rPr>
        <w:t>因年关将至，工程费用支出可能增多，预估不可预见费600.00万元；</w:t>
      </w:r>
      <w:r>
        <w:rPr>
          <w:rFonts w:hint="eastAsia" w:ascii="宋体" w:hAnsi="宋体" w:eastAsia="宋体" w:cs="宋体"/>
          <w:color w:val="auto"/>
          <w:sz w:val="24"/>
          <w:szCs w:val="24"/>
          <w:lang w:bidi="zh-CN"/>
        </w:rPr>
        <w:t>实际支付时，我司会对付款申请、发票、流程、工程合同、现场签证等依据进行审核、计算，</w:t>
      </w:r>
      <w:r>
        <w:rPr>
          <w:rFonts w:hint="eastAsia" w:ascii="宋体" w:hAnsi="宋体" w:eastAsia="宋体" w:cs="宋体"/>
          <w:color w:val="auto"/>
          <w:sz w:val="24"/>
          <w:szCs w:val="24"/>
        </w:rPr>
        <w:t>严格把控，确保资金支付合理、合规</w:t>
      </w:r>
      <w:r>
        <w:rPr>
          <w:rFonts w:ascii="宋体" w:hAnsi="宋体"/>
          <w:color w:val="auto"/>
          <w:sz w:val="24"/>
          <w:szCs w:val="24"/>
        </w:rPr>
        <w:t>。</w:t>
      </w:r>
    </w:p>
    <w:p>
      <w:pPr>
        <w:spacing w:before="156" w:beforeLines="50" w:after="156" w:afterLines="50" w:line="360" w:lineRule="auto"/>
        <w:ind w:firstLine="0" w:firstLineChars="0"/>
        <w:rPr>
          <w:rFonts w:hint="eastAsia" w:ascii="宋体" w:hAnsi="宋体"/>
          <w:b/>
          <w:bCs/>
          <w:sz w:val="24"/>
          <w:szCs w:val="24"/>
          <w:highlight w:val="none"/>
          <w:lang w:bidi="zh-CN"/>
        </w:rPr>
      </w:pPr>
      <w:r>
        <w:rPr>
          <w:rFonts w:hint="eastAsia" w:ascii="宋体" w:hAnsi="宋体"/>
          <w:color w:val="auto"/>
          <w:sz w:val="24"/>
          <w:szCs w:val="24"/>
          <w:lang w:val="en-US" w:eastAsia="zh-CN"/>
        </w:rPr>
        <w:t xml:space="preserve">    </w:t>
      </w:r>
      <w:r>
        <w:rPr>
          <w:rFonts w:hint="eastAsia" w:ascii="宋体" w:hAnsi="宋体"/>
          <w:sz w:val="24"/>
          <w:szCs w:val="24"/>
          <w:highlight w:val="none"/>
          <w:lang w:bidi="zh-CN"/>
        </w:rPr>
        <w:t>经审核，</w:t>
      </w:r>
      <w:r>
        <w:rPr>
          <w:rFonts w:hint="eastAsia" w:ascii="宋体" w:hAnsi="宋体"/>
          <w:sz w:val="24"/>
          <w:szCs w:val="24"/>
          <w:highlight w:val="none"/>
          <w:lang w:val="en-US" w:bidi="zh-CN"/>
        </w:rPr>
        <w:t>2021年1</w:t>
      </w:r>
      <w:r>
        <w:rPr>
          <w:rFonts w:hint="eastAsia" w:ascii="宋体" w:hAnsi="宋体"/>
          <w:sz w:val="24"/>
          <w:szCs w:val="24"/>
          <w:highlight w:val="none"/>
          <w:lang w:bidi="zh-CN"/>
        </w:rPr>
        <w:t>月工程费用中资金支出主要为总包工程款和桩基工程款，因项目公司提供的资金支付中累计产值不准确，不可预见费用为预估金额，在实际使用不可预见费用和支付工程款时，我司会对付款申请、发票、流程、合同、现场签证等依据进行审核，确保资金支付合理、合规。</w:t>
      </w:r>
    </w:p>
    <w:p>
      <w:pPr>
        <w:numPr>
          <w:ilvl w:val="0"/>
          <w:numId w:val="0"/>
        </w:numPr>
        <w:spacing w:before="156" w:beforeLines="50" w:after="156" w:afterLines="50" w:line="360" w:lineRule="auto"/>
        <w:rPr>
          <w:rFonts w:ascii="宋体" w:hAnsi="宋体"/>
          <w:b/>
          <w:color w:val="auto"/>
          <w:sz w:val="24"/>
          <w:szCs w:val="24"/>
          <w:lang w:bidi="zh-CN"/>
        </w:rPr>
      </w:pPr>
      <w:r>
        <w:rPr>
          <w:rFonts w:hint="eastAsia" w:ascii="宋体" w:hAnsi="宋体"/>
          <w:b/>
          <w:color w:val="auto"/>
          <w:sz w:val="24"/>
          <w:szCs w:val="24"/>
          <w:lang w:bidi="zh-CN"/>
        </w:rPr>
        <w:t>（二）前期费用支出计划说明</w:t>
      </w:r>
    </w:p>
    <w:p>
      <w:pPr>
        <w:keepNext w:val="0"/>
        <w:keepLines w:val="0"/>
        <w:pageBreakBefore w:val="0"/>
        <w:widowControl w:val="0"/>
        <w:kinsoku/>
        <w:wordWrap/>
        <w:overflowPunct/>
        <w:topLinePunct w:val="0"/>
        <w:autoSpaceDE/>
        <w:autoSpaceDN/>
        <w:bidi w:val="0"/>
        <w:adjustRightInd/>
        <w:snapToGrid/>
        <w:spacing w:before="162" w:beforeLines="50" w:after="162" w:afterLines="50" w:line="360" w:lineRule="auto"/>
        <w:ind w:firstLine="480" w:firstLineChars="200"/>
        <w:textAlignment w:val="auto"/>
        <w:rPr>
          <w:rFonts w:ascii="宋体" w:hAnsi="宋体"/>
          <w:bCs/>
          <w:color w:val="auto"/>
          <w:sz w:val="24"/>
          <w:szCs w:val="24"/>
          <w:lang w:bidi="zh-CN"/>
        </w:rPr>
      </w:pPr>
      <w:r>
        <w:rPr>
          <w:rFonts w:hint="eastAsia" w:ascii="宋体" w:hAnsi="宋体"/>
          <w:bCs/>
          <w:color w:val="auto"/>
          <w:sz w:val="24"/>
          <w:szCs w:val="24"/>
          <w:lang w:bidi="zh-CN"/>
        </w:rPr>
        <w:t>项目公司在202</w:t>
      </w:r>
      <w:r>
        <w:rPr>
          <w:rFonts w:hint="eastAsia" w:ascii="宋体" w:hAnsi="宋体"/>
          <w:bCs/>
          <w:color w:val="auto"/>
          <w:sz w:val="24"/>
          <w:szCs w:val="24"/>
          <w:lang w:val="en-US" w:bidi="zh-CN"/>
        </w:rPr>
        <w:t>1</w:t>
      </w:r>
      <w:r>
        <w:rPr>
          <w:rFonts w:hint="eastAsia" w:ascii="宋体" w:hAnsi="宋体"/>
          <w:bCs/>
          <w:color w:val="auto"/>
          <w:sz w:val="24"/>
          <w:szCs w:val="24"/>
          <w:lang w:bidi="zh-CN"/>
        </w:rPr>
        <w:t>年1月计划支付前期费用共计</w:t>
      </w:r>
      <w:r>
        <w:rPr>
          <w:rFonts w:hint="eastAsia" w:ascii="宋体" w:hAnsi="宋体"/>
          <w:bCs/>
          <w:color w:val="auto"/>
          <w:sz w:val="24"/>
          <w:szCs w:val="24"/>
          <w:lang w:val="en-US" w:bidi="zh-CN"/>
        </w:rPr>
        <w:t>510.94</w:t>
      </w:r>
      <w:r>
        <w:rPr>
          <w:rFonts w:hint="eastAsia" w:ascii="宋体" w:hAnsi="宋体"/>
          <w:bCs/>
          <w:color w:val="auto"/>
          <w:sz w:val="24"/>
          <w:szCs w:val="24"/>
          <w:lang w:bidi="zh-CN"/>
        </w:rPr>
        <w:t>万元，具体分析如下：</w:t>
      </w:r>
    </w:p>
    <w:p>
      <w:pPr>
        <w:keepNext w:val="0"/>
        <w:keepLines w:val="0"/>
        <w:pageBreakBefore w:val="0"/>
        <w:widowControl w:val="0"/>
        <w:numPr>
          <w:ilvl w:val="0"/>
          <w:numId w:val="0"/>
        </w:numPr>
        <w:kinsoku/>
        <w:wordWrap/>
        <w:overflowPunct/>
        <w:topLinePunct w:val="0"/>
        <w:autoSpaceDE/>
        <w:autoSpaceDN/>
        <w:bidi w:val="0"/>
        <w:adjustRightInd/>
        <w:snapToGrid/>
        <w:spacing w:before="162" w:beforeLines="50" w:after="162" w:afterLines="50" w:line="360" w:lineRule="auto"/>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1</w:t>
      </w:r>
      <w:r>
        <w:rPr>
          <w:rFonts w:hint="eastAsia" w:ascii="宋体" w:hAnsi="宋体"/>
          <w:color w:val="auto"/>
          <w:sz w:val="24"/>
          <w:szCs w:val="24"/>
          <w:lang w:eastAsia="zh-CN"/>
        </w:rPr>
        <w:t>）</w:t>
      </w:r>
      <w:r>
        <w:rPr>
          <w:rFonts w:hint="eastAsia" w:ascii="宋体" w:hAnsi="宋体"/>
          <w:color w:val="auto"/>
          <w:sz w:val="24"/>
          <w:szCs w:val="24"/>
        </w:rPr>
        <w:t>依据项目公司提供资料</w:t>
      </w:r>
      <w:r>
        <w:rPr>
          <w:rFonts w:hint="eastAsia" w:ascii="宋体" w:hAnsi="宋体"/>
          <w:color w:val="auto"/>
          <w:sz w:val="24"/>
          <w:szCs w:val="24"/>
          <w:lang w:val="en-US" w:eastAsia="zh-CN"/>
        </w:rPr>
        <w:t>，杭政储【2020】41号地块监理工程合同，合同总价339.10万元</w:t>
      </w:r>
      <w:r>
        <w:rPr>
          <w:rFonts w:hint="eastAsia" w:ascii="宋体" w:hAnsi="宋体"/>
          <w:color w:val="auto"/>
          <w:sz w:val="24"/>
          <w:szCs w:val="24"/>
        </w:rPr>
        <w:t>，</w:t>
      </w:r>
      <w:r>
        <w:rPr>
          <w:rFonts w:hint="eastAsia" w:ascii="宋体" w:hAnsi="宋体"/>
          <w:color w:val="auto"/>
          <w:sz w:val="24"/>
          <w:szCs w:val="24"/>
          <w:lang w:val="en-US" w:eastAsia="zh-CN"/>
        </w:rPr>
        <w:t>监理工程开始时间：2020年7月24日，总工期为40个月，合同约定开工后每季度付一次款，按已完成合同金额的80%，进度款的金额按实际到场监理人员数量和合同中规定的监理机构人员月工资取费基数计算得出。本月预计支付金额26.16万元占合同总价7.71%，为该合同首次付款。</w:t>
      </w:r>
      <w:r>
        <w:rPr>
          <w:rFonts w:hint="eastAsia" w:ascii="宋体" w:hAnsi="宋体" w:eastAsia="宋体" w:cs="宋体"/>
          <w:color w:val="auto"/>
          <w:sz w:val="24"/>
          <w:szCs w:val="24"/>
          <w:lang w:bidi="zh-CN"/>
        </w:rPr>
        <w:t>实际支付时，我司会对付款申请、发票、流程、工程合同、现场签证等依据进行审核、计算，</w:t>
      </w:r>
      <w:r>
        <w:rPr>
          <w:rFonts w:hint="eastAsia" w:ascii="宋体" w:hAnsi="宋体" w:eastAsia="宋体" w:cs="宋体"/>
          <w:color w:val="auto"/>
          <w:sz w:val="24"/>
          <w:szCs w:val="24"/>
        </w:rPr>
        <w:t>严格把控，确保资金支付合理、合规</w:t>
      </w:r>
      <w:r>
        <w:rPr>
          <w:rFonts w:ascii="宋体" w:hAnsi="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before="162" w:beforeLines="50" w:after="162" w:afterLines="50" w:line="360" w:lineRule="auto"/>
        <w:ind w:firstLine="480" w:firstLineChars="200"/>
        <w:textAlignment w:val="auto"/>
        <w:rPr>
          <w:rFonts w:ascii="宋体" w:hAnsi="宋体"/>
          <w:color w:val="auto"/>
          <w:sz w:val="24"/>
          <w:szCs w:val="24"/>
        </w:rPr>
      </w:pPr>
      <w:r>
        <w:rPr>
          <w:rFonts w:hint="eastAsia" w:ascii="宋体" w:hAnsi="宋体"/>
          <w:color w:val="auto"/>
          <w:sz w:val="24"/>
          <w:szCs w:val="24"/>
        </w:rPr>
        <w:t>（2）依据项目公司提供资料，杭政储2020-41号地块全过程造价咨询工程</w:t>
      </w:r>
      <w:r>
        <w:rPr>
          <w:rFonts w:hint="eastAsia" w:ascii="宋体" w:hAnsi="宋体"/>
          <w:color w:val="auto"/>
          <w:sz w:val="24"/>
          <w:szCs w:val="24"/>
          <w:lang w:val="en-US" w:eastAsia="zh-CN"/>
        </w:rPr>
        <w:t>合同</w:t>
      </w:r>
      <w:r>
        <w:rPr>
          <w:rFonts w:hint="eastAsia" w:ascii="宋体" w:hAnsi="宋体"/>
          <w:color w:val="auto"/>
          <w:sz w:val="24"/>
          <w:szCs w:val="24"/>
          <w:lang w:eastAsia="zh-CN"/>
        </w:rPr>
        <w:t>，</w:t>
      </w:r>
      <w:r>
        <w:rPr>
          <w:rFonts w:hint="eastAsia" w:ascii="宋体" w:hAnsi="宋体"/>
          <w:color w:val="auto"/>
          <w:sz w:val="24"/>
          <w:szCs w:val="24"/>
          <w:lang w:val="en-US" w:eastAsia="zh-CN"/>
        </w:rPr>
        <w:t>合同总价233.58万元，根据合同约定基本费用的85%于项目服务周期内按季度平均发放80%，本月预计支付金额21.28万元占合同总价9.11%，</w:t>
      </w:r>
      <w:r>
        <w:rPr>
          <w:rFonts w:hint="eastAsia" w:ascii="宋体" w:hAnsi="宋体" w:eastAsia="宋体" w:cs="宋体"/>
          <w:color w:val="auto"/>
          <w:sz w:val="24"/>
          <w:szCs w:val="24"/>
          <w:lang w:bidi="zh-CN"/>
        </w:rPr>
        <w:t>实际支付时，我司会对付款申请、发票、流程、工程合同、现场签证等依据进行审核、计算，</w:t>
      </w:r>
      <w:r>
        <w:rPr>
          <w:rFonts w:hint="eastAsia" w:ascii="宋体" w:hAnsi="宋体" w:eastAsia="宋体" w:cs="宋体"/>
          <w:color w:val="auto"/>
          <w:sz w:val="24"/>
          <w:szCs w:val="24"/>
        </w:rPr>
        <w:t>严格把控，确保资金支付合理、合规</w:t>
      </w:r>
      <w:r>
        <w:rPr>
          <w:rFonts w:ascii="宋体" w:hAnsi="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before="162" w:beforeLines="50" w:after="162" w:afterLines="50" w:line="360" w:lineRule="auto"/>
        <w:ind w:firstLine="480" w:firstLineChars="200"/>
        <w:textAlignment w:val="auto"/>
        <w:rPr>
          <w:rFonts w:ascii="宋体" w:hAnsi="宋体"/>
          <w:color w:val="auto"/>
          <w:sz w:val="24"/>
          <w:szCs w:val="24"/>
        </w:rPr>
      </w:pPr>
      <w:r>
        <w:rPr>
          <w:rFonts w:hint="eastAsia" w:ascii="宋体" w:hAnsi="宋体"/>
          <w:color w:val="auto"/>
          <w:sz w:val="24"/>
          <w:szCs w:val="24"/>
        </w:rPr>
        <w:t>（3</w:t>
      </w:r>
      <w:r>
        <w:rPr>
          <w:rFonts w:ascii="宋体" w:hAnsi="宋体"/>
          <w:color w:val="auto"/>
          <w:sz w:val="24"/>
          <w:szCs w:val="24"/>
        </w:rPr>
        <w:t>）</w:t>
      </w:r>
      <w:r>
        <w:rPr>
          <w:rFonts w:hint="eastAsia" w:ascii="宋体" w:hAnsi="宋体"/>
          <w:color w:val="auto"/>
          <w:sz w:val="24"/>
          <w:szCs w:val="24"/>
        </w:rPr>
        <w:t>依据项目公司提供资料，地质勘探技术服务合同</w:t>
      </w:r>
      <w:r>
        <w:rPr>
          <w:rFonts w:hint="eastAsia" w:ascii="宋体" w:hAnsi="宋体"/>
          <w:color w:val="auto"/>
          <w:sz w:val="24"/>
          <w:szCs w:val="24"/>
          <w:lang w:eastAsia="zh-CN"/>
        </w:rPr>
        <w:t>，</w:t>
      </w:r>
      <w:r>
        <w:rPr>
          <w:rFonts w:hint="eastAsia" w:ascii="宋体" w:hAnsi="宋体"/>
          <w:color w:val="auto"/>
          <w:sz w:val="24"/>
          <w:szCs w:val="24"/>
          <w:lang w:val="en-US" w:eastAsia="zh-CN"/>
        </w:rPr>
        <w:t>合同总价43.55万元，</w:t>
      </w:r>
      <w:r>
        <w:rPr>
          <w:rFonts w:hint="eastAsia" w:ascii="宋体" w:hAnsi="宋体" w:eastAsia="宋体" w:cs="宋体"/>
          <w:color w:val="auto"/>
          <w:sz w:val="24"/>
          <w:szCs w:val="24"/>
          <w:lang w:val="en-US" w:eastAsia="zh-CN"/>
        </w:rPr>
        <w:t>根据合同约定提供准确的高程测量技术报告和勘探技术报告审定后，支付至工程结算价款90%，本月预计支付应付金额34.18万元</w:t>
      </w:r>
      <w:r>
        <w:rPr>
          <w:rFonts w:hint="eastAsia" w:ascii="宋体" w:hAnsi="宋体" w:cs="宋体"/>
          <w:color w:val="auto"/>
          <w:sz w:val="24"/>
          <w:szCs w:val="24"/>
          <w:lang w:val="en-US" w:eastAsia="zh-CN"/>
        </w:rPr>
        <w:t>占合同总价78.48%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bidi="zh-CN"/>
        </w:rPr>
        <w:t>实际支付时，我司会对付款申请、发票、流程、工程合同、现场签证等依据进行审核、计算，</w:t>
      </w:r>
      <w:r>
        <w:rPr>
          <w:rFonts w:hint="eastAsia" w:ascii="宋体" w:hAnsi="宋体" w:eastAsia="宋体" w:cs="宋体"/>
          <w:color w:val="auto"/>
          <w:sz w:val="24"/>
          <w:szCs w:val="24"/>
        </w:rPr>
        <w:t>严格把控，确保资金支付合理、合规</w:t>
      </w:r>
      <w:r>
        <w:rPr>
          <w:rFonts w:ascii="宋体" w:hAnsi="宋体"/>
          <w:color w:val="auto"/>
          <w:sz w:val="24"/>
          <w:szCs w:val="24"/>
        </w:rPr>
        <w:t>。</w:t>
      </w:r>
    </w:p>
    <w:p>
      <w:pPr>
        <w:keepNext w:val="0"/>
        <w:keepLines w:val="0"/>
        <w:pageBreakBefore w:val="0"/>
        <w:widowControl w:val="0"/>
        <w:kinsoku/>
        <w:wordWrap/>
        <w:overflowPunct/>
        <w:topLinePunct w:val="0"/>
        <w:autoSpaceDE/>
        <w:autoSpaceDN/>
        <w:bidi w:val="0"/>
        <w:adjustRightInd/>
        <w:snapToGrid/>
        <w:spacing w:before="162" w:beforeLines="50" w:after="162" w:afterLines="50" w:line="360" w:lineRule="auto"/>
        <w:ind w:firstLine="480" w:firstLineChars="200"/>
        <w:textAlignment w:val="auto"/>
        <w:rPr>
          <w:rFonts w:ascii="宋体" w:hAnsi="宋体"/>
          <w:color w:val="auto"/>
          <w:sz w:val="24"/>
          <w:szCs w:val="24"/>
        </w:rPr>
      </w:pPr>
      <w:r>
        <w:rPr>
          <w:rFonts w:hint="eastAsia" w:ascii="宋体" w:hAnsi="宋体"/>
          <w:color w:val="auto"/>
          <w:sz w:val="24"/>
          <w:szCs w:val="24"/>
        </w:rPr>
        <w:t>（4</w:t>
      </w:r>
      <w:r>
        <w:rPr>
          <w:rFonts w:ascii="宋体" w:hAnsi="宋体"/>
          <w:color w:val="auto"/>
          <w:sz w:val="24"/>
          <w:szCs w:val="24"/>
        </w:rPr>
        <w:t>）</w:t>
      </w:r>
      <w:r>
        <w:rPr>
          <w:rFonts w:hint="eastAsia" w:ascii="宋体" w:hAnsi="宋体"/>
          <w:color w:val="auto"/>
          <w:sz w:val="24"/>
          <w:szCs w:val="24"/>
        </w:rPr>
        <w:t>依据项目公司提供资料</w:t>
      </w:r>
      <w:r>
        <w:rPr>
          <w:rFonts w:hint="eastAsia" w:ascii="宋体" w:hAnsi="宋体"/>
          <w:color w:val="auto"/>
          <w:sz w:val="24"/>
          <w:szCs w:val="24"/>
          <w:lang w:val="en-US" w:eastAsia="zh-CN"/>
        </w:rPr>
        <w:t>，测绘合同-杭政储出（2020）41号房屋测绘合同（预测绘及人防测绘），合同总价22.50万元，根据合同约定完成工作量超过50%时，应支付工程总价款的100%，本月预计支付金额19.62万元占合同总价87.2%。</w:t>
      </w:r>
      <w:r>
        <w:rPr>
          <w:rFonts w:hint="eastAsia" w:ascii="宋体" w:hAnsi="宋体" w:eastAsia="宋体" w:cs="宋体"/>
          <w:color w:val="auto"/>
          <w:sz w:val="24"/>
          <w:szCs w:val="24"/>
          <w:lang w:bidi="zh-CN"/>
        </w:rPr>
        <w:t>实际支付时，我司会对付款申请、发票、流程、工程合同、现场签证等依据进行审核、计算，</w:t>
      </w:r>
      <w:r>
        <w:rPr>
          <w:rFonts w:hint="eastAsia" w:ascii="宋体" w:hAnsi="宋体" w:eastAsia="宋体" w:cs="宋体"/>
          <w:color w:val="auto"/>
          <w:sz w:val="24"/>
          <w:szCs w:val="24"/>
        </w:rPr>
        <w:t>严格把控，确保资金支付合理、合规</w:t>
      </w:r>
      <w:r>
        <w:rPr>
          <w:rFonts w:ascii="宋体" w:hAnsi="宋体"/>
          <w:color w:val="auto"/>
          <w:sz w:val="24"/>
          <w:szCs w:val="24"/>
        </w:rPr>
        <w:t>。</w:t>
      </w:r>
    </w:p>
    <w:p>
      <w:pPr>
        <w:numPr>
          <w:ilvl w:val="-1"/>
          <w:numId w:val="0"/>
        </w:numPr>
        <w:spacing w:before="162" w:beforeLines="50" w:after="162" w:afterLines="50"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rPr>
        <w:t>（</w:t>
      </w:r>
      <w:r>
        <w:rPr>
          <w:rFonts w:hint="eastAsia" w:ascii="宋体" w:hAnsi="宋体"/>
          <w:color w:val="auto"/>
          <w:sz w:val="24"/>
          <w:szCs w:val="24"/>
          <w:lang w:val="en-US" w:eastAsia="zh-CN"/>
        </w:rPr>
        <w:t>5</w:t>
      </w:r>
      <w:r>
        <w:rPr>
          <w:rFonts w:ascii="宋体" w:hAnsi="宋体"/>
          <w:color w:val="auto"/>
          <w:sz w:val="24"/>
          <w:szCs w:val="24"/>
        </w:rPr>
        <w:t>）</w:t>
      </w:r>
      <w:r>
        <w:rPr>
          <w:rFonts w:hint="eastAsia" w:ascii="宋体" w:hAnsi="宋体"/>
          <w:color w:val="auto"/>
          <w:sz w:val="24"/>
          <w:szCs w:val="24"/>
          <w:lang w:val="en-US" w:eastAsia="zh-CN"/>
        </w:rPr>
        <w:t>依据项目公司提供的资金计划</w:t>
      </w:r>
      <w:r>
        <w:rPr>
          <w:rFonts w:hint="eastAsia" w:ascii="宋体" w:hAnsi="宋体"/>
          <w:color w:val="auto"/>
          <w:sz w:val="24"/>
          <w:szCs w:val="24"/>
        </w:rPr>
        <w:t>，场地标高测量</w:t>
      </w:r>
      <w:r>
        <w:rPr>
          <w:rFonts w:hint="eastAsia" w:ascii="宋体" w:hAnsi="宋体"/>
          <w:color w:val="auto"/>
          <w:sz w:val="24"/>
          <w:szCs w:val="24"/>
          <w:lang w:val="en-US" w:eastAsia="zh-CN"/>
        </w:rPr>
        <w:t>合同，合同总价23.60万元，本月预计支付金额20.58万元占合同总价87.21%，项目公司未提供合同文本。</w:t>
      </w:r>
      <w:r>
        <w:rPr>
          <w:rFonts w:hint="eastAsia" w:ascii="宋体" w:hAnsi="宋体"/>
          <w:sz w:val="24"/>
          <w:szCs w:val="24"/>
          <w:lang w:val="en-US" w:eastAsia="zh-CN"/>
        </w:rPr>
        <w:t>实际支付时，我司会对合同文本、</w:t>
      </w:r>
      <w:r>
        <w:rPr>
          <w:rFonts w:hint="eastAsia" w:ascii="宋体" w:hAnsi="宋体"/>
          <w:sz w:val="24"/>
          <w:szCs w:val="24"/>
          <w:lang w:bidi="zh-CN"/>
        </w:rPr>
        <w:t>付款申请、发票、流程、签证等依据进行审核、计算，</w:t>
      </w:r>
      <w:r>
        <w:rPr>
          <w:rFonts w:ascii="宋体" w:hAnsi="宋体"/>
          <w:sz w:val="24"/>
          <w:szCs w:val="24"/>
        </w:rPr>
        <w:t>严格把控</w:t>
      </w:r>
      <w:r>
        <w:rPr>
          <w:rFonts w:hint="eastAsia" w:ascii="宋体" w:hAnsi="宋体"/>
          <w:sz w:val="24"/>
          <w:szCs w:val="24"/>
          <w:lang w:eastAsia="zh-CN"/>
        </w:rPr>
        <w:t>，</w:t>
      </w:r>
      <w:r>
        <w:rPr>
          <w:rFonts w:ascii="宋体" w:hAnsi="宋体"/>
          <w:sz w:val="24"/>
          <w:szCs w:val="24"/>
        </w:rPr>
        <w:t>确保资金支付合理、合规</w:t>
      </w:r>
      <w:r>
        <w:rPr>
          <w:rFonts w:hint="eastAsia" w:ascii="宋体" w:hAnsi="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162" w:beforeLines="50" w:after="162" w:afterLines="50" w:line="360" w:lineRule="auto"/>
        <w:ind w:firstLine="480" w:firstLineChars="200"/>
        <w:textAlignment w:val="auto"/>
        <w:rPr>
          <w:rFonts w:ascii="宋体" w:hAnsi="宋体"/>
          <w:sz w:val="24"/>
          <w:szCs w:val="24"/>
        </w:rPr>
      </w:pPr>
      <w:r>
        <w:rPr>
          <w:rFonts w:hint="eastAsia" w:ascii="宋体" w:hAnsi="宋体"/>
          <w:color w:val="auto"/>
          <w:sz w:val="24"/>
          <w:szCs w:val="24"/>
          <w:lang w:val="en-US" w:eastAsia="zh-CN"/>
        </w:rPr>
        <w:t>（6）依据项目公司提供的资金计划，</w:t>
      </w:r>
      <w:r>
        <w:rPr>
          <w:rFonts w:hint="eastAsia" w:ascii="宋体" w:hAnsi="宋体"/>
          <w:color w:val="auto"/>
          <w:sz w:val="24"/>
          <w:szCs w:val="24"/>
        </w:rPr>
        <w:t>宗地测绘</w:t>
      </w:r>
      <w:r>
        <w:rPr>
          <w:rFonts w:hint="eastAsia" w:ascii="宋体" w:hAnsi="宋体"/>
          <w:color w:val="auto"/>
          <w:sz w:val="24"/>
          <w:szCs w:val="24"/>
          <w:lang w:val="en-US" w:eastAsia="zh-CN"/>
        </w:rPr>
        <w:t>合同，合同总价7.02万元，本月预计支付金额6.12万元占合同总价87.21%，项目公司未提供合同文本；</w:t>
      </w:r>
      <w:r>
        <w:rPr>
          <w:rFonts w:hint="eastAsia" w:ascii="宋体" w:hAnsi="宋体"/>
          <w:sz w:val="24"/>
          <w:szCs w:val="24"/>
          <w:lang w:val="en-US" w:eastAsia="zh-CN"/>
        </w:rPr>
        <w:t>实际支付时，我司会对合同文本、</w:t>
      </w:r>
      <w:r>
        <w:rPr>
          <w:rFonts w:hint="eastAsia" w:ascii="宋体" w:hAnsi="宋体"/>
          <w:sz w:val="24"/>
          <w:szCs w:val="24"/>
          <w:lang w:bidi="zh-CN"/>
        </w:rPr>
        <w:t>付款申请、发票、流程、签证等依据进行审核、计算，</w:t>
      </w:r>
      <w:r>
        <w:rPr>
          <w:rFonts w:ascii="宋体" w:hAnsi="宋体"/>
          <w:sz w:val="24"/>
          <w:szCs w:val="24"/>
        </w:rPr>
        <w:t>严格把控</w:t>
      </w:r>
      <w:r>
        <w:rPr>
          <w:rFonts w:hint="eastAsia" w:ascii="宋体" w:hAnsi="宋体"/>
          <w:sz w:val="24"/>
          <w:szCs w:val="24"/>
          <w:lang w:eastAsia="zh-CN"/>
        </w:rPr>
        <w:t>，</w:t>
      </w:r>
      <w:r>
        <w:rPr>
          <w:rFonts w:ascii="宋体" w:hAnsi="宋体"/>
          <w:sz w:val="24"/>
          <w:szCs w:val="24"/>
        </w:rPr>
        <w:t>确保资金支付合理、合规</w:t>
      </w:r>
      <w:r>
        <w:rPr>
          <w:rFonts w:hint="eastAsia" w:ascii="宋体" w:hAnsi="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162" w:beforeLines="50" w:after="162" w:afterLines="50" w:line="360" w:lineRule="auto"/>
        <w:ind w:firstLine="480" w:firstLineChars="200"/>
        <w:textAlignment w:val="auto"/>
        <w:rPr>
          <w:rFonts w:ascii="宋体" w:hAnsi="宋体"/>
          <w:color w:val="auto"/>
          <w:sz w:val="24"/>
          <w:szCs w:val="24"/>
        </w:rPr>
      </w:pPr>
      <w:r>
        <w:rPr>
          <w:rFonts w:hint="eastAsia" w:ascii="宋体" w:hAnsi="宋体"/>
          <w:color w:val="auto"/>
          <w:sz w:val="24"/>
          <w:szCs w:val="24"/>
          <w:lang w:val="en-US" w:eastAsia="zh-CN"/>
        </w:rPr>
        <w:t>（7）</w:t>
      </w:r>
      <w:r>
        <w:rPr>
          <w:rFonts w:hint="eastAsia" w:ascii="宋体" w:hAnsi="宋体"/>
          <w:color w:val="auto"/>
          <w:sz w:val="24"/>
          <w:szCs w:val="24"/>
        </w:rPr>
        <w:t>依据项目公司提供资料</w:t>
      </w:r>
      <w:r>
        <w:rPr>
          <w:rFonts w:hint="eastAsia" w:ascii="宋体" w:hAnsi="宋体"/>
          <w:color w:val="auto"/>
          <w:sz w:val="24"/>
          <w:szCs w:val="24"/>
          <w:lang w:val="en-US" w:eastAsia="zh-CN"/>
        </w:rPr>
        <w:t>，技术咨询合同书（水土保持方案编制、监测、验收），合同总价为28.50万元，根据合同约定提交通过方案成果后支付水土保持方案编制费13万元和监测费3万元；通过竣工验收后支付水土保持验收费6.5万元与剩余水土保持检测费6万元，本月预计支付金额13.95万元占合同总价48.95%；</w:t>
      </w:r>
      <w:r>
        <w:rPr>
          <w:rFonts w:hint="eastAsia" w:ascii="宋体" w:hAnsi="宋体" w:eastAsia="宋体" w:cs="宋体"/>
          <w:color w:val="auto"/>
          <w:sz w:val="24"/>
          <w:szCs w:val="24"/>
          <w:lang w:bidi="zh-CN"/>
        </w:rPr>
        <w:t>实际支付时，我司会对付款申请、发票、流程、工程合同、现场签证等依据进行审核、计算，</w:t>
      </w:r>
      <w:r>
        <w:rPr>
          <w:rFonts w:hint="eastAsia" w:ascii="宋体" w:hAnsi="宋体" w:eastAsia="宋体" w:cs="宋体"/>
          <w:color w:val="auto"/>
          <w:sz w:val="24"/>
          <w:szCs w:val="24"/>
        </w:rPr>
        <w:t>严格把控，确保资金支付合理、合规</w:t>
      </w:r>
      <w:r>
        <w:rPr>
          <w:rFonts w:ascii="宋体" w:hAnsi="宋体"/>
          <w:color w:val="auto"/>
          <w:sz w:val="24"/>
          <w:szCs w:val="24"/>
        </w:rPr>
        <w:t>。</w:t>
      </w:r>
    </w:p>
    <w:p>
      <w:pPr>
        <w:numPr>
          <w:ilvl w:val="-1"/>
          <w:numId w:val="0"/>
        </w:numPr>
        <w:spacing w:before="162" w:beforeLines="50" w:after="162" w:afterLines="50"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（8）依据项目公司提供的资金计划，建设项目规划监督测量技术服务合同，合同总价6.51万元，本月预计支付金额5.68万元占合同总价87.25%，项目公司未提供合同文本，</w:t>
      </w:r>
      <w:r>
        <w:rPr>
          <w:rFonts w:hint="eastAsia" w:ascii="宋体" w:hAnsi="宋体"/>
          <w:sz w:val="24"/>
          <w:szCs w:val="24"/>
          <w:lang w:val="en-US" w:eastAsia="zh-CN"/>
        </w:rPr>
        <w:t>实际支付时，我司会对合同文本、</w:t>
      </w:r>
      <w:r>
        <w:rPr>
          <w:rFonts w:hint="eastAsia" w:ascii="宋体" w:hAnsi="宋体"/>
          <w:sz w:val="24"/>
          <w:szCs w:val="24"/>
          <w:lang w:bidi="zh-CN"/>
        </w:rPr>
        <w:t>付款申请、发票、流程、签证等依据进行审核、计算，</w:t>
      </w:r>
      <w:r>
        <w:rPr>
          <w:rFonts w:ascii="宋体" w:hAnsi="宋体"/>
          <w:sz w:val="24"/>
          <w:szCs w:val="24"/>
        </w:rPr>
        <w:t>严格把控</w:t>
      </w:r>
      <w:r>
        <w:rPr>
          <w:rFonts w:hint="eastAsia" w:ascii="宋体" w:hAnsi="宋体"/>
          <w:sz w:val="24"/>
          <w:szCs w:val="24"/>
          <w:lang w:eastAsia="zh-CN"/>
        </w:rPr>
        <w:t>，</w:t>
      </w:r>
      <w:r>
        <w:rPr>
          <w:rFonts w:ascii="宋体" w:hAnsi="宋体"/>
          <w:sz w:val="24"/>
          <w:szCs w:val="24"/>
        </w:rPr>
        <w:t>确保资金支付合理、合规</w:t>
      </w:r>
      <w:r>
        <w:rPr>
          <w:rFonts w:hint="eastAsia" w:ascii="宋体" w:hAnsi="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162" w:beforeLines="50" w:after="162" w:afterLines="50" w:line="360" w:lineRule="auto"/>
        <w:ind w:firstLine="480" w:firstLineChars="200"/>
        <w:textAlignment w:val="auto"/>
        <w:rPr>
          <w:rFonts w:ascii="宋体" w:hAnsi="宋体"/>
          <w:color w:val="auto"/>
          <w:sz w:val="24"/>
          <w:szCs w:val="24"/>
        </w:rPr>
      </w:pPr>
      <w:r>
        <w:rPr>
          <w:rFonts w:hint="eastAsia" w:ascii="宋体" w:hAnsi="宋体"/>
          <w:color w:val="auto"/>
          <w:sz w:val="24"/>
          <w:szCs w:val="24"/>
          <w:lang w:val="en-US" w:eastAsia="zh-CN"/>
        </w:rPr>
        <w:t>（9）</w:t>
      </w:r>
      <w:r>
        <w:rPr>
          <w:rFonts w:hint="eastAsia" w:ascii="宋体" w:hAnsi="宋体"/>
          <w:color w:val="auto"/>
          <w:sz w:val="24"/>
          <w:szCs w:val="24"/>
        </w:rPr>
        <w:t>依据项目公司提供资料</w:t>
      </w:r>
      <w:r>
        <w:rPr>
          <w:rFonts w:hint="eastAsia" w:ascii="宋体" w:hAnsi="宋体"/>
          <w:color w:val="auto"/>
          <w:sz w:val="24"/>
          <w:szCs w:val="24"/>
          <w:lang w:eastAsia="zh-CN"/>
        </w:rPr>
        <w:t>，</w:t>
      </w:r>
      <w:r>
        <w:rPr>
          <w:rFonts w:hint="eastAsia" w:ascii="宋体" w:hAnsi="宋体"/>
          <w:color w:val="auto"/>
          <w:sz w:val="24"/>
          <w:szCs w:val="24"/>
          <w:lang w:val="en-US" w:eastAsia="zh-CN"/>
        </w:rPr>
        <w:t>建设工程规划三维景观分析技术合同，合同总价5.55万元，根据合同约定提交景观分析报告一次支付合同价款，本月预计支付金额4.84万元占合同总价87.21%，</w:t>
      </w:r>
      <w:r>
        <w:rPr>
          <w:rFonts w:hint="eastAsia" w:ascii="宋体" w:hAnsi="宋体" w:eastAsia="宋体" w:cs="宋体"/>
          <w:color w:val="auto"/>
          <w:sz w:val="24"/>
          <w:szCs w:val="24"/>
          <w:lang w:bidi="zh-CN"/>
        </w:rPr>
        <w:t>实际支付时，我司会对付款申请、发票、流程、工程合同、现场签证等依据进行审核、计算，</w:t>
      </w:r>
      <w:r>
        <w:rPr>
          <w:rFonts w:hint="eastAsia" w:ascii="宋体" w:hAnsi="宋体" w:eastAsia="宋体" w:cs="宋体"/>
          <w:color w:val="auto"/>
          <w:sz w:val="24"/>
          <w:szCs w:val="24"/>
        </w:rPr>
        <w:t>严格把控，确保资金支付合理、合规</w:t>
      </w:r>
      <w:r>
        <w:rPr>
          <w:rFonts w:ascii="宋体" w:hAnsi="宋体"/>
          <w:color w:val="auto"/>
          <w:sz w:val="24"/>
          <w:szCs w:val="24"/>
        </w:rPr>
        <w:t>。</w:t>
      </w:r>
    </w:p>
    <w:p>
      <w:pPr>
        <w:numPr>
          <w:ilvl w:val="-1"/>
          <w:numId w:val="0"/>
        </w:numPr>
        <w:spacing w:before="162" w:beforeLines="50" w:after="162" w:afterLines="50"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10）依据项目公司提供的资金计划，建设工程测量合同，合同总价4.55万元，本月预计支付金额3.97万元占合同总价87.21%，项目公司未提供合同文本；</w:t>
      </w:r>
      <w:r>
        <w:rPr>
          <w:rFonts w:hint="eastAsia" w:ascii="宋体" w:hAnsi="宋体"/>
          <w:sz w:val="24"/>
          <w:szCs w:val="24"/>
          <w:lang w:val="en-US" w:eastAsia="zh-CN"/>
        </w:rPr>
        <w:t>实际支付时，我司会对合同文本、</w:t>
      </w:r>
      <w:r>
        <w:rPr>
          <w:rFonts w:hint="eastAsia" w:ascii="宋体" w:hAnsi="宋体"/>
          <w:sz w:val="24"/>
          <w:szCs w:val="24"/>
          <w:lang w:bidi="zh-CN"/>
        </w:rPr>
        <w:t>付款申请、发票、流程、签证等依据进行审核、计算，</w:t>
      </w:r>
      <w:r>
        <w:rPr>
          <w:rFonts w:ascii="宋体" w:hAnsi="宋体"/>
          <w:sz w:val="24"/>
          <w:szCs w:val="24"/>
        </w:rPr>
        <w:t>严格把控</w:t>
      </w:r>
      <w:r>
        <w:rPr>
          <w:rFonts w:hint="eastAsia" w:ascii="宋体" w:hAnsi="宋体"/>
          <w:sz w:val="24"/>
          <w:szCs w:val="24"/>
          <w:lang w:eastAsia="zh-CN"/>
        </w:rPr>
        <w:t>，</w:t>
      </w:r>
      <w:r>
        <w:rPr>
          <w:rFonts w:ascii="宋体" w:hAnsi="宋体"/>
          <w:sz w:val="24"/>
          <w:szCs w:val="24"/>
        </w:rPr>
        <w:t>确保资金支付合理、合规</w:t>
      </w:r>
      <w:r>
        <w:rPr>
          <w:rFonts w:hint="eastAsia" w:ascii="宋体" w:hAnsi="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162" w:beforeLines="50" w:after="162" w:afterLines="50" w:line="360" w:lineRule="auto"/>
        <w:ind w:firstLine="480" w:firstLineChars="200"/>
        <w:textAlignment w:val="auto"/>
        <w:rPr>
          <w:rFonts w:ascii="宋体" w:hAnsi="宋体"/>
          <w:color w:val="auto"/>
          <w:sz w:val="24"/>
          <w:szCs w:val="24"/>
        </w:rPr>
      </w:pPr>
      <w:r>
        <w:rPr>
          <w:rFonts w:hint="eastAsia" w:ascii="宋体" w:hAnsi="宋体"/>
          <w:color w:val="auto"/>
          <w:sz w:val="24"/>
          <w:szCs w:val="24"/>
          <w:lang w:val="en-US" w:eastAsia="zh-CN"/>
        </w:rPr>
        <w:t>（11）</w:t>
      </w:r>
      <w:r>
        <w:rPr>
          <w:rFonts w:hint="eastAsia" w:ascii="宋体" w:hAnsi="宋体"/>
          <w:color w:val="auto"/>
          <w:sz w:val="24"/>
          <w:szCs w:val="24"/>
        </w:rPr>
        <w:t>依据项目公司提供资料</w:t>
      </w:r>
      <w:r>
        <w:rPr>
          <w:rFonts w:hint="eastAsia" w:ascii="宋体" w:hAnsi="宋体"/>
          <w:color w:val="auto"/>
          <w:sz w:val="24"/>
          <w:szCs w:val="24"/>
          <w:lang w:val="en-US" w:eastAsia="zh-CN"/>
        </w:rPr>
        <w:t>，建筑设计工程合同，合同总价46.80万</w:t>
      </w:r>
      <w:r>
        <w:rPr>
          <w:rFonts w:hint="eastAsia" w:ascii="宋体" w:hAnsi="宋体"/>
          <w:color w:val="auto"/>
          <w:sz w:val="24"/>
          <w:szCs w:val="24"/>
        </w:rPr>
        <w:t>元</w:t>
      </w:r>
      <w:r>
        <w:rPr>
          <w:rFonts w:hint="eastAsia" w:ascii="宋体" w:hAnsi="宋体"/>
          <w:color w:val="auto"/>
          <w:sz w:val="24"/>
          <w:szCs w:val="24"/>
          <w:lang w:val="en-US" w:eastAsia="zh-CN"/>
        </w:rPr>
        <w:t>，根据合同约定，设计人提交初步设计成果文件审核确认并获取外部批复后15天支付合同总价20%，提交完成施工图成果文件经审核确认支付合同总价45%，累计已支付9.36万元占合同总价20%，本月预计支付26.53万元，本月支付完成后，累计支付金额占合同总价76.69%；</w:t>
      </w:r>
      <w:r>
        <w:rPr>
          <w:rFonts w:hint="eastAsia" w:ascii="宋体" w:hAnsi="宋体" w:eastAsia="宋体" w:cs="宋体"/>
          <w:color w:val="auto"/>
          <w:sz w:val="24"/>
          <w:szCs w:val="24"/>
          <w:lang w:bidi="zh-CN"/>
        </w:rPr>
        <w:t>实际支付时，我司会对付款申请、发票、流程、工程合同、现场签证等依据进行审核、计算，</w:t>
      </w:r>
      <w:r>
        <w:rPr>
          <w:rFonts w:hint="eastAsia" w:ascii="宋体" w:hAnsi="宋体" w:eastAsia="宋体" w:cs="宋体"/>
          <w:color w:val="auto"/>
          <w:sz w:val="24"/>
          <w:szCs w:val="24"/>
        </w:rPr>
        <w:t>严格把控，确保资金支付合理、合规</w:t>
      </w:r>
      <w:r>
        <w:rPr>
          <w:rFonts w:ascii="宋体" w:hAnsi="宋体"/>
          <w:color w:val="auto"/>
          <w:sz w:val="24"/>
          <w:szCs w:val="24"/>
        </w:rPr>
        <w:t>。</w:t>
      </w:r>
    </w:p>
    <w:p>
      <w:pPr>
        <w:keepNext w:val="0"/>
        <w:keepLines w:val="0"/>
        <w:pageBreakBefore w:val="0"/>
        <w:widowControl w:val="0"/>
        <w:kinsoku/>
        <w:wordWrap/>
        <w:overflowPunct/>
        <w:topLinePunct w:val="0"/>
        <w:autoSpaceDE/>
        <w:autoSpaceDN/>
        <w:bidi w:val="0"/>
        <w:adjustRightInd/>
        <w:snapToGrid/>
        <w:spacing w:before="162" w:beforeLines="50" w:after="162" w:afterLines="50" w:line="360" w:lineRule="auto"/>
        <w:ind w:firstLine="480" w:firstLineChars="200"/>
        <w:textAlignment w:val="auto"/>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12)</w:t>
      </w:r>
      <w:r>
        <w:rPr>
          <w:rFonts w:hint="eastAsia" w:ascii="宋体" w:hAnsi="宋体"/>
          <w:color w:val="auto"/>
          <w:sz w:val="24"/>
          <w:szCs w:val="24"/>
        </w:rPr>
        <w:t>依据项目公司提供资料</w:t>
      </w:r>
      <w:r>
        <w:rPr>
          <w:rFonts w:hint="eastAsia" w:ascii="宋体" w:hAnsi="宋体"/>
          <w:color w:val="auto"/>
          <w:sz w:val="24"/>
          <w:szCs w:val="24"/>
          <w:lang w:val="en-US" w:eastAsia="zh-CN"/>
        </w:rPr>
        <w:t>，</w:t>
      </w:r>
      <w:r>
        <w:rPr>
          <w:rFonts w:hint="eastAsia" w:ascii="宋体" w:hAnsi="宋体"/>
          <w:color w:val="auto"/>
          <w:sz w:val="24"/>
          <w:szCs w:val="24"/>
        </w:rPr>
        <w:t>幕墙门窗设计合同</w:t>
      </w:r>
      <w:r>
        <w:rPr>
          <w:rFonts w:hint="eastAsia" w:ascii="宋体" w:hAnsi="宋体"/>
          <w:color w:val="auto"/>
          <w:sz w:val="24"/>
          <w:szCs w:val="24"/>
          <w:lang w:eastAsia="zh-CN"/>
        </w:rPr>
        <w:t>，</w:t>
      </w:r>
      <w:r>
        <w:rPr>
          <w:rFonts w:hint="eastAsia" w:ascii="宋体" w:hAnsi="宋体"/>
          <w:color w:val="auto"/>
          <w:sz w:val="24"/>
          <w:szCs w:val="24"/>
          <w:lang w:val="en-US" w:eastAsia="zh-CN"/>
        </w:rPr>
        <w:t>合同总价为120.00万元，根据合同约定设计人提交大区住宅、办公施工图电子版，经审核确认并完成施工图纸会审后7天内累计支付至支付合同总价的60%，已支付48.00万元占合同总价40%，本月预计支付20.93万元，本月支付完成后累计付款金额占合同总价的57.44%；</w:t>
      </w:r>
      <w:r>
        <w:rPr>
          <w:rFonts w:hint="eastAsia" w:ascii="宋体" w:hAnsi="宋体" w:eastAsia="宋体" w:cs="宋体"/>
          <w:color w:val="auto"/>
          <w:sz w:val="24"/>
          <w:szCs w:val="24"/>
          <w:lang w:bidi="zh-CN"/>
        </w:rPr>
        <w:t>实际支付时，我司会对付款申请、发票、流程、工程合同、现场签证等依据进行审核、计算，</w:t>
      </w:r>
      <w:r>
        <w:rPr>
          <w:rFonts w:hint="eastAsia" w:ascii="宋体" w:hAnsi="宋体" w:eastAsia="宋体" w:cs="宋体"/>
          <w:color w:val="auto"/>
          <w:sz w:val="24"/>
          <w:szCs w:val="24"/>
        </w:rPr>
        <w:t>严格把控，确保资金支付合理、合规</w:t>
      </w:r>
      <w:r>
        <w:rPr>
          <w:rFonts w:ascii="宋体" w:hAnsi="宋体"/>
          <w:color w:val="auto"/>
          <w:sz w:val="24"/>
          <w:szCs w:val="24"/>
        </w:rPr>
        <w:t>。</w:t>
      </w:r>
    </w:p>
    <w:p>
      <w:pPr>
        <w:keepNext w:val="0"/>
        <w:keepLines w:val="0"/>
        <w:pageBreakBefore w:val="0"/>
        <w:widowControl w:val="0"/>
        <w:kinsoku/>
        <w:wordWrap/>
        <w:overflowPunct/>
        <w:topLinePunct w:val="0"/>
        <w:autoSpaceDE/>
        <w:autoSpaceDN/>
        <w:bidi w:val="0"/>
        <w:adjustRightInd/>
        <w:snapToGrid/>
        <w:spacing w:before="162" w:beforeLines="50" w:after="162" w:afterLines="50" w:line="360" w:lineRule="auto"/>
        <w:ind w:firstLine="480" w:firstLineChars="200"/>
        <w:textAlignment w:val="auto"/>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13</w:t>
      </w:r>
      <w:r>
        <w:rPr>
          <w:rFonts w:hint="eastAsia" w:ascii="宋体" w:hAnsi="宋体"/>
          <w:color w:val="auto"/>
          <w:sz w:val="24"/>
          <w:szCs w:val="24"/>
          <w:lang w:eastAsia="zh-CN"/>
        </w:rPr>
        <w:t>）</w:t>
      </w:r>
      <w:r>
        <w:rPr>
          <w:rFonts w:hint="eastAsia" w:ascii="宋体" w:hAnsi="宋体"/>
          <w:color w:val="auto"/>
          <w:sz w:val="24"/>
          <w:szCs w:val="24"/>
        </w:rPr>
        <w:t>依据项目公司提供资料</w:t>
      </w:r>
      <w:r>
        <w:rPr>
          <w:rFonts w:hint="eastAsia" w:ascii="宋体" w:hAnsi="宋体"/>
          <w:color w:val="auto"/>
          <w:sz w:val="24"/>
          <w:szCs w:val="24"/>
          <w:lang w:eastAsia="zh-CN"/>
        </w:rPr>
        <w:t>，杭政储出2020-41号地块景观工程设计合同，</w:t>
      </w:r>
      <w:r>
        <w:rPr>
          <w:rFonts w:hint="eastAsia" w:ascii="宋体" w:hAnsi="宋体"/>
          <w:color w:val="auto"/>
          <w:sz w:val="24"/>
          <w:szCs w:val="24"/>
          <w:lang w:val="en-US" w:eastAsia="zh-CN"/>
        </w:rPr>
        <w:t>合同总价145.10万元，根据合同约定完成方案深化阶段支付至合同总价的65%，累计已支付58.04万元占合同总价40.00%，本月预计支付31.63万元，本月支付完成后，累计付款金额占合同总价61.80%，</w:t>
      </w:r>
      <w:r>
        <w:rPr>
          <w:rFonts w:hint="eastAsia" w:ascii="宋体" w:hAnsi="宋体" w:eastAsia="宋体" w:cs="宋体"/>
          <w:color w:val="auto"/>
          <w:sz w:val="24"/>
          <w:szCs w:val="24"/>
          <w:lang w:bidi="zh-CN"/>
        </w:rPr>
        <w:t>实际支付时，我司会对付款申请、发票、流程、工程合同、现场签证等依据进行审核、计算，</w:t>
      </w:r>
      <w:r>
        <w:rPr>
          <w:rFonts w:hint="eastAsia" w:ascii="宋体" w:hAnsi="宋体" w:eastAsia="宋体" w:cs="宋体"/>
          <w:color w:val="auto"/>
          <w:sz w:val="24"/>
          <w:szCs w:val="24"/>
        </w:rPr>
        <w:t>严格把控，确保资金支付合理、合规</w:t>
      </w:r>
      <w:r>
        <w:rPr>
          <w:rFonts w:ascii="宋体" w:hAnsi="宋体"/>
          <w:color w:val="auto"/>
          <w:sz w:val="24"/>
          <w:szCs w:val="24"/>
        </w:rPr>
        <w:t>。</w:t>
      </w:r>
    </w:p>
    <w:p>
      <w:pPr>
        <w:keepNext w:val="0"/>
        <w:keepLines w:val="0"/>
        <w:pageBreakBefore w:val="0"/>
        <w:widowControl/>
        <w:numPr>
          <w:ilvl w:val="0"/>
          <w:numId w:val="0"/>
        </w:numPr>
        <w:kinsoku/>
        <w:wordWrap/>
        <w:overflowPunct/>
        <w:topLinePunct w:val="0"/>
        <w:autoSpaceDE/>
        <w:autoSpaceDN/>
        <w:bidi w:val="0"/>
        <w:adjustRightInd/>
        <w:snapToGrid/>
        <w:spacing w:before="162" w:beforeLines="50" w:after="162" w:afterLines="50" w:line="360" w:lineRule="auto"/>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14）依据项目公司提供的资金计划，</w:t>
      </w:r>
      <w:r>
        <w:rPr>
          <w:rFonts w:hint="eastAsia" w:ascii="宋体" w:hAnsi="宋体"/>
          <w:color w:val="auto"/>
          <w:sz w:val="24"/>
          <w:szCs w:val="24"/>
        </w:rPr>
        <w:t>杭州庆隆地块地下室会所项目设计合同</w:t>
      </w:r>
      <w:r>
        <w:rPr>
          <w:rFonts w:hint="eastAsia" w:ascii="宋体" w:hAnsi="宋体"/>
          <w:color w:val="auto"/>
          <w:sz w:val="24"/>
          <w:szCs w:val="24"/>
          <w:lang w:eastAsia="zh-CN"/>
        </w:rPr>
        <w:t>，</w:t>
      </w:r>
      <w:r>
        <w:rPr>
          <w:rFonts w:hint="eastAsia" w:ascii="宋体" w:hAnsi="宋体"/>
          <w:color w:val="auto"/>
          <w:sz w:val="24"/>
          <w:szCs w:val="24"/>
          <w:lang w:val="en-US" w:eastAsia="zh-CN"/>
        </w:rPr>
        <w:t>合同总价192.22万元，本月预计支付金额100.57万元占合同总价52.32%，项目公司未提供合同文本。</w:t>
      </w:r>
      <w:r>
        <w:rPr>
          <w:rFonts w:hint="eastAsia" w:ascii="宋体" w:hAnsi="宋体"/>
          <w:sz w:val="24"/>
          <w:szCs w:val="24"/>
          <w:lang w:val="en-US" w:eastAsia="zh-CN"/>
        </w:rPr>
        <w:t>实际支付时，我司会对合同文本、</w:t>
      </w:r>
      <w:r>
        <w:rPr>
          <w:rFonts w:hint="eastAsia" w:ascii="宋体" w:hAnsi="宋体"/>
          <w:sz w:val="24"/>
          <w:szCs w:val="24"/>
          <w:lang w:bidi="zh-CN"/>
        </w:rPr>
        <w:t>付款申请、发票、流程、签证等依据进行审核、计算，</w:t>
      </w:r>
      <w:r>
        <w:rPr>
          <w:rFonts w:ascii="宋体" w:hAnsi="宋体"/>
          <w:sz w:val="24"/>
          <w:szCs w:val="24"/>
        </w:rPr>
        <w:t>严格把控</w:t>
      </w:r>
      <w:r>
        <w:rPr>
          <w:rFonts w:hint="eastAsia" w:ascii="宋体" w:hAnsi="宋体"/>
          <w:sz w:val="24"/>
          <w:szCs w:val="24"/>
          <w:lang w:eastAsia="zh-CN"/>
        </w:rPr>
        <w:t>，</w:t>
      </w:r>
      <w:r>
        <w:rPr>
          <w:rFonts w:ascii="宋体" w:hAnsi="宋体"/>
          <w:sz w:val="24"/>
          <w:szCs w:val="24"/>
        </w:rPr>
        <w:t>确保资金支付合理、合规</w:t>
      </w:r>
      <w:r>
        <w:rPr>
          <w:rFonts w:hint="eastAsia" w:ascii="宋体" w:hAnsi="宋体"/>
          <w:sz w:val="24"/>
          <w:szCs w:val="24"/>
          <w:lang w:eastAsia="zh-CN"/>
        </w:rPr>
        <w:t>。</w:t>
      </w:r>
    </w:p>
    <w:p>
      <w:pPr>
        <w:keepNext w:val="0"/>
        <w:keepLines w:val="0"/>
        <w:pageBreakBefore w:val="0"/>
        <w:widowControl/>
        <w:numPr>
          <w:ilvl w:val="-1"/>
          <w:numId w:val="0"/>
        </w:numPr>
        <w:kinsoku/>
        <w:wordWrap/>
        <w:overflowPunct/>
        <w:topLinePunct w:val="0"/>
        <w:autoSpaceDE/>
        <w:autoSpaceDN/>
        <w:bidi w:val="0"/>
        <w:adjustRightInd/>
        <w:snapToGrid/>
        <w:spacing w:before="162" w:beforeLines="50" w:after="162" w:afterLines="50" w:line="360" w:lineRule="auto"/>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（15）依据项目公司提供的资金计划，</w:t>
      </w:r>
      <w:r>
        <w:rPr>
          <w:rFonts w:hint="eastAsia" w:ascii="宋体" w:hAnsi="宋体"/>
          <w:color w:val="auto"/>
          <w:sz w:val="24"/>
          <w:szCs w:val="24"/>
        </w:rPr>
        <w:t>庆隆地块大区户型及公区装饰装修工程设计合同</w:t>
      </w:r>
      <w:r>
        <w:rPr>
          <w:rFonts w:hint="eastAsia" w:ascii="宋体" w:hAnsi="宋体"/>
          <w:color w:val="auto"/>
          <w:sz w:val="24"/>
          <w:szCs w:val="24"/>
          <w:lang w:eastAsia="zh-CN"/>
        </w:rPr>
        <w:t>，</w:t>
      </w:r>
      <w:r>
        <w:rPr>
          <w:rFonts w:hint="eastAsia" w:ascii="宋体" w:hAnsi="宋体"/>
          <w:color w:val="auto"/>
          <w:sz w:val="24"/>
          <w:szCs w:val="24"/>
          <w:lang w:val="en-US" w:eastAsia="zh-CN"/>
        </w:rPr>
        <w:t>合同总价61.40万元，本月预计支付金额32.12万元占合同总价52.31%，项目公司未提供合同文本。</w:t>
      </w:r>
      <w:r>
        <w:rPr>
          <w:rFonts w:hint="eastAsia" w:ascii="宋体" w:hAnsi="宋体"/>
          <w:sz w:val="24"/>
          <w:szCs w:val="24"/>
          <w:lang w:val="en-US" w:eastAsia="zh-CN"/>
        </w:rPr>
        <w:t>实际支付时，我司会对合同文本、</w:t>
      </w:r>
      <w:r>
        <w:rPr>
          <w:rFonts w:hint="eastAsia" w:ascii="宋体" w:hAnsi="宋体"/>
          <w:sz w:val="24"/>
          <w:szCs w:val="24"/>
          <w:lang w:bidi="zh-CN"/>
        </w:rPr>
        <w:t>付款申请、发票、流程、签证等依据进行审核、计算，</w:t>
      </w:r>
      <w:r>
        <w:rPr>
          <w:rFonts w:ascii="宋体" w:hAnsi="宋体"/>
          <w:sz w:val="24"/>
          <w:szCs w:val="24"/>
        </w:rPr>
        <w:t>严格把控</w:t>
      </w:r>
      <w:r>
        <w:rPr>
          <w:rFonts w:hint="eastAsia" w:ascii="宋体" w:hAnsi="宋体"/>
          <w:sz w:val="24"/>
          <w:szCs w:val="24"/>
          <w:lang w:eastAsia="zh-CN"/>
        </w:rPr>
        <w:t>，</w:t>
      </w:r>
      <w:r>
        <w:rPr>
          <w:rFonts w:ascii="宋体" w:hAnsi="宋体"/>
          <w:sz w:val="24"/>
          <w:szCs w:val="24"/>
        </w:rPr>
        <w:t>确保资金支付合理、合规</w:t>
      </w:r>
      <w:r>
        <w:rPr>
          <w:rFonts w:hint="eastAsia" w:ascii="宋体" w:hAnsi="宋体"/>
          <w:sz w:val="24"/>
          <w:szCs w:val="24"/>
          <w:lang w:eastAsia="zh-CN"/>
        </w:rPr>
        <w:t>。</w:t>
      </w:r>
    </w:p>
    <w:p>
      <w:pPr>
        <w:keepNext w:val="0"/>
        <w:keepLines w:val="0"/>
        <w:pageBreakBefore w:val="0"/>
        <w:widowControl/>
        <w:numPr>
          <w:ilvl w:val="-1"/>
          <w:numId w:val="0"/>
        </w:numPr>
        <w:kinsoku/>
        <w:wordWrap/>
        <w:overflowPunct/>
        <w:topLinePunct w:val="0"/>
        <w:autoSpaceDE/>
        <w:autoSpaceDN/>
        <w:bidi w:val="0"/>
        <w:adjustRightInd/>
        <w:snapToGrid/>
        <w:spacing w:before="162" w:beforeLines="50" w:after="162" w:afterLines="50" w:line="360" w:lineRule="auto"/>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16）依据项目公司提供的资金计划，杭政储出（2020）41号地块商品住宅（设配套公建）及商业商务用房项目基坑围护设计服务合同，合同总价45.00万元，本月预计支付金额35.32万元占合同总价78.49%，项目公司未提供合同文本。</w:t>
      </w:r>
      <w:r>
        <w:rPr>
          <w:rFonts w:hint="eastAsia" w:ascii="宋体" w:hAnsi="宋体"/>
          <w:sz w:val="24"/>
          <w:szCs w:val="24"/>
          <w:lang w:val="en-US" w:eastAsia="zh-CN"/>
        </w:rPr>
        <w:t>实际支付时，我司会对合同文本、</w:t>
      </w:r>
      <w:r>
        <w:rPr>
          <w:rFonts w:hint="eastAsia" w:ascii="宋体" w:hAnsi="宋体"/>
          <w:sz w:val="24"/>
          <w:szCs w:val="24"/>
          <w:lang w:bidi="zh-CN"/>
        </w:rPr>
        <w:t>付款申请、发票、流程、签证等依据进行审核、计算，</w:t>
      </w:r>
      <w:r>
        <w:rPr>
          <w:rFonts w:ascii="宋体" w:hAnsi="宋体"/>
          <w:sz w:val="24"/>
          <w:szCs w:val="24"/>
        </w:rPr>
        <w:t>严格把控</w:t>
      </w:r>
      <w:r>
        <w:rPr>
          <w:rFonts w:hint="eastAsia" w:ascii="宋体" w:hAnsi="宋体"/>
          <w:sz w:val="24"/>
          <w:szCs w:val="24"/>
          <w:lang w:eastAsia="zh-CN"/>
        </w:rPr>
        <w:t>，</w:t>
      </w:r>
      <w:r>
        <w:rPr>
          <w:rFonts w:ascii="宋体" w:hAnsi="宋体"/>
          <w:sz w:val="24"/>
          <w:szCs w:val="24"/>
        </w:rPr>
        <w:t>确保资金支付合理、合规</w:t>
      </w:r>
      <w:r>
        <w:rPr>
          <w:rFonts w:hint="eastAsia" w:ascii="宋体" w:hAnsi="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162" w:beforeLines="50" w:after="162" w:afterLines="50" w:line="360" w:lineRule="auto"/>
        <w:ind w:firstLine="480" w:firstLineChars="200"/>
        <w:textAlignment w:val="auto"/>
        <w:rPr>
          <w:rFonts w:ascii="宋体" w:hAnsi="宋体"/>
          <w:color w:val="auto"/>
          <w:sz w:val="24"/>
          <w:szCs w:val="24"/>
        </w:rPr>
      </w:pPr>
      <w:r>
        <w:rPr>
          <w:rFonts w:hint="eastAsia" w:ascii="宋体" w:hAnsi="宋体"/>
          <w:color w:val="auto"/>
          <w:sz w:val="24"/>
          <w:szCs w:val="24"/>
          <w:lang w:val="en-US" w:eastAsia="zh-CN"/>
        </w:rPr>
        <w:t>（17）</w:t>
      </w:r>
      <w:r>
        <w:rPr>
          <w:rFonts w:hint="eastAsia" w:ascii="宋体" w:hAnsi="宋体"/>
          <w:color w:val="auto"/>
          <w:sz w:val="24"/>
          <w:szCs w:val="24"/>
        </w:rPr>
        <w:t>依据项目公司提供资料</w:t>
      </w:r>
      <w:r>
        <w:rPr>
          <w:rFonts w:hint="eastAsia" w:ascii="宋体" w:hAnsi="宋体"/>
          <w:color w:val="auto"/>
          <w:sz w:val="24"/>
          <w:szCs w:val="24"/>
          <w:lang w:eastAsia="zh-CN"/>
        </w:rPr>
        <w:t>，设计服务合同，</w:t>
      </w:r>
      <w:r>
        <w:rPr>
          <w:rFonts w:hint="eastAsia" w:ascii="宋体" w:hAnsi="宋体"/>
          <w:color w:val="auto"/>
          <w:sz w:val="24"/>
          <w:szCs w:val="24"/>
          <w:lang w:val="en-US" w:eastAsia="zh-CN"/>
        </w:rPr>
        <w:t>合同总价97.70万元，根据合同约定PC设计启动后支付合同总价20%，PC初步设计方案评审通过后支付合同总价的20%，约定装配式施工图报建通过后支付合同总价的40%，本月预计支付68.16万元占合同总价69.76%，</w:t>
      </w:r>
      <w:r>
        <w:rPr>
          <w:rFonts w:hint="eastAsia" w:ascii="宋体" w:hAnsi="宋体" w:eastAsia="宋体" w:cs="宋体"/>
          <w:color w:val="auto"/>
          <w:sz w:val="24"/>
          <w:szCs w:val="24"/>
          <w:lang w:bidi="zh-CN"/>
        </w:rPr>
        <w:t>实际支付时，我司会对付款申请、发票、流程、工程合同、现场签证等依据进行审核、计算，</w:t>
      </w:r>
      <w:r>
        <w:rPr>
          <w:rFonts w:hint="eastAsia" w:ascii="宋体" w:hAnsi="宋体" w:eastAsia="宋体" w:cs="宋体"/>
          <w:color w:val="auto"/>
          <w:sz w:val="24"/>
          <w:szCs w:val="24"/>
        </w:rPr>
        <w:t>严格把控，确保资金支付合理、合规</w:t>
      </w:r>
      <w:r>
        <w:rPr>
          <w:rFonts w:ascii="宋体" w:hAnsi="宋体"/>
          <w:color w:val="auto"/>
          <w:sz w:val="24"/>
          <w:szCs w:val="24"/>
        </w:rPr>
        <w:t>。</w:t>
      </w:r>
    </w:p>
    <w:p>
      <w:pPr>
        <w:keepNext w:val="0"/>
        <w:keepLines w:val="0"/>
        <w:pageBreakBefore w:val="0"/>
        <w:widowControl w:val="0"/>
        <w:kinsoku/>
        <w:wordWrap/>
        <w:overflowPunct/>
        <w:topLinePunct w:val="0"/>
        <w:autoSpaceDE/>
        <w:autoSpaceDN/>
        <w:bidi w:val="0"/>
        <w:adjustRightInd/>
        <w:snapToGrid/>
        <w:spacing w:before="162" w:beforeLines="50" w:after="162" w:afterLines="50" w:line="360" w:lineRule="auto"/>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（18）依据项目公司提供的资金计划，电力电缆保护合同，合同总价20.00万元，本月预计支付金额17.44万元占合同总价87.20%，项目公司未提供合同文本。</w:t>
      </w:r>
      <w:r>
        <w:rPr>
          <w:rFonts w:hint="eastAsia" w:ascii="宋体" w:hAnsi="宋体"/>
          <w:sz w:val="24"/>
          <w:szCs w:val="24"/>
          <w:lang w:val="en-US" w:eastAsia="zh-CN"/>
        </w:rPr>
        <w:t>实际支付时，我司会对合同文本、</w:t>
      </w:r>
      <w:r>
        <w:rPr>
          <w:rFonts w:hint="eastAsia" w:ascii="宋体" w:hAnsi="宋体"/>
          <w:sz w:val="24"/>
          <w:szCs w:val="24"/>
          <w:lang w:bidi="zh-CN"/>
        </w:rPr>
        <w:t>付款申请、发票、流程、签证等依据进行审核、计算，</w:t>
      </w:r>
      <w:r>
        <w:rPr>
          <w:rFonts w:ascii="宋体" w:hAnsi="宋体"/>
          <w:sz w:val="24"/>
          <w:szCs w:val="24"/>
        </w:rPr>
        <w:t>严格把控</w:t>
      </w:r>
      <w:r>
        <w:rPr>
          <w:rFonts w:hint="eastAsia" w:ascii="宋体" w:hAnsi="宋体"/>
          <w:sz w:val="24"/>
          <w:szCs w:val="24"/>
          <w:lang w:eastAsia="zh-CN"/>
        </w:rPr>
        <w:t>，</w:t>
      </w:r>
      <w:r>
        <w:rPr>
          <w:rFonts w:ascii="宋体" w:hAnsi="宋体"/>
          <w:sz w:val="24"/>
          <w:szCs w:val="24"/>
        </w:rPr>
        <w:t>确保资金支付合理、合规</w:t>
      </w:r>
    </w:p>
    <w:p>
      <w:pPr>
        <w:keepNext w:val="0"/>
        <w:keepLines w:val="0"/>
        <w:pageBreakBefore w:val="0"/>
        <w:widowControl w:val="0"/>
        <w:kinsoku/>
        <w:wordWrap/>
        <w:overflowPunct/>
        <w:topLinePunct w:val="0"/>
        <w:autoSpaceDE/>
        <w:autoSpaceDN/>
        <w:bidi w:val="0"/>
        <w:adjustRightInd/>
        <w:snapToGrid/>
        <w:spacing w:before="162" w:beforeLines="50" w:after="162" w:afterLines="50" w:line="360" w:lineRule="auto"/>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（19）依据项目公司提供的资金计划，滨融府项目交评合同，合同总价12.00万元，本月预计支付金额10.46万元占合同总价87.17%，项目公司未提供合同文本。</w:t>
      </w:r>
      <w:r>
        <w:rPr>
          <w:rFonts w:hint="eastAsia" w:ascii="宋体" w:hAnsi="宋体"/>
          <w:sz w:val="24"/>
          <w:szCs w:val="24"/>
          <w:lang w:val="en-US" w:eastAsia="zh-CN"/>
        </w:rPr>
        <w:t>实际支付时，我司会对合同文本、</w:t>
      </w:r>
      <w:r>
        <w:rPr>
          <w:rFonts w:hint="eastAsia" w:ascii="宋体" w:hAnsi="宋体"/>
          <w:sz w:val="24"/>
          <w:szCs w:val="24"/>
          <w:lang w:bidi="zh-CN"/>
        </w:rPr>
        <w:t>付款申请、发票、流程、签证等依据进行审核、计算，</w:t>
      </w:r>
      <w:r>
        <w:rPr>
          <w:rFonts w:ascii="宋体" w:hAnsi="宋体"/>
          <w:sz w:val="24"/>
          <w:szCs w:val="24"/>
        </w:rPr>
        <w:t>严格把控</w:t>
      </w:r>
      <w:r>
        <w:rPr>
          <w:rFonts w:hint="eastAsia" w:ascii="宋体" w:hAnsi="宋体"/>
          <w:sz w:val="24"/>
          <w:szCs w:val="24"/>
          <w:lang w:eastAsia="zh-CN"/>
        </w:rPr>
        <w:t>，</w:t>
      </w:r>
      <w:r>
        <w:rPr>
          <w:rFonts w:ascii="宋体" w:hAnsi="宋体"/>
          <w:sz w:val="24"/>
          <w:szCs w:val="24"/>
        </w:rPr>
        <w:t>确保资金支付合理、合规</w:t>
      </w:r>
    </w:p>
    <w:p>
      <w:pPr>
        <w:keepNext w:val="0"/>
        <w:keepLines w:val="0"/>
        <w:pageBreakBefore w:val="0"/>
        <w:widowControl w:val="0"/>
        <w:kinsoku/>
        <w:wordWrap/>
        <w:overflowPunct/>
        <w:topLinePunct w:val="0"/>
        <w:autoSpaceDE/>
        <w:autoSpaceDN/>
        <w:bidi w:val="0"/>
        <w:adjustRightInd/>
        <w:snapToGrid/>
        <w:spacing w:before="162" w:beforeLines="50" w:after="162" w:afterLines="50" w:line="360" w:lineRule="auto"/>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（20）依据项目公司提供的资金计划，杭州庆隆项目1#楼钢结构设计合同，合同总价14.52万元，本月预计支付金额11.40万元占合同总价78.50%，项目公司未提供合同文本。</w:t>
      </w:r>
      <w:r>
        <w:rPr>
          <w:rFonts w:hint="eastAsia" w:ascii="宋体" w:hAnsi="宋体"/>
          <w:sz w:val="24"/>
          <w:szCs w:val="24"/>
          <w:lang w:val="en-US" w:eastAsia="zh-CN"/>
        </w:rPr>
        <w:t>实际支付时，我司会对合同文本、</w:t>
      </w:r>
      <w:r>
        <w:rPr>
          <w:rFonts w:hint="eastAsia" w:ascii="宋体" w:hAnsi="宋体"/>
          <w:sz w:val="24"/>
          <w:szCs w:val="24"/>
          <w:lang w:bidi="zh-CN"/>
        </w:rPr>
        <w:t>付款申请、发票、流程、签证等依据进行审核、计算，</w:t>
      </w:r>
      <w:r>
        <w:rPr>
          <w:rFonts w:ascii="宋体" w:hAnsi="宋体"/>
          <w:sz w:val="24"/>
          <w:szCs w:val="24"/>
        </w:rPr>
        <w:t>严格把控</w:t>
      </w:r>
      <w:r>
        <w:rPr>
          <w:rFonts w:hint="eastAsia" w:ascii="宋体" w:hAnsi="宋体"/>
          <w:sz w:val="24"/>
          <w:szCs w:val="24"/>
          <w:lang w:eastAsia="zh-CN"/>
        </w:rPr>
        <w:t>，</w:t>
      </w:r>
      <w:r>
        <w:rPr>
          <w:rFonts w:ascii="宋体" w:hAnsi="宋体"/>
          <w:sz w:val="24"/>
          <w:szCs w:val="24"/>
        </w:rPr>
        <w:t>确保资金支付合理、合规</w:t>
      </w:r>
    </w:p>
    <w:p>
      <w:pPr>
        <w:keepNext w:val="0"/>
        <w:keepLines w:val="0"/>
        <w:pageBreakBefore w:val="0"/>
        <w:widowControl w:val="0"/>
        <w:kinsoku/>
        <w:wordWrap/>
        <w:overflowPunct/>
        <w:topLinePunct w:val="0"/>
        <w:autoSpaceDE/>
        <w:autoSpaceDN/>
        <w:bidi w:val="0"/>
        <w:adjustRightInd/>
        <w:snapToGrid/>
        <w:spacing w:before="162" w:beforeLines="50" w:after="162" w:afterLines="50" w:line="360" w:lineRule="auto"/>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 xml:space="preserve">   上述资金计划为预计支付金额，依据项目公司提供的资金计划，结合项目公司的现场施工进度，资金支付计划编制基本合理，</w:t>
      </w:r>
      <w:r>
        <w:rPr>
          <w:rFonts w:hint="eastAsia" w:ascii="宋体" w:hAnsi="宋体"/>
          <w:sz w:val="24"/>
          <w:szCs w:val="24"/>
          <w:lang w:val="en-US" w:eastAsia="zh-CN"/>
        </w:rPr>
        <w:t>实际支付时，我司会对合同文本、</w:t>
      </w:r>
      <w:r>
        <w:rPr>
          <w:rFonts w:hint="eastAsia" w:ascii="宋体" w:hAnsi="宋体"/>
          <w:sz w:val="24"/>
          <w:szCs w:val="24"/>
          <w:lang w:bidi="zh-CN"/>
        </w:rPr>
        <w:t>付款申请、工程结算单、发票、流程、签证等依据进行审核、计算，</w:t>
      </w:r>
      <w:r>
        <w:rPr>
          <w:rFonts w:ascii="宋体" w:hAnsi="宋体"/>
          <w:sz w:val="24"/>
          <w:szCs w:val="24"/>
        </w:rPr>
        <w:t>严格把控</w:t>
      </w:r>
      <w:r>
        <w:rPr>
          <w:rFonts w:hint="eastAsia" w:ascii="宋体" w:hAnsi="宋体"/>
          <w:sz w:val="24"/>
          <w:szCs w:val="24"/>
          <w:lang w:eastAsia="zh-CN"/>
        </w:rPr>
        <w:t>，</w:t>
      </w:r>
      <w:r>
        <w:rPr>
          <w:rFonts w:ascii="宋体" w:hAnsi="宋体"/>
          <w:sz w:val="24"/>
          <w:szCs w:val="24"/>
        </w:rPr>
        <w:t>确保资金支付合理、合规</w:t>
      </w:r>
    </w:p>
    <w:p>
      <w:pPr>
        <w:spacing w:before="160" w:beforeLines="50" w:after="160" w:afterLines="50" w:line="360" w:lineRule="auto"/>
        <w:rPr>
          <w:rFonts w:hint="eastAsia" w:ascii="宋体" w:hAnsi="宋体"/>
          <w:b/>
          <w:bCs/>
          <w:color w:val="auto"/>
          <w:sz w:val="24"/>
          <w:szCs w:val="24"/>
          <w:lang w:bidi="zh-CN"/>
        </w:rPr>
      </w:pPr>
      <w:r>
        <w:rPr>
          <w:rFonts w:hint="eastAsia" w:ascii="宋体" w:hAnsi="宋体"/>
          <w:b/>
          <w:bCs/>
          <w:color w:val="auto"/>
          <w:sz w:val="24"/>
          <w:szCs w:val="24"/>
          <w:lang w:bidi="zh-CN"/>
        </w:rPr>
        <w:t>（</w:t>
      </w:r>
      <w:r>
        <w:rPr>
          <w:rFonts w:hint="eastAsia" w:ascii="宋体" w:hAnsi="宋体"/>
          <w:b/>
          <w:bCs/>
          <w:color w:val="auto"/>
          <w:sz w:val="24"/>
          <w:szCs w:val="24"/>
          <w:lang w:val="en-US" w:bidi="zh-CN"/>
        </w:rPr>
        <w:t>三</w:t>
      </w:r>
      <w:r>
        <w:rPr>
          <w:rFonts w:hint="eastAsia" w:ascii="宋体" w:hAnsi="宋体"/>
          <w:b/>
          <w:bCs/>
          <w:color w:val="auto"/>
          <w:sz w:val="24"/>
          <w:szCs w:val="24"/>
          <w:lang w:bidi="zh-CN"/>
        </w:rPr>
        <w:t>）管理费用资金支出计划说明</w:t>
      </w:r>
    </w:p>
    <w:p>
      <w:pPr>
        <w:numPr>
          <w:ilvl w:val="255"/>
          <w:numId w:val="0"/>
        </w:numPr>
        <w:spacing w:before="160" w:beforeLines="50" w:after="160" w:afterLines="50" w:line="360" w:lineRule="auto"/>
        <w:ind w:firstLine="480" w:firstLineChars="200"/>
        <w:rPr>
          <w:rFonts w:ascii="宋体" w:hAnsi="宋体"/>
          <w:color w:val="auto"/>
          <w:sz w:val="24"/>
          <w:szCs w:val="24"/>
        </w:rPr>
      </w:pPr>
      <w:r>
        <w:rPr>
          <w:rFonts w:hint="eastAsia" w:ascii="宋体" w:hAnsi="宋体"/>
          <w:color w:val="auto"/>
          <w:sz w:val="24"/>
          <w:szCs w:val="24"/>
        </w:rPr>
        <w:t>项目公司在202</w:t>
      </w:r>
      <w:r>
        <w:rPr>
          <w:rFonts w:hint="eastAsia" w:ascii="宋体" w:hAnsi="宋体"/>
          <w:color w:val="auto"/>
          <w:sz w:val="24"/>
          <w:szCs w:val="24"/>
          <w:lang w:val="en-US" w:eastAsia="zh-CN"/>
        </w:rPr>
        <w:t>1</w:t>
      </w:r>
      <w:r>
        <w:rPr>
          <w:rFonts w:hint="eastAsia" w:ascii="宋体" w:hAnsi="宋体"/>
          <w:color w:val="auto"/>
          <w:sz w:val="24"/>
          <w:szCs w:val="24"/>
        </w:rPr>
        <w:t>年1月的管理费用</w:t>
      </w:r>
      <w:r>
        <w:rPr>
          <w:rFonts w:hint="eastAsia" w:ascii="宋体" w:hAnsi="宋体"/>
          <w:color w:val="auto"/>
          <w:sz w:val="24"/>
          <w:szCs w:val="24"/>
          <w:lang w:val="en-US" w:eastAsia="zh-CN"/>
        </w:rPr>
        <w:t>预计</w:t>
      </w:r>
      <w:r>
        <w:rPr>
          <w:rFonts w:hint="eastAsia" w:ascii="宋体" w:hAnsi="宋体"/>
          <w:color w:val="auto"/>
          <w:sz w:val="24"/>
          <w:szCs w:val="24"/>
        </w:rPr>
        <w:t>支出</w:t>
      </w:r>
      <w:r>
        <w:rPr>
          <w:rFonts w:hint="eastAsia" w:ascii="宋体" w:hAnsi="宋体"/>
          <w:color w:val="auto"/>
          <w:sz w:val="24"/>
          <w:szCs w:val="24"/>
          <w:lang w:val="en-US" w:eastAsia="zh-CN"/>
        </w:rPr>
        <w:t>100.00</w:t>
      </w:r>
      <w:r>
        <w:rPr>
          <w:rFonts w:hint="eastAsia" w:ascii="宋体" w:hAnsi="宋体"/>
          <w:color w:val="auto"/>
          <w:sz w:val="24"/>
          <w:szCs w:val="24"/>
        </w:rPr>
        <w:t>万元，</w:t>
      </w:r>
      <w:r>
        <w:rPr>
          <w:rFonts w:hint="eastAsia" w:ascii="宋体" w:hAnsi="宋体"/>
          <w:color w:val="auto"/>
          <w:sz w:val="24"/>
          <w:szCs w:val="24"/>
          <w:lang w:eastAsia="zh-CN"/>
        </w:rPr>
        <w:t>主要</w:t>
      </w:r>
      <w:r>
        <w:rPr>
          <w:rFonts w:hint="eastAsia" w:ascii="宋体" w:hAnsi="宋体"/>
          <w:color w:val="auto"/>
          <w:sz w:val="24"/>
          <w:szCs w:val="24"/>
        </w:rPr>
        <w:t>为员工工资</w:t>
      </w:r>
      <w:r>
        <w:rPr>
          <w:rFonts w:hint="eastAsia" w:ascii="宋体" w:hAnsi="宋体"/>
          <w:color w:val="auto"/>
          <w:sz w:val="24"/>
          <w:szCs w:val="24"/>
          <w:lang w:eastAsia="zh-CN"/>
        </w:rPr>
        <w:t>、年终奖</w:t>
      </w:r>
      <w:r>
        <w:rPr>
          <w:rFonts w:hint="eastAsia" w:ascii="宋体" w:hAnsi="宋体"/>
          <w:color w:val="auto"/>
          <w:sz w:val="24"/>
          <w:szCs w:val="24"/>
        </w:rPr>
        <w:t>及报销</w:t>
      </w:r>
      <w:r>
        <w:rPr>
          <w:rFonts w:hint="eastAsia" w:ascii="宋体" w:hAnsi="宋体"/>
          <w:color w:val="auto"/>
          <w:sz w:val="24"/>
          <w:szCs w:val="24"/>
          <w:lang w:eastAsia="zh-CN"/>
        </w:rPr>
        <w:t>款</w:t>
      </w:r>
      <w:r>
        <w:rPr>
          <w:rFonts w:hint="eastAsia" w:ascii="宋体" w:hAnsi="宋体"/>
          <w:color w:val="auto"/>
          <w:sz w:val="24"/>
          <w:szCs w:val="24"/>
        </w:rPr>
        <w:t>等费用</w:t>
      </w:r>
      <w:r>
        <w:rPr>
          <w:rFonts w:hint="eastAsia" w:ascii="宋体" w:hAnsi="宋体"/>
          <w:color w:val="auto"/>
          <w:sz w:val="24"/>
          <w:szCs w:val="24"/>
          <w:lang w:val="en-US" w:eastAsia="zh-CN"/>
        </w:rPr>
        <w:t>。</w:t>
      </w:r>
    </w:p>
    <w:p>
      <w:pPr>
        <w:pStyle w:val="16"/>
        <w:numPr>
          <w:ilvl w:val="0"/>
          <w:numId w:val="4"/>
        </w:numPr>
        <w:spacing w:before="160" w:beforeLines="50" w:after="160" w:afterLines="50" w:line="360" w:lineRule="auto"/>
        <w:ind w:firstLineChars="0"/>
        <w:rPr>
          <w:rFonts w:ascii="宋体" w:hAnsi="宋体"/>
          <w:b/>
          <w:color w:val="auto"/>
          <w:sz w:val="24"/>
          <w:szCs w:val="24"/>
          <w:lang w:bidi="zh-CN"/>
        </w:rPr>
      </w:pPr>
      <w:r>
        <w:rPr>
          <w:rFonts w:hint="eastAsia" w:ascii="宋体" w:hAnsi="宋体"/>
          <w:b/>
          <w:color w:val="auto"/>
          <w:sz w:val="24"/>
          <w:szCs w:val="24"/>
          <w:lang w:bidi="zh-CN"/>
        </w:rPr>
        <w:t>营销费用资金支出计划说明</w:t>
      </w:r>
    </w:p>
    <w:p>
      <w:pPr>
        <w:numPr>
          <w:ilvl w:val="0"/>
          <w:numId w:val="0"/>
        </w:numPr>
        <w:spacing w:before="156" w:beforeLines="50" w:after="156" w:afterLines="50" w:line="360" w:lineRule="auto"/>
        <w:ind w:firstLine="480" w:firstLineChars="200"/>
        <w:rPr>
          <w:rFonts w:ascii="宋体" w:hAnsi="宋体"/>
          <w:color w:val="auto"/>
          <w:sz w:val="24"/>
          <w:szCs w:val="24"/>
          <w:lang w:bidi="zh-CN"/>
        </w:rPr>
      </w:pPr>
      <w:r>
        <w:rPr>
          <w:rFonts w:hint="eastAsia" w:ascii="宋体" w:hAnsi="宋体"/>
          <w:color w:val="auto"/>
          <w:sz w:val="24"/>
          <w:szCs w:val="24"/>
          <w:lang w:bidi="zh-CN"/>
        </w:rPr>
        <w:t>项目公司在</w:t>
      </w:r>
      <w:r>
        <w:rPr>
          <w:rFonts w:ascii="宋体" w:hAnsi="宋体"/>
          <w:color w:val="auto"/>
          <w:sz w:val="24"/>
          <w:szCs w:val="24"/>
          <w:lang w:bidi="zh-CN"/>
        </w:rPr>
        <w:t>202</w:t>
      </w:r>
      <w:r>
        <w:rPr>
          <w:rFonts w:hint="eastAsia" w:ascii="宋体" w:hAnsi="宋体"/>
          <w:color w:val="auto"/>
          <w:sz w:val="24"/>
          <w:szCs w:val="24"/>
          <w:lang w:val="en-US" w:bidi="zh-CN"/>
        </w:rPr>
        <w:t>1</w:t>
      </w:r>
      <w:r>
        <w:rPr>
          <w:rFonts w:ascii="宋体" w:hAnsi="宋体"/>
          <w:color w:val="auto"/>
          <w:sz w:val="24"/>
          <w:szCs w:val="24"/>
          <w:lang w:bidi="zh-CN"/>
        </w:rPr>
        <w:t>年1月的营销费用</w:t>
      </w:r>
      <w:r>
        <w:rPr>
          <w:rFonts w:hint="eastAsia" w:ascii="宋体" w:hAnsi="宋体"/>
          <w:color w:val="auto"/>
          <w:sz w:val="24"/>
          <w:szCs w:val="24"/>
          <w:lang w:val="en-US" w:bidi="zh-CN"/>
        </w:rPr>
        <w:t>预计</w:t>
      </w:r>
      <w:r>
        <w:rPr>
          <w:rFonts w:ascii="宋体" w:hAnsi="宋体"/>
          <w:color w:val="auto"/>
          <w:sz w:val="24"/>
          <w:szCs w:val="24"/>
          <w:lang w:bidi="zh-CN"/>
        </w:rPr>
        <w:t>支出</w:t>
      </w:r>
      <w:r>
        <w:rPr>
          <w:rFonts w:hint="eastAsia" w:ascii="宋体" w:hAnsi="宋体"/>
          <w:color w:val="auto"/>
          <w:sz w:val="24"/>
          <w:szCs w:val="24"/>
          <w:lang w:val="en-US" w:bidi="zh-CN"/>
        </w:rPr>
        <w:t>549.42</w:t>
      </w:r>
      <w:r>
        <w:rPr>
          <w:rFonts w:ascii="宋体" w:hAnsi="宋体"/>
          <w:color w:val="auto"/>
          <w:sz w:val="24"/>
          <w:szCs w:val="24"/>
          <w:lang w:bidi="zh-CN"/>
        </w:rPr>
        <w:t>万元，</w:t>
      </w:r>
      <w:r>
        <w:rPr>
          <w:rFonts w:hint="eastAsia" w:ascii="宋体" w:hAnsi="宋体"/>
          <w:color w:val="auto"/>
          <w:sz w:val="24"/>
          <w:szCs w:val="24"/>
          <w:lang w:val="en-US" w:bidi="zh-CN"/>
        </w:rPr>
        <w:t>其中：样板房装修、示范区电梯采购及样板间的设计费预计支出149.42万元，不可预见费400万元。具体支付如下：</w:t>
      </w:r>
    </w:p>
    <w:p>
      <w:pPr>
        <w:pStyle w:val="16"/>
        <w:numPr>
          <w:ilvl w:val="0"/>
          <w:numId w:val="0"/>
        </w:numPr>
        <w:spacing w:before="160" w:beforeLines="50" w:after="160" w:afterLines="50" w:line="360" w:lineRule="auto"/>
        <w:ind w:leftChars="0" w:firstLine="480"/>
        <w:rPr>
          <w:rFonts w:ascii="宋体" w:hAnsi="宋体"/>
          <w:sz w:val="24"/>
          <w:szCs w:val="24"/>
          <w:lang w:bidi="zh-CN"/>
        </w:rPr>
      </w:pPr>
      <w:r>
        <w:rPr>
          <w:rFonts w:hint="eastAsia" w:ascii="宋体" w:hAnsi="宋体"/>
          <w:color w:val="auto"/>
          <w:sz w:val="24"/>
          <w:szCs w:val="24"/>
          <w:lang w:bidi="zh-CN"/>
        </w:rPr>
        <w:t>（</w:t>
      </w:r>
      <w:r>
        <w:rPr>
          <w:rFonts w:hint="eastAsia" w:ascii="宋体" w:hAnsi="宋体"/>
          <w:color w:val="auto"/>
          <w:sz w:val="24"/>
          <w:szCs w:val="24"/>
          <w:lang w:val="en-US" w:bidi="zh-CN"/>
        </w:rPr>
        <w:t>1）</w:t>
      </w:r>
      <w:r>
        <w:rPr>
          <w:rFonts w:hint="eastAsia" w:ascii="宋体" w:hAnsi="宋体"/>
          <w:color w:val="auto"/>
          <w:sz w:val="24"/>
          <w:szCs w:val="24"/>
        </w:rPr>
        <w:t>依据项目公司提供资料</w:t>
      </w:r>
      <w:r>
        <w:rPr>
          <w:rFonts w:hint="eastAsia" w:ascii="宋体" w:hAnsi="宋体"/>
          <w:color w:val="auto"/>
          <w:sz w:val="24"/>
          <w:szCs w:val="24"/>
          <w:lang w:eastAsia="zh-CN"/>
        </w:rPr>
        <w:t>，</w:t>
      </w:r>
      <w:r>
        <w:rPr>
          <w:rFonts w:hint="eastAsia" w:ascii="宋体" w:hAnsi="宋体"/>
          <w:color w:val="auto"/>
          <w:sz w:val="24"/>
          <w:szCs w:val="24"/>
          <w:lang w:val="en-US" w:eastAsia="zh-CN"/>
        </w:rPr>
        <w:t>滨融府项目样板房精装修工程合同，合同总价款146.83万元，根据合同约定本工程进度款选用按周期付款，每次按确认产值的80%支付，</w:t>
      </w:r>
      <w:r>
        <w:rPr>
          <w:rFonts w:hint="eastAsia" w:ascii="宋体" w:hAnsi="宋体"/>
          <w:sz w:val="24"/>
          <w:szCs w:val="24"/>
          <w:lang w:val="en-US" w:eastAsia="zh-CN"/>
        </w:rPr>
        <w:t>本月预计支付金额115.23万元占合同总价78.48%；</w:t>
      </w:r>
      <w:r>
        <w:rPr>
          <w:rFonts w:hint="eastAsia" w:ascii="宋体" w:hAnsi="宋体"/>
          <w:sz w:val="24"/>
          <w:szCs w:val="24"/>
          <w:lang w:bidi="zh-CN"/>
        </w:rPr>
        <w:t>实际支付时，我司会对付款申请、发票、流程、合同等依据进行审核、计算，</w:t>
      </w:r>
      <w:r>
        <w:rPr>
          <w:rFonts w:ascii="宋体" w:hAnsi="宋体"/>
          <w:sz w:val="24"/>
          <w:szCs w:val="24"/>
          <w:lang w:bidi="zh-CN"/>
        </w:rPr>
        <w:t>严格把控，确保资金支付合理、合规。</w:t>
      </w:r>
    </w:p>
    <w:p>
      <w:pPr>
        <w:numPr>
          <w:ilvl w:val="0"/>
          <w:numId w:val="0"/>
        </w:numPr>
        <w:spacing w:before="162" w:beforeLines="50" w:after="162" w:afterLines="50" w:line="360" w:lineRule="auto"/>
        <w:ind w:leftChars="0" w:firstLine="480" w:firstLineChars="200"/>
        <w:rPr>
          <w:rFonts w:hint="eastAsia" w:ascii="宋体" w:hAnsi="宋体" w:eastAsia="宋体"/>
          <w:sz w:val="24"/>
          <w:szCs w:val="24"/>
          <w:lang w:val="en-US" w:eastAsia="zh-CN"/>
        </w:rPr>
      </w:pPr>
      <w:r>
        <w:rPr>
          <w:rFonts w:hint="eastAsia" w:ascii="宋体" w:hAnsi="宋体"/>
          <w:sz w:val="24"/>
          <w:szCs w:val="24"/>
          <w:lang w:val="en-US" w:bidi="zh-CN"/>
        </w:rPr>
        <w:t>（2）</w:t>
      </w:r>
      <w:r>
        <w:rPr>
          <w:rFonts w:hint="eastAsia" w:ascii="宋体" w:hAnsi="宋体"/>
          <w:sz w:val="24"/>
          <w:szCs w:val="24"/>
          <w:lang w:val="en-US" w:eastAsia="zh-CN"/>
        </w:rPr>
        <w:t>据项目公司提供的资金计划，融创庆隆项目示范区电梯（三菱）采购合同，合同总价12.30万元，本次预计支付金额7.49万元占合同总价60.89%，项目公司未提供合同文本。实际支付时，我司会对合同文本、</w:t>
      </w:r>
      <w:r>
        <w:rPr>
          <w:rFonts w:hint="eastAsia" w:ascii="宋体" w:hAnsi="宋体"/>
          <w:sz w:val="24"/>
          <w:szCs w:val="24"/>
          <w:lang w:bidi="zh-CN"/>
        </w:rPr>
        <w:t>付款申请、发票、流程、签证等依据进行审核、计算，</w:t>
      </w:r>
      <w:r>
        <w:rPr>
          <w:rFonts w:ascii="宋体" w:hAnsi="宋体"/>
          <w:sz w:val="24"/>
          <w:szCs w:val="24"/>
        </w:rPr>
        <w:t>严格把控</w:t>
      </w:r>
      <w:r>
        <w:rPr>
          <w:rFonts w:hint="eastAsia" w:ascii="宋体" w:hAnsi="宋体"/>
          <w:sz w:val="24"/>
          <w:szCs w:val="24"/>
          <w:lang w:eastAsia="zh-CN"/>
        </w:rPr>
        <w:t>，</w:t>
      </w:r>
      <w:r>
        <w:rPr>
          <w:rFonts w:ascii="宋体" w:hAnsi="宋体"/>
          <w:sz w:val="24"/>
          <w:szCs w:val="24"/>
        </w:rPr>
        <w:t>确保资金支付合理、合规</w:t>
      </w:r>
      <w:r>
        <w:rPr>
          <w:rFonts w:hint="eastAsia" w:ascii="宋体" w:hAnsi="宋体"/>
          <w:sz w:val="24"/>
          <w:szCs w:val="24"/>
          <w:lang w:eastAsia="zh-CN"/>
        </w:rPr>
        <w:t>。</w:t>
      </w:r>
    </w:p>
    <w:p>
      <w:pPr>
        <w:pStyle w:val="16"/>
        <w:numPr>
          <w:ilvl w:val="0"/>
          <w:numId w:val="0"/>
        </w:numPr>
        <w:spacing w:before="160" w:beforeLines="50" w:after="160" w:afterLines="50" w:line="360" w:lineRule="auto"/>
        <w:ind w:leftChars="0" w:firstLine="480"/>
        <w:rPr>
          <w:rFonts w:ascii="宋体" w:hAnsi="宋体"/>
          <w:sz w:val="24"/>
          <w:szCs w:val="24"/>
          <w:lang w:bidi="zh-CN"/>
        </w:rPr>
      </w:pPr>
      <w:r>
        <w:rPr>
          <w:rFonts w:hint="eastAsia" w:ascii="宋体" w:hAnsi="宋体"/>
          <w:sz w:val="24"/>
          <w:szCs w:val="24"/>
          <w:lang w:val="en-US" w:eastAsia="zh-CN"/>
        </w:rPr>
        <w:t>（3）</w:t>
      </w:r>
      <w:r>
        <w:rPr>
          <w:rFonts w:hint="eastAsia" w:ascii="宋体" w:hAnsi="宋体"/>
          <w:sz w:val="24"/>
          <w:szCs w:val="24"/>
        </w:rPr>
        <w:t>依据项目公司提供资料</w:t>
      </w:r>
      <w:r>
        <w:rPr>
          <w:rFonts w:hint="eastAsia" w:ascii="宋体" w:hAnsi="宋体"/>
          <w:sz w:val="24"/>
          <w:szCs w:val="24"/>
          <w:lang w:eastAsia="zh-CN"/>
        </w:rPr>
        <w:t>，庆隆地块示范区售楼处会所及139户型样板间装饰装修工程设计合同，</w:t>
      </w:r>
      <w:r>
        <w:rPr>
          <w:rFonts w:hint="eastAsia" w:ascii="宋体" w:hAnsi="宋体"/>
          <w:sz w:val="24"/>
          <w:szCs w:val="24"/>
          <w:lang w:val="en-US" w:eastAsia="zh-CN"/>
        </w:rPr>
        <w:t>合同总价：97.80万元，预付款为合同总价的20%，完成概念方案设计阶段最终成果，经书面确认付合同总计的20%，书面确认电器点位图、完成主要平立面图，材料说明及概算，修改完成方案扩初设计阶段最终成果付合同总价20%，本月预计支付至概念方案设计款26.70万元，占合同总价27.30%，</w:t>
      </w:r>
      <w:r>
        <w:rPr>
          <w:rFonts w:hint="eastAsia" w:ascii="宋体" w:hAnsi="宋体"/>
          <w:sz w:val="24"/>
          <w:szCs w:val="24"/>
          <w:lang w:bidi="zh-CN"/>
        </w:rPr>
        <w:t>实际支付时，我司会对付款申请、发票、流程、合同等依据进行审核、计算，</w:t>
      </w:r>
      <w:r>
        <w:rPr>
          <w:rFonts w:ascii="宋体" w:hAnsi="宋体"/>
          <w:sz w:val="24"/>
          <w:szCs w:val="24"/>
          <w:lang w:bidi="zh-CN"/>
        </w:rPr>
        <w:t>严格把控，确保资金支付合理、合规。</w:t>
      </w:r>
    </w:p>
    <w:p>
      <w:pPr>
        <w:numPr>
          <w:ilvl w:val="0"/>
          <w:numId w:val="0"/>
        </w:numPr>
        <w:spacing w:before="156" w:beforeLines="50" w:after="156" w:afterLines="50" w:line="360" w:lineRule="auto"/>
        <w:ind w:firstLine="480" w:firstLineChars="200"/>
        <w:rPr>
          <w:rFonts w:hint="default" w:ascii="宋体" w:hAnsi="宋体"/>
          <w:sz w:val="24"/>
          <w:szCs w:val="24"/>
          <w:lang w:val="en-US" w:bidi="zh-CN"/>
        </w:rPr>
      </w:pPr>
      <w:r>
        <w:rPr>
          <w:rFonts w:hint="eastAsia" w:ascii="宋体" w:hAnsi="宋体"/>
          <w:sz w:val="24"/>
          <w:szCs w:val="24"/>
          <w:lang w:bidi="zh-CN"/>
        </w:rPr>
        <w:t>（</w:t>
      </w:r>
      <w:r>
        <w:rPr>
          <w:rFonts w:hint="eastAsia" w:ascii="宋体" w:hAnsi="宋体"/>
          <w:sz w:val="24"/>
          <w:szCs w:val="24"/>
          <w:lang w:val="en-US" w:bidi="zh-CN"/>
        </w:rPr>
        <w:t>4</w:t>
      </w:r>
      <w:r>
        <w:rPr>
          <w:rFonts w:hint="eastAsia" w:ascii="宋体" w:hAnsi="宋体"/>
          <w:sz w:val="24"/>
          <w:szCs w:val="24"/>
          <w:lang w:bidi="zh-CN"/>
        </w:rPr>
        <w:t>）根据项目公司提供的资金计划，营销费用中不可预见费计划支出</w:t>
      </w:r>
      <w:r>
        <w:rPr>
          <w:rFonts w:hint="eastAsia" w:ascii="宋体" w:hAnsi="宋体"/>
          <w:sz w:val="24"/>
          <w:szCs w:val="24"/>
          <w:lang w:val="en-US" w:bidi="zh-CN"/>
        </w:rPr>
        <w:t>400.00万元，主要为样板房设计费、软装费及1月份开盘产生的费用。</w:t>
      </w:r>
      <w:r>
        <w:rPr>
          <w:rFonts w:hint="eastAsia" w:ascii="宋体" w:hAnsi="宋体"/>
          <w:sz w:val="24"/>
          <w:szCs w:val="24"/>
        </w:rPr>
        <w:t>项目</w:t>
      </w:r>
      <w:r>
        <w:rPr>
          <w:rFonts w:hint="eastAsia" w:ascii="宋体" w:hAnsi="宋体"/>
          <w:sz w:val="24"/>
          <w:szCs w:val="24"/>
          <w:lang w:val="en-US" w:eastAsia="zh-CN"/>
        </w:rPr>
        <w:t>公司未提供支出明细及对应合同，</w:t>
      </w:r>
      <w:r>
        <w:rPr>
          <w:rFonts w:hint="eastAsia" w:ascii="宋体" w:hAnsi="宋体"/>
          <w:color w:val="auto"/>
          <w:sz w:val="24"/>
          <w:szCs w:val="24"/>
          <w:highlight w:val="none"/>
          <w:lang w:bidi="zh-CN"/>
        </w:rPr>
        <w:t>实际支付时，我司会对付款申请、发票、流程、协议等依据进行审核，确保资金支付合理、合规。</w:t>
      </w:r>
    </w:p>
    <w:p>
      <w:pPr>
        <w:numPr>
          <w:ilvl w:val="255"/>
          <w:numId w:val="0"/>
        </w:numPr>
        <w:spacing w:before="160" w:beforeLines="50" w:after="160" w:afterLines="50" w:line="360" w:lineRule="auto"/>
        <w:rPr>
          <w:rFonts w:hint="eastAsia" w:ascii="宋体" w:hAnsi="宋体"/>
          <w:b/>
          <w:bCs/>
          <w:color w:val="000000"/>
          <w:sz w:val="24"/>
          <w:szCs w:val="24"/>
          <w:lang w:bidi="zh-CN"/>
        </w:rPr>
      </w:pPr>
      <w:r>
        <w:rPr>
          <w:rFonts w:hint="eastAsia" w:ascii="宋体" w:hAnsi="宋体"/>
          <w:b/>
          <w:bCs/>
          <w:sz w:val="24"/>
          <w:szCs w:val="24"/>
          <w:lang w:bidi="zh-CN"/>
        </w:rPr>
        <w:t>（</w:t>
      </w:r>
      <w:r>
        <w:rPr>
          <w:rFonts w:hint="eastAsia" w:ascii="宋体" w:hAnsi="宋体"/>
          <w:b/>
          <w:bCs/>
          <w:sz w:val="24"/>
          <w:szCs w:val="24"/>
          <w:lang w:val="en-US" w:bidi="zh-CN"/>
        </w:rPr>
        <w:t>五</w:t>
      </w:r>
      <w:r>
        <w:rPr>
          <w:rFonts w:hint="eastAsia" w:ascii="宋体" w:hAnsi="宋体"/>
          <w:b/>
          <w:bCs/>
          <w:sz w:val="24"/>
          <w:szCs w:val="24"/>
          <w:lang w:bidi="zh-CN"/>
        </w:rPr>
        <w:t>）</w:t>
      </w:r>
      <w:r>
        <w:rPr>
          <w:rFonts w:hint="eastAsia" w:ascii="宋体" w:hAnsi="宋体"/>
          <w:b/>
          <w:bCs/>
          <w:sz w:val="24"/>
          <w:szCs w:val="24"/>
          <w:lang w:val="en-US" w:bidi="zh-CN"/>
        </w:rPr>
        <w:t>财务</w:t>
      </w:r>
      <w:r>
        <w:rPr>
          <w:rFonts w:hint="eastAsia" w:ascii="宋体" w:hAnsi="宋体"/>
          <w:b/>
          <w:bCs/>
          <w:color w:val="000000"/>
          <w:sz w:val="24"/>
          <w:szCs w:val="24"/>
          <w:lang w:bidi="zh-CN"/>
        </w:rPr>
        <w:t>费用计划说明</w:t>
      </w:r>
    </w:p>
    <w:p>
      <w:pPr>
        <w:numPr>
          <w:ilvl w:val="0"/>
          <w:numId w:val="0"/>
        </w:num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项目公司在202</w:t>
      </w:r>
      <w:r>
        <w:rPr>
          <w:rFonts w:hint="eastAsia" w:ascii="宋体" w:hAnsi="宋体"/>
          <w:sz w:val="24"/>
          <w:szCs w:val="24"/>
          <w:lang w:val="en-US" w:bidi="zh-CN"/>
        </w:rPr>
        <w:t>1</w:t>
      </w:r>
      <w:r>
        <w:rPr>
          <w:rFonts w:hint="eastAsia" w:ascii="宋体" w:hAnsi="宋体"/>
          <w:sz w:val="24"/>
          <w:szCs w:val="24"/>
          <w:lang w:bidi="zh-CN"/>
        </w:rPr>
        <w:t>年1月财务费用</w:t>
      </w:r>
      <w:r>
        <w:rPr>
          <w:rFonts w:hint="eastAsia" w:ascii="宋体" w:hAnsi="宋体"/>
          <w:sz w:val="24"/>
          <w:szCs w:val="24"/>
          <w:lang w:val="en-US" w:bidi="zh-CN"/>
        </w:rPr>
        <w:t>预计支出928.00</w:t>
      </w:r>
      <w:r>
        <w:rPr>
          <w:rFonts w:hint="eastAsia" w:ascii="宋体" w:hAnsi="宋体"/>
          <w:sz w:val="24"/>
          <w:szCs w:val="24"/>
          <w:lang w:bidi="zh-CN"/>
        </w:rPr>
        <w:t>万元，</w:t>
      </w:r>
      <w:r>
        <w:rPr>
          <w:rFonts w:hint="eastAsia" w:ascii="宋体" w:hAnsi="宋体"/>
          <w:sz w:val="24"/>
          <w:szCs w:val="24"/>
          <w:lang w:val="en-US" w:bidi="zh-CN"/>
        </w:rPr>
        <w:t>其中：开发贷利息预计支出800.00万</w:t>
      </w:r>
      <w:r>
        <w:rPr>
          <w:rFonts w:hint="eastAsia" w:ascii="宋体" w:hAnsi="宋体"/>
          <w:sz w:val="24"/>
          <w:szCs w:val="24"/>
          <w:lang w:bidi="zh-CN"/>
        </w:rPr>
        <w:t>元，</w:t>
      </w:r>
      <w:r>
        <w:rPr>
          <w:rFonts w:hint="eastAsia" w:ascii="宋体" w:hAnsi="宋体"/>
          <w:sz w:val="24"/>
          <w:szCs w:val="24"/>
          <w:lang w:val="en-US" w:bidi="zh-CN"/>
        </w:rPr>
        <w:t>银团代理费预计支出128万元。</w:t>
      </w:r>
      <w:r>
        <w:rPr>
          <w:rFonts w:hint="eastAsia" w:ascii="宋体" w:hAnsi="宋体"/>
          <w:color w:val="auto"/>
          <w:sz w:val="24"/>
          <w:szCs w:val="24"/>
          <w:highlight w:val="none"/>
          <w:lang w:bidi="zh-CN"/>
        </w:rPr>
        <w:t>实际支付时，我司会对付款申请、流程、协议等依据进行审核，确保资金支付合理、合规。</w:t>
      </w:r>
    </w:p>
    <w:p>
      <w:pPr>
        <w:spacing w:before="160" w:beforeLines="50" w:after="160" w:afterLines="50" w:line="360" w:lineRule="auto"/>
        <w:ind w:firstLine="0" w:firstLineChars="0"/>
        <w:rPr>
          <w:rFonts w:ascii="宋体" w:hAnsi="宋体"/>
          <w:b/>
          <w:bCs/>
          <w:color w:val="000000"/>
          <w:sz w:val="24"/>
          <w:szCs w:val="24"/>
          <w:lang w:bidi="zh-CN"/>
        </w:rPr>
      </w:pPr>
      <w:r>
        <w:rPr>
          <w:rFonts w:hint="eastAsia" w:ascii="宋体" w:hAnsi="宋体"/>
          <w:b/>
          <w:bCs/>
          <w:color w:val="000000"/>
          <w:sz w:val="24"/>
          <w:szCs w:val="24"/>
          <w:lang w:bidi="zh-CN"/>
        </w:rPr>
        <w:t>四、结论：</w:t>
      </w:r>
    </w:p>
    <w:p>
      <w:pPr>
        <w:spacing w:before="160" w:beforeLines="50" w:after="160" w:afterLines="50" w:line="360" w:lineRule="auto"/>
        <w:ind w:firstLine="480" w:firstLineChars="200"/>
        <w:rPr>
          <w:rFonts w:ascii="宋体" w:hAnsi="宋体"/>
          <w:b/>
          <w:color w:val="000000"/>
          <w:sz w:val="24"/>
          <w:lang w:bidi="zh-CN"/>
        </w:rPr>
      </w:pPr>
      <w:r>
        <w:rPr>
          <w:rFonts w:hint="eastAsia" w:ascii="宋体" w:hAnsi="宋体"/>
          <w:bCs/>
          <w:color w:val="000000"/>
          <w:sz w:val="24"/>
          <w:szCs w:val="24"/>
          <w:lang w:bidi="zh-CN"/>
        </w:rPr>
        <w:t>本次杭州融</w:t>
      </w:r>
      <w:r>
        <w:rPr>
          <w:rFonts w:hint="eastAsia" w:ascii="宋体" w:hAnsi="宋体"/>
          <w:bCs/>
          <w:color w:val="000000"/>
          <w:sz w:val="24"/>
          <w:szCs w:val="24"/>
          <w:lang w:val="en-US" w:bidi="zh-CN"/>
        </w:rPr>
        <w:t>滨昌盛</w:t>
      </w:r>
      <w:r>
        <w:rPr>
          <w:rFonts w:hint="eastAsia" w:ascii="宋体" w:hAnsi="宋体"/>
          <w:bCs/>
          <w:color w:val="000000"/>
          <w:sz w:val="24"/>
          <w:szCs w:val="24"/>
          <w:lang w:bidi="zh-CN"/>
        </w:rPr>
        <w:t>置业有限公司申报的1</w:t>
      </w:r>
      <w:r>
        <w:rPr>
          <w:rFonts w:ascii="宋体" w:hAnsi="宋体"/>
          <w:bCs/>
          <w:color w:val="000000"/>
          <w:sz w:val="24"/>
          <w:szCs w:val="24"/>
          <w:lang w:bidi="zh-CN"/>
        </w:rPr>
        <w:t>月资金计</w:t>
      </w:r>
      <w:r>
        <w:rPr>
          <w:rFonts w:hint="eastAsia" w:ascii="宋体" w:hAnsi="宋体"/>
          <w:bCs/>
          <w:color w:val="000000"/>
          <w:sz w:val="24"/>
          <w:szCs w:val="24"/>
          <w:lang w:bidi="zh-CN"/>
        </w:rPr>
        <w:t>划</w:t>
      </w:r>
      <w:r>
        <w:rPr>
          <w:rFonts w:ascii="宋体" w:hAnsi="宋体"/>
          <w:bCs/>
          <w:color w:val="000000"/>
          <w:sz w:val="24"/>
          <w:szCs w:val="24"/>
          <w:lang w:bidi="zh-CN"/>
        </w:rPr>
        <w:t>包含</w:t>
      </w:r>
      <w:r>
        <w:rPr>
          <w:rFonts w:hint="eastAsia" w:ascii="宋体" w:hAnsi="宋体"/>
          <w:bCs/>
          <w:color w:val="000000"/>
          <w:sz w:val="24"/>
          <w:szCs w:val="24"/>
          <w:lang w:val="en-US" w:bidi="zh-CN"/>
        </w:rPr>
        <w:t>五</w:t>
      </w:r>
      <w:r>
        <w:rPr>
          <w:rFonts w:ascii="宋体" w:hAnsi="宋体"/>
          <w:bCs/>
          <w:color w:val="000000"/>
          <w:sz w:val="24"/>
          <w:szCs w:val="24"/>
          <w:lang w:bidi="zh-CN"/>
        </w:rPr>
        <w:t>大</w:t>
      </w:r>
      <w:r>
        <w:rPr>
          <w:rFonts w:hint="eastAsia" w:ascii="宋体" w:hAnsi="宋体"/>
          <w:bCs/>
          <w:color w:val="000000"/>
          <w:sz w:val="24"/>
          <w:szCs w:val="24"/>
          <w:lang w:bidi="zh-CN"/>
        </w:rPr>
        <w:t>项目</w:t>
      </w:r>
      <w:r>
        <w:rPr>
          <w:rFonts w:ascii="宋体" w:hAnsi="宋体"/>
          <w:bCs/>
          <w:color w:val="000000"/>
          <w:sz w:val="24"/>
          <w:szCs w:val="24"/>
          <w:lang w:bidi="zh-CN"/>
        </w:rPr>
        <w:t>，分别为</w:t>
      </w:r>
      <w:r>
        <w:rPr>
          <w:rFonts w:hint="eastAsia" w:ascii="宋体" w:hAnsi="宋体"/>
          <w:bCs/>
          <w:color w:val="000000"/>
          <w:sz w:val="24"/>
          <w:szCs w:val="24"/>
          <w:lang w:val="en-US" w:bidi="zh-CN"/>
        </w:rPr>
        <w:t>前期</w:t>
      </w:r>
      <w:r>
        <w:rPr>
          <w:rFonts w:hint="eastAsia" w:ascii="宋体" w:hAnsi="宋体"/>
          <w:bCs/>
          <w:color w:val="000000"/>
          <w:sz w:val="24"/>
          <w:szCs w:val="24"/>
          <w:lang w:bidi="zh-CN"/>
        </w:rPr>
        <w:t>费</w:t>
      </w:r>
      <w:r>
        <w:rPr>
          <w:rFonts w:hint="eastAsia" w:ascii="宋体" w:hAnsi="宋体"/>
          <w:bCs/>
          <w:color w:val="000000"/>
          <w:sz w:val="24"/>
          <w:szCs w:val="24"/>
          <w:lang w:val="en-US" w:bidi="zh-CN"/>
        </w:rPr>
        <w:t>用</w:t>
      </w:r>
      <w:r>
        <w:rPr>
          <w:rFonts w:ascii="宋体" w:hAnsi="宋体"/>
          <w:bCs/>
          <w:color w:val="000000"/>
          <w:sz w:val="24"/>
          <w:szCs w:val="24"/>
          <w:lang w:bidi="zh-CN"/>
        </w:rPr>
        <w:t>、</w:t>
      </w:r>
      <w:r>
        <w:rPr>
          <w:rFonts w:hint="eastAsia" w:ascii="宋体" w:hAnsi="宋体"/>
          <w:bCs/>
          <w:color w:val="000000"/>
          <w:sz w:val="24"/>
          <w:szCs w:val="24"/>
          <w:lang w:bidi="zh-CN"/>
        </w:rPr>
        <w:t>工程</w:t>
      </w:r>
      <w:r>
        <w:rPr>
          <w:rFonts w:hint="eastAsia" w:ascii="宋体" w:hAnsi="宋体"/>
          <w:bCs/>
          <w:color w:val="000000"/>
          <w:sz w:val="24"/>
          <w:szCs w:val="24"/>
          <w:lang w:val="en-US" w:bidi="zh-CN"/>
        </w:rPr>
        <w:t>费用</w:t>
      </w:r>
      <w:r>
        <w:rPr>
          <w:rFonts w:ascii="宋体" w:hAnsi="宋体"/>
          <w:bCs/>
          <w:color w:val="000000"/>
          <w:sz w:val="24"/>
          <w:szCs w:val="24"/>
          <w:lang w:bidi="zh-CN"/>
        </w:rPr>
        <w:t>、</w:t>
      </w:r>
      <w:r>
        <w:rPr>
          <w:rFonts w:hint="eastAsia" w:ascii="宋体" w:hAnsi="宋体"/>
          <w:bCs/>
          <w:color w:val="000000"/>
          <w:sz w:val="24"/>
          <w:szCs w:val="24"/>
          <w:lang w:bidi="zh-CN"/>
        </w:rPr>
        <w:t>管理费用、营销费用、</w:t>
      </w:r>
      <w:r>
        <w:rPr>
          <w:rFonts w:hint="eastAsia" w:ascii="宋体" w:hAnsi="宋体"/>
          <w:bCs/>
          <w:color w:val="000000"/>
          <w:sz w:val="24"/>
          <w:szCs w:val="24"/>
          <w:lang w:val="en-US" w:bidi="zh-CN"/>
        </w:rPr>
        <w:t>财务费用，</w:t>
      </w:r>
      <w:r>
        <w:rPr>
          <w:rFonts w:hint="eastAsia" w:ascii="宋体" w:hAnsi="宋体"/>
          <w:bCs/>
          <w:sz w:val="24"/>
          <w:szCs w:val="24"/>
          <w:lang w:bidi="zh-CN"/>
        </w:rPr>
        <w:t>分类方式为项目公司各部门提供，与目标成本分类</w:t>
      </w:r>
      <w:r>
        <w:rPr>
          <w:rFonts w:hint="eastAsia" w:ascii="宋体" w:hAnsi="宋体"/>
          <w:bCs/>
          <w:sz w:val="24"/>
          <w:szCs w:val="24"/>
          <w:lang w:val="en-US" w:bidi="zh-CN"/>
        </w:rPr>
        <w:t>不相符</w:t>
      </w:r>
      <w:r>
        <w:rPr>
          <w:rFonts w:hint="eastAsia" w:ascii="宋体" w:hAnsi="宋体"/>
          <w:bCs/>
          <w:sz w:val="24"/>
          <w:szCs w:val="24"/>
          <w:lang w:bidi="zh-CN"/>
        </w:rPr>
        <w:t>，我司重新整理、统计了项目公司的资金计划，对上述费用的类别进行了调整，资金计划费用明细与现场实际情况基本吻合，编制基本合理，但资金计划中工程费用、营销费用的不可预见费计划支出</w:t>
      </w:r>
      <w:r>
        <w:rPr>
          <w:rFonts w:hint="eastAsia" w:ascii="宋体" w:hAnsi="宋体"/>
          <w:bCs/>
          <w:sz w:val="24"/>
          <w:szCs w:val="24"/>
          <w:lang w:val="en-US" w:bidi="zh-CN"/>
        </w:rPr>
        <w:t>1,000.00万元,占月度资金计划比例较高，实际支付时我司会对相关付款资料、合同等进行审核，严格把控</w:t>
      </w:r>
      <w:r>
        <w:rPr>
          <w:rFonts w:hint="eastAsia" w:ascii="宋体" w:hAnsi="宋体"/>
          <w:bCs/>
          <w:sz w:val="24"/>
          <w:szCs w:val="24"/>
          <w:lang w:bidi="zh-CN"/>
        </w:rPr>
        <w:t>。对费用明细进行审核分析后，拟同意项目公司1</w:t>
      </w:r>
      <w:r>
        <w:rPr>
          <w:rFonts w:ascii="宋体" w:hAnsi="宋体"/>
          <w:bCs/>
          <w:sz w:val="24"/>
          <w:szCs w:val="24"/>
          <w:lang w:bidi="zh-CN"/>
        </w:rPr>
        <w:t>月</w:t>
      </w:r>
      <w:r>
        <w:rPr>
          <w:rFonts w:hint="eastAsia" w:ascii="宋体" w:hAnsi="宋体"/>
          <w:bCs/>
          <w:sz w:val="24"/>
          <w:szCs w:val="24"/>
          <w:lang w:bidi="zh-CN"/>
        </w:rPr>
        <w:t>份资金计划，并以此作为付款的依据。待实际支付时，我司人员将对相关付款资料的合理、合规性一一核实，据实支付，请审批。</w:t>
      </w:r>
    </w:p>
    <w:p>
      <w:pPr>
        <w:spacing w:line="360" w:lineRule="auto"/>
        <w:ind w:firstLine="5060" w:firstLineChars="2100"/>
        <w:jc w:val="right"/>
        <w:rPr>
          <w:rFonts w:ascii="宋体" w:hAnsi="宋体"/>
          <w:b/>
          <w:color w:val="000000"/>
          <w:sz w:val="24"/>
          <w:lang w:bidi="zh-CN"/>
        </w:rPr>
      </w:pPr>
      <w:r>
        <w:rPr>
          <w:rFonts w:hint="eastAsia" w:ascii="宋体" w:hAnsi="宋体"/>
          <w:b/>
          <w:color w:val="000000"/>
          <w:sz w:val="24"/>
          <w:lang w:bidi="zh-CN"/>
        </w:rPr>
        <w:t xml:space="preserve">  北京康信君安资产管理有限公司</w:t>
      </w:r>
    </w:p>
    <w:p>
      <w:pPr>
        <w:spacing w:line="360" w:lineRule="auto"/>
        <w:ind w:firstLine="5060" w:firstLineChars="2100"/>
        <w:jc w:val="right"/>
        <w:rPr>
          <w:rFonts w:hint="eastAsia" w:ascii="宋体" w:hAnsi="宋体"/>
          <w:b/>
          <w:color w:val="000000"/>
          <w:sz w:val="24"/>
          <w:lang w:bidi="zh-CN"/>
        </w:rPr>
      </w:pPr>
      <w:r>
        <w:rPr>
          <w:rFonts w:hint="eastAsia" w:ascii="宋体" w:hAnsi="宋体"/>
          <w:b/>
          <w:color w:val="000000"/>
          <w:sz w:val="24"/>
          <w:lang w:bidi="zh-CN"/>
        </w:rPr>
        <w:t xml:space="preserve"> </w:t>
      </w:r>
      <w:r>
        <w:rPr>
          <w:rFonts w:ascii="宋体" w:hAnsi="宋体"/>
          <w:b/>
          <w:color w:val="000000"/>
          <w:sz w:val="24"/>
          <w:lang w:bidi="zh-CN"/>
        </w:rPr>
        <w:t xml:space="preserve">           </w:t>
      </w:r>
      <w:r>
        <w:rPr>
          <w:rFonts w:hint="eastAsia" w:ascii="宋体" w:hAnsi="宋体"/>
          <w:b/>
          <w:color w:val="000000"/>
          <w:sz w:val="24"/>
          <w:lang w:bidi="zh-CN"/>
        </w:rPr>
        <w:t>杭州融创</w:t>
      </w:r>
      <w:r>
        <w:rPr>
          <w:rFonts w:hint="eastAsia" w:ascii="宋体" w:hAnsi="宋体"/>
          <w:b/>
          <w:color w:val="000000"/>
          <w:sz w:val="24"/>
          <w:lang w:val="en-US" w:bidi="zh-CN"/>
        </w:rPr>
        <w:t>庆隆</w:t>
      </w:r>
      <w:r>
        <w:rPr>
          <w:rFonts w:hint="eastAsia" w:ascii="宋体" w:hAnsi="宋体"/>
          <w:b/>
          <w:color w:val="000000"/>
          <w:sz w:val="24"/>
          <w:lang w:bidi="zh-CN"/>
        </w:rPr>
        <w:t>项目组</w:t>
      </w:r>
    </w:p>
    <w:p>
      <w:pPr>
        <w:spacing w:line="360" w:lineRule="auto"/>
        <w:ind w:firstLine="5060" w:firstLineChars="2100"/>
        <w:jc w:val="right"/>
      </w:pPr>
      <w:r>
        <w:rPr>
          <w:rFonts w:hint="eastAsia" w:ascii="宋体" w:hAnsi="宋体"/>
          <w:b/>
          <w:bCs/>
          <w:color w:val="000000"/>
          <w:sz w:val="24"/>
          <w:lang w:bidi="zh-CN"/>
        </w:rPr>
        <w:t>20</w:t>
      </w:r>
      <w:r>
        <w:rPr>
          <w:rFonts w:ascii="宋体" w:hAnsi="宋体"/>
          <w:b/>
          <w:bCs/>
          <w:color w:val="000000"/>
          <w:sz w:val="24"/>
          <w:lang w:bidi="zh-CN"/>
        </w:rPr>
        <w:t>2</w:t>
      </w:r>
      <w:r>
        <w:rPr>
          <w:rFonts w:hint="eastAsia" w:ascii="宋体" w:hAnsi="宋体"/>
          <w:b/>
          <w:bCs/>
          <w:color w:val="000000"/>
          <w:sz w:val="24"/>
          <w:lang w:val="en-US" w:bidi="zh-CN"/>
        </w:rPr>
        <w:t>1</w:t>
      </w:r>
      <w:r>
        <w:rPr>
          <w:rFonts w:hint="eastAsia" w:ascii="宋体" w:hAnsi="宋体"/>
          <w:b/>
          <w:bCs/>
          <w:color w:val="000000"/>
          <w:sz w:val="24"/>
          <w:lang w:bidi="zh-CN"/>
        </w:rPr>
        <w:t>年1</w:t>
      </w:r>
      <w:r>
        <w:rPr>
          <w:rFonts w:ascii="宋体" w:hAnsi="宋体"/>
          <w:b/>
          <w:bCs/>
          <w:color w:val="000000"/>
          <w:sz w:val="24"/>
          <w:lang w:bidi="zh-CN"/>
        </w:rPr>
        <w:t>月</w:t>
      </w:r>
      <w:r>
        <w:rPr>
          <w:rFonts w:hint="eastAsia" w:ascii="宋体" w:hAnsi="宋体"/>
          <w:b/>
          <w:bCs/>
          <w:color w:val="000000"/>
          <w:sz w:val="24"/>
          <w:lang w:val="en-US" w:bidi="zh-CN"/>
        </w:rPr>
        <w:t>4</w:t>
      </w:r>
      <w:r>
        <w:rPr>
          <w:rFonts w:ascii="宋体" w:hAnsi="宋体"/>
          <w:b/>
          <w:bCs/>
          <w:color w:val="000000"/>
          <w:sz w:val="24"/>
          <w:lang w:bidi="zh-CN"/>
        </w:rPr>
        <w:t>日</w:t>
      </w:r>
    </w:p>
    <w:sectPr>
      <w:headerReference r:id="rId3" w:type="default"/>
      <w:footerReference r:id="rId4" w:type="default"/>
      <w:pgSz w:w="11906" w:h="16838"/>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922645" cy="407670"/>
          <wp:effectExtent l="0" t="0" r="1905" b="11430"/>
          <wp:docPr id="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B4BFE3"/>
    <w:multiLevelType w:val="singleLevel"/>
    <w:tmpl w:val="F4B4BFE3"/>
    <w:lvl w:ilvl="0" w:tentative="0">
      <w:start w:val="2"/>
      <w:numFmt w:val="decimal"/>
      <w:suff w:val="nothing"/>
      <w:lvlText w:val="%1、"/>
      <w:lvlJc w:val="left"/>
      <w:pPr>
        <w:ind w:left="300" w:firstLine="0"/>
      </w:pPr>
    </w:lvl>
  </w:abstractNum>
  <w:abstractNum w:abstractNumId="1">
    <w:nsid w:val="F5433900"/>
    <w:multiLevelType w:val="singleLevel"/>
    <w:tmpl w:val="F5433900"/>
    <w:lvl w:ilvl="0" w:tentative="0">
      <w:start w:val="1"/>
      <w:numFmt w:val="chineseCounting"/>
      <w:suff w:val="nothing"/>
      <w:lvlText w:val="（%1）"/>
      <w:lvlJc w:val="left"/>
      <w:pPr>
        <w:ind w:left="0" w:firstLine="0"/>
      </w:pPr>
      <w:rPr>
        <w:rFonts w:hint="eastAsia"/>
        <w:b/>
        <w:bCs w:val="0"/>
      </w:rPr>
    </w:lvl>
  </w:abstractNum>
  <w:abstractNum w:abstractNumId="2">
    <w:nsid w:val="10553620"/>
    <w:multiLevelType w:val="multilevel"/>
    <w:tmpl w:val="10553620"/>
    <w:lvl w:ilvl="0" w:tentative="0">
      <w:start w:val="4"/>
      <w:numFmt w:val="japaneseCounting"/>
      <w:lvlText w:val="(%1）"/>
      <w:lvlJc w:val="left"/>
      <w:pPr>
        <w:ind w:left="720" w:hanging="720"/>
      </w:pPr>
      <w:rPr>
        <w:rFonts w:hint="default"/>
      </w:rPr>
    </w:lvl>
    <w:lvl w:ilvl="1" w:tentative="0">
      <w:start w:val="5"/>
      <w:numFmt w:val="japaneseCounting"/>
      <w:lvlText w:val="（%2）"/>
      <w:lvlJc w:val="left"/>
      <w:pPr>
        <w:ind w:left="1176" w:hanging="756"/>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F5288DA"/>
    <w:multiLevelType w:val="singleLevel"/>
    <w:tmpl w:val="1F5288DA"/>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E33"/>
    <w:rsid w:val="00113D38"/>
    <w:rsid w:val="00121BD0"/>
    <w:rsid w:val="00147C71"/>
    <w:rsid w:val="00163063"/>
    <w:rsid w:val="001F2DCA"/>
    <w:rsid w:val="00247A80"/>
    <w:rsid w:val="002941D7"/>
    <w:rsid w:val="0035481D"/>
    <w:rsid w:val="003A0743"/>
    <w:rsid w:val="003E4FC7"/>
    <w:rsid w:val="004B2AE2"/>
    <w:rsid w:val="005D0318"/>
    <w:rsid w:val="005E76F7"/>
    <w:rsid w:val="006127B0"/>
    <w:rsid w:val="00632F49"/>
    <w:rsid w:val="006F0C79"/>
    <w:rsid w:val="00786B23"/>
    <w:rsid w:val="00805D76"/>
    <w:rsid w:val="008140E4"/>
    <w:rsid w:val="008D4D46"/>
    <w:rsid w:val="00955A6F"/>
    <w:rsid w:val="009A58EB"/>
    <w:rsid w:val="00A57474"/>
    <w:rsid w:val="00A63903"/>
    <w:rsid w:val="00B27E33"/>
    <w:rsid w:val="00BE6D91"/>
    <w:rsid w:val="00C0795B"/>
    <w:rsid w:val="00C671C8"/>
    <w:rsid w:val="00C7424A"/>
    <w:rsid w:val="00D122DF"/>
    <w:rsid w:val="00DB663D"/>
    <w:rsid w:val="00F96098"/>
    <w:rsid w:val="025F085A"/>
    <w:rsid w:val="03A51C32"/>
    <w:rsid w:val="064206D5"/>
    <w:rsid w:val="069C0541"/>
    <w:rsid w:val="08D85DBA"/>
    <w:rsid w:val="0C57047C"/>
    <w:rsid w:val="0DB56B5D"/>
    <w:rsid w:val="0E6755EB"/>
    <w:rsid w:val="0E846A57"/>
    <w:rsid w:val="0F035F29"/>
    <w:rsid w:val="0FE46F51"/>
    <w:rsid w:val="11617742"/>
    <w:rsid w:val="124A2A0A"/>
    <w:rsid w:val="15520CC7"/>
    <w:rsid w:val="177C2AA9"/>
    <w:rsid w:val="1867733D"/>
    <w:rsid w:val="199C1146"/>
    <w:rsid w:val="1A9F09B7"/>
    <w:rsid w:val="1AF43DA8"/>
    <w:rsid w:val="1CAC4F40"/>
    <w:rsid w:val="1E5D4ECF"/>
    <w:rsid w:val="207160E0"/>
    <w:rsid w:val="21172B4D"/>
    <w:rsid w:val="21416542"/>
    <w:rsid w:val="22CF04F8"/>
    <w:rsid w:val="230A6507"/>
    <w:rsid w:val="23CF372F"/>
    <w:rsid w:val="27316A37"/>
    <w:rsid w:val="27327E0D"/>
    <w:rsid w:val="28867BE4"/>
    <w:rsid w:val="2AFE4F24"/>
    <w:rsid w:val="2B1A421A"/>
    <w:rsid w:val="2B414C73"/>
    <w:rsid w:val="2C53023C"/>
    <w:rsid w:val="2CC4163B"/>
    <w:rsid w:val="2E7834D1"/>
    <w:rsid w:val="2F373872"/>
    <w:rsid w:val="30180343"/>
    <w:rsid w:val="30A20253"/>
    <w:rsid w:val="318F675C"/>
    <w:rsid w:val="32EC0C48"/>
    <w:rsid w:val="35E361E2"/>
    <w:rsid w:val="367C42D0"/>
    <w:rsid w:val="382133CB"/>
    <w:rsid w:val="38DC0A32"/>
    <w:rsid w:val="391337BB"/>
    <w:rsid w:val="397816AD"/>
    <w:rsid w:val="3A441729"/>
    <w:rsid w:val="3B7A7726"/>
    <w:rsid w:val="3C405B8D"/>
    <w:rsid w:val="3F145B91"/>
    <w:rsid w:val="3FC73BFD"/>
    <w:rsid w:val="4006370C"/>
    <w:rsid w:val="40B450E6"/>
    <w:rsid w:val="418538A5"/>
    <w:rsid w:val="419C0CC8"/>
    <w:rsid w:val="41DD41F5"/>
    <w:rsid w:val="421B01F5"/>
    <w:rsid w:val="42212E1F"/>
    <w:rsid w:val="42494A75"/>
    <w:rsid w:val="430C5DA9"/>
    <w:rsid w:val="432028CD"/>
    <w:rsid w:val="4610527A"/>
    <w:rsid w:val="46320297"/>
    <w:rsid w:val="46F60BDB"/>
    <w:rsid w:val="48BE4498"/>
    <w:rsid w:val="49767F15"/>
    <w:rsid w:val="4A9378AC"/>
    <w:rsid w:val="4AAA76EB"/>
    <w:rsid w:val="4C5471F2"/>
    <w:rsid w:val="4CD94D52"/>
    <w:rsid w:val="4DB05914"/>
    <w:rsid w:val="4DB927C2"/>
    <w:rsid w:val="4DB9543D"/>
    <w:rsid w:val="502F422C"/>
    <w:rsid w:val="511D1849"/>
    <w:rsid w:val="54927008"/>
    <w:rsid w:val="5568577F"/>
    <w:rsid w:val="59F96CA8"/>
    <w:rsid w:val="5A7A541E"/>
    <w:rsid w:val="5B325753"/>
    <w:rsid w:val="5BC84860"/>
    <w:rsid w:val="5D103D31"/>
    <w:rsid w:val="5E813C89"/>
    <w:rsid w:val="5EF8535C"/>
    <w:rsid w:val="5F254158"/>
    <w:rsid w:val="5F5E5936"/>
    <w:rsid w:val="614F1272"/>
    <w:rsid w:val="61D443E6"/>
    <w:rsid w:val="634B38E7"/>
    <w:rsid w:val="63F804A8"/>
    <w:rsid w:val="66F420A2"/>
    <w:rsid w:val="67D210A1"/>
    <w:rsid w:val="68873DCA"/>
    <w:rsid w:val="6968602C"/>
    <w:rsid w:val="6BA06C5A"/>
    <w:rsid w:val="6BC07FA6"/>
    <w:rsid w:val="6E512F58"/>
    <w:rsid w:val="6F073BA1"/>
    <w:rsid w:val="6F170DDD"/>
    <w:rsid w:val="731E7AC3"/>
    <w:rsid w:val="73B72C56"/>
    <w:rsid w:val="73FB0735"/>
    <w:rsid w:val="756D7656"/>
    <w:rsid w:val="78C878ED"/>
    <w:rsid w:val="7B7626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ody Text"/>
    <w:basedOn w:val="1"/>
    <w:unhideWhenUsed/>
    <w:qFormat/>
    <w:uiPriority w:val="99"/>
    <w:pPr>
      <w:spacing w:after="120"/>
    </w:pPr>
  </w:style>
  <w:style w:type="paragraph" w:styleId="6">
    <w:name w:val="Balloon Text"/>
    <w:basedOn w:val="1"/>
    <w:link w:val="17"/>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19"/>
    <w:qFormat/>
    <w:uiPriority w:val="0"/>
    <w:rPr>
      <w:b/>
      <w:bCs/>
    </w:rPr>
  </w:style>
  <w:style w:type="paragraph" w:styleId="10">
    <w:name w:val="Body Text First Indent"/>
    <w:basedOn w:val="5"/>
    <w:unhideWhenUsed/>
    <w:qFormat/>
    <w:uiPriority w:val="99"/>
    <w:pPr>
      <w:ind w:firstLine="420" w:firstLineChars="100"/>
    </w:pPr>
    <w:rPr>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0"/>
    <w:rPr>
      <w:color w:val="0563C1" w:themeColor="hyperlink"/>
      <w:u w:val="single"/>
      <w14:textFill>
        <w14:solidFill>
          <w14:schemeClr w14:val="hlink"/>
        </w14:solidFill>
      </w14:textFill>
    </w:rPr>
  </w:style>
  <w:style w:type="character" w:styleId="15">
    <w:name w:val="annotation reference"/>
    <w:basedOn w:val="13"/>
    <w:qFormat/>
    <w:uiPriority w:val="0"/>
    <w:rPr>
      <w:sz w:val="21"/>
      <w:szCs w:val="21"/>
    </w:rPr>
  </w:style>
  <w:style w:type="paragraph" w:customStyle="1" w:styleId="16">
    <w:name w:val="List Paragraph"/>
    <w:basedOn w:val="1"/>
    <w:qFormat/>
    <w:uiPriority w:val="99"/>
    <w:pPr>
      <w:ind w:firstLine="420" w:firstLineChars="200"/>
    </w:pPr>
  </w:style>
  <w:style w:type="character" w:customStyle="1" w:styleId="17">
    <w:name w:val="批注框文本 字符"/>
    <w:basedOn w:val="13"/>
    <w:link w:val="6"/>
    <w:qFormat/>
    <w:uiPriority w:val="0"/>
    <w:rPr>
      <w:kern w:val="2"/>
      <w:sz w:val="18"/>
      <w:szCs w:val="18"/>
    </w:rPr>
  </w:style>
  <w:style w:type="character" w:customStyle="1" w:styleId="18">
    <w:name w:val="批注文字 字符"/>
    <w:basedOn w:val="13"/>
    <w:link w:val="4"/>
    <w:qFormat/>
    <w:uiPriority w:val="0"/>
    <w:rPr>
      <w:kern w:val="2"/>
      <w:sz w:val="21"/>
      <w:szCs w:val="22"/>
    </w:rPr>
  </w:style>
  <w:style w:type="character" w:customStyle="1" w:styleId="19">
    <w:name w:val="批注主题 字符"/>
    <w:basedOn w:val="18"/>
    <w:link w:val="9"/>
    <w:qFormat/>
    <w:uiPriority w:val="0"/>
    <w:rPr>
      <w:b/>
      <w:bCs/>
      <w:kern w:val="2"/>
      <w:sz w:val="21"/>
      <w:szCs w:val="22"/>
    </w:rPr>
  </w:style>
  <w:style w:type="character" w:customStyle="1" w:styleId="20">
    <w:name w:val="未处理的提及1"/>
    <w:basedOn w:val="13"/>
    <w:unhideWhenUsed/>
    <w:qFormat/>
    <w:uiPriority w:val="99"/>
    <w:rPr>
      <w:color w:val="605E5C"/>
      <w:shd w:val="clear" w:color="auto" w:fill="E1DFDD"/>
    </w:rPr>
  </w:style>
  <w:style w:type="character" w:customStyle="1" w:styleId="21">
    <w:name w:val="before"/>
    <w:basedOn w:val="13"/>
    <w:qFormat/>
    <w:uiPriority w:val="0"/>
  </w:style>
  <w:style w:type="character" w:customStyle="1" w:styleId="22">
    <w:name w:val="progress-green"/>
    <w:basedOn w:val="13"/>
    <w:qFormat/>
    <w:uiPriority w:val="0"/>
    <w:rPr>
      <w:bdr w:val="single" w:color="5C9425" w:sz="2" w:space="0"/>
      <w:shd w:val="clear" w:fill="77AF3F"/>
    </w:rPr>
  </w:style>
  <w:style w:type="character" w:customStyle="1" w:styleId="23">
    <w:name w:val="progress-yellow"/>
    <w:basedOn w:val="13"/>
    <w:qFormat/>
    <w:uiPriority w:val="0"/>
    <w:rPr>
      <w:bdr w:val="single" w:color="A92C2C" w:sz="2" w:space="0"/>
      <w:shd w:val="clear" w:fill="FFFF00"/>
    </w:rPr>
  </w:style>
  <w:style w:type="character" w:customStyle="1" w:styleId="24">
    <w:name w:val="at"/>
    <w:basedOn w:val="13"/>
    <w:qFormat/>
    <w:uiPriority w:val="0"/>
    <w:rPr>
      <w:color w:val="333333"/>
    </w:rPr>
  </w:style>
  <w:style w:type="character" w:customStyle="1" w:styleId="25">
    <w:name w:val="l-btn-left"/>
    <w:basedOn w:val="13"/>
    <w:qFormat/>
    <w:uiPriority w:val="0"/>
  </w:style>
  <w:style w:type="character" w:customStyle="1" w:styleId="26">
    <w:name w:val="l-btn-left1"/>
    <w:basedOn w:val="13"/>
    <w:qFormat/>
    <w:uiPriority w:val="0"/>
  </w:style>
  <w:style w:type="character" w:customStyle="1" w:styleId="27">
    <w:name w:val="l-btn-left2"/>
    <w:basedOn w:val="13"/>
    <w:qFormat/>
    <w:uiPriority w:val="0"/>
    <w:rPr>
      <w:color w:val="FFFFFF"/>
      <w:shd w:val="clear" w:fill="EDA024"/>
    </w:rPr>
  </w:style>
  <w:style w:type="character" w:customStyle="1" w:styleId="28">
    <w:name w:val="l-btn-left3"/>
    <w:basedOn w:val="13"/>
    <w:qFormat/>
    <w:uiPriority w:val="0"/>
  </w:style>
  <w:style w:type="character" w:customStyle="1" w:styleId="29">
    <w:name w:val="progress-blue"/>
    <w:basedOn w:val="13"/>
    <w:qFormat/>
    <w:uiPriority w:val="0"/>
    <w:rPr>
      <w:bdr w:val="single" w:color="0078A5" w:sz="2" w:space="0"/>
      <w:shd w:val="clear" w:fill="5C9ADE"/>
    </w:rPr>
  </w:style>
  <w:style w:type="character" w:customStyle="1" w:styleId="30">
    <w:name w:val="progress-orange"/>
    <w:basedOn w:val="13"/>
    <w:qFormat/>
    <w:uiPriority w:val="0"/>
    <w:rPr>
      <w:bdr w:val="single" w:color="F47A20" w:sz="2" w:space="0"/>
      <w:shd w:val="clear" w:fill="FAA51A"/>
    </w:rPr>
  </w:style>
  <w:style w:type="character" w:customStyle="1" w:styleId="31">
    <w:name w:val="progress-red"/>
    <w:basedOn w:val="13"/>
    <w:qFormat/>
    <w:uiPriority w:val="0"/>
    <w:rPr>
      <w:bdr w:val="single" w:color="A92C2C" w:sz="2" w:space="0"/>
      <w:shd w:val="clear" w:fill="C44747"/>
    </w:rPr>
  </w:style>
  <w:style w:type="character" w:customStyle="1" w:styleId="32">
    <w:name w:val="l-btn-empty"/>
    <w:basedOn w:val="13"/>
    <w:qFormat/>
    <w:uiPriority w:val="0"/>
  </w:style>
  <w:style w:type="character" w:customStyle="1" w:styleId="33">
    <w:name w:val="l-btn-text"/>
    <w:basedOn w:val="13"/>
    <w:qFormat/>
    <w:uiPriority w:val="0"/>
  </w:style>
  <w:style w:type="character" w:customStyle="1" w:styleId="34">
    <w:name w:val="layui-layer-tabnow"/>
    <w:basedOn w:val="13"/>
    <w:qFormat/>
    <w:uiPriority w:val="0"/>
    <w:rPr>
      <w:bdr w:val="single" w:color="CCCCCC" w:sz="6" w:space="0"/>
      <w:shd w:val="clear" w:fill="FFFFFF"/>
    </w:rPr>
  </w:style>
  <w:style w:type="character" w:customStyle="1" w:styleId="35">
    <w:name w:val="first-child"/>
    <w:basedOn w:val="1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714</Words>
  <Characters>4073</Characters>
  <Lines>33</Lines>
  <Paragraphs>9</Paragraphs>
  <TotalTime>4</TotalTime>
  <ScaleCrop>false</ScaleCrop>
  <LinksUpToDate>false</LinksUpToDate>
  <CharactersWithSpaces>4778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2020-12-10T01:20:00Z</dcterms:created>
  <dc:creator>郭胜霖</dc:creator>
  <cp:lastModifiedBy>远^_^</cp:lastModifiedBy>
  <dcterms:modified xsi:type="dcterms:W3CDTF">2021-01-04T09:55:27Z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