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28"/>
          <w:szCs w:val="28"/>
          <w:lang w:eastAsia="zh-Hans"/>
        </w:rPr>
      </w:pPr>
      <w:r>
        <w:t xml:space="preserve">                                </w:t>
      </w:r>
      <w:r>
        <w:rPr>
          <w:sz w:val="18"/>
          <w:szCs w:val="21"/>
        </w:rPr>
        <w:t xml:space="preserve"> </w:t>
      </w:r>
      <w:r>
        <w:rPr>
          <w:rFonts w:hint="eastAsia" w:ascii="仿宋" w:hAnsi="仿宋" w:eastAsia="仿宋"/>
          <w:sz w:val="28"/>
          <w:szCs w:val="28"/>
          <w:lang w:eastAsia="zh-Hans"/>
        </w:rPr>
        <w:t>说明</w:t>
      </w:r>
    </w:p>
    <w:p>
      <w:pPr>
        <w:rPr>
          <w:rFonts w:ascii="仿宋" w:hAnsi="仿宋" w:eastAsia="仿宋"/>
          <w:sz w:val="24"/>
        </w:rPr>
      </w:pPr>
      <w:r>
        <w:rPr>
          <w:rFonts w:hint="eastAsia" w:ascii="仿宋" w:hAnsi="仿宋" w:eastAsia="仿宋"/>
          <w:sz w:val="24"/>
        </w:rPr>
        <w:t>中粮信托有限责任公司</w:t>
      </w:r>
      <w:r>
        <w:rPr>
          <w:rFonts w:ascii="仿宋" w:hAnsi="仿宋" w:eastAsia="仿宋"/>
          <w:sz w:val="24"/>
        </w:rPr>
        <w:t>：</w:t>
      </w:r>
    </w:p>
    <w:p>
      <w:pPr>
        <w:rPr>
          <w:rFonts w:ascii="仿宋" w:hAnsi="仿宋" w:eastAsia="仿宋"/>
          <w:sz w:val="24"/>
          <w:lang w:eastAsia="zh-Hans"/>
        </w:rPr>
      </w:pPr>
      <w:r>
        <w:rPr>
          <w:rFonts w:ascii="仿宋" w:hAnsi="仿宋" w:eastAsia="仿宋"/>
          <w:sz w:val="24"/>
        </w:rPr>
        <w:t xml:space="preserve">  </w:t>
      </w:r>
      <w:r>
        <w:rPr>
          <w:rFonts w:hint="eastAsia" w:ascii="仿宋" w:hAnsi="仿宋" w:eastAsia="仿宋"/>
          <w:sz w:val="24"/>
          <w:lang w:eastAsia="zh-Hans"/>
        </w:rPr>
        <w:t>关于</w:t>
      </w:r>
      <w:r>
        <w:rPr>
          <w:rFonts w:ascii="仿宋" w:hAnsi="仿宋" w:eastAsia="仿宋"/>
          <w:sz w:val="24"/>
          <w:lang w:eastAsia="zh-Hans"/>
        </w:rPr>
        <w:t>2021</w:t>
      </w:r>
      <w:r>
        <w:rPr>
          <w:rFonts w:hint="eastAsia" w:ascii="仿宋" w:hAnsi="仿宋" w:eastAsia="仿宋"/>
          <w:sz w:val="24"/>
          <w:lang w:eastAsia="zh-Hans"/>
        </w:rPr>
        <w:t>年</w:t>
      </w:r>
      <w:r>
        <w:rPr>
          <w:rFonts w:ascii="仿宋" w:hAnsi="仿宋" w:eastAsia="仿宋"/>
          <w:sz w:val="24"/>
          <w:lang w:eastAsia="zh-Hans"/>
        </w:rPr>
        <w:t>4</w:t>
      </w:r>
      <w:r>
        <w:rPr>
          <w:rFonts w:hint="eastAsia" w:ascii="仿宋" w:hAnsi="仿宋" w:eastAsia="仿宋"/>
          <w:sz w:val="24"/>
          <w:lang w:eastAsia="zh-Hans"/>
        </w:rPr>
        <w:t>月</w:t>
      </w:r>
      <w:r>
        <w:rPr>
          <w:rFonts w:ascii="仿宋" w:hAnsi="仿宋" w:eastAsia="仿宋"/>
          <w:sz w:val="24"/>
          <w:lang w:eastAsia="zh-Hans"/>
        </w:rPr>
        <w:t>15</w:t>
      </w:r>
      <w:r>
        <w:rPr>
          <w:rFonts w:hint="eastAsia" w:ascii="仿宋" w:hAnsi="仿宋" w:eastAsia="仿宋"/>
          <w:sz w:val="24"/>
          <w:lang w:eastAsia="zh-Hans"/>
        </w:rPr>
        <w:t>日受贵司委托对盐城绿跃房地产开发有限公司进行入场共管交接事项</w:t>
      </w:r>
      <w:r>
        <w:rPr>
          <w:rFonts w:ascii="仿宋" w:hAnsi="仿宋" w:eastAsia="仿宋"/>
          <w:sz w:val="24"/>
          <w:lang w:eastAsia="zh-Hans"/>
        </w:rPr>
        <w:t>，</w:t>
      </w:r>
      <w:r>
        <w:rPr>
          <w:rFonts w:hint="eastAsia" w:ascii="仿宋" w:hAnsi="仿宋" w:eastAsia="仿宋"/>
          <w:sz w:val="24"/>
          <w:lang w:eastAsia="zh-Hans"/>
        </w:rPr>
        <w:t>作出下列说明</w:t>
      </w:r>
      <w:r>
        <w:rPr>
          <w:rFonts w:ascii="仿宋" w:hAnsi="仿宋" w:eastAsia="仿宋"/>
          <w:sz w:val="24"/>
          <w:lang w:eastAsia="zh-Hans"/>
        </w:rPr>
        <w:t>：</w:t>
      </w:r>
      <w:bookmarkStart w:id="0" w:name="_GoBack"/>
      <w:bookmarkEnd w:id="0"/>
    </w:p>
    <w:p>
      <w:pPr>
        <w:rPr>
          <w:rFonts w:hint="eastAsia" w:ascii="仿宋" w:hAnsi="仿宋" w:eastAsia="仿宋" w:cstheme="minorBidi"/>
          <w:kern w:val="2"/>
          <w:sz w:val="24"/>
          <w:lang w:eastAsia="zh-Hans"/>
        </w:rPr>
      </w:pPr>
      <w:r>
        <w:rPr>
          <w:rFonts w:ascii="仿宋" w:hAnsi="仿宋" w:eastAsia="仿宋"/>
          <w:sz w:val="24"/>
          <w:lang w:eastAsia="zh-Hans"/>
        </w:rPr>
        <w:t xml:space="preserve">  1、</w:t>
      </w:r>
      <w:r>
        <w:rPr>
          <w:rFonts w:hint="eastAsia" w:ascii="仿宋" w:hAnsi="仿宋" w:eastAsia="仿宋"/>
          <w:sz w:val="24"/>
          <w:lang w:eastAsia="zh-Hans"/>
        </w:rPr>
        <w:t>我司监管人员在与盐城绿跃房地产开发有限公司相关对接人在贵司信托项目监督下</w:t>
      </w:r>
      <w:r>
        <w:rPr>
          <w:rFonts w:ascii="仿宋" w:hAnsi="仿宋" w:eastAsia="仿宋"/>
          <w:sz w:val="24"/>
          <w:lang w:eastAsia="zh-Hans"/>
        </w:rPr>
        <w:t>，</w:t>
      </w:r>
      <w:r>
        <w:rPr>
          <w:rFonts w:hint="eastAsia" w:ascii="仿宋" w:hAnsi="仿宋" w:eastAsia="仿宋" w:cstheme="minorBidi"/>
          <w:kern w:val="2"/>
          <w:sz w:val="24"/>
          <w:lang w:eastAsia="zh-Hans"/>
        </w:rPr>
        <w:t>各方在项目现场以《中粮信托-福享13号集合资金信托计划监管服务协议》中《交接确认单》约定的所列内容为依据，在</w:t>
      </w:r>
      <w:r>
        <w:rPr>
          <w:rFonts w:ascii="仿宋" w:hAnsi="仿宋" w:eastAsia="仿宋"/>
          <w:sz w:val="24"/>
          <w:lang w:eastAsia="zh-Hans"/>
        </w:rPr>
        <w:t>2021</w:t>
      </w:r>
      <w:r>
        <w:rPr>
          <w:rFonts w:hint="eastAsia" w:ascii="仿宋" w:hAnsi="仿宋" w:eastAsia="仿宋"/>
          <w:sz w:val="24"/>
          <w:lang w:eastAsia="zh-Hans"/>
        </w:rPr>
        <w:t>年</w:t>
      </w:r>
      <w:r>
        <w:rPr>
          <w:rFonts w:ascii="仿宋" w:hAnsi="仿宋" w:eastAsia="仿宋"/>
          <w:sz w:val="24"/>
          <w:lang w:eastAsia="zh-Hans"/>
        </w:rPr>
        <w:t>4</w:t>
      </w:r>
      <w:r>
        <w:rPr>
          <w:rFonts w:hint="eastAsia" w:ascii="仿宋" w:hAnsi="仿宋" w:eastAsia="仿宋"/>
          <w:sz w:val="24"/>
          <w:lang w:eastAsia="zh-Hans"/>
        </w:rPr>
        <w:t>月</w:t>
      </w:r>
      <w:r>
        <w:rPr>
          <w:rFonts w:ascii="仿宋" w:hAnsi="仿宋" w:eastAsia="仿宋"/>
          <w:sz w:val="24"/>
          <w:lang w:eastAsia="zh-Hans"/>
        </w:rPr>
        <w:t>15</w:t>
      </w:r>
      <w:r>
        <w:rPr>
          <w:rFonts w:hint="eastAsia" w:ascii="仿宋" w:hAnsi="仿宋" w:eastAsia="仿宋"/>
          <w:sz w:val="24"/>
          <w:lang w:eastAsia="zh-Hans"/>
        </w:rPr>
        <w:t>日</w:t>
      </w:r>
      <w:r>
        <w:rPr>
          <w:rFonts w:hint="eastAsia" w:ascii="仿宋" w:hAnsi="仿宋" w:eastAsia="仿宋" w:cstheme="minorBidi"/>
          <w:kern w:val="2"/>
          <w:sz w:val="24"/>
          <w:lang w:eastAsia="zh-Hans"/>
        </w:rPr>
        <w:t>完成对项目涉及的</w:t>
      </w:r>
      <w:r>
        <w:rPr>
          <w:rFonts w:hint="eastAsia" w:ascii="仿宋" w:hAnsi="仿宋" w:eastAsia="仿宋"/>
          <w:sz w:val="24"/>
          <w:lang w:eastAsia="zh-Hans"/>
        </w:rPr>
        <w:t>盐城绿跃房地产开发有限公司</w:t>
      </w:r>
      <w:r>
        <w:rPr>
          <w:rFonts w:hint="eastAsia" w:ascii="仿宋" w:hAnsi="仿宋" w:eastAsia="仿宋" w:cstheme="minorBidi"/>
          <w:kern w:val="2"/>
          <w:sz w:val="24"/>
          <w:lang w:eastAsia="zh-Hans"/>
        </w:rPr>
        <w:t>已取得的全部印鉴、证照、密钥、支付工具等的现场交接。</w:t>
      </w:r>
    </w:p>
    <w:p>
      <w:pPr>
        <w:rPr>
          <w:rFonts w:hint="eastAsia" w:ascii="仿宋" w:hAnsi="仿宋" w:eastAsia="仿宋" w:cstheme="minorBidi"/>
          <w:kern w:val="2"/>
          <w:sz w:val="24"/>
          <w:lang w:eastAsia="zh-Hans"/>
        </w:rPr>
      </w:pPr>
      <w:r>
        <w:rPr>
          <w:rFonts w:ascii="仿宋" w:hAnsi="仿宋" w:eastAsia="仿宋"/>
          <w:sz w:val="24"/>
          <w:lang w:eastAsia="zh-Hans"/>
        </w:rPr>
        <w:t xml:space="preserve">  2、</w:t>
      </w:r>
      <w:r>
        <w:rPr>
          <w:rFonts w:hint="eastAsia" w:ascii="仿宋" w:hAnsi="仿宋" w:eastAsia="仿宋"/>
          <w:sz w:val="24"/>
          <w:lang w:eastAsia="zh-Hans"/>
        </w:rPr>
        <w:t>由于该公司在</w:t>
      </w:r>
      <w:r>
        <w:rPr>
          <w:rFonts w:ascii="仿宋" w:hAnsi="仿宋" w:eastAsia="仿宋"/>
          <w:sz w:val="24"/>
          <w:lang w:eastAsia="zh-Hans"/>
        </w:rPr>
        <w:t>2021</w:t>
      </w:r>
      <w:r>
        <w:rPr>
          <w:rFonts w:hint="eastAsia" w:ascii="仿宋" w:hAnsi="仿宋" w:eastAsia="仿宋"/>
          <w:sz w:val="24"/>
          <w:lang w:eastAsia="zh-Hans"/>
        </w:rPr>
        <w:t>年</w:t>
      </w:r>
      <w:r>
        <w:rPr>
          <w:rFonts w:ascii="仿宋" w:hAnsi="仿宋" w:eastAsia="仿宋"/>
          <w:sz w:val="24"/>
          <w:lang w:eastAsia="zh-Hans"/>
        </w:rPr>
        <w:t>3</w:t>
      </w:r>
      <w:r>
        <w:rPr>
          <w:rFonts w:hint="eastAsia" w:ascii="仿宋" w:hAnsi="仿宋" w:eastAsia="仿宋"/>
          <w:sz w:val="24"/>
          <w:lang w:eastAsia="zh-Hans"/>
        </w:rPr>
        <w:t>月份成立</w:t>
      </w:r>
      <w:r>
        <w:rPr>
          <w:rFonts w:ascii="仿宋" w:hAnsi="仿宋" w:eastAsia="仿宋"/>
          <w:sz w:val="24"/>
          <w:lang w:eastAsia="zh-Hans"/>
        </w:rPr>
        <w:t>，</w:t>
      </w:r>
      <w:r>
        <w:rPr>
          <w:rFonts w:hint="eastAsia" w:ascii="仿宋" w:hAnsi="仿宋" w:eastAsia="仿宋" w:cstheme="minorBidi"/>
          <w:kern w:val="2"/>
          <w:sz w:val="24"/>
          <w:lang w:eastAsia="zh-Hans"/>
        </w:rPr>
        <w:t>经确认，该公司的审批拟采用线上OA审批流程，目前还未启用，无相关签字样本。待项目公司建立了完善的公司审批流程后，将启用新的审批流程。</w:t>
      </w:r>
    </w:p>
    <w:p>
      <w:pPr>
        <w:rPr>
          <w:rFonts w:hint="eastAsia" w:ascii="仿宋" w:hAnsi="仿宋" w:eastAsia="仿宋" w:cstheme="minorBidi"/>
          <w:kern w:val="2"/>
          <w:sz w:val="24"/>
          <w:lang w:eastAsia="zh-Hans"/>
        </w:rPr>
      </w:pPr>
      <w:r>
        <w:rPr>
          <w:rFonts w:hint="eastAsia" w:ascii="仿宋" w:hAnsi="仿宋" w:eastAsia="仿宋" w:cstheme="minorBidi"/>
          <w:kern w:val="2"/>
          <w:sz w:val="24"/>
          <w:lang w:eastAsia="zh-Hans"/>
        </w:rPr>
        <w:t xml:space="preserve">  3、我司将严格依据《中粮信托-福享13号集合资金信托计划监管服务协议》约定，执行各项监管工作，按要求保障印鉴章照在合理合规范围内的使用。</w:t>
      </w:r>
    </w:p>
    <w:p>
      <w:pPr>
        <w:rPr>
          <w:rFonts w:hint="eastAsia" w:ascii="仿宋" w:hAnsi="仿宋" w:eastAsia="仿宋" w:cstheme="minorBidi"/>
          <w:kern w:val="2"/>
          <w:sz w:val="24"/>
          <w:lang w:eastAsia="zh-Hans"/>
        </w:rPr>
      </w:pPr>
    </w:p>
    <w:p>
      <w:pPr>
        <w:rPr>
          <w:rFonts w:ascii="仿宋" w:hAnsi="仿宋" w:eastAsia="仿宋" w:cs="Arial"/>
          <w:kern w:val="0"/>
          <w:sz w:val="24"/>
          <w:lang w:eastAsia="zh-Hans"/>
        </w:rPr>
      </w:pPr>
    </w:p>
    <w:p>
      <w:pPr>
        <w:rPr>
          <w:rFonts w:ascii="仿宋" w:hAnsi="仿宋" w:eastAsia="仿宋" w:cs="Arial"/>
          <w:kern w:val="0"/>
          <w:sz w:val="24"/>
          <w:lang w:eastAsia="zh-Hans"/>
        </w:rPr>
      </w:pPr>
      <w:r>
        <w:rPr>
          <w:rFonts w:ascii="仿宋" w:hAnsi="仿宋" w:eastAsia="仿宋" w:cs="Arial"/>
          <w:kern w:val="0"/>
          <w:sz w:val="24"/>
          <w:lang w:eastAsia="zh-Hans"/>
        </w:rPr>
        <w:t xml:space="preserve">                                         </w:t>
      </w:r>
      <w:r>
        <w:rPr>
          <w:rFonts w:hint="eastAsia" w:ascii="仿宋" w:hAnsi="仿宋" w:eastAsia="仿宋" w:cs="Arial"/>
          <w:kern w:val="0"/>
          <w:sz w:val="24"/>
          <w:lang w:eastAsia="zh-Hans"/>
        </w:rPr>
        <w:t>北京康信君安资产管理有限公司</w:t>
      </w:r>
    </w:p>
    <w:p>
      <w:pPr>
        <w:rPr>
          <w:rFonts w:ascii="仿宋" w:hAnsi="仿宋" w:eastAsia="仿宋" w:cs="Arial"/>
          <w:kern w:val="0"/>
          <w:sz w:val="24"/>
          <w:lang w:eastAsia="zh-Hans"/>
        </w:rPr>
      </w:pPr>
      <w:r>
        <w:rPr>
          <w:rFonts w:ascii="仿宋" w:hAnsi="仿宋" w:eastAsia="仿宋" w:cs="Arial"/>
          <w:kern w:val="0"/>
          <w:sz w:val="24"/>
          <w:lang w:eastAsia="zh-Hans"/>
        </w:rPr>
        <w:t xml:space="preserve">                                              2021</w:t>
      </w:r>
      <w:r>
        <w:rPr>
          <w:rFonts w:hint="eastAsia" w:ascii="仿宋" w:hAnsi="仿宋" w:eastAsia="仿宋" w:cs="Arial"/>
          <w:kern w:val="0"/>
          <w:sz w:val="24"/>
          <w:lang w:eastAsia="zh-Hans"/>
        </w:rPr>
        <w:t>年</w:t>
      </w:r>
      <w:r>
        <w:rPr>
          <w:rFonts w:ascii="仿宋" w:hAnsi="仿宋" w:eastAsia="仿宋" w:cs="Arial"/>
          <w:kern w:val="0"/>
          <w:sz w:val="24"/>
          <w:lang w:eastAsia="zh-Hans"/>
        </w:rPr>
        <w:t>4</w:t>
      </w:r>
      <w:r>
        <w:rPr>
          <w:rFonts w:hint="eastAsia" w:ascii="仿宋" w:hAnsi="仿宋" w:eastAsia="仿宋" w:cs="Arial"/>
          <w:kern w:val="0"/>
          <w:sz w:val="24"/>
          <w:lang w:eastAsia="zh-Hans"/>
        </w:rPr>
        <w:t>月</w:t>
      </w:r>
      <w:r>
        <w:rPr>
          <w:rFonts w:ascii="仿宋" w:hAnsi="仿宋" w:eastAsia="仿宋" w:cs="Arial"/>
          <w:kern w:val="0"/>
          <w:sz w:val="24"/>
          <w:lang w:eastAsia="zh-Hans"/>
        </w:rPr>
        <w:t>15</w:t>
      </w:r>
      <w:r>
        <w:rPr>
          <w:rFonts w:hint="eastAsia" w:ascii="仿宋" w:hAnsi="仿宋" w:eastAsia="仿宋" w:cs="Arial"/>
          <w:kern w:val="0"/>
          <w:sz w:val="24"/>
          <w:lang w:eastAsia="zh-Hans"/>
        </w:rPr>
        <w:t>日</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Calibri Light">
    <w:altName w:val="Helvetica Neue"/>
    <w:panose1 w:val="020F0302020204030204"/>
    <w:charset w:val="00"/>
    <w:family w:val="swiss"/>
    <w:pitch w:val="default"/>
    <w:sig w:usb0="00000000" w:usb1="00000000" w:usb2="00000009" w:usb3="00000000" w:csb0="000001FF"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0" distR="0">
          <wp:extent cx="5274310" cy="372110"/>
          <wp:effectExtent l="0" t="0" r="889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721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DBCB5"/>
    <w:rsid w:val="677DBCB5"/>
    <w:rsid w:val="E753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Office_3.4.2.5348_F1E327BC-269C-435d-A152-05C5408002CA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2021-04-16T17:44:00Z</dcterms:created>
  <dc:creator>mac</dc:creator>
  <cp:lastModifiedBy>mac</cp:lastModifiedBy>
  <dcterms:modified xsi:type="dcterms:W3CDTF">2021-04-16T10:54:49Z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