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7E" w:rsidRDefault="00FE3201">
      <w:pPr>
        <w:jc w:val="center"/>
        <w:rPr>
          <w:rFonts w:ascii="黑体" w:eastAsia="黑体" w:hAnsi="黑体" w:cs="仿宋_GB2312"/>
          <w:sz w:val="32"/>
          <w:szCs w:val="32"/>
        </w:rPr>
      </w:pPr>
      <w:r>
        <w:rPr>
          <w:rFonts w:ascii="黑体" w:eastAsia="黑体" w:hAnsi="黑体" w:cs="仿宋_GB2312" w:hint="eastAsia"/>
          <w:sz w:val="32"/>
          <w:szCs w:val="32"/>
        </w:rPr>
        <w:t>北京顺义中宏粮食储备库有限公司仓储用房房地产市场租金水平评估项目集团审核意见2023</w:t>
      </w:r>
      <w:r w:rsidR="00727729">
        <w:rPr>
          <w:rFonts w:ascii="黑体" w:eastAsia="黑体" w:hAnsi="黑体" w:cs="仿宋_GB2312" w:hint="eastAsia"/>
          <w:sz w:val="32"/>
          <w:szCs w:val="32"/>
        </w:rPr>
        <w:t>0629</w:t>
      </w:r>
    </w:p>
    <w:p w:rsidR="0098747E" w:rsidRDefault="0098747E">
      <w:pPr>
        <w:rPr>
          <w:rFonts w:ascii="仿宋_GB2312" w:eastAsia="仿宋_GB2312" w:hAnsi="仿宋_GB2312" w:cs="仿宋_GB2312"/>
          <w:b/>
          <w:sz w:val="32"/>
          <w:szCs w:val="32"/>
        </w:rPr>
      </w:pP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.报告P</w:t>
      </w:r>
      <w:r>
        <w:rPr>
          <w:rFonts w:ascii="仿宋" w:eastAsia="仿宋" w:hAnsi="仿宋" w:hint="eastAsia"/>
          <w:bCs/>
          <w:sz w:val="28"/>
          <w:szCs w:val="28"/>
        </w:rPr>
        <w:t>7、复审意见P3/6，“由于估价对象所属项目未办理《不动产权证书》，本次评估估价对象各幢建筑物建筑面积以估价委托人提供的《估价委托书》上载明的为依据。”请评估机构说明现场核实过程及结论并考虑评估报告的有关表述是否准确。</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我司评估人员与估价委托人现场进行沟通，估价委托人表示因为历史遗留问题，估价对象所属项目未办理不动产权证书。估价对象各幢建筑物建筑面积以估价委托人提供的《估价委托书》上载明的为依据。估价对象准确面积应以专业测绘公司出具的《房屋面积测算技术报告书》为准。</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highlight w:val="cyan"/>
        </w:rPr>
        <w:t>复审意见：说明现场核实过程及结论，尤其是房产、土地面积的核实确认过程。</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20230602回复：我司评估专业人员于2023年1月12日对估价对象进行现场实地勘察，现场共有3栋物流仓（分为东、西罩棚仓、5号物流仓）、4栋平房仓（分为8个廒间）、1栋机修车间（麻袋库）、1栋机械罩棚、1栋附属设施。本次评估对象为东、西罩棚仓及1个廒间（3号仓）。东、西罩棚仓为标准层高、单层钢结构标准厂房、3号仓为超高层高、单层钢混结构粮食仓库。</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根据估价委托人介绍及提供的《建设工程规划许可证》、《建设工程开工证》及《工程质量竣工核定证书》，顺义库已完成建设，但</w:t>
      </w:r>
      <w:r>
        <w:rPr>
          <w:rFonts w:ascii="仿宋" w:eastAsia="仿宋" w:hAnsi="仿宋" w:hint="eastAsia"/>
          <w:b/>
          <w:bCs/>
          <w:sz w:val="28"/>
          <w:szCs w:val="28"/>
        </w:rPr>
        <w:lastRenderedPageBreak/>
        <w:t>因历史遗留问题，未办理不动产权证书。本次评估估价对象建筑面积以估价委托人盖章的《估价委托书》及《项目面积说明》为依据，即东罩棚仓1318平方米、西罩棚仓1434平方米、3号仓1600平方米。我司评估专业人员对上述3栋库房进行实地测量，测量结果与《估价委托书》及《项目面积说明》基本一致（约±3%的差异）。估价对象所属宗地土地面积以《国有土地使用证》证载为准，即土地面积51170平方米。</w:t>
      </w:r>
    </w:p>
    <w:p w:rsidR="0098747E" w:rsidRDefault="00FE3201">
      <w:pPr>
        <w:overflowPunct w:val="0"/>
        <w:spacing w:line="480" w:lineRule="auto"/>
        <w:ind w:firstLineChars="200"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bCs/>
          <w:sz w:val="28"/>
          <w:szCs w:val="28"/>
        </w:rPr>
        <w:t>报告P</w:t>
      </w:r>
      <w:r>
        <w:rPr>
          <w:rFonts w:ascii="仿宋" w:eastAsia="仿宋" w:hAnsi="仿宋" w:hint="eastAsia"/>
          <w:bCs/>
          <w:sz w:val="28"/>
          <w:szCs w:val="28"/>
        </w:rPr>
        <w:t>7、P17、P18，“估价委托人未能提供的《国有土地使用证》”。请委托方说明为何无法提供土地证？该描述与其他地方的描述及问题回复是否相符？</w:t>
      </w:r>
    </w:p>
    <w:p w:rsidR="0098747E" w:rsidRDefault="00FE3201">
      <w:pPr>
        <w:overflowPunct w:val="0"/>
        <w:spacing w:line="480" w:lineRule="auto"/>
        <w:ind w:firstLineChars="200" w:firstLine="562"/>
        <w:rPr>
          <w:rFonts w:ascii="仿宋" w:eastAsia="仿宋" w:hAnsi="仿宋"/>
          <w:bCs/>
          <w:sz w:val="28"/>
          <w:szCs w:val="28"/>
        </w:rPr>
      </w:pPr>
      <w:r>
        <w:rPr>
          <w:rFonts w:ascii="仿宋" w:eastAsia="仿宋" w:hAnsi="仿宋" w:hint="eastAsia"/>
          <w:b/>
          <w:bCs/>
          <w:sz w:val="28"/>
          <w:szCs w:val="28"/>
        </w:rPr>
        <w:t>回复</w:t>
      </w:r>
      <w:r>
        <w:rPr>
          <w:rFonts w:ascii="仿宋" w:eastAsia="仿宋" w:hAnsi="仿宋" w:hint="eastAsia"/>
          <w:bCs/>
          <w:sz w:val="28"/>
          <w:szCs w:val="28"/>
        </w:rPr>
        <w:t>：</w:t>
      </w:r>
      <w:r>
        <w:rPr>
          <w:rFonts w:ascii="仿宋" w:eastAsia="仿宋" w:hAnsi="仿宋" w:hint="eastAsia"/>
          <w:b/>
          <w:bCs/>
          <w:sz w:val="28"/>
          <w:szCs w:val="28"/>
        </w:rPr>
        <w:t>我司评估人员与估价委托人电话沟通，估价委托人现已补充提供《国有土地使用证》，已在报告相关描述中进行修改。</w:t>
      </w:r>
    </w:p>
    <w:p w:rsidR="0098747E" w:rsidRDefault="00FE3201">
      <w:pPr>
        <w:overflowPunct w:val="0"/>
        <w:spacing w:line="480" w:lineRule="auto"/>
        <w:ind w:firstLineChars="200" w:firstLine="560"/>
        <w:rPr>
          <w:rFonts w:ascii="仿宋" w:eastAsia="仿宋" w:hAnsi="仿宋"/>
          <w:bCs/>
          <w:sz w:val="28"/>
          <w:szCs w:val="28"/>
        </w:rPr>
      </w:pPr>
      <w:r>
        <w:rPr>
          <w:rFonts w:ascii="仿宋" w:eastAsia="仿宋" w:hAnsi="仿宋" w:hint="eastAsia"/>
          <w:bCs/>
          <w:sz w:val="28"/>
          <w:szCs w:val="28"/>
        </w:rPr>
        <w:t>3.</w:t>
      </w:r>
      <w:r>
        <w:rPr>
          <w:rFonts w:ascii="仿宋" w:eastAsia="仿宋" w:hAnsi="仿宋"/>
          <w:bCs/>
          <w:sz w:val="28"/>
          <w:szCs w:val="28"/>
        </w:rPr>
        <w:t>报告P</w:t>
      </w:r>
      <w:r>
        <w:rPr>
          <w:rFonts w:ascii="仿宋" w:eastAsia="仿宋" w:hAnsi="仿宋" w:hint="eastAsia"/>
          <w:bCs/>
          <w:sz w:val="28"/>
          <w:szCs w:val="28"/>
        </w:rPr>
        <w:t>10、P17，估价对象基本状况描述中，平房仓与3号仓什么关系，请核实？</w:t>
      </w:r>
    </w:p>
    <w:p w:rsidR="0098747E" w:rsidRDefault="00FE3201">
      <w:pPr>
        <w:overflowPunct w:val="0"/>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回复;报告全文中“平方仓”替换为“平房仓”。顺义库共4栋平房仓，为8个廒间，即编号1-8号仓，3号仓为其中一个廒间。具体位置详见下图：</w:t>
      </w:r>
    </w:p>
    <w:p w:rsidR="0098747E" w:rsidRDefault="00FE3201">
      <w:pPr>
        <w:overflowPunct w:val="0"/>
        <w:spacing w:line="480" w:lineRule="auto"/>
        <w:ind w:firstLineChars="200" w:firstLine="562"/>
        <w:rPr>
          <w:rFonts w:ascii="仿宋" w:eastAsia="仿宋" w:hAnsi="仿宋"/>
          <w:b/>
          <w:bCs/>
          <w:sz w:val="28"/>
          <w:szCs w:val="28"/>
        </w:rPr>
      </w:pPr>
      <w:r>
        <w:rPr>
          <w:rFonts w:ascii="仿宋" w:eastAsia="仿宋" w:hAnsi="仿宋"/>
          <w:b/>
          <w:bCs/>
          <w:noProof/>
          <w:sz w:val="28"/>
          <w:szCs w:val="28"/>
        </w:rPr>
        <w:drawing>
          <wp:inline distT="0" distB="0" distL="0" distR="0">
            <wp:extent cx="5274310" cy="3082925"/>
            <wp:effectExtent l="0" t="0" r="2540" b="3175"/>
            <wp:docPr id="1" name="图片 1" descr="C:\Users\Administrator\Documents\WeChat Files\vickycc0312\FileStorage\Temp\1684384571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vickycc0312\FileStorage\Temp\16843845716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082951"/>
                    </a:xfrm>
                    <a:prstGeom prst="rect">
                      <a:avLst/>
                    </a:prstGeom>
                    <a:noFill/>
                    <a:ln>
                      <a:noFill/>
                    </a:ln>
                  </pic:spPr>
                </pic:pic>
              </a:graphicData>
            </a:graphic>
          </wp:inline>
        </w:drawing>
      </w:r>
    </w:p>
    <w:p w:rsidR="0098747E" w:rsidRDefault="00FE3201">
      <w:pPr>
        <w:overflowPunct w:val="0"/>
        <w:spacing w:line="480" w:lineRule="auto"/>
        <w:ind w:firstLineChars="200" w:firstLine="560"/>
        <w:rPr>
          <w:rFonts w:ascii="仿宋" w:eastAsia="仿宋" w:hAnsi="仿宋"/>
          <w:bCs/>
          <w:sz w:val="28"/>
          <w:szCs w:val="28"/>
        </w:rPr>
      </w:pPr>
      <w:r>
        <w:rPr>
          <w:rFonts w:ascii="仿宋" w:eastAsia="仿宋" w:hAnsi="仿宋" w:hint="eastAsia"/>
          <w:bCs/>
          <w:sz w:val="28"/>
          <w:szCs w:val="28"/>
        </w:rPr>
        <w:t>4.报告P15、P28，本次评估为何只选取一种评估方法，是否符合国资委要求？为何不采用收益法评估房地产市场租金。</w:t>
      </w:r>
    </w:p>
    <w:p w:rsidR="0098747E" w:rsidRDefault="00FE3201">
      <w:pPr>
        <w:spacing w:line="500" w:lineRule="exact"/>
        <w:ind w:firstLineChars="200" w:firstLine="562"/>
        <w:rPr>
          <w:rFonts w:ascii="仿宋_GB2312" w:eastAsia="仿宋_GB2312" w:hAnsi="仿宋_GB2312" w:cs="仿宋_GB2312"/>
          <w:b/>
          <w:sz w:val="28"/>
          <w:szCs w:val="28"/>
        </w:rPr>
      </w:pPr>
      <w:r>
        <w:rPr>
          <w:rFonts w:ascii="仿宋" w:eastAsia="仿宋" w:hAnsi="仿宋" w:hint="eastAsia"/>
          <w:b/>
          <w:bCs/>
          <w:sz w:val="28"/>
          <w:szCs w:val="28"/>
        </w:rPr>
        <w:t>回复：</w:t>
      </w:r>
      <w:r>
        <w:rPr>
          <w:rFonts w:ascii="仿宋_GB2312" w:eastAsia="仿宋_GB2312" w:hAnsi="仿宋_GB2312" w:cs="仿宋_GB2312" w:hint="eastAsia"/>
          <w:b/>
          <w:sz w:val="28"/>
          <w:szCs w:val="28"/>
        </w:rPr>
        <w:t>根据《房地产估价规范》，当估价对象仅适用一种估价方法进行估价时，可只选用一种估价方法进行估价。本次评估目的为房地产市场租金水平评估，租金水平多参考市场租赁行为，反映在当前价值时点下的租金水平，故选用比较法。收益法是预计估价对象未来的正常净收益，选择适当的报酬率或资本化率、收益乘数将其折现到价值时点后累加，以此估算估价对象的客观合理价格或价值的方法。收益法求取的是房地产价值或价格，并不是求取租金。本次评估目的为房地产市场租金水平评估，故未选用。且房地产市场租金水平评估不具备使用成本法及假设开发法的条件，故本次评估仅选用比较法一种方法进行估价。</w:t>
      </w:r>
    </w:p>
    <w:p w:rsidR="0098747E" w:rsidRDefault="00FE3201">
      <w:pPr>
        <w:wordWrap w:val="0"/>
        <w:overflowPunct w:val="0"/>
        <w:spacing w:line="48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20230526回复：收益法是计算房地产价值或价格的方法,不适用于倒算租金价格评估。若采用收益法倒算物业的租金，需要确定其房地产价值以及报酬率两个重要参数，在房地产市场交易活跃的条件下，房地产价值和报酬率尚可通过市场提取法获取，而本次估价对象为仓库，该类物业产权交易并不活跃，其房地产价值估算的准确性必然影响最终倒算租金水平产生影响，如此倒算的结果可靠性低。</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5.报告P18,“根据估价委托人提供的《关于顺义库管理和使用所占土地的证明》及介绍，中国饲料集团公司于1997年机构改革政企分开后划转为中谷集团管理的子公司，目前该公司处于停止经营状态，以该公司名义持有的顺义中宏库所占土地及地上建筑物（本次评估估价对象所属项目）现由北京顺义中宏粮食储备库有限公司管理并使用。”请说明该公司为哪个公司？</w:t>
      </w:r>
    </w:p>
    <w:p w:rsidR="0098747E" w:rsidRDefault="00FE3201">
      <w:pPr>
        <w:spacing w:line="480" w:lineRule="auto"/>
        <w:ind w:firstLineChars="200" w:firstLine="562"/>
        <w:rPr>
          <w:rFonts w:ascii="Arial" w:hAnsi="Arial" w:cs="Arial"/>
          <w:szCs w:val="21"/>
        </w:rPr>
      </w:pPr>
      <w:r>
        <w:rPr>
          <w:rFonts w:ascii="仿宋" w:eastAsia="仿宋" w:hAnsi="仿宋" w:hint="eastAsia"/>
          <w:b/>
          <w:bCs/>
          <w:sz w:val="28"/>
          <w:szCs w:val="28"/>
        </w:rPr>
        <w:t>回复：报告P18中，“该公司”为中国饲料集团公司。已在报告相关描述中进行修改。</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6.报告P19、P31，描述“交通状况较差与为交通可达性较差”，请核实并统一描述。公共交通出行的不便性，对仓储设施的租赁价格有何种影响？请结合描述重新核实对总体区位状况的认定是否合理？</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报告中统一描述为“交通状况”。重新核实公共交通出行对仓储用房的租金价格未产生影响，故将估价对象及可比案例周边交通状况描述由“较差”调整为“一般”，因估价对象与可比案例情况一致，故修正系数均为100。报告中已对相关描述进行修改。</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202305</w:t>
      </w:r>
      <w:r>
        <w:rPr>
          <w:rFonts w:ascii="仿宋" w:eastAsia="仿宋" w:hAnsi="仿宋"/>
          <w:b/>
          <w:bCs/>
          <w:sz w:val="28"/>
          <w:szCs w:val="28"/>
        </w:rPr>
        <w:t>2</w:t>
      </w:r>
      <w:r>
        <w:rPr>
          <w:rFonts w:ascii="仿宋" w:eastAsia="仿宋" w:hAnsi="仿宋" w:hint="eastAsia"/>
          <w:b/>
          <w:bCs/>
          <w:sz w:val="28"/>
          <w:szCs w:val="28"/>
        </w:rPr>
        <w:t>6回复:报告P19区位状况“较差”调整为“一般”。报告描述已统一。</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7.报告P22，区域成交情况中，工业用地成交价格是否为楼面均价，请核实。</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回复：2022年北京市工业用地成交数据来源于中指数据，成交单价均表述为楼面单价（成交总额÷规划建筑面积），已与数据来源核实，无误。</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8.报告P27，“本次评估不以最高最佳利用状况为估价前提”。请核实仓储用途是否为评估对象的最佳利用？</w:t>
      </w:r>
    </w:p>
    <w:p w:rsidR="0098747E" w:rsidRDefault="00FE3201">
      <w:pPr>
        <w:spacing w:line="500" w:lineRule="exact"/>
        <w:ind w:firstLineChars="200" w:firstLine="562"/>
        <w:rPr>
          <w:rFonts w:ascii="仿宋_GB2312" w:eastAsia="仿宋_GB2312" w:hAnsi="仿宋_GB2312" w:cs="仿宋_GB2312"/>
          <w:b/>
          <w:sz w:val="28"/>
          <w:szCs w:val="28"/>
        </w:rPr>
      </w:pPr>
      <w:r>
        <w:rPr>
          <w:rFonts w:ascii="仿宋" w:eastAsia="仿宋" w:hAnsi="仿宋" w:hint="eastAsia"/>
          <w:b/>
          <w:bCs/>
          <w:sz w:val="28"/>
          <w:szCs w:val="28"/>
        </w:rPr>
        <w:t>回复：</w:t>
      </w:r>
      <w:r>
        <w:rPr>
          <w:rFonts w:ascii="仿宋_GB2312" w:eastAsia="仿宋_GB2312" w:hAnsi="仿宋_GB2312" w:cs="仿宋_GB2312" w:hint="eastAsia"/>
          <w:b/>
          <w:sz w:val="28"/>
          <w:szCs w:val="28"/>
        </w:rPr>
        <w:t>估价对象所属项目的整体利用方向为仓储，从整理利用角度考虑，仓储用途为估价对象的最佳利用方式。报告P27相应调整。</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9.报告P31，①仓储用房是否有产权与能否注册的关系？②注册问题对仓储用房租金的影响？②承租方是否有注册公司的需求？</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仓储用房原则上是可以用于注册公司的，但是地址必须有产证、是商用的、并且没有被注册过的才可以注册公司。根据评估专业人员市场调查，不能注册的仓储用房的租金水平低于能够注册的仓储用房租金水平。经询问估价委托人，目前仓库暂未开始对外招租，无法确定未来承租方是否有注册公司的需求。</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highlight w:val="cyan"/>
        </w:rPr>
        <w:t>复审意见：请评估机构说明修正系数为1</w:t>
      </w:r>
      <w:r>
        <w:rPr>
          <w:rFonts w:ascii="仿宋" w:eastAsia="仿宋" w:hAnsi="仿宋"/>
          <w:bCs/>
          <w:sz w:val="28"/>
          <w:szCs w:val="28"/>
          <w:highlight w:val="cyan"/>
        </w:rPr>
        <w:t>15</w:t>
      </w:r>
      <w:r>
        <w:rPr>
          <w:rFonts w:ascii="仿宋" w:eastAsia="仿宋" w:hAnsi="仿宋" w:hint="eastAsia"/>
          <w:bCs/>
          <w:sz w:val="28"/>
          <w:szCs w:val="28"/>
          <w:highlight w:val="cyan"/>
        </w:rPr>
        <w:t>的合理性。</w:t>
      </w:r>
    </w:p>
    <w:p w:rsidR="0098747E" w:rsidRDefault="00FE3201">
      <w:pPr>
        <w:ind w:firstLineChars="200" w:firstLine="562"/>
        <w:rPr>
          <w:rFonts w:ascii="仿宋_GB2312" w:eastAsia="仿宋_GB2312" w:hAnsi="仿宋_GB2312" w:cs="仿宋_GB2312"/>
          <w:b/>
          <w:sz w:val="28"/>
          <w:szCs w:val="28"/>
        </w:rPr>
      </w:pPr>
      <w:r>
        <w:rPr>
          <w:rFonts w:ascii="仿宋" w:eastAsia="仿宋" w:hAnsi="仿宋" w:hint="eastAsia"/>
          <w:b/>
          <w:bCs/>
          <w:sz w:val="28"/>
          <w:szCs w:val="28"/>
        </w:rPr>
        <w:t>20230602回复：</w:t>
      </w:r>
      <w:r>
        <w:rPr>
          <w:rFonts w:ascii="仿宋_GB2312" w:eastAsia="仿宋_GB2312" w:hAnsi="仿宋_GB2312" w:cs="仿宋_GB2312" w:hint="eastAsia"/>
          <w:b/>
          <w:sz w:val="28"/>
          <w:szCs w:val="28"/>
        </w:rPr>
        <w:t>通过评估专业人员对顺义区各板块仓储类用房的租赁市场调查，周边租赁信息如下：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744"/>
      </w:tblGrid>
      <w:tr w:rsidR="0098747E">
        <w:trPr>
          <w:trHeight w:val="289"/>
        </w:trPr>
        <w:tc>
          <w:tcPr>
            <w:tcW w:w="2660"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出租案例</w:t>
            </w:r>
          </w:p>
        </w:tc>
        <w:tc>
          <w:tcPr>
            <w:tcW w:w="3118" w:type="dxa"/>
          </w:tcPr>
          <w:p w:rsidR="0098747E" w:rsidRDefault="00FE3201">
            <w:pPr>
              <w:rPr>
                <w:rFonts w:eastAsia="仿宋_GB2312"/>
                <w:b/>
                <w:sz w:val="18"/>
                <w:szCs w:val="18"/>
              </w:rPr>
            </w:pPr>
            <w:r>
              <w:rPr>
                <w:rFonts w:eastAsia="仿宋_GB2312" w:hint="eastAsia"/>
                <w:b/>
                <w:sz w:val="18"/>
                <w:szCs w:val="18"/>
              </w:rPr>
              <w:t>有产权工业用房租金（元</w:t>
            </w:r>
            <w:r>
              <w:rPr>
                <w:rFonts w:eastAsia="仿宋_GB2312" w:hint="eastAsia"/>
                <w:b/>
                <w:sz w:val="18"/>
                <w:szCs w:val="18"/>
              </w:rPr>
              <w:t>/</w:t>
            </w:r>
            <w:r>
              <w:rPr>
                <w:rFonts w:eastAsia="仿宋_GB2312" w:hint="eastAsia"/>
                <w:b/>
                <w:sz w:val="18"/>
                <w:szCs w:val="18"/>
              </w:rPr>
              <w:t>㎡·天）</w:t>
            </w:r>
          </w:p>
        </w:tc>
        <w:tc>
          <w:tcPr>
            <w:tcW w:w="2744"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无产权工业用房租金（元</w:t>
            </w:r>
            <w:r>
              <w:rPr>
                <w:rFonts w:eastAsia="仿宋_GB2312" w:hint="eastAsia"/>
                <w:b/>
                <w:sz w:val="18"/>
                <w:szCs w:val="18"/>
              </w:rPr>
              <w:t>/</w:t>
            </w:r>
            <w:r>
              <w:rPr>
                <w:rFonts w:eastAsia="仿宋_GB2312" w:hint="eastAsia"/>
                <w:b/>
                <w:sz w:val="18"/>
                <w:szCs w:val="18"/>
              </w:rPr>
              <w:t>㎡·天）</w:t>
            </w:r>
          </w:p>
        </w:tc>
      </w:tr>
      <w:tr w:rsidR="0098747E">
        <w:trPr>
          <w:trHeight w:val="289"/>
        </w:trPr>
        <w:tc>
          <w:tcPr>
            <w:tcW w:w="2660"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顺义李桥镇工业</w:t>
            </w:r>
          </w:p>
        </w:tc>
        <w:tc>
          <w:tcPr>
            <w:tcW w:w="3118" w:type="dxa"/>
          </w:tcPr>
          <w:p w:rsidR="0098747E" w:rsidRDefault="00FE3201">
            <w:pPr>
              <w:rPr>
                <w:rFonts w:eastAsia="仿宋_GB2312"/>
                <w:b/>
                <w:sz w:val="18"/>
                <w:szCs w:val="18"/>
              </w:rPr>
            </w:pPr>
            <w:r>
              <w:rPr>
                <w:rFonts w:eastAsia="仿宋_GB2312" w:hint="eastAsia"/>
                <w:b/>
                <w:sz w:val="18"/>
                <w:szCs w:val="18"/>
              </w:rPr>
              <w:t>1.1-1.2</w:t>
            </w:r>
          </w:p>
        </w:tc>
        <w:tc>
          <w:tcPr>
            <w:tcW w:w="2744"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0.95-1.05</w:t>
            </w:r>
          </w:p>
        </w:tc>
      </w:tr>
      <w:tr w:rsidR="0098747E">
        <w:trPr>
          <w:trHeight w:val="289"/>
        </w:trPr>
        <w:tc>
          <w:tcPr>
            <w:tcW w:w="2660"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顺义马坡镇工业</w:t>
            </w:r>
          </w:p>
        </w:tc>
        <w:tc>
          <w:tcPr>
            <w:tcW w:w="3118" w:type="dxa"/>
          </w:tcPr>
          <w:p w:rsidR="0098747E" w:rsidRDefault="00FE3201">
            <w:pPr>
              <w:rPr>
                <w:rFonts w:eastAsia="仿宋_GB2312"/>
                <w:b/>
                <w:sz w:val="18"/>
                <w:szCs w:val="18"/>
              </w:rPr>
            </w:pPr>
            <w:r>
              <w:rPr>
                <w:rFonts w:eastAsia="仿宋_GB2312" w:hint="eastAsia"/>
                <w:b/>
                <w:sz w:val="18"/>
                <w:szCs w:val="18"/>
              </w:rPr>
              <w:t>1.4-1.5</w:t>
            </w:r>
          </w:p>
        </w:tc>
        <w:tc>
          <w:tcPr>
            <w:tcW w:w="2744"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1.2-1.35</w:t>
            </w:r>
          </w:p>
        </w:tc>
      </w:tr>
      <w:tr w:rsidR="0098747E">
        <w:trPr>
          <w:trHeight w:val="289"/>
        </w:trPr>
        <w:tc>
          <w:tcPr>
            <w:tcW w:w="2660"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顺义后沙峪镇工业</w:t>
            </w:r>
          </w:p>
        </w:tc>
        <w:tc>
          <w:tcPr>
            <w:tcW w:w="3118" w:type="dxa"/>
          </w:tcPr>
          <w:p w:rsidR="0098747E" w:rsidRDefault="00FE3201">
            <w:pPr>
              <w:rPr>
                <w:rFonts w:eastAsia="仿宋_GB2312"/>
                <w:b/>
                <w:sz w:val="18"/>
                <w:szCs w:val="18"/>
              </w:rPr>
            </w:pPr>
            <w:r>
              <w:rPr>
                <w:rFonts w:eastAsia="仿宋_GB2312" w:hint="eastAsia"/>
                <w:b/>
                <w:sz w:val="18"/>
                <w:szCs w:val="18"/>
              </w:rPr>
              <w:t>1.2-1.3</w:t>
            </w:r>
          </w:p>
        </w:tc>
        <w:tc>
          <w:tcPr>
            <w:tcW w:w="2744"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1.0-1.15</w:t>
            </w:r>
          </w:p>
        </w:tc>
      </w:tr>
      <w:tr w:rsidR="0098747E">
        <w:trPr>
          <w:trHeight w:val="289"/>
        </w:trPr>
        <w:tc>
          <w:tcPr>
            <w:tcW w:w="2660"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顺义天竺镇工业</w:t>
            </w:r>
          </w:p>
        </w:tc>
        <w:tc>
          <w:tcPr>
            <w:tcW w:w="3118" w:type="dxa"/>
          </w:tcPr>
          <w:p w:rsidR="0098747E" w:rsidRDefault="00FE3201">
            <w:pPr>
              <w:rPr>
                <w:rFonts w:eastAsia="仿宋_GB2312"/>
                <w:b/>
                <w:sz w:val="18"/>
                <w:szCs w:val="18"/>
              </w:rPr>
            </w:pPr>
            <w:r>
              <w:rPr>
                <w:rFonts w:eastAsia="仿宋_GB2312" w:hint="eastAsia"/>
                <w:b/>
                <w:sz w:val="18"/>
                <w:szCs w:val="18"/>
              </w:rPr>
              <w:t>1.5-1.6</w:t>
            </w:r>
          </w:p>
        </w:tc>
        <w:tc>
          <w:tcPr>
            <w:tcW w:w="2744" w:type="dxa"/>
            <w:shd w:val="clear" w:color="auto" w:fill="auto"/>
            <w:noWrap/>
            <w:vAlign w:val="center"/>
          </w:tcPr>
          <w:p w:rsidR="0098747E" w:rsidRDefault="00FE3201">
            <w:pPr>
              <w:rPr>
                <w:rFonts w:eastAsia="仿宋_GB2312"/>
                <w:b/>
                <w:sz w:val="18"/>
                <w:szCs w:val="18"/>
              </w:rPr>
            </w:pPr>
            <w:r>
              <w:rPr>
                <w:rFonts w:eastAsia="仿宋_GB2312" w:hint="eastAsia"/>
                <w:b/>
                <w:sz w:val="18"/>
                <w:szCs w:val="18"/>
              </w:rPr>
              <w:t>1.35-1.4</w:t>
            </w:r>
          </w:p>
        </w:tc>
      </w:tr>
    </w:tbl>
    <w:p w:rsidR="0098747E" w:rsidRDefault="00FE3201">
      <w:pPr>
        <w:pStyle w:val="ad"/>
        <w:ind w:firstLineChars="0" w:firstLine="0"/>
        <w:rPr>
          <w:rFonts w:ascii="仿宋_GB2312" w:eastAsia="仿宋_GB2312" w:hAnsi="仿宋_GB2312" w:cs="仿宋_GB2312"/>
          <w:b/>
          <w:sz w:val="28"/>
          <w:szCs w:val="28"/>
        </w:rPr>
      </w:pPr>
      <w:r>
        <w:rPr>
          <w:rFonts w:ascii="仿宋_GB2312" w:eastAsia="仿宋_GB2312" w:hAnsi="仿宋_GB2312" w:cs="仿宋_GB2312" w:hint="eastAsia"/>
          <w:b/>
          <w:sz w:val="28"/>
          <w:szCs w:val="28"/>
        </w:rPr>
        <w:t>通过评估专业人员调查，租赁仓储类用房，有无产权涉及承租方是否能进行公司</w:t>
      </w:r>
      <w:r>
        <w:rPr>
          <w:rFonts w:eastAsia="仿宋_GB2312" w:hint="eastAsia"/>
          <w:b/>
          <w:bCs/>
          <w:sz w:val="28"/>
          <w:szCs w:val="28"/>
        </w:rPr>
        <w:t>注册，可能会对</w:t>
      </w:r>
      <w:r>
        <w:rPr>
          <w:rFonts w:ascii="仿宋_GB2312" w:eastAsia="仿宋_GB2312" w:hAnsi="仿宋_GB2312" w:cs="仿宋_GB2312" w:hint="eastAsia"/>
          <w:b/>
          <w:sz w:val="28"/>
          <w:szCs w:val="28"/>
        </w:rPr>
        <w:t>承租方享受区域政策优惠、缴纳税费等因素有影响，租金影响水平约在</w:t>
      </w:r>
      <w:r>
        <w:rPr>
          <w:rFonts w:ascii="仿宋_GB2312" w:eastAsia="仿宋_GB2312" w:hAnsi="仿宋_GB2312" w:cs="仿宋_GB2312"/>
          <w:b/>
          <w:sz w:val="28"/>
          <w:szCs w:val="28"/>
        </w:rPr>
        <w:t>15%-20%之间，结合评估师估价经验，最终确定其修正幅度为15%。</w:t>
      </w:r>
      <w:r>
        <w:rPr>
          <w:rFonts w:ascii="仿宋_GB2312" w:eastAsia="仿宋_GB2312" w:hAnsi="仿宋_GB2312" w:cs="仿宋_GB2312" w:hint="eastAsia"/>
          <w:b/>
          <w:sz w:val="28"/>
          <w:szCs w:val="28"/>
        </w:rPr>
        <w:t>根据房地产估价规范，单项因素的调整因素不宜超过20%，本次评估修正符合估价规范要求。</w:t>
      </w:r>
    </w:p>
    <w:p w:rsidR="0098747E" w:rsidRDefault="00FE3201">
      <w:pPr>
        <w:spacing w:line="480" w:lineRule="auto"/>
        <w:ind w:firstLineChars="200" w:firstLine="560"/>
        <w:rPr>
          <w:rFonts w:ascii="仿宋" w:eastAsia="仿宋" w:hAnsi="仿宋"/>
          <w:bCs/>
          <w:sz w:val="28"/>
          <w:szCs w:val="28"/>
          <w:highlight w:val="yellow"/>
        </w:rPr>
      </w:pPr>
      <w:r>
        <w:rPr>
          <w:rFonts w:ascii="仿宋" w:eastAsia="仿宋" w:hAnsi="仿宋" w:hint="eastAsia"/>
          <w:bCs/>
          <w:sz w:val="28"/>
          <w:szCs w:val="28"/>
          <w:highlight w:val="yellow"/>
        </w:rPr>
        <w:t>三审意见：根据上述回复，评估机构修正系数选取差异比例的下限。但请评估机构核实计算过程，影响租金水平的比例是否为1</w:t>
      </w:r>
      <w:r>
        <w:rPr>
          <w:rFonts w:ascii="仿宋" w:eastAsia="仿宋" w:hAnsi="仿宋"/>
          <w:bCs/>
          <w:sz w:val="28"/>
          <w:szCs w:val="28"/>
          <w:highlight w:val="yellow"/>
        </w:rPr>
        <w:t>5%-20%</w:t>
      </w:r>
      <w:r>
        <w:rPr>
          <w:rFonts w:ascii="仿宋" w:eastAsia="仿宋" w:hAnsi="仿宋" w:hint="eastAsia"/>
          <w:bCs/>
          <w:sz w:val="28"/>
          <w:szCs w:val="28"/>
          <w:highlight w:val="yellow"/>
        </w:rPr>
        <w:t>。</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20230608回复：有产权工业用房租金与无产权工业用房租金的修正系数关系通过直接比较调整得出，直接比较调整是以估价对象状况为基准(即估价对象分值为100),将可比实例状况与估价对象状况进行比较,公式如下：</w:t>
      </w:r>
    </w:p>
    <w:p w:rsidR="0098747E" w:rsidRDefault="00FE3201">
      <w:pPr>
        <w:spacing w:line="480" w:lineRule="auto"/>
        <w:ind w:firstLineChars="200" w:firstLine="360"/>
        <w:rPr>
          <w:rFonts w:ascii="仿宋" w:eastAsia="仿宋" w:hAnsi="仿宋"/>
          <w:b/>
          <w:bCs/>
          <w:sz w:val="28"/>
          <w:szCs w:val="28"/>
        </w:rPr>
      </w:pPr>
      <m:oMathPara>
        <m:oMathParaPr>
          <m:jc m:val="center"/>
        </m:oMathParaPr>
        <m:oMath>
          <m:r>
            <m:rPr>
              <m:sty m:val="p"/>
            </m:rPr>
            <w:rPr>
              <w:rFonts w:ascii="宋体" w:eastAsia="宋体" w:hAnsi="宋体" w:cs="宋体"/>
              <w:sz w:val="18"/>
              <w:szCs w:val="18"/>
            </w:rPr>
            <m:t>可比实例在估价对象状况下的价格</m:t>
          </m:r>
          <m:r>
            <m:rPr>
              <m:sty m:val="p"/>
            </m:rPr>
            <w:rPr>
              <w:rFonts w:ascii="Cambria Math" w:eastAsia="Cambria Math" w:hAnsi="Cambria Math" w:cs="Cambria Math"/>
              <w:sz w:val="18"/>
              <w:szCs w:val="18"/>
            </w:rPr>
            <m:t>=</m:t>
          </m:r>
          <m:r>
            <m:rPr>
              <m:sty m:val="p"/>
            </m:rPr>
            <w:rPr>
              <w:rFonts w:ascii="宋体" w:eastAsia="宋体" w:hAnsi="宋体" w:cs="宋体"/>
              <w:sz w:val="18"/>
              <w:szCs w:val="18"/>
            </w:rPr>
            <m:t>可比实例在其自身状况下的价格</m:t>
          </m:r>
          <m:r>
            <m:rPr>
              <m:sty m:val="p"/>
            </m:rPr>
            <w:rPr>
              <w:rFonts w:ascii="Cambria Math" w:eastAsia="Cambria Math" w:hAnsi="Cambria Math" w:cs="Cambria Math"/>
              <w:sz w:val="18"/>
              <w:szCs w:val="18"/>
            </w:rPr>
            <m:t>×</m:t>
          </m:r>
          <m:f>
            <m:fPr>
              <m:ctrlPr>
                <w:rPr>
                  <w:rFonts w:ascii="Cambria Math" w:eastAsia="Cambria Math" w:hAnsi="Cambria Math"/>
                  <w:bCs/>
                  <w:sz w:val="18"/>
                  <w:szCs w:val="18"/>
                </w:rPr>
              </m:ctrlPr>
            </m:fPr>
            <m:num>
              <m:r>
                <m:rPr>
                  <m:sty m:val="p"/>
                </m:rPr>
                <w:rPr>
                  <w:rFonts w:ascii="Cambria Math" w:hAnsi="Cambria Math" w:cs="Cambria Math"/>
                  <w:sz w:val="18"/>
                  <w:szCs w:val="18"/>
                </w:rPr>
                <m:t>100</m:t>
              </m:r>
            </m:num>
            <m:den>
              <m:r>
                <m:rPr>
                  <m:sty m:val="p"/>
                </m:rPr>
                <w:rPr>
                  <w:rFonts w:ascii="Cambria Math" w:hAnsi="Cambria Math" w:cs="Cambria Math"/>
                  <w:sz w:val="18"/>
                  <w:szCs w:val="18"/>
                </w:rPr>
                <m:t>(                       )</m:t>
              </m:r>
            </m:den>
          </m:f>
        </m:oMath>
      </m:oMathPara>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上述公式中括号内数值即为可比实例在其自身状况下的分值,即:</w:t>
      </w:r>
    </w:p>
    <w:p w:rsidR="0098747E" w:rsidRDefault="00FE3201">
      <w:pPr>
        <w:spacing w:line="480" w:lineRule="auto"/>
        <w:ind w:firstLineChars="200" w:firstLine="360"/>
        <w:rPr>
          <w:rFonts w:ascii="仿宋" w:eastAsia="仿宋" w:hAnsi="仿宋"/>
          <w:b/>
          <w:bCs/>
          <w:sz w:val="28"/>
          <w:szCs w:val="28"/>
        </w:rPr>
      </w:pPr>
      <m:oMathPara>
        <m:oMathParaPr>
          <m:jc m:val="center"/>
        </m:oMathParaPr>
        <m:oMath>
          <m:r>
            <m:rPr>
              <m:sty m:val="p"/>
            </m:rPr>
            <w:rPr>
              <w:rFonts w:ascii="Cambria Math" w:eastAsia="宋体" w:hAnsi="Cambria Math" w:cs="宋体" w:hint="eastAsia"/>
              <w:sz w:val="18"/>
              <w:szCs w:val="18"/>
            </w:rPr>
            <m:t>可比实例在其自身状况下的分值</m:t>
          </m:r>
          <m:r>
            <m:rPr>
              <m:sty m:val="p"/>
            </m:rPr>
            <w:rPr>
              <w:rFonts w:ascii="Cambria Math" w:eastAsia="Cambria Math" w:hAnsi="Cambria Math" w:cs="Cambria Math"/>
              <w:sz w:val="18"/>
              <w:szCs w:val="18"/>
            </w:rPr>
            <m:t>=</m:t>
          </m:r>
          <m:r>
            <m:rPr>
              <m:sty m:val="p"/>
            </m:rPr>
            <w:rPr>
              <w:rFonts w:ascii="Cambria Math" w:eastAsia="宋体" w:hAnsi="Cambria Math" w:cs="宋体"/>
              <w:sz w:val="18"/>
              <w:szCs w:val="18"/>
            </w:rPr>
            <m:t>100</m:t>
          </m:r>
          <m:r>
            <m:rPr>
              <m:sty m:val="p"/>
            </m:rPr>
            <w:rPr>
              <w:rFonts w:ascii="Cambria Math" w:eastAsia="Cambria Math" w:hAnsi="Cambria Math" w:cs="Cambria Math"/>
              <w:sz w:val="18"/>
              <w:szCs w:val="18"/>
            </w:rPr>
            <m:t>×</m:t>
          </m:r>
          <m:f>
            <m:fPr>
              <m:ctrlPr>
                <w:rPr>
                  <w:rFonts w:ascii="Cambria Math" w:eastAsia="Cambria Math" w:hAnsi="Cambria Math"/>
                  <w:bCs/>
                  <w:sz w:val="18"/>
                  <w:szCs w:val="18"/>
                </w:rPr>
              </m:ctrlPr>
            </m:fPr>
            <m:num>
              <m:r>
                <m:rPr>
                  <m:sty m:val="p"/>
                </m:rPr>
                <w:rPr>
                  <w:rFonts w:ascii="宋体" w:eastAsia="宋体" w:hAnsi="宋体" w:cs="宋体"/>
                  <w:sz w:val="18"/>
                  <w:szCs w:val="18"/>
                </w:rPr>
                <m:t>可比实例在其自身状况下的价格</m:t>
              </m:r>
            </m:num>
            <m:den>
              <m:r>
                <m:rPr>
                  <m:sty m:val="p"/>
                </m:rPr>
                <w:rPr>
                  <w:rFonts w:ascii="宋体" w:eastAsia="宋体" w:hAnsi="宋体" w:cs="宋体"/>
                  <w:sz w:val="18"/>
                  <w:szCs w:val="18"/>
                </w:rPr>
                <m:t>可比实例在估价对象状况下的价格</m:t>
              </m:r>
            </m:den>
          </m:f>
        </m:oMath>
      </m:oMathPara>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因此,在将有产权条件下的租金调整为无产权条件下的租金时,有产权条件下的分值为:</w:t>
      </w:r>
    </w:p>
    <w:p w:rsidR="0098747E" w:rsidRDefault="00FE3201">
      <w:pPr>
        <w:spacing w:line="480" w:lineRule="auto"/>
        <w:ind w:firstLineChars="200" w:firstLine="360"/>
        <w:rPr>
          <w:rFonts w:ascii="仿宋" w:eastAsia="仿宋" w:hAnsi="仿宋"/>
          <w:b/>
          <w:bCs/>
          <w:sz w:val="28"/>
          <w:szCs w:val="28"/>
        </w:rPr>
      </w:pPr>
      <m:oMathPara>
        <m:oMathParaPr>
          <m:jc m:val="center"/>
        </m:oMathParaPr>
        <m:oMath>
          <m:r>
            <m:rPr>
              <m:sty m:val="p"/>
            </m:rPr>
            <w:rPr>
              <w:rFonts w:ascii="Cambria Math" w:eastAsia="宋体" w:hAnsi="Cambria Math" w:cs="宋体" w:hint="eastAsia"/>
              <w:sz w:val="18"/>
              <w:szCs w:val="18"/>
            </w:rPr>
            <m:t>有产权条件</m:t>
          </m:r>
          <m:r>
            <m:rPr>
              <m:sty m:val="p"/>
            </m:rPr>
            <w:rPr>
              <w:rFonts w:ascii="Cambria Math" w:eastAsia="宋体" w:hAnsi="Cambria Math" w:cs="宋体"/>
              <w:sz w:val="18"/>
              <w:szCs w:val="18"/>
            </w:rPr>
            <m:t>下的分值</m:t>
          </m:r>
          <m:r>
            <m:rPr>
              <m:sty m:val="p"/>
            </m:rPr>
            <w:rPr>
              <w:rFonts w:ascii="Cambria Math" w:eastAsia="Cambria Math" w:hAnsi="Cambria Math" w:cs="Cambria Math"/>
              <w:sz w:val="18"/>
              <w:szCs w:val="18"/>
            </w:rPr>
            <m:t>=</m:t>
          </m:r>
          <m:r>
            <m:rPr>
              <m:sty m:val="p"/>
            </m:rPr>
            <w:rPr>
              <w:rFonts w:ascii="Cambria Math" w:eastAsia="宋体" w:hAnsi="Cambria Math" w:cs="宋体"/>
              <w:sz w:val="18"/>
              <w:szCs w:val="18"/>
            </w:rPr>
            <m:t>100</m:t>
          </m:r>
          <m:r>
            <m:rPr>
              <m:sty m:val="p"/>
            </m:rPr>
            <w:rPr>
              <w:rFonts w:ascii="Cambria Math" w:eastAsia="Cambria Math" w:hAnsi="Cambria Math" w:cs="Cambria Math"/>
              <w:sz w:val="18"/>
              <w:szCs w:val="18"/>
            </w:rPr>
            <m:t>×</m:t>
          </m:r>
          <m:f>
            <m:fPr>
              <m:ctrlPr>
                <w:rPr>
                  <w:rFonts w:ascii="Cambria Math" w:eastAsia="Cambria Math" w:hAnsi="Cambria Math"/>
                  <w:bCs/>
                  <w:sz w:val="18"/>
                  <w:szCs w:val="18"/>
                </w:rPr>
              </m:ctrlPr>
            </m:fPr>
            <m:num>
              <m:r>
                <m:rPr>
                  <m:sty m:val="p"/>
                </m:rPr>
                <w:rPr>
                  <w:rFonts w:ascii="Cambria Math" w:eastAsia="宋体" w:hAnsi="Cambria Math" w:cs="宋体" w:hint="eastAsia"/>
                  <w:sz w:val="18"/>
                  <w:szCs w:val="18"/>
                </w:rPr>
                <m:t>有产权工业用房租金</m:t>
              </m:r>
            </m:num>
            <m:den>
              <m:r>
                <m:rPr>
                  <m:sty m:val="p"/>
                </m:rPr>
                <w:rPr>
                  <w:rFonts w:ascii="宋体" w:eastAsia="宋体" w:hAnsi="宋体" w:cs="宋体"/>
                  <w:sz w:val="18"/>
                  <w:szCs w:val="18"/>
                </w:rPr>
                <m:t>无产权工业用房租金</m:t>
              </m:r>
            </m:den>
          </m:f>
        </m:oMath>
      </m:oMathPara>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转化为调整比率:</w:t>
      </w:r>
    </w:p>
    <w:p w:rsidR="0098747E" w:rsidRDefault="00FE3201">
      <w:pPr>
        <w:spacing w:line="480" w:lineRule="auto"/>
        <w:ind w:firstLineChars="200" w:firstLine="360"/>
        <w:rPr>
          <w:rFonts w:ascii="仿宋" w:hAnsi="仿宋"/>
          <w:b/>
          <w:bCs/>
          <w:sz w:val="28"/>
          <w:szCs w:val="28"/>
        </w:rPr>
      </w:pPr>
      <m:oMathPara>
        <m:oMathParaPr>
          <m:jc m:val="center"/>
        </m:oMathParaPr>
        <m:oMath>
          <m:r>
            <m:rPr>
              <m:sty m:val="p"/>
            </m:rPr>
            <w:rPr>
              <w:rFonts w:ascii="Cambria Math" w:eastAsia="宋体" w:hAnsi="宋体" w:cs="宋体"/>
              <w:sz w:val="18"/>
              <w:szCs w:val="18"/>
            </w:rPr>
            <m:t>调整比率</m:t>
          </m:r>
          <m:r>
            <m:rPr>
              <m:sty m:val="p"/>
            </m:rPr>
            <w:rPr>
              <w:rFonts w:ascii="Cambria Math" w:eastAsia="Cambria Math" w:hAnsi="Cambria Math" w:cs="Cambria Math"/>
              <w:sz w:val="18"/>
              <w:szCs w:val="18"/>
            </w:rPr>
            <m:t>=</m:t>
          </m:r>
          <m:f>
            <m:fPr>
              <m:ctrlPr>
                <w:rPr>
                  <w:rFonts w:ascii="Cambria Math" w:eastAsia="Cambria Math" w:hAnsi="Cambria Math"/>
                  <w:bCs/>
                  <w:sz w:val="18"/>
                  <w:szCs w:val="18"/>
                </w:rPr>
              </m:ctrlPr>
            </m:fPr>
            <m:num>
              <m:r>
                <m:rPr>
                  <m:sty m:val="p"/>
                </m:rPr>
                <w:rPr>
                  <w:rFonts w:ascii="Cambria Math" w:eastAsia="宋体" w:hAnsi="Cambria Math" w:cs="宋体" w:hint="eastAsia"/>
                  <w:sz w:val="18"/>
                  <w:szCs w:val="18"/>
                </w:rPr>
                <m:t>有产权工业用房租金</m:t>
              </m:r>
            </m:num>
            <m:den>
              <m:r>
                <m:rPr>
                  <m:sty m:val="p"/>
                </m:rPr>
                <w:rPr>
                  <w:rFonts w:ascii="宋体" w:eastAsia="宋体" w:hAnsi="宋体" w:cs="宋体"/>
                  <w:sz w:val="18"/>
                  <w:szCs w:val="18"/>
                </w:rPr>
                <m:t>无产权工业用房租金</m:t>
              </m:r>
            </m:den>
          </m:f>
          <m:r>
            <m:rPr>
              <m:sty m:val="p"/>
            </m:rPr>
            <w:rPr>
              <w:rFonts w:ascii="Cambria Math" w:eastAsia="Cambria Math" w:hAnsi="Cambria Math" w:cs="Cambria Math"/>
              <w:sz w:val="18"/>
              <w:szCs w:val="18"/>
            </w:rPr>
            <m:t>-1</m:t>
          </m:r>
        </m:oMath>
      </m:oMathPara>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92"/>
        <w:gridCol w:w="1992"/>
        <w:gridCol w:w="2590"/>
      </w:tblGrid>
      <w:tr w:rsidR="0098747E">
        <w:trPr>
          <w:trHeight w:val="289"/>
          <w:jc w:val="center"/>
        </w:trPr>
        <w:tc>
          <w:tcPr>
            <w:tcW w:w="1787"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出租案例</w:t>
            </w:r>
          </w:p>
        </w:tc>
        <w:tc>
          <w:tcPr>
            <w:tcW w:w="1843" w:type="dxa"/>
          </w:tcPr>
          <w:p w:rsidR="0098747E" w:rsidRDefault="00FE3201">
            <w:pPr>
              <w:spacing w:line="240" w:lineRule="exact"/>
              <w:rPr>
                <w:rFonts w:eastAsia="仿宋_GB2312"/>
                <w:b/>
                <w:sz w:val="18"/>
                <w:szCs w:val="18"/>
              </w:rPr>
            </w:pPr>
            <w:r>
              <w:rPr>
                <w:rFonts w:eastAsia="仿宋_GB2312" w:hint="eastAsia"/>
                <w:b/>
                <w:sz w:val="18"/>
                <w:szCs w:val="18"/>
              </w:rPr>
              <w:t>有产权工业用房租金（元</w:t>
            </w:r>
            <w:r>
              <w:rPr>
                <w:rFonts w:eastAsia="仿宋_GB2312" w:hint="eastAsia"/>
                <w:b/>
                <w:sz w:val="18"/>
                <w:szCs w:val="18"/>
              </w:rPr>
              <w:t>/</w:t>
            </w:r>
            <w:r>
              <w:rPr>
                <w:rFonts w:eastAsia="仿宋_GB2312" w:hint="eastAsia"/>
                <w:b/>
                <w:sz w:val="18"/>
                <w:szCs w:val="18"/>
              </w:rPr>
              <w:t>㎡·天）</w:t>
            </w:r>
          </w:p>
        </w:tc>
        <w:tc>
          <w:tcPr>
            <w:tcW w:w="1843"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无产权工业用房租金（元</w:t>
            </w:r>
            <w:r>
              <w:rPr>
                <w:rFonts w:eastAsia="仿宋_GB2312" w:hint="eastAsia"/>
                <w:b/>
                <w:sz w:val="18"/>
                <w:szCs w:val="18"/>
              </w:rPr>
              <w:t>/</w:t>
            </w:r>
            <w:r>
              <w:rPr>
                <w:rFonts w:eastAsia="仿宋_GB2312" w:hint="eastAsia"/>
                <w:b/>
                <w:sz w:val="18"/>
                <w:szCs w:val="18"/>
              </w:rPr>
              <w:t>㎡·天）</w:t>
            </w:r>
          </w:p>
        </w:tc>
        <w:tc>
          <w:tcPr>
            <w:tcW w:w="2396" w:type="dxa"/>
            <w:shd w:val="clear" w:color="auto" w:fill="auto"/>
            <w:vAlign w:val="center"/>
          </w:tcPr>
          <w:p w:rsidR="0098747E" w:rsidRDefault="00FE3201">
            <w:pPr>
              <w:spacing w:line="240" w:lineRule="exact"/>
              <w:rPr>
                <w:rFonts w:eastAsia="仿宋_GB2312"/>
                <w:b/>
                <w:sz w:val="18"/>
                <w:szCs w:val="18"/>
              </w:rPr>
            </w:pPr>
            <w:r>
              <w:rPr>
                <w:rFonts w:eastAsia="仿宋_GB2312" w:hint="eastAsia"/>
                <w:b/>
                <w:sz w:val="18"/>
                <w:szCs w:val="18"/>
              </w:rPr>
              <w:t>计算修正幅度（有产权租金</w:t>
            </w:r>
            <w:r>
              <w:rPr>
                <w:rFonts w:ascii="仿宋" w:eastAsia="仿宋" w:hAnsi="仿宋" w:hint="eastAsia"/>
                <w:b/>
                <w:sz w:val="18"/>
                <w:szCs w:val="18"/>
              </w:rPr>
              <w:t>÷</w:t>
            </w:r>
            <w:r>
              <w:rPr>
                <w:rFonts w:eastAsia="仿宋_GB2312" w:hint="eastAsia"/>
                <w:b/>
                <w:sz w:val="18"/>
                <w:szCs w:val="18"/>
              </w:rPr>
              <w:t>无产权工业租金</w:t>
            </w:r>
            <w:r>
              <w:rPr>
                <w:rFonts w:eastAsia="仿宋_GB2312" w:hint="eastAsia"/>
                <w:b/>
                <w:sz w:val="18"/>
                <w:szCs w:val="18"/>
              </w:rPr>
              <w:t>-1</w:t>
            </w:r>
            <w:r>
              <w:rPr>
                <w:rFonts w:eastAsia="仿宋_GB2312" w:hint="eastAsia"/>
                <w:b/>
                <w:sz w:val="18"/>
                <w:szCs w:val="18"/>
              </w:rPr>
              <w:t>）</w:t>
            </w:r>
          </w:p>
        </w:tc>
      </w:tr>
      <w:tr w:rsidR="0098747E">
        <w:trPr>
          <w:trHeight w:val="289"/>
          <w:jc w:val="center"/>
        </w:trPr>
        <w:tc>
          <w:tcPr>
            <w:tcW w:w="1787"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顺义李桥镇工业</w:t>
            </w:r>
          </w:p>
        </w:tc>
        <w:tc>
          <w:tcPr>
            <w:tcW w:w="1843" w:type="dxa"/>
          </w:tcPr>
          <w:p w:rsidR="0098747E" w:rsidRDefault="00FE3201">
            <w:pPr>
              <w:spacing w:line="240" w:lineRule="exact"/>
              <w:rPr>
                <w:rFonts w:eastAsia="仿宋_GB2312"/>
                <w:b/>
                <w:sz w:val="18"/>
                <w:szCs w:val="18"/>
              </w:rPr>
            </w:pPr>
            <w:r>
              <w:rPr>
                <w:rFonts w:eastAsia="仿宋_GB2312" w:hint="eastAsia"/>
                <w:b/>
                <w:sz w:val="18"/>
                <w:szCs w:val="18"/>
              </w:rPr>
              <w:t>1.1-1.2</w:t>
            </w:r>
          </w:p>
        </w:tc>
        <w:tc>
          <w:tcPr>
            <w:tcW w:w="1843"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0.95-1.05</w:t>
            </w:r>
          </w:p>
        </w:tc>
        <w:tc>
          <w:tcPr>
            <w:tcW w:w="2396" w:type="dxa"/>
            <w:shd w:val="clear" w:color="auto" w:fill="auto"/>
            <w:vAlign w:val="center"/>
          </w:tcPr>
          <w:p w:rsidR="0098747E" w:rsidRDefault="00FE3201">
            <w:pPr>
              <w:spacing w:line="240" w:lineRule="exact"/>
              <w:rPr>
                <w:rFonts w:eastAsia="仿宋_GB2312"/>
                <w:b/>
                <w:sz w:val="18"/>
                <w:szCs w:val="18"/>
              </w:rPr>
            </w:pPr>
            <w:r>
              <w:rPr>
                <w:rFonts w:eastAsia="仿宋_GB2312" w:hint="eastAsia"/>
                <w:b/>
                <w:sz w:val="18"/>
                <w:szCs w:val="18"/>
              </w:rPr>
              <w:t>14.2%-15.8%</w:t>
            </w:r>
          </w:p>
        </w:tc>
      </w:tr>
      <w:tr w:rsidR="0098747E">
        <w:trPr>
          <w:trHeight w:val="289"/>
          <w:jc w:val="center"/>
        </w:trPr>
        <w:tc>
          <w:tcPr>
            <w:tcW w:w="1787"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顺义马坡镇工业</w:t>
            </w:r>
          </w:p>
        </w:tc>
        <w:tc>
          <w:tcPr>
            <w:tcW w:w="1843" w:type="dxa"/>
          </w:tcPr>
          <w:p w:rsidR="0098747E" w:rsidRDefault="00FE3201">
            <w:pPr>
              <w:spacing w:line="240" w:lineRule="exact"/>
              <w:rPr>
                <w:rFonts w:eastAsia="仿宋_GB2312"/>
                <w:b/>
                <w:sz w:val="18"/>
                <w:szCs w:val="18"/>
              </w:rPr>
            </w:pPr>
            <w:r>
              <w:rPr>
                <w:rFonts w:eastAsia="仿宋_GB2312" w:hint="eastAsia"/>
                <w:b/>
                <w:sz w:val="18"/>
                <w:szCs w:val="18"/>
              </w:rPr>
              <w:t>1.4-1.5</w:t>
            </w:r>
          </w:p>
        </w:tc>
        <w:tc>
          <w:tcPr>
            <w:tcW w:w="1843"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1.2-1.35</w:t>
            </w:r>
          </w:p>
        </w:tc>
        <w:tc>
          <w:tcPr>
            <w:tcW w:w="2396" w:type="dxa"/>
            <w:shd w:val="clear" w:color="auto" w:fill="auto"/>
            <w:vAlign w:val="center"/>
          </w:tcPr>
          <w:p w:rsidR="0098747E" w:rsidRDefault="00FE3201">
            <w:pPr>
              <w:spacing w:line="240" w:lineRule="exact"/>
              <w:rPr>
                <w:rFonts w:eastAsia="仿宋_GB2312"/>
                <w:b/>
                <w:sz w:val="18"/>
                <w:szCs w:val="18"/>
              </w:rPr>
            </w:pPr>
            <w:r>
              <w:rPr>
                <w:rFonts w:eastAsia="仿宋_GB2312" w:hint="eastAsia"/>
                <w:b/>
                <w:sz w:val="18"/>
                <w:szCs w:val="18"/>
              </w:rPr>
              <w:t>11.1%-16.7%</w:t>
            </w:r>
          </w:p>
        </w:tc>
      </w:tr>
      <w:tr w:rsidR="0098747E">
        <w:trPr>
          <w:trHeight w:val="289"/>
          <w:jc w:val="center"/>
        </w:trPr>
        <w:tc>
          <w:tcPr>
            <w:tcW w:w="1787"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顺义后沙峪镇工业</w:t>
            </w:r>
          </w:p>
        </w:tc>
        <w:tc>
          <w:tcPr>
            <w:tcW w:w="1843" w:type="dxa"/>
          </w:tcPr>
          <w:p w:rsidR="0098747E" w:rsidRDefault="00FE3201">
            <w:pPr>
              <w:spacing w:line="240" w:lineRule="exact"/>
              <w:rPr>
                <w:rFonts w:eastAsia="仿宋_GB2312"/>
                <w:b/>
                <w:sz w:val="18"/>
                <w:szCs w:val="18"/>
              </w:rPr>
            </w:pPr>
            <w:r>
              <w:rPr>
                <w:rFonts w:eastAsia="仿宋_GB2312" w:hint="eastAsia"/>
                <w:b/>
                <w:sz w:val="18"/>
                <w:szCs w:val="18"/>
              </w:rPr>
              <w:t>1.2-1.3</w:t>
            </w:r>
          </w:p>
        </w:tc>
        <w:tc>
          <w:tcPr>
            <w:tcW w:w="1843"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1.0-1.15</w:t>
            </w:r>
          </w:p>
        </w:tc>
        <w:tc>
          <w:tcPr>
            <w:tcW w:w="2396" w:type="dxa"/>
            <w:shd w:val="clear" w:color="auto" w:fill="auto"/>
            <w:vAlign w:val="center"/>
          </w:tcPr>
          <w:p w:rsidR="0098747E" w:rsidRDefault="00FE3201">
            <w:pPr>
              <w:spacing w:line="240" w:lineRule="exact"/>
              <w:rPr>
                <w:rFonts w:eastAsia="仿宋_GB2312"/>
                <w:b/>
                <w:sz w:val="18"/>
                <w:szCs w:val="18"/>
              </w:rPr>
            </w:pPr>
            <w:r>
              <w:rPr>
                <w:rFonts w:eastAsia="仿宋_GB2312" w:hint="eastAsia"/>
                <w:b/>
                <w:sz w:val="18"/>
                <w:szCs w:val="18"/>
              </w:rPr>
              <w:t>13.0 %-20%</w:t>
            </w:r>
          </w:p>
        </w:tc>
      </w:tr>
      <w:tr w:rsidR="0098747E">
        <w:trPr>
          <w:trHeight w:val="289"/>
          <w:jc w:val="center"/>
        </w:trPr>
        <w:tc>
          <w:tcPr>
            <w:tcW w:w="1787"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顺义天竺镇工业</w:t>
            </w:r>
          </w:p>
        </w:tc>
        <w:tc>
          <w:tcPr>
            <w:tcW w:w="1843" w:type="dxa"/>
          </w:tcPr>
          <w:p w:rsidR="0098747E" w:rsidRDefault="00FE3201">
            <w:pPr>
              <w:spacing w:line="240" w:lineRule="exact"/>
              <w:rPr>
                <w:rFonts w:eastAsia="仿宋_GB2312"/>
                <w:b/>
                <w:sz w:val="18"/>
                <w:szCs w:val="18"/>
              </w:rPr>
            </w:pPr>
            <w:r>
              <w:rPr>
                <w:rFonts w:eastAsia="仿宋_GB2312" w:hint="eastAsia"/>
                <w:b/>
                <w:sz w:val="18"/>
                <w:szCs w:val="18"/>
              </w:rPr>
              <w:t>1.5-1.6</w:t>
            </w:r>
          </w:p>
        </w:tc>
        <w:tc>
          <w:tcPr>
            <w:tcW w:w="1843" w:type="dxa"/>
            <w:shd w:val="clear" w:color="auto" w:fill="auto"/>
            <w:noWrap/>
            <w:vAlign w:val="center"/>
          </w:tcPr>
          <w:p w:rsidR="0098747E" w:rsidRDefault="00FE3201">
            <w:pPr>
              <w:spacing w:line="240" w:lineRule="exact"/>
              <w:rPr>
                <w:rFonts w:eastAsia="仿宋_GB2312"/>
                <w:b/>
                <w:sz w:val="18"/>
                <w:szCs w:val="18"/>
              </w:rPr>
            </w:pPr>
            <w:r>
              <w:rPr>
                <w:rFonts w:eastAsia="仿宋_GB2312" w:hint="eastAsia"/>
                <w:b/>
                <w:sz w:val="18"/>
                <w:szCs w:val="18"/>
              </w:rPr>
              <w:t>1.35-1.4</w:t>
            </w:r>
          </w:p>
        </w:tc>
        <w:tc>
          <w:tcPr>
            <w:tcW w:w="2396" w:type="dxa"/>
            <w:shd w:val="clear" w:color="auto" w:fill="auto"/>
            <w:vAlign w:val="center"/>
          </w:tcPr>
          <w:p w:rsidR="0098747E" w:rsidRDefault="00FE3201">
            <w:pPr>
              <w:spacing w:line="240" w:lineRule="exact"/>
              <w:rPr>
                <w:rFonts w:eastAsia="仿宋_GB2312"/>
                <w:b/>
                <w:sz w:val="18"/>
                <w:szCs w:val="18"/>
              </w:rPr>
            </w:pPr>
            <w:r>
              <w:rPr>
                <w:rFonts w:eastAsia="仿宋_GB2312" w:hint="eastAsia"/>
                <w:b/>
                <w:sz w:val="18"/>
                <w:szCs w:val="18"/>
              </w:rPr>
              <w:t>11.1%-14.3%-</w:t>
            </w:r>
          </w:p>
        </w:tc>
      </w:tr>
    </w:tbl>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按照上述计算结果,差异幅度在11.1%-20%之间,评估取值15%为上述计算结果的中间值</w:t>
      </w:r>
      <w:r>
        <w:rPr>
          <w:rFonts w:ascii="仿宋" w:eastAsia="仿宋" w:hAnsi="仿宋"/>
          <w:b/>
          <w:bCs/>
          <w:sz w:val="28"/>
          <w:szCs w:val="28"/>
        </w:rPr>
        <w:t>。</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若按上表所列下限值11.1%计算,保留小数点后一位时，无产权工业用房租金的计算结果无变化；保留小数点后两位时，计算结果东西罩棚仓为1.02元/平方米</w:t>
      </w:r>
      <w:r>
        <w:rPr>
          <w:rFonts w:ascii="宋体" w:eastAsia="宋体" w:hAnsi="宋体" w:hint="eastAsia"/>
          <w:b/>
          <w:bCs/>
          <w:sz w:val="28"/>
          <w:szCs w:val="28"/>
        </w:rPr>
        <w:t>•</w:t>
      </w:r>
      <w:r>
        <w:rPr>
          <w:rFonts w:ascii="仿宋" w:eastAsia="仿宋" w:hAnsi="仿宋" w:hint="eastAsia"/>
          <w:b/>
          <w:bCs/>
          <w:sz w:val="28"/>
          <w:szCs w:val="28"/>
        </w:rPr>
        <w:t>天，3号仓为</w:t>
      </w:r>
      <w:r>
        <w:rPr>
          <w:rFonts w:ascii="仿宋" w:eastAsia="仿宋" w:hAnsi="仿宋"/>
          <w:b/>
          <w:bCs/>
          <w:sz w:val="28"/>
          <w:szCs w:val="28"/>
        </w:rPr>
        <w:t>1.</w:t>
      </w:r>
      <w:r>
        <w:rPr>
          <w:rFonts w:ascii="仿宋" w:eastAsia="仿宋" w:hAnsi="仿宋" w:hint="eastAsia"/>
          <w:b/>
          <w:bCs/>
          <w:sz w:val="28"/>
          <w:szCs w:val="28"/>
        </w:rPr>
        <w:t>41</w:t>
      </w:r>
      <w:r>
        <w:rPr>
          <w:rFonts w:ascii="仿宋" w:eastAsia="仿宋" w:hAnsi="仿宋"/>
          <w:b/>
          <w:bCs/>
          <w:sz w:val="28"/>
          <w:szCs w:val="28"/>
        </w:rPr>
        <w:t>元/平方米•天</w:t>
      </w:r>
      <w:r>
        <w:rPr>
          <w:rFonts w:hint="eastAsia"/>
        </w:rPr>
        <w:t>。</w:t>
      </w:r>
      <w:r>
        <w:rPr>
          <w:rFonts w:ascii="仿宋" w:eastAsia="仿宋" w:hAnsi="仿宋" w:hint="eastAsia"/>
          <w:b/>
          <w:bCs/>
          <w:sz w:val="28"/>
          <w:szCs w:val="28"/>
        </w:rPr>
        <w:t>年租金见下表：</w:t>
      </w:r>
    </w:p>
    <w:tbl>
      <w:tblPr>
        <w:tblStyle w:val="a9"/>
        <w:tblW w:w="8505" w:type="dxa"/>
        <w:jc w:val="center"/>
        <w:tblLook w:val="04A0" w:firstRow="1" w:lastRow="0" w:firstColumn="1" w:lastColumn="0" w:noHBand="0" w:noVBand="1"/>
      </w:tblPr>
      <w:tblGrid>
        <w:gridCol w:w="2125"/>
        <w:gridCol w:w="2126"/>
        <w:gridCol w:w="2127"/>
        <w:gridCol w:w="2127"/>
      </w:tblGrid>
      <w:tr w:rsidR="0098747E">
        <w:trPr>
          <w:jc w:val="center"/>
        </w:trPr>
        <w:tc>
          <w:tcPr>
            <w:tcW w:w="2130" w:type="dxa"/>
          </w:tcPr>
          <w:p w:rsidR="0098747E" w:rsidRDefault="0098747E">
            <w:pPr>
              <w:spacing w:line="240" w:lineRule="exact"/>
              <w:rPr>
                <w:rFonts w:eastAsia="仿宋_GB2312"/>
                <w:b/>
                <w:sz w:val="18"/>
                <w:szCs w:val="18"/>
              </w:rPr>
            </w:pPr>
          </w:p>
        </w:tc>
        <w:tc>
          <w:tcPr>
            <w:tcW w:w="2130" w:type="dxa"/>
          </w:tcPr>
          <w:p w:rsidR="0098747E" w:rsidRDefault="00FE3201">
            <w:pPr>
              <w:spacing w:line="240" w:lineRule="exact"/>
              <w:rPr>
                <w:rFonts w:eastAsia="仿宋_GB2312"/>
                <w:b/>
                <w:sz w:val="18"/>
                <w:szCs w:val="18"/>
              </w:rPr>
            </w:pPr>
            <w:r>
              <w:rPr>
                <w:rFonts w:eastAsia="仿宋_GB2312" w:hint="eastAsia"/>
                <w:b/>
                <w:sz w:val="18"/>
                <w:szCs w:val="18"/>
              </w:rPr>
              <w:t>面积（平方米）</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日租金（元</w:t>
            </w:r>
            <w:r>
              <w:rPr>
                <w:rFonts w:eastAsia="仿宋_GB2312"/>
                <w:b/>
                <w:sz w:val="18"/>
                <w:szCs w:val="18"/>
              </w:rPr>
              <w:t>/</w:t>
            </w:r>
            <w:r>
              <w:rPr>
                <w:rFonts w:eastAsia="仿宋_GB2312"/>
                <w:b/>
                <w:sz w:val="18"/>
                <w:szCs w:val="18"/>
              </w:rPr>
              <w:t>平方米</w:t>
            </w:r>
            <w:r>
              <w:rPr>
                <w:rFonts w:eastAsia="仿宋_GB2312"/>
                <w:b/>
                <w:sz w:val="18"/>
                <w:szCs w:val="18"/>
              </w:rPr>
              <w:t>•</w:t>
            </w:r>
            <w:r>
              <w:rPr>
                <w:rFonts w:eastAsia="仿宋_GB2312"/>
                <w:b/>
                <w:sz w:val="18"/>
                <w:szCs w:val="18"/>
              </w:rPr>
              <w:t>天</w:t>
            </w:r>
            <w:r>
              <w:rPr>
                <w:rFonts w:eastAsia="仿宋_GB2312" w:hint="eastAsia"/>
                <w:b/>
                <w:sz w:val="18"/>
                <w:szCs w:val="18"/>
              </w:rPr>
              <w:t>）</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年租金（元）</w:t>
            </w:r>
          </w:p>
        </w:tc>
      </w:tr>
      <w:tr w:rsidR="0098747E">
        <w:trPr>
          <w:jc w:val="center"/>
        </w:trPr>
        <w:tc>
          <w:tcPr>
            <w:tcW w:w="2130" w:type="dxa"/>
          </w:tcPr>
          <w:p w:rsidR="0098747E" w:rsidRDefault="00FE3201">
            <w:pPr>
              <w:spacing w:line="240" w:lineRule="exact"/>
              <w:rPr>
                <w:rFonts w:eastAsia="仿宋_GB2312"/>
                <w:b/>
                <w:sz w:val="18"/>
                <w:szCs w:val="18"/>
              </w:rPr>
            </w:pPr>
            <w:r>
              <w:rPr>
                <w:rFonts w:eastAsia="仿宋_GB2312" w:hint="eastAsia"/>
                <w:b/>
                <w:sz w:val="18"/>
                <w:szCs w:val="18"/>
              </w:rPr>
              <w:t>东罩棚仓</w:t>
            </w:r>
          </w:p>
        </w:tc>
        <w:tc>
          <w:tcPr>
            <w:tcW w:w="2130" w:type="dxa"/>
          </w:tcPr>
          <w:p w:rsidR="0098747E" w:rsidRDefault="00FE3201">
            <w:pPr>
              <w:spacing w:line="240" w:lineRule="exact"/>
              <w:rPr>
                <w:rFonts w:eastAsia="仿宋_GB2312"/>
                <w:b/>
                <w:sz w:val="18"/>
                <w:szCs w:val="18"/>
              </w:rPr>
            </w:pPr>
            <w:r>
              <w:rPr>
                <w:rFonts w:eastAsia="仿宋_GB2312" w:hint="eastAsia"/>
                <w:b/>
                <w:sz w:val="18"/>
                <w:szCs w:val="18"/>
              </w:rPr>
              <w:t>1318</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1.02</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490691</w:t>
            </w:r>
          </w:p>
        </w:tc>
      </w:tr>
      <w:tr w:rsidR="0098747E">
        <w:trPr>
          <w:jc w:val="center"/>
        </w:trPr>
        <w:tc>
          <w:tcPr>
            <w:tcW w:w="2130" w:type="dxa"/>
          </w:tcPr>
          <w:p w:rsidR="0098747E" w:rsidRDefault="00FE3201">
            <w:pPr>
              <w:spacing w:line="240" w:lineRule="exact"/>
              <w:rPr>
                <w:rFonts w:eastAsia="仿宋_GB2312"/>
                <w:b/>
                <w:sz w:val="18"/>
                <w:szCs w:val="18"/>
              </w:rPr>
            </w:pPr>
            <w:r>
              <w:rPr>
                <w:rFonts w:eastAsia="仿宋_GB2312" w:hint="eastAsia"/>
                <w:b/>
                <w:sz w:val="18"/>
                <w:szCs w:val="18"/>
              </w:rPr>
              <w:t>西罩棚仓</w:t>
            </w:r>
          </w:p>
        </w:tc>
        <w:tc>
          <w:tcPr>
            <w:tcW w:w="2130" w:type="dxa"/>
          </w:tcPr>
          <w:p w:rsidR="0098747E" w:rsidRDefault="00FE3201">
            <w:pPr>
              <w:spacing w:line="240" w:lineRule="exact"/>
              <w:rPr>
                <w:rFonts w:eastAsia="仿宋_GB2312"/>
                <w:b/>
                <w:sz w:val="18"/>
                <w:szCs w:val="18"/>
              </w:rPr>
            </w:pPr>
            <w:r>
              <w:rPr>
                <w:rFonts w:eastAsia="仿宋_GB2312" w:hint="eastAsia"/>
                <w:b/>
                <w:sz w:val="18"/>
                <w:szCs w:val="18"/>
              </w:rPr>
              <w:t>1434</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1.02</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533878</w:t>
            </w:r>
          </w:p>
        </w:tc>
      </w:tr>
      <w:tr w:rsidR="0098747E">
        <w:trPr>
          <w:jc w:val="center"/>
        </w:trPr>
        <w:tc>
          <w:tcPr>
            <w:tcW w:w="2130" w:type="dxa"/>
          </w:tcPr>
          <w:p w:rsidR="0098747E" w:rsidRDefault="00FE3201">
            <w:pPr>
              <w:spacing w:line="240" w:lineRule="exact"/>
              <w:rPr>
                <w:rFonts w:eastAsia="仿宋_GB2312"/>
                <w:b/>
                <w:sz w:val="18"/>
                <w:szCs w:val="18"/>
              </w:rPr>
            </w:pPr>
            <w:r>
              <w:rPr>
                <w:rFonts w:eastAsia="仿宋_GB2312" w:hint="eastAsia"/>
                <w:b/>
                <w:sz w:val="18"/>
                <w:szCs w:val="18"/>
              </w:rPr>
              <w:t>3</w:t>
            </w:r>
            <w:r>
              <w:rPr>
                <w:rFonts w:eastAsia="仿宋_GB2312" w:hint="eastAsia"/>
                <w:b/>
                <w:sz w:val="18"/>
                <w:szCs w:val="18"/>
              </w:rPr>
              <w:t>号仓</w:t>
            </w:r>
          </w:p>
        </w:tc>
        <w:tc>
          <w:tcPr>
            <w:tcW w:w="2130" w:type="dxa"/>
          </w:tcPr>
          <w:p w:rsidR="0098747E" w:rsidRDefault="00FE3201">
            <w:pPr>
              <w:spacing w:line="240" w:lineRule="exact"/>
              <w:rPr>
                <w:rFonts w:eastAsia="仿宋_GB2312"/>
                <w:b/>
                <w:sz w:val="18"/>
                <w:szCs w:val="18"/>
              </w:rPr>
            </w:pPr>
            <w:r>
              <w:rPr>
                <w:rFonts w:eastAsia="仿宋_GB2312" w:hint="eastAsia"/>
                <w:b/>
                <w:sz w:val="18"/>
                <w:szCs w:val="18"/>
              </w:rPr>
              <w:t>1600</w:t>
            </w:r>
          </w:p>
        </w:tc>
        <w:tc>
          <w:tcPr>
            <w:tcW w:w="2131" w:type="dxa"/>
          </w:tcPr>
          <w:p w:rsidR="0098747E" w:rsidRDefault="00FE3201">
            <w:pPr>
              <w:spacing w:line="240" w:lineRule="exact"/>
              <w:rPr>
                <w:rFonts w:eastAsia="仿宋_GB2312"/>
                <w:b/>
                <w:sz w:val="18"/>
                <w:szCs w:val="18"/>
              </w:rPr>
            </w:pPr>
            <w:r>
              <w:rPr>
                <w:rFonts w:eastAsia="仿宋_GB2312" w:hint="eastAsia"/>
                <w:b/>
                <w:sz w:val="18"/>
                <w:szCs w:val="18"/>
              </w:rPr>
              <w:t>1.41</w:t>
            </w:r>
          </w:p>
        </w:tc>
        <w:tc>
          <w:tcPr>
            <w:tcW w:w="2131" w:type="dxa"/>
          </w:tcPr>
          <w:p w:rsidR="0098747E" w:rsidRDefault="00FE3201">
            <w:pPr>
              <w:spacing w:line="240" w:lineRule="exact"/>
              <w:rPr>
                <w:rFonts w:eastAsia="仿宋_GB2312"/>
                <w:b/>
                <w:sz w:val="18"/>
                <w:szCs w:val="18"/>
              </w:rPr>
            </w:pPr>
            <w:r>
              <w:rPr>
                <w:rFonts w:eastAsia="仿宋_GB2312"/>
                <w:b/>
                <w:sz w:val="18"/>
                <w:szCs w:val="18"/>
              </w:rPr>
              <w:t>823440</w:t>
            </w:r>
          </w:p>
        </w:tc>
      </w:tr>
    </w:tbl>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修正幅度调至11.1%，日租金保留小数点后两位，年租金较原估价结果上浮2%，其中：东罩棚仓原结果为481070元/年，增加9621元/年；西罩棚仓原结果为523410元/年，增加10468元/年；3号仓原结果为</w:t>
      </w:r>
      <w:r>
        <w:rPr>
          <w:rFonts w:ascii="仿宋" w:eastAsia="仿宋" w:hAnsi="仿宋"/>
          <w:b/>
          <w:bCs/>
          <w:sz w:val="28"/>
          <w:szCs w:val="28"/>
        </w:rPr>
        <w:t>817600</w:t>
      </w:r>
      <w:r>
        <w:rPr>
          <w:rFonts w:ascii="仿宋" w:eastAsia="仿宋" w:hAnsi="仿宋" w:hint="eastAsia"/>
          <w:b/>
          <w:bCs/>
          <w:sz w:val="28"/>
          <w:szCs w:val="28"/>
        </w:rPr>
        <w:t>元</w:t>
      </w:r>
      <w:r>
        <w:rPr>
          <w:rFonts w:ascii="仿宋" w:eastAsia="仿宋" w:hAnsi="仿宋"/>
          <w:b/>
          <w:bCs/>
          <w:sz w:val="28"/>
          <w:szCs w:val="28"/>
        </w:rPr>
        <w:t>/年</w:t>
      </w:r>
      <w:r>
        <w:rPr>
          <w:rFonts w:ascii="仿宋" w:eastAsia="仿宋" w:hAnsi="仿宋" w:hint="eastAsia"/>
          <w:b/>
          <w:bCs/>
          <w:sz w:val="28"/>
          <w:szCs w:val="28"/>
        </w:rPr>
        <w:t>，增加5840</w:t>
      </w:r>
      <w:r>
        <w:rPr>
          <w:rFonts w:ascii="仿宋" w:eastAsia="仿宋" w:hAnsi="仿宋"/>
          <w:b/>
          <w:bCs/>
          <w:sz w:val="28"/>
          <w:szCs w:val="28"/>
        </w:rPr>
        <w:t>元/年</w:t>
      </w:r>
      <w:r>
        <w:rPr>
          <w:rFonts w:ascii="仿宋" w:eastAsia="仿宋" w:hAnsi="仿宋" w:hint="eastAsia"/>
          <w:b/>
          <w:bCs/>
          <w:sz w:val="28"/>
          <w:szCs w:val="28"/>
        </w:rPr>
        <w:t>。</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根据上述测算结果，本着合理范围内企业利益最大化原则，本次评估将原修正比例15%调整至11.1%，报告已做同步调整。</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10.复审意见P2/6，“未建房屋的土地现状未利用，如何处置请咨询北京顺义中宏粮食储备库有限公司”。请评估机构正视专家提出的各项问题。</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回复：我司评估专业人员与估价委托人现场核实，估价对象所属项目上未建房屋的土地，现状为空置，暂无相关规划利用的计划。</w:t>
      </w:r>
    </w:p>
    <w:p w:rsidR="0098747E" w:rsidRDefault="00FE3201">
      <w:pPr>
        <w:spacing w:line="480" w:lineRule="auto"/>
        <w:ind w:firstLineChars="200" w:firstLine="560"/>
        <w:rPr>
          <w:rFonts w:ascii="仿宋" w:eastAsia="仿宋" w:hAnsi="仿宋"/>
          <w:bCs/>
          <w:sz w:val="28"/>
          <w:szCs w:val="28"/>
        </w:rPr>
      </w:pPr>
      <w:r>
        <w:rPr>
          <w:rFonts w:ascii="仿宋" w:eastAsia="仿宋" w:hAnsi="仿宋" w:hint="eastAsia"/>
          <w:bCs/>
          <w:sz w:val="28"/>
          <w:szCs w:val="28"/>
        </w:rPr>
        <w:t>11.集团审核意见P1。关于《企业产权登记表》、法人签字问题，中粮集团已致函评估机构，请评估机构说明是否收到此函件。有关项目团队是否知悉国资监管和中粮集团对评估报告的要求？为何《企业产权登记表》问题在多个评估报告中均存在？</w:t>
      </w:r>
    </w:p>
    <w:p w:rsidR="0098747E" w:rsidRDefault="00FE3201">
      <w:pPr>
        <w:spacing w:line="480" w:lineRule="auto"/>
        <w:ind w:firstLineChars="200" w:firstLine="562"/>
        <w:rPr>
          <w:rFonts w:ascii="仿宋" w:eastAsia="仿宋" w:hAnsi="仿宋"/>
          <w:b/>
          <w:bCs/>
          <w:sz w:val="28"/>
          <w:szCs w:val="28"/>
        </w:rPr>
      </w:pPr>
      <w:r>
        <w:rPr>
          <w:rFonts w:ascii="仿宋" w:eastAsia="仿宋" w:hAnsi="仿宋" w:hint="eastAsia"/>
          <w:b/>
          <w:bCs/>
          <w:sz w:val="28"/>
          <w:szCs w:val="28"/>
        </w:rPr>
        <w:t>回复：已收到中粮集团函件。收到后我司认真了解了相关要求，现已对多个报告中的相关问题进行修改。对于日后新承接项目我司将会严格按照要求撰写报告。</w:t>
      </w:r>
    </w:p>
    <w:p w:rsidR="0098747E" w:rsidRDefault="0098747E">
      <w:pPr>
        <w:spacing w:line="480" w:lineRule="auto"/>
        <w:ind w:firstLineChars="200" w:firstLine="560"/>
        <w:rPr>
          <w:rFonts w:ascii="仿宋" w:eastAsia="仿宋" w:hAnsi="仿宋"/>
          <w:bCs/>
          <w:sz w:val="28"/>
          <w:szCs w:val="28"/>
        </w:rPr>
      </w:pPr>
    </w:p>
    <w:p w:rsidR="0098747E" w:rsidRDefault="00FE3201">
      <w:pPr>
        <w:ind w:firstLine="480"/>
        <w:rPr>
          <w:rFonts w:ascii="仿宋" w:eastAsia="仿宋" w:hAnsi="仿宋"/>
          <w:sz w:val="28"/>
          <w:szCs w:val="28"/>
        </w:rPr>
      </w:pPr>
      <w:r>
        <w:rPr>
          <w:rFonts w:ascii="仿宋" w:eastAsia="仿宋" w:hAnsi="仿宋" w:hint="eastAsia"/>
          <w:sz w:val="28"/>
          <w:szCs w:val="28"/>
        </w:rPr>
        <w:t>注：中介机构不因为本次审核而转移其应当承担的法律责任。</w:t>
      </w:r>
    </w:p>
    <w:p w:rsidR="0098747E" w:rsidRDefault="0098747E">
      <w:pPr>
        <w:spacing w:line="480" w:lineRule="auto"/>
        <w:ind w:firstLineChars="200" w:firstLine="560"/>
        <w:rPr>
          <w:rFonts w:ascii="仿宋" w:eastAsia="仿宋" w:hAnsi="仿宋"/>
          <w:bCs/>
          <w:sz w:val="28"/>
          <w:szCs w:val="28"/>
        </w:rPr>
      </w:pPr>
    </w:p>
    <w:p w:rsidR="0004351B" w:rsidRDefault="0004351B">
      <w:pPr>
        <w:spacing w:line="480" w:lineRule="auto"/>
        <w:ind w:firstLineChars="200" w:firstLine="560"/>
        <w:rPr>
          <w:rFonts w:ascii="仿宋" w:eastAsia="仿宋" w:hAnsi="仿宋"/>
          <w:bCs/>
          <w:sz w:val="28"/>
          <w:szCs w:val="28"/>
        </w:rPr>
      </w:pPr>
    </w:p>
    <w:p w:rsidR="0004351B" w:rsidRDefault="0004351B" w:rsidP="0004351B">
      <w:pPr>
        <w:spacing w:line="480" w:lineRule="auto"/>
        <w:ind w:firstLineChars="200" w:firstLine="560"/>
        <w:jc w:val="right"/>
        <w:rPr>
          <w:rFonts w:ascii="仿宋" w:eastAsia="仿宋" w:hAnsi="仿宋"/>
          <w:bCs/>
          <w:sz w:val="28"/>
          <w:szCs w:val="28"/>
        </w:rPr>
      </w:pPr>
      <w:r>
        <w:rPr>
          <w:rFonts w:ascii="仿宋" w:eastAsia="仿宋" w:hAnsi="仿宋" w:hint="eastAsia"/>
          <w:bCs/>
          <w:sz w:val="28"/>
          <w:szCs w:val="28"/>
        </w:rPr>
        <w:t>北京康正宏基房地产评估有限公司</w:t>
      </w:r>
    </w:p>
    <w:p w:rsidR="0004351B" w:rsidRPr="0004351B" w:rsidRDefault="0004351B" w:rsidP="0004351B">
      <w:pPr>
        <w:spacing w:line="480" w:lineRule="auto"/>
        <w:ind w:firstLineChars="200" w:firstLine="560"/>
        <w:jc w:val="right"/>
        <w:rPr>
          <w:rFonts w:ascii="仿宋" w:eastAsia="仿宋" w:hAnsi="仿宋"/>
          <w:bCs/>
          <w:sz w:val="28"/>
          <w:szCs w:val="28"/>
        </w:rPr>
      </w:pPr>
      <w:r>
        <w:rPr>
          <w:rFonts w:ascii="仿宋" w:eastAsia="仿宋" w:hAnsi="仿宋" w:hint="eastAsia"/>
          <w:bCs/>
          <w:sz w:val="28"/>
          <w:szCs w:val="28"/>
        </w:rPr>
        <w:t>2023年6月</w:t>
      </w:r>
      <w:r w:rsidR="00727729">
        <w:rPr>
          <w:rFonts w:ascii="仿宋" w:eastAsia="仿宋" w:hAnsi="仿宋" w:hint="eastAsia"/>
          <w:bCs/>
          <w:sz w:val="28"/>
          <w:szCs w:val="28"/>
        </w:rPr>
        <w:t>29</w:t>
      </w:r>
      <w:bookmarkStart w:id="0" w:name="_GoBack"/>
      <w:bookmarkEnd w:id="0"/>
      <w:r>
        <w:rPr>
          <w:rFonts w:ascii="仿宋" w:eastAsia="仿宋" w:hAnsi="仿宋" w:hint="eastAsia"/>
          <w:bCs/>
          <w:sz w:val="28"/>
          <w:szCs w:val="28"/>
        </w:rPr>
        <w:t>日</w:t>
      </w:r>
    </w:p>
    <w:sectPr w:rsidR="0004351B" w:rsidRPr="0004351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3F" w:rsidRDefault="00CB5E3F">
      <w:r>
        <w:separator/>
      </w:r>
    </w:p>
  </w:endnote>
  <w:endnote w:type="continuationSeparator" w:id="0">
    <w:p w:rsidR="00CB5E3F" w:rsidRDefault="00CB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altName w:val="宋体"/>
    <w:panose1 w:val="00000000000000000000"/>
    <w:charset w:val="86"/>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47E" w:rsidRDefault="00FE320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747E" w:rsidRDefault="00FE3201">
                          <w:pPr>
                            <w:pStyle w:val="a5"/>
                          </w:pPr>
                          <w:r>
                            <w:fldChar w:fldCharType="begin"/>
                          </w:r>
                          <w:r>
                            <w:instrText xml:space="preserve"> PAGE  \* MERGEFORMAT </w:instrText>
                          </w:r>
                          <w:r>
                            <w:fldChar w:fldCharType="separate"/>
                          </w:r>
                          <w:r w:rsidR="00CB5E3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98747E" w:rsidRDefault="00FE3201">
                    <w:pPr>
                      <w:pStyle w:val="a5"/>
                    </w:pPr>
                    <w:r>
                      <w:fldChar w:fldCharType="begin"/>
                    </w:r>
                    <w:r>
                      <w:instrText xml:space="preserve"> PAGE  \* MERGEFORMAT </w:instrText>
                    </w:r>
                    <w:r>
                      <w:fldChar w:fldCharType="separate"/>
                    </w:r>
                    <w:r w:rsidR="00CB5E3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3F" w:rsidRDefault="00CB5E3F">
      <w:r>
        <w:separator/>
      </w:r>
    </w:p>
  </w:footnote>
  <w:footnote w:type="continuationSeparator" w:id="0">
    <w:p w:rsidR="00CB5E3F" w:rsidRDefault="00CB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NmM3MTlmNDg0ZTE2NTczMjBkYjA4MTc0Mjk2ZTUifQ=="/>
  </w:docVars>
  <w:rsids>
    <w:rsidRoot w:val="00222CD7"/>
    <w:rsid w:val="00001DF5"/>
    <w:rsid w:val="00010107"/>
    <w:rsid w:val="00020F80"/>
    <w:rsid w:val="00022C00"/>
    <w:rsid w:val="00023538"/>
    <w:rsid w:val="0002410B"/>
    <w:rsid w:val="00027864"/>
    <w:rsid w:val="000375B3"/>
    <w:rsid w:val="00040A0D"/>
    <w:rsid w:val="00042CA6"/>
    <w:rsid w:val="0004351B"/>
    <w:rsid w:val="000460CB"/>
    <w:rsid w:val="000529B9"/>
    <w:rsid w:val="00054624"/>
    <w:rsid w:val="000578AF"/>
    <w:rsid w:val="00064ECC"/>
    <w:rsid w:val="0008157B"/>
    <w:rsid w:val="000865B4"/>
    <w:rsid w:val="00095AAD"/>
    <w:rsid w:val="0009674E"/>
    <w:rsid w:val="00097E96"/>
    <w:rsid w:val="000A104F"/>
    <w:rsid w:val="000B46B4"/>
    <w:rsid w:val="000B73DF"/>
    <w:rsid w:val="000C494C"/>
    <w:rsid w:val="000C7470"/>
    <w:rsid w:val="000D4BED"/>
    <w:rsid w:val="000D5511"/>
    <w:rsid w:val="000D646A"/>
    <w:rsid w:val="000E0E02"/>
    <w:rsid w:val="000E12FE"/>
    <w:rsid w:val="000E19FA"/>
    <w:rsid w:val="000E3B75"/>
    <w:rsid w:val="000E5161"/>
    <w:rsid w:val="000E5581"/>
    <w:rsid w:val="000E75CF"/>
    <w:rsid w:val="000F2CC6"/>
    <w:rsid w:val="000F7C2F"/>
    <w:rsid w:val="001027FD"/>
    <w:rsid w:val="00103535"/>
    <w:rsid w:val="00110185"/>
    <w:rsid w:val="001142B5"/>
    <w:rsid w:val="00116162"/>
    <w:rsid w:val="001213D7"/>
    <w:rsid w:val="0012550C"/>
    <w:rsid w:val="0012691A"/>
    <w:rsid w:val="00133D19"/>
    <w:rsid w:val="00144B34"/>
    <w:rsid w:val="00145B70"/>
    <w:rsid w:val="00146187"/>
    <w:rsid w:val="00150A9D"/>
    <w:rsid w:val="00154420"/>
    <w:rsid w:val="00155081"/>
    <w:rsid w:val="00155E8A"/>
    <w:rsid w:val="00161062"/>
    <w:rsid w:val="0016261A"/>
    <w:rsid w:val="00167B73"/>
    <w:rsid w:val="0017020B"/>
    <w:rsid w:val="00170D4E"/>
    <w:rsid w:val="00172F63"/>
    <w:rsid w:val="00174125"/>
    <w:rsid w:val="00174C1E"/>
    <w:rsid w:val="001762A3"/>
    <w:rsid w:val="00187189"/>
    <w:rsid w:val="001A3467"/>
    <w:rsid w:val="001A3F77"/>
    <w:rsid w:val="001B0CC2"/>
    <w:rsid w:val="001B21A3"/>
    <w:rsid w:val="001B3A05"/>
    <w:rsid w:val="001C1F06"/>
    <w:rsid w:val="001C528B"/>
    <w:rsid w:val="001C5BB8"/>
    <w:rsid w:val="001D1875"/>
    <w:rsid w:val="001D1A61"/>
    <w:rsid w:val="001D2EA2"/>
    <w:rsid w:val="001D5061"/>
    <w:rsid w:val="001E00C5"/>
    <w:rsid w:val="001E146F"/>
    <w:rsid w:val="00203B2D"/>
    <w:rsid w:val="002109E3"/>
    <w:rsid w:val="00212667"/>
    <w:rsid w:val="00214F15"/>
    <w:rsid w:val="002153D9"/>
    <w:rsid w:val="00222CD7"/>
    <w:rsid w:val="00225973"/>
    <w:rsid w:val="0022598F"/>
    <w:rsid w:val="00227766"/>
    <w:rsid w:val="002348AB"/>
    <w:rsid w:val="00236F8E"/>
    <w:rsid w:val="00237CEE"/>
    <w:rsid w:val="002620A9"/>
    <w:rsid w:val="00276E84"/>
    <w:rsid w:val="00280234"/>
    <w:rsid w:val="002913DC"/>
    <w:rsid w:val="00292BCD"/>
    <w:rsid w:val="00295A14"/>
    <w:rsid w:val="002A2C88"/>
    <w:rsid w:val="002A48FE"/>
    <w:rsid w:val="002A5B66"/>
    <w:rsid w:val="002A7C1C"/>
    <w:rsid w:val="002B0678"/>
    <w:rsid w:val="002B439A"/>
    <w:rsid w:val="002C333E"/>
    <w:rsid w:val="002C68CD"/>
    <w:rsid w:val="002D2F06"/>
    <w:rsid w:val="002D2FF1"/>
    <w:rsid w:val="002E1B03"/>
    <w:rsid w:val="002F0302"/>
    <w:rsid w:val="002F3A68"/>
    <w:rsid w:val="002F3FD5"/>
    <w:rsid w:val="002F62E8"/>
    <w:rsid w:val="002F6521"/>
    <w:rsid w:val="003006AA"/>
    <w:rsid w:val="0030254C"/>
    <w:rsid w:val="00305A52"/>
    <w:rsid w:val="003138F4"/>
    <w:rsid w:val="00313BB2"/>
    <w:rsid w:val="00314090"/>
    <w:rsid w:val="00324E39"/>
    <w:rsid w:val="00325031"/>
    <w:rsid w:val="0033024E"/>
    <w:rsid w:val="003313B5"/>
    <w:rsid w:val="003334E0"/>
    <w:rsid w:val="00334382"/>
    <w:rsid w:val="00336079"/>
    <w:rsid w:val="003366CE"/>
    <w:rsid w:val="00342002"/>
    <w:rsid w:val="00351B38"/>
    <w:rsid w:val="00351B78"/>
    <w:rsid w:val="00356D6D"/>
    <w:rsid w:val="00362FC9"/>
    <w:rsid w:val="003659E4"/>
    <w:rsid w:val="0037554A"/>
    <w:rsid w:val="0038148B"/>
    <w:rsid w:val="003827A5"/>
    <w:rsid w:val="00385D51"/>
    <w:rsid w:val="0039020A"/>
    <w:rsid w:val="00395632"/>
    <w:rsid w:val="003B35D5"/>
    <w:rsid w:val="003B45D1"/>
    <w:rsid w:val="003B64FE"/>
    <w:rsid w:val="003B6AFA"/>
    <w:rsid w:val="003C311E"/>
    <w:rsid w:val="003C6D62"/>
    <w:rsid w:val="003C6D7B"/>
    <w:rsid w:val="003D212C"/>
    <w:rsid w:val="003D3558"/>
    <w:rsid w:val="003D4CEA"/>
    <w:rsid w:val="003D652B"/>
    <w:rsid w:val="003E26E2"/>
    <w:rsid w:val="003E60A9"/>
    <w:rsid w:val="003F0103"/>
    <w:rsid w:val="003F0990"/>
    <w:rsid w:val="00400258"/>
    <w:rsid w:val="00400965"/>
    <w:rsid w:val="004176F9"/>
    <w:rsid w:val="00420C2D"/>
    <w:rsid w:val="00421C2E"/>
    <w:rsid w:val="00426655"/>
    <w:rsid w:val="0043060B"/>
    <w:rsid w:val="00430E70"/>
    <w:rsid w:val="00432742"/>
    <w:rsid w:val="00442B09"/>
    <w:rsid w:val="00442B2D"/>
    <w:rsid w:val="004451D2"/>
    <w:rsid w:val="004452A0"/>
    <w:rsid w:val="00455B25"/>
    <w:rsid w:val="00466BA6"/>
    <w:rsid w:val="0047043D"/>
    <w:rsid w:val="00475A31"/>
    <w:rsid w:val="004830D6"/>
    <w:rsid w:val="004936C1"/>
    <w:rsid w:val="004963C7"/>
    <w:rsid w:val="004A0F11"/>
    <w:rsid w:val="004A53DB"/>
    <w:rsid w:val="004B15EB"/>
    <w:rsid w:val="004B1F24"/>
    <w:rsid w:val="004B3F71"/>
    <w:rsid w:val="004B6FB2"/>
    <w:rsid w:val="004C47F3"/>
    <w:rsid w:val="004E033C"/>
    <w:rsid w:val="004E3431"/>
    <w:rsid w:val="004E34F8"/>
    <w:rsid w:val="004E67F7"/>
    <w:rsid w:val="004F3D44"/>
    <w:rsid w:val="004F7655"/>
    <w:rsid w:val="004F7ABB"/>
    <w:rsid w:val="005013A1"/>
    <w:rsid w:val="005041E0"/>
    <w:rsid w:val="00513812"/>
    <w:rsid w:val="005170C2"/>
    <w:rsid w:val="00520564"/>
    <w:rsid w:val="00520F15"/>
    <w:rsid w:val="0052118E"/>
    <w:rsid w:val="0053152D"/>
    <w:rsid w:val="0053175F"/>
    <w:rsid w:val="0054400D"/>
    <w:rsid w:val="00554DBB"/>
    <w:rsid w:val="00556F51"/>
    <w:rsid w:val="00572CBF"/>
    <w:rsid w:val="005865EE"/>
    <w:rsid w:val="00597373"/>
    <w:rsid w:val="00597D07"/>
    <w:rsid w:val="005A0B99"/>
    <w:rsid w:val="005A2D64"/>
    <w:rsid w:val="005B6AD9"/>
    <w:rsid w:val="005C1500"/>
    <w:rsid w:val="005C7CBA"/>
    <w:rsid w:val="005D3726"/>
    <w:rsid w:val="005D4A7E"/>
    <w:rsid w:val="005E3E5B"/>
    <w:rsid w:val="005F3800"/>
    <w:rsid w:val="005F4821"/>
    <w:rsid w:val="005F53AD"/>
    <w:rsid w:val="005F6B9F"/>
    <w:rsid w:val="00615DF7"/>
    <w:rsid w:val="00617B07"/>
    <w:rsid w:val="0062181B"/>
    <w:rsid w:val="00622697"/>
    <w:rsid w:val="00624526"/>
    <w:rsid w:val="00626BAF"/>
    <w:rsid w:val="00626D96"/>
    <w:rsid w:val="006307C4"/>
    <w:rsid w:val="00644FC3"/>
    <w:rsid w:val="00645D6A"/>
    <w:rsid w:val="00654973"/>
    <w:rsid w:val="00663115"/>
    <w:rsid w:val="00665202"/>
    <w:rsid w:val="00680D5A"/>
    <w:rsid w:val="0068160E"/>
    <w:rsid w:val="0068455B"/>
    <w:rsid w:val="00687B7A"/>
    <w:rsid w:val="006A1B9D"/>
    <w:rsid w:val="006A3B05"/>
    <w:rsid w:val="006A3DB0"/>
    <w:rsid w:val="006A716D"/>
    <w:rsid w:val="006B2139"/>
    <w:rsid w:val="006B465D"/>
    <w:rsid w:val="006C377D"/>
    <w:rsid w:val="006C3A28"/>
    <w:rsid w:val="006C530E"/>
    <w:rsid w:val="006C5BE5"/>
    <w:rsid w:val="006D3177"/>
    <w:rsid w:val="006D36F2"/>
    <w:rsid w:val="006E103E"/>
    <w:rsid w:val="006E1885"/>
    <w:rsid w:val="006F72D3"/>
    <w:rsid w:val="006F7679"/>
    <w:rsid w:val="007007AF"/>
    <w:rsid w:val="00700F57"/>
    <w:rsid w:val="00701447"/>
    <w:rsid w:val="007029F1"/>
    <w:rsid w:val="00721C27"/>
    <w:rsid w:val="00722D30"/>
    <w:rsid w:val="00727729"/>
    <w:rsid w:val="00730FFA"/>
    <w:rsid w:val="007316C9"/>
    <w:rsid w:val="00736922"/>
    <w:rsid w:val="0074017C"/>
    <w:rsid w:val="0074027A"/>
    <w:rsid w:val="00742F24"/>
    <w:rsid w:val="00744025"/>
    <w:rsid w:val="00747454"/>
    <w:rsid w:val="007545EF"/>
    <w:rsid w:val="00760CDA"/>
    <w:rsid w:val="0076236B"/>
    <w:rsid w:val="007739F1"/>
    <w:rsid w:val="00782828"/>
    <w:rsid w:val="007860CD"/>
    <w:rsid w:val="00787A7D"/>
    <w:rsid w:val="00791686"/>
    <w:rsid w:val="00794077"/>
    <w:rsid w:val="00794A4A"/>
    <w:rsid w:val="007950C6"/>
    <w:rsid w:val="0079597D"/>
    <w:rsid w:val="007969EA"/>
    <w:rsid w:val="00797B01"/>
    <w:rsid w:val="007A1F7D"/>
    <w:rsid w:val="007A281D"/>
    <w:rsid w:val="007B0FBC"/>
    <w:rsid w:val="007B5FF9"/>
    <w:rsid w:val="007C32B4"/>
    <w:rsid w:val="007C35D3"/>
    <w:rsid w:val="007D1076"/>
    <w:rsid w:val="007D4366"/>
    <w:rsid w:val="007D5730"/>
    <w:rsid w:val="007E23FE"/>
    <w:rsid w:val="007E4B23"/>
    <w:rsid w:val="007F0613"/>
    <w:rsid w:val="007F4A81"/>
    <w:rsid w:val="007F51C1"/>
    <w:rsid w:val="007F6833"/>
    <w:rsid w:val="008135E4"/>
    <w:rsid w:val="00813C12"/>
    <w:rsid w:val="00816D12"/>
    <w:rsid w:val="008202FB"/>
    <w:rsid w:val="008245F4"/>
    <w:rsid w:val="00830D0C"/>
    <w:rsid w:val="00841E7B"/>
    <w:rsid w:val="0084267C"/>
    <w:rsid w:val="00850985"/>
    <w:rsid w:val="0085296B"/>
    <w:rsid w:val="00856927"/>
    <w:rsid w:val="0085798B"/>
    <w:rsid w:val="00871FF4"/>
    <w:rsid w:val="00874C71"/>
    <w:rsid w:val="00875AC9"/>
    <w:rsid w:val="00890244"/>
    <w:rsid w:val="0089362C"/>
    <w:rsid w:val="00895ECD"/>
    <w:rsid w:val="00897ED4"/>
    <w:rsid w:val="008A01EC"/>
    <w:rsid w:val="008A0DC7"/>
    <w:rsid w:val="008A104E"/>
    <w:rsid w:val="008A2A73"/>
    <w:rsid w:val="008A3AF7"/>
    <w:rsid w:val="008A3B65"/>
    <w:rsid w:val="008B7FCD"/>
    <w:rsid w:val="008C031E"/>
    <w:rsid w:val="008C288D"/>
    <w:rsid w:val="008D293C"/>
    <w:rsid w:val="008D6577"/>
    <w:rsid w:val="008E3326"/>
    <w:rsid w:val="008F5CAB"/>
    <w:rsid w:val="008F63B4"/>
    <w:rsid w:val="008F6FD6"/>
    <w:rsid w:val="00902187"/>
    <w:rsid w:val="009034E0"/>
    <w:rsid w:val="0090565E"/>
    <w:rsid w:val="00910692"/>
    <w:rsid w:val="009129D9"/>
    <w:rsid w:val="00913130"/>
    <w:rsid w:val="0092174A"/>
    <w:rsid w:val="009238B3"/>
    <w:rsid w:val="009357A2"/>
    <w:rsid w:val="009412CD"/>
    <w:rsid w:val="009420D5"/>
    <w:rsid w:val="00955AF8"/>
    <w:rsid w:val="00957542"/>
    <w:rsid w:val="00957E10"/>
    <w:rsid w:val="00960464"/>
    <w:rsid w:val="00963BC6"/>
    <w:rsid w:val="00971815"/>
    <w:rsid w:val="0097556E"/>
    <w:rsid w:val="009768D2"/>
    <w:rsid w:val="00980A15"/>
    <w:rsid w:val="0098715A"/>
    <w:rsid w:val="0098747E"/>
    <w:rsid w:val="00991257"/>
    <w:rsid w:val="009969D0"/>
    <w:rsid w:val="009A06B7"/>
    <w:rsid w:val="009A5FCE"/>
    <w:rsid w:val="009B35C8"/>
    <w:rsid w:val="009B42A1"/>
    <w:rsid w:val="009C06C9"/>
    <w:rsid w:val="009C19AD"/>
    <w:rsid w:val="009D158A"/>
    <w:rsid w:val="009D63CC"/>
    <w:rsid w:val="009F1160"/>
    <w:rsid w:val="009F1D7C"/>
    <w:rsid w:val="009F1EB7"/>
    <w:rsid w:val="009F4B79"/>
    <w:rsid w:val="00A00763"/>
    <w:rsid w:val="00A07D6A"/>
    <w:rsid w:val="00A21019"/>
    <w:rsid w:val="00A229DB"/>
    <w:rsid w:val="00A239B5"/>
    <w:rsid w:val="00A239F0"/>
    <w:rsid w:val="00A26BD9"/>
    <w:rsid w:val="00A26FE5"/>
    <w:rsid w:val="00A30B2D"/>
    <w:rsid w:val="00A33300"/>
    <w:rsid w:val="00A33F2A"/>
    <w:rsid w:val="00A351FF"/>
    <w:rsid w:val="00A35E4B"/>
    <w:rsid w:val="00A3731F"/>
    <w:rsid w:val="00A403D4"/>
    <w:rsid w:val="00A41868"/>
    <w:rsid w:val="00A464F4"/>
    <w:rsid w:val="00A66C6A"/>
    <w:rsid w:val="00A70559"/>
    <w:rsid w:val="00A7120B"/>
    <w:rsid w:val="00A71C82"/>
    <w:rsid w:val="00A7267A"/>
    <w:rsid w:val="00A731A5"/>
    <w:rsid w:val="00A7639A"/>
    <w:rsid w:val="00A878FE"/>
    <w:rsid w:val="00A90B9C"/>
    <w:rsid w:val="00A90C12"/>
    <w:rsid w:val="00A951CB"/>
    <w:rsid w:val="00AA4D0A"/>
    <w:rsid w:val="00AA7278"/>
    <w:rsid w:val="00AA7FAC"/>
    <w:rsid w:val="00AB3355"/>
    <w:rsid w:val="00AB57A6"/>
    <w:rsid w:val="00AC7103"/>
    <w:rsid w:val="00AD0217"/>
    <w:rsid w:val="00AD763F"/>
    <w:rsid w:val="00AD7F2B"/>
    <w:rsid w:val="00AE1A3B"/>
    <w:rsid w:val="00AF17C0"/>
    <w:rsid w:val="00AF405E"/>
    <w:rsid w:val="00B05A35"/>
    <w:rsid w:val="00B05AE2"/>
    <w:rsid w:val="00B10E34"/>
    <w:rsid w:val="00B139DB"/>
    <w:rsid w:val="00B15F0C"/>
    <w:rsid w:val="00B20048"/>
    <w:rsid w:val="00B20507"/>
    <w:rsid w:val="00B308F3"/>
    <w:rsid w:val="00B318C2"/>
    <w:rsid w:val="00B322D2"/>
    <w:rsid w:val="00B34E64"/>
    <w:rsid w:val="00B523F0"/>
    <w:rsid w:val="00B538AE"/>
    <w:rsid w:val="00B54A14"/>
    <w:rsid w:val="00B572E6"/>
    <w:rsid w:val="00B6391D"/>
    <w:rsid w:val="00B65EA0"/>
    <w:rsid w:val="00B70D76"/>
    <w:rsid w:val="00B737C2"/>
    <w:rsid w:val="00B812AB"/>
    <w:rsid w:val="00B81D6F"/>
    <w:rsid w:val="00B82976"/>
    <w:rsid w:val="00B86F5C"/>
    <w:rsid w:val="00B90977"/>
    <w:rsid w:val="00B91C7E"/>
    <w:rsid w:val="00BA3D85"/>
    <w:rsid w:val="00BA48F3"/>
    <w:rsid w:val="00BC3F25"/>
    <w:rsid w:val="00BD09A8"/>
    <w:rsid w:val="00BD1249"/>
    <w:rsid w:val="00BD5B85"/>
    <w:rsid w:val="00BE1A58"/>
    <w:rsid w:val="00BF7794"/>
    <w:rsid w:val="00C03BCA"/>
    <w:rsid w:val="00C05022"/>
    <w:rsid w:val="00C07AB5"/>
    <w:rsid w:val="00C10A08"/>
    <w:rsid w:val="00C16C8D"/>
    <w:rsid w:val="00C174B4"/>
    <w:rsid w:val="00C31806"/>
    <w:rsid w:val="00C4231C"/>
    <w:rsid w:val="00C430B4"/>
    <w:rsid w:val="00C431BC"/>
    <w:rsid w:val="00C52138"/>
    <w:rsid w:val="00C53A9D"/>
    <w:rsid w:val="00C57FE6"/>
    <w:rsid w:val="00C605B4"/>
    <w:rsid w:val="00C618F5"/>
    <w:rsid w:val="00C66410"/>
    <w:rsid w:val="00C90F9A"/>
    <w:rsid w:val="00C9254E"/>
    <w:rsid w:val="00C93130"/>
    <w:rsid w:val="00C93F14"/>
    <w:rsid w:val="00CA2F98"/>
    <w:rsid w:val="00CA5600"/>
    <w:rsid w:val="00CA668A"/>
    <w:rsid w:val="00CA7B7B"/>
    <w:rsid w:val="00CB4F60"/>
    <w:rsid w:val="00CB5E3F"/>
    <w:rsid w:val="00CC2B6F"/>
    <w:rsid w:val="00CC2CA4"/>
    <w:rsid w:val="00CD0F9B"/>
    <w:rsid w:val="00CD2ED6"/>
    <w:rsid w:val="00CE6B03"/>
    <w:rsid w:val="00D027F5"/>
    <w:rsid w:val="00D0513F"/>
    <w:rsid w:val="00D109C9"/>
    <w:rsid w:val="00D12863"/>
    <w:rsid w:val="00D13E5F"/>
    <w:rsid w:val="00D230AD"/>
    <w:rsid w:val="00D27F6D"/>
    <w:rsid w:val="00D30D16"/>
    <w:rsid w:val="00D36FE6"/>
    <w:rsid w:val="00D37855"/>
    <w:rsid w:val="00D432FA"/>
    <w:rsid w:val="00D4561E"/>
    <w:rsid w:val="00D459D6"/>
    <w:rsid w:val="00D54315"/>
    <w:rsid w:val="00D55E07"/>
    <w:rsid w:val="00D72E9A"/>
    <w:rsid w:val="00D84B76"/>
    <w:rsid w:val="00D87B65"/>
    <w:rsid w:val="00D902DB"/>
    <w:rsid w:val="00D95A6A"/>
    <w:rsid w:val="00DA04A0"/>
    <w:rsid w:val="00DA0601"/>
    <w:rsid w:val="00DB5EA8"/>
    <w:rsid w:val="00DB62B5"/>
    <w:rsid w:val="00DB63A7"/>
    <w:rsid w:val="00DC507E"/>
    <w:rsid w:val="00DC755D"/>
    <w:rsid w:val="00DD0178"/>
    <w:rsid w:val="00DD15A1"/>
    <w:rsid w:val="00DD4422"/>
    <w:rsid w:val="00DE0270"/>
    <w:rsid w:val="00DE028C"/>
    <w:rsid w:val="00DE28D4"/>
    <w:rsid w:val="00DF05A1"/>
    <w:rsid w:val="00DF435E"/>
    <w:rsid w:val="00DF4486"/>
    <w:rsid w:val="00DF63BC"/>
    <w:rsid w:val="00E06475"/>
    <w:rsid w:val="00E125B9"/>
    <w:rsid w:val="00E20CAE"/>
    <w:rsid w:val="00E275E3"/>
    <w:rsid w:val="00E62295"/>
    <w:rsid w:val="00E7539F"/>
    <w:rsid w:val="00E8014B"/>
    <w:rsid w:val="00E96B76"/>
    <w:rsid w:val="00EA0C2B"/>
    <w:rsid w:val="00EA0D6C"/>
    <w:rsid w:val="00EA1F2B"/>
    <w:rsid w:val="00EB304B"/>
    <w:rsid w:val="00EB3BF0"/>
    <w:rsid w:val="00EC1633"/>
    <w:rsid w:val="00EC36C3"/>
    <w:rsid w:val="00ED0D00"/>
    <w:rsid w:val="00ED4698"/>
    <w:rsid w:val="00F00592"/>
    <w:rsid w:val="00F01C41"/>
    <w:rsid w:val="00F02F5C"/>
    <w:rsid w:val="00F03989"/>
    <w:rsid w:val="00F06454"/>
    <w:rsid w:val="00F07C4C"/>
    <w:rsid w:val="00F16E6C"/>
    <w:rsid w:val="00F220D0"/>
    <w:rsid w:val="00F2215C"/>
    <w:rsid w:val="00F25B46"/>
    <w:rsid w:val="00F37210"/>
    <w:rsid w:val="00F62A65"/>
    <w:rsid w:val="00F62F4A"/>
    <w:rsid w:val="00F673A0"/>
    <w:rsid w:val="00F719F0"/>
    <w:rsid w:val="00F73DE9"/>
    <w:rsid w:val="00F76D69"/>
    <w:rsid w:val="00F84143"/>
    <w:rsid w:val="00F846BB"/>
    <w:rsid w:val="00F84ECD"/>
    <w:rsid w:val="00FA1397"/>
    <w:rsid w:val="00FA5C0E"/>
    <w:rsid w:val="00FB216A"/>
    <w:rsid w:val="00FB3429"/>
    <w:rsid w:val="00FC23C8"/>
    <w:rsid w:val="00FD2806"/>
    <w:rsid w:val="00FD6339"/>
    <w:rsid w:val="00FD6999"/>
    <w:rsid w:val="00FE3201"/>
    <w:rsid w:val="00FF1047"/>
    <w:rsid w:val="00FF3CCB"/>
    <w:rsid w:val="00FF77CE"/>
    <w:rsid w:val="03936CB9"/>
    <w:rsid w:val="03B074A6"/>
    <w:rsid w:val="06867724"/>
    <w:rsid w:val="06D03FE8"/>
    <w:rsid w:val="099C26AB"/>
    <w:rsid w:val="09C71A62"/>
    <w:rsid w:val="0CD5293B"/>
    <w:rsid w:val="0F591186"/>
    <w:rsid w:val="171E75CB"/>
    <w:rsid w:val="266035C0"/>
    <w:rsid w:val="2B497688"/>
    <w:rsid w:val="31EC14B5"/>
    <w:rsid w:val="32C646A0"/>
    <w:rsid w:val="36052E80"/>
    <w:rsid w:val="3C9C2802"/>
    <w:rsid w:val="3E3D5CCB"/>
    <w:rsid w:val="4DF07604"/>
    <w:rsid w:val="518E2FB5"/>
    <w:rsid w:val="58293AFF"/>
    <w:rsid w:val="5A860C7F"/>
    <w:rsid w:val="5AE47433"/>
    <w:rsid w:val="5C7A36E7"/>
    <w:rsid w:val="5D0436E4"/>
    <w:rsid w:val="5D7A70BF"/>
    <w:rsid w:val="5E0D19C3"/>
    <w:rsid w:val="5FD921C3"/>
    <w:rsid w:val="637B51DD"/>
    <w:rsid w:val="67702DF6"/>
    <w:rsid w:val="6B2926AE"/>
    <w:rsid w:val="6CAA7E57"/>
    <w:rsid w:val="6CE43981"/>
    <w:rsid w:val="6CE975F0"/>
    <w:rsid w:val="6E14457D"/>
    <w:rsid w:val="70E36EF1"/>
    <w:rsid w:val="731552BF"/>
    <w:rsid w:val="7C79387F"/>
    <w:rsid w:val="7FB32AB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i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2">
    <w:name w:val="页眉 Char"/>
    <w:basedOn w:val="a0"/>
    <w:link w:val="a6"/>
    <w:uiPriority w:val="99"/>
    <w:qFormat/>
    <w:rPr>
      <w:kern w:val="2"/>
      <w:sz w:val="18"/>
      <w:szCs w:val="18"/>
      <w:lang w:bidi="ar-SA"/>
    </w:rPr>
  </w:style>
  <w:style w:type="character" w:customStyle="1" w:styleId="Char1">
    <w:name w:val="页脚 Char"/>
    <w:basedOn w:val="a0"/>
    <w:link w:val="a5"/>
    <w:uiPriority w:val="99"/>
    <w:qFormat/>
    <w:rPr>
      <w:kern w:val="2"/>
      <w:sz w:val="18"/>
      <w:szCs w:val="18"/>
      <w:lang w:bidi="ar-SA"/>
    </w:rPr>
  </w:style>
  <w:style w:type="character" w:customStyle="1" w:styleId="Char">
    <w:name w:val="批注文字 Char"/>
    <w:basedOn w:val="a0"/>
    <w:link w:val="a3"/>
    <w:uiPriority w:val="99"/>
    <w:semiHidden/>
    <w:qFormat/>
    <w:rPr>
      <w:kern w:val="2"/>
      <w:sz w:val="21"/>
      <w:szCs w:val="22"/>
      <w:lang w:bidi="ar-SA"/>
    </w:rPr>
  </w:style>
  <w:style w:type="character" w:customStyle="1" w:styleId="Char3">
    <w:name w:val="批注主题 Char"/>
    <w:basedOn w:val="Char"/>
    <w:link w:val="a8"/>
    <w:uiPriority w:val="99"/>
    <w:semiHidden/>
    <w:qFormat/>
    <w:rPr>
      <w:b/>
      <w:bCs/>
      <w:kern w:val="2"/>
      <w:sz w:val="21"/>
      <w:szCs w:val="22"/>
      <w:lang w:bidi="ar-SA"/>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正文1"/>
    <w:qFormat/>
    <w:pPr>
      <w:widowControl w:val="0"/>
      <w:adjustRightInd w:val="0"/>
      <w:spacing w:line="360" w:lineRule="atLeast"/>
      <w:textAlignment w:val="baseline"/>
    </w:pPr>
    <w:rPr>
      <w:rFonts w:ascii="宋体"/>
      <w:sz w:val="34"/>
    </w:rPr>
  </w:style>
  <w:style w:type="character" w:customStyle="1" w:styleId="Char0">
    <w:name w:val="批注框文本 Char"/>
    <w:basedOn w:val="a0"/>
    <w:link w:val="a4"/>
    <w:uiPriority w:val="99"/>
    <w:semiHidden/>
    <w:qFormat/>
    <w:rPr>
      <w:kern w:val="2"/>
      <w:sz w:val="18"/>
      <w:szCs w:val="18"/>
    </w:rPr>
  </w:style>
  <w:style w:type="character" w:styleId="ae">
    <w:name w:val="Placeholder Text"/>
    <w:basedOn w:val="a0"/>
    <w:uiPriority w:val="99"/>
    <w:unhideWhenUs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i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2">
    <w:name w:val="页眉 Char"/>
    <w:basedOn w:val="a0"/>
    <w:link w:val="a6"/>
    <w:uiPriority w:val="99"/>
    <w:qFormat/>
    <w:rPr>
      <w:kern w:val="2"/>
      <w:sz w:val="18"/>
      <w:szCs w:val="18"/>
      <w:lang w:bidi="ar-SA"/>
    </w:rPr>
  </w:style>
  <w:style w:type="character" w:customStyle="1" w:styleId="Char1">
    <w:name w:val="页脚 Char"/>
    <w:basedOn w:val="a0"/>
    <w:link w:val="a5"/>
    <w:uiPriority w:val="99"/>
    <w:qFormat/>
    <w:rPr>
      <w:kern w:val="2"/>
      <w:sz w:val="18"/>
      <w:szCs w:val="18"/>
      <w:lang w:bidi="ar-SA"/>
    </w:rPr>
  </w:style>
  <w:style w:type="character" w:customStyle="1" w:styleId="Char">
    <w:name w:val="批注文字 Char"/>
    <w:basedOn w:val="a0"/>
    <w:link w:val="a3"/>
    <w:uiPriority w:val="99"/>
    <w:semiHidden/>
    <w:qFormat/>
    <w:rPr>
      <w:kern w:val="2"/>
      <w:sz w:val="21"/>
      <w:szCs w:val="22"/>
      <w:lang w:bidi="ar-SA"/>
    </w:rPr>
  </w:style>
  <w:style w:type="character" w:customStyle="1" w:styleId="Char3">
    <w:name w:val="批注主题 Char"/>
    <w:basedOn w:val="Char"/>
    <w:link w:val="a8"/>
    <w:uiPriority w:val="99"/>
    <w:semiHidden/>
    <w:qFormat/>
    <w:rPr>
      <w:b/>
      <w:bCs/>
      <w:kern w:val="2"/>
      <w:sz w:val="21"/>
      <w:szCs w:val="22"/>
      <w:lang w:bidi="ar-SA"/>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正文1"/>
    <w:qFormat/>
    <w:pPr>
      <w:widowControl w:val="0"/>
      <w:adjustRightInd w:val="0"/>
      <w:spacing w:line="360" w:lineRule="atLeast"/>
      <w:textAlignment w:val="baseline"/>
    </w:pPr>
    <w:rPr>
      <w:rFonts w:ascii="宋体"/>
      <w:sz w:val="34"/>
    </w:rPr>
  </w:style>
  <w:style w:type="character" w:customStyle="1" w:styleId="Char0">
    <w:name w:val="批注框文本 Char"/>
    <w:basedOn w:val="a0"/>
    <w:link w:val="a4"/>
    <w:uiPriority w:val="99"/>
    <w:semiHidden/>
    <w:qFormat/>
    <w:rPr>
      <w:kern w:val="2"/>
      <w:sz w:val="18"/>
      <w:szCs w:val="18"/>
    </w:rPr>
  </w:style>
  <w:style w:type="character" w:styleId="ae">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4294F-008B-43D5-BA15-AD168C7C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626</Words>
  <Characters>3570</Characters>
  <Application>Microsoft Office Word</Application>
  <DocSecurity>0</DocSecurity>
  <Lines>29</Lines>
  <Paragraphs>8</Paragraphs>
  <ScaleCrop>false</ScaleCrop>
  <Company>Microsoft</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牛悾悾 Kongkong NIU</dc:creator>
  <cp:lastModifiedBy>韩烨</cp:lastModifiedBy>
  <cp:revision>15</cp:revision>
  <cp:lastPrinted>2023-06-29T09:19:00Z</cp:lastPrinted>
  <dcterms:created xsi:type="dcterms:W3CDTF">2023-06-21T07:55:00Z</dcterms:created>
  <dcterms:modified xsi:type="dcterms:W3CDTF">2023-07-03T01:30:00Z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1217376CE836467C921CB2E2451E14EC_13</vt:lpwstr>
  </property>
</Properties>
</file>