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关于福州大东海世茂天玺项目</w:t>
      </w:r>
      <w:r>
        <w:rPr>
          <w:rFonts w:cs="Arial" w:asciiTheme="minorEastAsia" w:hAnsiTheme="minorEastAsia" w:eastAsiaTheme="minorEastAsia"/>
          <w:b/>
          <w:bCs/>
          <w:sz w:val="36"/>
          <w:szCs w:val="36"/>
        </w:rPr>
        <w:t>202</w:t>
      </w:r>
      <w:r>
        <w:rPr>
          <w:rFonts w:hint="eastAsia" w:cs="Arial" w:asciiTheme="minorEastAsia" w:hAnsiTheme="minorEastAsia" w:eastAsiaTheme="minorEastAsia"/>
          <w:b/>
          <w:bCs/>
          <w:sz w:val="36"/>
          <w:szCs w:val="36"/>
        </w:rPr>
        <w:t>1</w:t>
      </w:r>
      <w:r>
        <w:rPr>
          <w:rFonts w:hint="eastAsia" w:ascii="宋体" w:hAnsi="宋体" w:cs="宋体"/>
          <w:b/>
          <w:bCs/>
          <w:sz w:val="36"/>
          <w:szCs w:val="36"/>
        </w:rPr>
        <w:t>年7月资金计划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ascii="Arial" w:hAnsi="Arial" w:cs="Arial"/>
          <w:sz w:val="24"/>
          <w:szCs w:val="24"/>
        </w:rPr>
        <w:t>福建海茂时代置业有限公司</w:t>
      </w:r>
      <w:r>
        <w:rPr>
          <w:rFonts w:hint="eastAsia" w:ascii="宋体" w:hAnsi="宋体"/>
          <w:sz w:val="24"/>
          <w:szCs w:val="24"/>
        </w:rPr>
        <w:t>（以下简称“项目公司”）于</w:t>
      </w:r>
      <w:r>
        <w:rPr>
          <w:rFonts w:ascii="宋体" w:hAnsi="宋体"/>
          <w:sz w:val="24"/>
          <w:szCs w:val="24"/>
        </w:rPr>
        <w:t>202</w:t>
      </w:r>
      <w:r>
        <w:rPr>
          <w:rFonts w:hint="eastAsia" w:ascii="宋体" w:hAnsi="宋体"/>
          <w:sz w:val="24"/>
          <w:szCs w:val="24"/>
        </w:rPr>
        <w:t>1</w:t>
      </w:r>
      <w:r>
        <w:rPr>
          <w:rFonts w:ascii="宋体" w:hAnsi="宋体"/>
          <w:sz w:val="24"/>
          <w:szCs w:val="24"/>
        </w:rPr>
        <w:t>年</w:t>
      </w:r>
      <w:r>
        <w:rPr>
          <w:rFonts w:hint="eastAsia" w:ascii="宋体" w:hAnsi="宋体"/>
          <w:sz w:val="24"/>
          <w:szCs w:val="24"/>
        </w:rPr>
        <w:t>7</w:t>
      </w:r>
      <w:r>
        <w:rPr>
          <w:rFonts w:ascii="宋体" w:hAnsi="宋体"/>
          <w:sz w:val="24"/>
          <w:szCs w:val="24"/>
        </w:rPr>
        <w:t>月</w:t>
      </w:r>
      <w:r>
        <w:rPr>
          <w:rFonts w:hint="eastAsia" w:ascii="宋体" w:hAnsi="宋体"/>
          <w:sz w:val="24"/>
          <w:szCs w:val="24"/>
        </w:rPr>
        <w:t>1</w:t>
      </w:r>
      <w:r>
        <w:rPr>
          <w:rFonts w:ascii="宋体" w:hAnsi="宋体"/>
          <w:sz w:val="24"/>
          <w:szCs w:val="24"/>
        </w:rPr>
        <w:t>日</w:t>
      </w:r>
      <w:r>
        <w:rPr>
          <w:rFonts w:hint="eastAsia" w:ascii="宋体" w:hAnsi="宋体"/>
          <w:sz w:val="24"/>
          <w:szCs w:val="24"/>
        </w:rPr>
        <w:t>提交了2021年7月的资金计划，我司对项目公司申报的资金计划进行了审核，审核</w:t>
      </w:r>
      <w:r>
        <w:rPr>
          <w:rFonts w:hint="eastAsia" w:ascii="宋体" w:hAnsi="宋体"/>
          <w:sz w:val="24"/>
          <w:szCs w:val="24"/>
          <w:lang w:val="en-US" w:eastAsia="zh-CN"/>
        </w:rPr>
        <w:t>说明</w:t>
      </w:r>
      <w:r>
        <w:rPr>
          <w:rFonts w:hint="eastAsia" w:ascii="宋体" w:hAnsi="宋体"/>
          <w:sz w:val="24"/>
          <w:szCs w:val="24"/>
        </w:rPr>
        <w:t>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大东海世茂天玺</w:t>
      </w:r>
      <w:r>
        <w:rPr>
          <w:rFonts w:hint="eastAsia" w:ascii="宋体" w:hAnsi="宋体"/>
          <w:b/>
          <w:sz w:val="24"/>
          <w:szCs w:val="24"/>
        </w:rPr>
        <w:t>项目公司2021年7月份资金汇总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w:t>
      </w:r>
      <w:r>
        <w:rPr>
          <w:rFonts w:hint="eastAsia" w:ascii="宋体" w:hAnsi="宋体"/>
          <w:sz w:val="24"/>
          <w:szCs w:val="24"/>
          <w:lang w:val="en-US" w:eastAsia="zh-CN"/>
        </w:rPr>
        <w:t>提交的</w:t>
      </w:r>
      <w:r>
        <w:rPr>
          <w:rFonts w:hint="eastAsia" w:ascii="宋体" w:hAnsi="宋体"/>
          <w:sz w:val="24"/>
          <w:szCs w:val="24"/>
        </w:rPr>
        <w:t>2021年7月的资金支出</w:t>
      </w:r>
      <w:r>
        <w:rPr>
          <w:rFonts w:hint="eastAsia" w:ascii="宋体" w:hAnsi="宋体"/>
          <w:sz w:val="24"/>
          <w:szCs w:val="24"/>
          <w:lang w:val="en-US" w:eastAsia="zh-CN"/>
        </w:rPr>
        <w:t>计划</w:t>
      </w:r>
      <w:r>
        <w:rPr>
          <w:rFonts w:hint="eastAsia" w:ascii="宋体" w:hAnsi="宋体"/>
          <w:sz w:val="24"/>
          <w:szCs w:val="24"/>
        </w:rPr>
        <w:t>共计16笔，合计3,954.00万元。其中：工程款支出1744.00万元，销售费用</w:t>
      </w:r>
      <w:r>
        <w:rPr>
          <w:rFonts w:hint="eastAsia" w:ascii="宋体" w:hAnsi="宋体" w:cs="宋体"/>
          <w:color w:val="000000"/>
          <w:kern w:val="0"/>
          <w:sz w:val="24"/>
          <w:szCs w:val="24"/>
          <w:lang w:bidi="ar"/>
        </w:rPr>
        <w:t xml:space="preserve">400 </w:t>
      </w:r>
      <w:r>
        <w:rPr>
          <w:rFonts w:hint="eastAsia" w:ascii="宋体" w:hAnsi="宋体"/>
          <w:sz w:val="24"/>
          <w:szCs w:val="24"/>
        </w:rPr>
        <w:t>万元，管理费用500万元，财务费用10万元，还开发贷借款1000万元，不可预见费300万元。</w:t>
      </w:r>
    </w:p>
    <w:tbl>
      <w:tblPr>
        <w:tblStyle w:val="12"/>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spacing w:line="480" w:lineRule="auto"/>
              <w:jc w:val="center"/>
              <w:rPr>
                <w:rFonts w:ascii="宋体" w:hAnsi="宋体" w:cs="宋体"/>
                <w:b/>
                <w:color w:val="000000"/>
                <w:sz w:val="28"/>
                <w:szCs w:val="28"/>
              </w:rPr>
            </w:pPr>
            <w:r>
              <w:rPr>
                <w:rFonts w:hint="eastAsia" w:ascii="宋体" w:hAnsi="宋体" w:cs="宋体"/>
                <w:b/>
                <w:sz w:val="30"/>
                <w:szCs w:val="30"/>
              </w:rPr>
              <w:t>中航信托·天垣20A045号房地产开发股权投资集合资金信托计划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福州</w:t>
            </w:r>
            <w:r>
              <w:rPr>
                <w:rFonts w:ascii="Arial" w:hAnsi="Arial" w:cs="Arial"/>
                <w:b/>
                <w:sz w:val="24"/>
                <w:szCs w:val="24"/>
              </w:rPr>
              <w:t>海茂时代置业有限公司</w:t>
            </w:r>
            <w:r>
              <w:rPr>
                <w:rFonts w:hint="eastAsia" w:ascii="宋体" w:hAnsi="宋体"/>
                <w:b/>
                <w:sz w:val="24"/>
                <w:szCs w:val="24"/>
                <w:lang w:bidi="zh-CN"/>
              </w:rPr>
              <w:t>大东海世茂天玺</w:t>
            </w:r>
            <w:r>
              <w:rPr>
                <w:rFonts w:hint="eastAsia" w:ascii="宋体" w:hAnsi="宋体"/>
                <w:b/>
                <w:sz w:val="24"/>
                <w:szCs w:val="24"/>
              </w:rPr>
              <w:t>项目</w:t>
            </w:r>
            <w:r>
              <w:rPr>
                <w:rFonts w:hint="eastAsia" w:ascii="宋体" w:hAnsi="宋体" w:cs="宋体"/>
                <w:b/>
                <w:color w:val="000000"/>
                <w:kern w:val="0"/>
                <w:sz w:val="24"/>
                <w:szCs w:val="24"/>
                <w:lang w:bidi="ar"/>
              </w:rPr>
              <w:t>2021年7月资金计划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color w:val="000000"/>
                <w:sz w:val="24"/>
                <w:szCs w:val="24"/>
              </w:rPr>
            </w:pPr>
            <w:r>
              <w:rPr>
                <w:rFonts w:hint="eastAsia" w:ascii="宋体" w:hAnsi="宋体" w:cs="宋体"/>
                <w:b/>
                <w:color w:val="000000"/>
                <w:kern w:val="0"/>
                <w:sz w:val="24"/>
                <w:szCs w:val="24"/>
                <w:lang w:bidi="ar"/>
              </w:rPr>
              <w:t>编制单位：福州</w:t>
            </w:r>
            <w:r>
              <w:rPr>
                <w:rFonts w:ascii="Arial" w:hAnsi="Arial" w:cs="Arial"/>
                <w:b/>
                <w:sz w:val="24"/>
                <w:szCs w:val="24"/>
              </w:rPr>
              <w:t>海茂时代置业有限公司</w:t>
            </w:r>
            <w:r>
              <w:rPr>
                <w:rFonts w:hint="eastAsia" w:ascii="宋体" w:hAnsi="宋体" w:cs="宋体"/>
                <w:b/>
                <w:color w:val="000000"/>
                <w:kern w:val="0"/>
                <w:sz w:val="24"/>
                <w:szCs w:val="24"/>
                <w:lang w:bidi="ar"/>
              </w:rPr>
              <w:t xml:space="preserve">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color w:val="000000"/>
                <w:sz w:val="24"/>
                <w:szCs w:val="24"/>
              </w:rPr>
            </w:pPr>
            <w:r>
              <w:rPr>
                <w:rFonts w:hint="eastAsia" w:ascii="宋体" w:hAnsi="宋体" w:cs="宋体"/>
                <w:b/>
                <w:color w:val="000000"/>
                <w:kern w:val="0"/>
                <w:sz w:val="24"/>
                <w:szCs w:val="24"/>
                <w:lang w:bidi="ar"/>
              </w:rPr>
              <w:t>7月计划金额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1744.00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400</w:t>
            </w:r>
            <w:r>
              <w:rPr>
                <w:rFonts w:ascii="Arial" w:hAnsi="Arial" w:cs="Arial"/>
                <w:color w:val="000000"/>
                <w:kern w:val="0"/>
                <w:sz w:val="18"/>
                <w:szCs w:val="18"/>
                <w:lang w:bidi="ar"/>
              </w:rPr>
              <w:t xml:space="preserve"> </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Arial" w:hAnsi="Arial" w:cs="Arial"/>
                <w:color w:val="000000"/>
                <w:sz w:val="18"/>
                <w:szCs w:val="18"/>
              </w:rPr>
            </w:pPr>
            <w:r>
              <w:rPr>
                <w:rFonts w:hint="eastAsia" w:ascii="Arial" w:hAnsi="Arial" w:cs="Arial"/>
                <w:color w:val="000000"/>
                <w:kern w:val="0"/>
                <w:sz w:val="18"/>
                <w:szCs w:val="18"/>
                <w:lang w:bidi="ar"/>
              </w:rPr>
              <w:t>500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color w:val="000000"/>
                <w:sz w:val="18"/>
                <w:szCs w:val="18"/>
              </w:rPr>
            </w:pPr>
            <w:r>
              <w:rPr>
                <w:rFonts w:hint="eastAsia" w:ascii="Arial" w:hAnsi="Arial" w:cs="Arial"/>
                <w:color w:val="000000"/>
                <w:sz w:val="18"/>
                <w:szCs w:val="18"/>
              </w:rPr>
              <w:t>10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营业税金及附加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jc w:val="center"/>
              <w:rPr>
                <w:rFonts w:ascii="Arial" w:hAnsi="Arial" w:cs="Arial"/>
                <w:b/>
                <w:color w:val="000000"/>
                <w:sz w:val="18"/>
                <w:szCs w:val="18"/>
              </w:rPr>
            </w:pPr>
            <w:r>
              <w:rPr>
                <w:rFonts w:ascii="Arial" w:hAnsi="Arial" w:cs="Arial"/>
                <w:b/>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土地增值税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所得税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其他净支出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sz w:val="24"/>
                <w:szCs w:val="24"/>
              </w:rPr>
            </w:pPr>
            <w:r>
              <w:rPr>
                <w:rFonts w:hint="eastAsia" w:ascii="宋体" w:hAnsi="宋体" w:cs="宋体"/>
                <w:color w:val="000000"/>
                <w:kern w:val="0"/>
                <w:sz w:val="24"/>
                <w:szCs w:val="24"/>
                <w:lang w:bidi="ar"/>
              </w:rPr>
              <w:t xml:space="preserve"> 与世茂集团内各公司往来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ascii="Arial" w:hAnsi="Arial" w:cs="Arial"/>
                <w:color w:val="000000"/>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color w:val="000000"/>
                <w:kern w:val="0"/>
                <w:sz w:val="24"/>
                <w:szCs w:val="24"/>
                <w:lang w:bidi="ar"/>
              </w:rPr>
            </w:pPr>
            <w:r>
              <w:rPr>
                <w:rFonts w:hint="eastAsia" w:ascii="宋体" w:hAnsi="宋体" w:cs="宋体"/>
                <w:color w:val="000000"/>
                <w:kern w:val="0"/>
                <w:sz w:val="24"/>
                <w:szCs w:val="24"/>
                <w:lang w:bidi="ar"/>
              </w:rPr>
              <w:t>还开发贷借款</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Arial" w:hAnsi="Arial" w:cs="Arial"/>
                <w:color w:val="000000"/>
                <w:sz w:val="18"/>
                <w:szCs w:val="18"/>
              </w:rPr>
            </w:pPr>
            <w:r>
              <w:rPr>
                <w:rFonts w:hint="eastAsia" w:ascii="Arial" w:hAnsi="Arial" w:cs="Arial"/>
                <w:color w:val="000000"/>
                <w:sz w:val="18"/>
                <w:szCs w:val="18"/>
              </w:rPr>
              <w:t>1000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Cs/>
                <w:color w:val="000000"/>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hint="eastAsia" w:ascii="Arial" w:hAnsi="Arial" w:cs="Arial"/>
                <w:bCs/>
                <w:color w:val="000000"/>
                <w:sz w:val="18"/>
                <w:szCs w:val="18"/>
              </w:rPr>
              <w:t>300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color w:val="000000"/>
                <w:sz w:val="24"/>
                <w:szCs w:val="24"/>
              </w:rPr>
            </w:pPr>
            <w:r>
              <w:rPr>
                <w:rFonts w:hint="eastAsia" w:ascii="宋体" w:hAnsi="宋体" w:cs="宋体"/>
                <w:b/>
                <w:color w:val="000000"/>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color w:val="000000"/>
                <w:sz w:val="18"/>
                <w:szCs w:val="18"/>
              </w:rPr>
            </w:pPr>
            <w:r>
              <w:rPr>
                <w:rFonts w:hint="eastAsia" w:ascii="Arial" w:hAnsi="Arial" w:cs="Arial"/>
                <w:b/>
                <w:color w:val="000000"/>
                <w:kern w:val="0"/>
                <w:sz w:val="18"/>
                <w:szCs w:val="18"/>
                <w:lang w:bidi="ar"/>
              </w:rPr>
              <w:t>3,954.00</w:t>
            </w:r>
          </w:p>
        </w:tc>
      </w:tr>
    </w:tbl>
    <w:p>
      <w:pPr>
        <w:pStyle w:val="11"/>
        <w:spacing w:after="0" w:line="360" w:lineRule="auto"/>
        <w:ind w:firstLine="0" w:firstLineChars="0"/>
        <w:rPr>
          <w:rFonts w:ascii="宋体" w:hAnsi="宋体" w:cs="宋体"/>
          <w:b/>
          <w:sz w:val="24"/>
        </w:rPr>
      </w:pPr>
      <w:r>
        <w:rPr>
          <w:rFonts w:hint="eastAsia" w:ascii="Arial" w:hAnsi="Arial" w:cs="Arial"/>
          <w:bCs/>
          <w:sz w:val="15"/>
          <w:szCs w:val="13"/>
        </w:rPr>
        <w:t>注：上表采用电算化连续计算得出，由于计算数据均按四舍五入保留两位小数或取整，故可能出现个别加总不完全相等的情况。</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大东海世茂天玺</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bookmarkStart w:id="0" w:name="_GoBack"/>
      <w:bookmarkEnd w:id="0"/>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项目公司在2021年7月工程款计划支出金额共计1,744.00万元，其中包含工程款1,704.32万元，设计费用39.68万元，具体分析如下：</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3月用印的《建设工程施工合同》文件，项目公司委托厦门第一建筑工程集团有限公司为本项目提供总包工程合同服务，合同总价款为18269.02万元，甲方按工程进度施工产值付款。发包人在办理每一次付款手续前，承包人须向发包人开具与当期已完工并完成对应核算产值或结算产值等额的、合法有效的增值税专用发票，并加盖发票专用章，每次按确认产值的70%支付。该合同截止目前已经支付1868.62万元，累计产值已达3500万元，项目公司计划在7月份支付工程款557.12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2020年10月份用印的文件《工矿产品购销合同》，合同总价款3030.30万元，委托众立诺贸易（平潭）有限公司提供钢材。截止目前合同已经支付货款1191.33万元，项目公司计划在7月份采购一批钢材，预计支付货款381.75万元，符合合同规定，该项支付计划合理；</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3月用印的大东海世茂天玺项目《桩基工程施工合同》，项目公司委托福建恒固建设有限公司承接预应力高强度管桩，水泥搅拌桩，砖渣回填等工程，合同总金额为423.24万元，合同规定：1.桩基每施工20000米，付至已施工工程量造价70%；2.预应力高强度管桩，水泥搅拌桩，砖渣回填每批次付款中支付，付至已施工工程量造价70%；3.验收</w:t>
      </w:r>
      <w:r>
        <w:rPr>
          <w:rFonts w:hint="eastAsia" w:ascii="宋体" w:hAnsi="宋体"/>
          <w:bCs/>
          <w:color w:val="FFFFFF" w:themeColor="background1"/>
          <w:sz w:val="24"/>
          <w:szCs w:val="24"/>
          <w:highlight w:val="none"/>
          <w:lang w:val="en-US" w:bidi="zh-CN"/>
          <w14:textFill>
            <w14:solidFill>
              <w14:schemeClr w14:val="bg1"/>
            </w14:solidFill>
          </w14:textFill>
        </w:rPr>
        <w:t>后</w:t>
      </w:r>
      <w:r>
        <w:rPr>
          <w:rFonts w:hint="eastAsia" w:ascii="宋体" w:hAnsi="宋体"/>
          <w:bCs/>
          <w:color w:val="000000"/>
          <w:sz w:val="24"/>
          <w:szCs w:val="24"/>
          <w:lang w:bidi="zh-CN"/>
        </w:rPr>
        <w:t>，付至已施工工程量造价80%；4.办理完工程结算，付至审核后结算总造价95%；5.3%桩基验收合格后付清，2%工程通过单体验收及建委备案付清。该合同截止目前已经支付275.99万元，</w:t>
      </w:r>
      <w:r>
        <w:rPr>
          <w:rFonts w:hint="eastAsia" w:ascii="宋体" w:hAnsi="宋体"/>
          <w:bCs/>
          <w:color w:val="000000"/>
          <w:sz w:val="24"/>
          <w:szCs w:val="24"/>
          <w:lang w:val="en-US" w:bidi="zh-CN"/>
        </w:rPr>
        <w:t>桩基工程已全部完成并验收，</w:t>
      </w:r>
      <w:r>
        <w:rPr>
          <w:rFonts w:hint="eastAsia" w:ascii="宋体" w:hAnsi="宋体"/>
          <w:bCs/>
          <w:color w:val="000000"/>
          <w:sz w:val="24"/>
          <w:szCs w:val="24"/>
          <w:lang w:bidi="zh-CN"/>
        </w:rPr>
        <w:t>项目公司计划在7月份支付工程款58.30万元，符合合同规定；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3月用印的文件《基坑支护工程承包合同》，合同总金额为634.83万元，由福建闽武长城建设发展有限公司根据甲方提供的工程支护施工图纸，完成支护工程。合同规定按月付款，按照各施工进度完工进度款按比列支付工程款，该合同截止目前已经支付311.28万元，累计产值已达509.20万元，项目公司计划在7月份支付工程款180.90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2021年4月用印的《土石方工程承包合同》文件，项目公司委托福州市长乐区安捷渣土运输有限公司为本项目提供项目的土石方的开挖，运输及回填服务，合同总价款为1022.29万元，合同规定：1.累计开挖大于3万m³，付当前完成量*单价的70%；2.地下室开挖完成，付累计完成量*单价的80%；3.地下室外墙边坡回填，付当期完成量*单价80%；4.工程竣工验收，付结算造价95%；5.保修期满，付结算造价100%。该合同截止目前已经支付147.24万元，累计产值已达</w:t>
      </w:r>
      <w:r>
        <w:rPr>
          <w:rFonts w:hint="eastAsia" w:ascii="宋体" w:hAnsi="宋体"/>
          <w:bCs/>
          <w:color w:val="000000"/>
          <w:sz w:val="24"/>
          <w:szCs w:val="24"/>
          <w:lang w:val="en-US" w:bidi="zh-CN"/>
        </w:rPr>
        <w:t>980.50</w:t>
      </w:r>
      <w:r>
        <w:rPr>
          <w:rFonts w:hint="eastAsia" w:ascii="宋体" w:hAnsi="宋体"/>
          <w:bCs/>
          <w:color w:val="000000"/>
          <w:sz w:val="24"/>
          <w:szCs w:val="24"/>
          <w:lang w:bidi="zh-CN"/>
        </w:rPr>
        <w:t>万元，项目公司计划在7月份支付工程款522.02万元，符合合同规定；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2020年12月用印的《大东海天玺花园P1精装修工程》文件，项目公司与深圳文业装饰设计工程有限公司签订大东海天玺花园P1精装修工程，合同总价款为406.81万元。合同约定承包人进场施工后每月支付一次，按实际完成工程量的工程款的75%支付；本工程完工后支付80%，提交结算资料付85%，工程竣工验收并办理工程结算付97%，3%为保证金，质保期24个月，质保期满后，一次性将质保金无息支付给承包方。该合同已支付320.45万元，工程已基本完工，项目公司计划7月支付工程款5.00万元，符合合同规定，该项支付计划合理；</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2020年11月用印的《大东海天玺花园P1楼室内led屏供货及安装合同》文件，项目公司与福州强力巨彩光电科技有限公司签订东海天玺花园P1楼室内led屏供货及安装合同，合同总价款为13.10万元。合同约定：1.合同签订后付20%；2.全部货到付至60%；3.安装完后，付至总价款97%；4.剩余3%作为质保金,保修期两年，到期按无息结算。该合同已支付7.86万元，合同已基本完成，项目公司计划7月支付工程款4.85万元，符合合同规定，该项支付计划合理；</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已提供的《天玺花园公共区域精装翻图及架空层吊顶设计合同》文件，项目公司委托九墨（福建）建设发展有限公司为本项目提供天玺花园公共区域精装翻图及架空层吊顶设计合同服务，合同总价款为17.67万元，合同约定：第一次付费：本合同生效之日起支付10%，即17668元； 第二次付费：乙方向甲方提交平面优化设计阶段所有文件并经甲方书面审核确认后支付25%，即44170元；第三次付费：乙方向甲方提交扩初设计阶段所有文件并经甲方书面审核确认后支付25%，即44170元；第四次付费：乙方向甲方提交室内装修施工图纸、物料册、样板等文件并经甲方审核通过满足招标要求，经甲方书面认可后支付30%，即53004元；第五次付费：乙方完成整个工程施工现场配合后支付10%（按实结算）。该合同截止目前一直未支付，该合同已进入第二阶段，项目公司计划在7月份签订合同并支付第一阶段和第二阶段的设计费6.18万元，符合合同规定；</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根据项目公司2020年11月份用印的文件《大东海天玺花园P1楼及样板房软装配饰采购施工合同》，合同总价款185.84万元，委托上海恩威建筑设计有限公司提供大东海天玺花园P1楼及样板房软装配饰采购施工服务。合同约定：1.合同签订后付30%；2.软装产品制作完成付至80%；3.货物到场安装完后，建房确认后付至总价款95%；4.剩余5%作为质保金,一年期满后支付。截止目前合同已经支付货款14</w:t>
      </w:r>
      <w:r>
        <w:rPr>
          <w:rFonts w:hint="eastAsia" w:ascii="宋体" w:hAnsi="宋体"/>
          <w:bCs/>
          <w:color w:val="000000"/>
          <w:sz w:val="24"/>
          <w:szCs w:val="24"/>
          <w:lang w:val="en-US" w:bidi="zh-CN"/>
        </w:rPr>
        <w:t>0</w:t>
      </w:r>
      <w:r>
        <w:rPr>
          <w:rFonts w:hint="eastAsia" w:ascii="宋体" w:hAnsi="宋体"/>
          <w:bCs/>
          <w:color w:val="000000"/>
          <w:sz w:val="24"/>
          <w:szCs w:val="24"/>
          <w:lang w:bidi="zh-CN"/>
        </w:rPr>
        <w:t>.47万元，该施工已基本结束，项目公司计划在7月份支付33.30万元，符合合同规定，该项支付计划合理；</w:t>
      </w:r>
    </w:p>
    <w:p>
      <w:pPr>
        <w:pStyle w:val="15"/>
        <w:numPr>
          <w:ilvl w:val="0"/>
          <w:numId w:val="2"/>
        </w:numPr>
        <w:spacing w:before="156" w:beforeLines="50" w:after="156" w:afterLines="50" w:line="360" w:lineRule="auto"/>
        <w:ind w:firstLineChars="0"/>
        <w:rPr>
          <w:rFonts w:ascii="宋体" w:hAnsi="宋体"/>
          <w:bCs/>
          <w:color w:val="000000"/>
          <w:sz w:val="24"/>
          <w:szCs w:val="24"/>
          <w:lang w:bidi="zh-CN"/>
        </w:rPr>
      </w:pPr>
      <w:r>
        <w:rPr>
          <w:rFonts w:hint="eastAsia" w:ascii="宋体" w:hAnsi="宋体"/>
          <w:bCs/>
          <w:color w:val="000000"/>
          <w:sz w:val="24"/>
          <w:szCs w:val="24"/>
          <w:lang w:bidi="zh-CN"/>
        </w:rPr>
        <w:t>项目公司计划在7月支付福州鑫隆达土木工程检测有限公司工程费57.39万元，本工程已完成一部分，本次付款是按合同条款约定付款；支付长乐航城华乐图文店0.20万元，本次晒图已完成。但这2家公司与项目公司签订的合同项目公司暂未提供，无法确认合同金额，需后期跟进。</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经审核，本月工程款涉及的合同中7项已经签订合同并已收到，设计费合同1项已签订并收到，1项已收到未签订，剩余的合同项目公司暂未提供，资金计划表中的金额为预估金额，</w:t>
      </w:r>
      <w:r>
        <w:rPr>
          <w:rFonts w:hint="eastAsia" w:ascii="宋体" w:hAnsi="宋体"/>
          <w:sz w:val="24"/>
          <w:szCs w:val="24"/>
        </w:rPr>
        <w:t>需根据合同条款及完成产值情况确定是否合理</w:t>
      </w:r>
      <w:r>
        <w:rPr>
          <w:rFonts w:hint="eastAsia" w:ascii="宋体" w:hAnsi="宋体"/>
          <w:sz w:val="24"/>
          <w:szCs w:val="24"/>
          <w:lang w:bidi="zh-CN"/>
        </w:rPr>
        <w:t>。</w:t>
      </w:r>
      <w:r>
        <w:rPr>
          <w:rFonts w:hint="eastAsia" w:ascii="宋体" w:hAnsi="宋体"/>
          <w:sz w:val="24"/>
          <w:szCs w:val="24"/>
        </w:rPr>
        <w:t>根据项目公司提供的付款需求，上述计划支付内容与计划开发进度基本相符，</w:t>
      </w:r>
      <w:r>
        <w:rPr>
          <w:rFonts w:hint="eastAsia" w:ascii="宋体" w:hAnsi="宋体"/>
          <w:sz w:val="24"/>
          <w:szCs w:val="24"/>
          <w:lang w:bidi="zh-CN"/>
        </w:rPr>
        <w:t>我司认为7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项目公司计划7月的销售费用共计400万元，包括营销部员工的工资、奖金、福利及餐费报销以及广告宣传等费用。</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bCs/>
          <w:color w:val="000000"/>
          <w:sz w:val="24"/>
          <w:szCs w:val="24"/>
          <w:lang w:bidi="zh-CN"/>
        </w:rPr>
      </w:pPr>
      <w:r>
        <w:rPr>
          <w:rFonts w:hint="eastAsia" w:ascii="宋体" w:hAnsi="宋体"/>
          <w:bCs/>
          <w:color w:val="000000"/>
          <w:sz w:val="24"/>
          <w:szCs w:val="24"/>
          <w:lang w:bidi="zh-CN"/>
        </w:rPr>
        <w:t>项目公司计划6月的管理费用共计500万元，包括</w:t>
      </w:r>
      <w:r>
        <w:rPr>
          <w:rFonts w:hint="eastAsia" w:ascii="宋体" w:hAnsi="宋体"/>
          <w:bCs/>
          <w:color w:val="000000"/>
          <w:sz w:val="24"/>
          <w:szCs w:val="24"/>
          <w:lang w:val="en-US" w:bidi="zh-CN"/>
        </w:rPr>
        <w:t>大东海和世茂双方提取</w:t>
      </w:r>
      <w:r>
        <w:rPr>
          <w:rFonts w:hint="eastAsia" w:ascii="宋体" w:hAnsi="宋体"/>
          <w:bCs/>
          <w:color w:val="000000"/>
          <w:sz w:val="24"/>
          <w:szCs w:val="24"/>
          <w:lang w:bidi="zh-CN"/>
        </w:rPr>
        <w:t>的管理费各225万元及月度招待费、水电物管及其他日常行政费用。</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pStyle w:val="2"/>
        <w:numPr>
          <w:ilvl w:val="-1"/>
          <w:numId w:val="0"/>
        </w:numPr>
        <w:spacing w:line="360" w:lineRule="auto"/>
        <w:ind w:firstLine="0" w:firstLineChars="0"/>
        <w:rPr>
          <w:rFonts w:ascii="宋体" w:hAnsi="宋体"/>
          <w:b/>
          <w:bCs/>
          <w:sz w:val="24"/>
          <w:szCs w:val="24"/>
          <w:lang w:bidi="zh-CN"/>
        </w:rPr>
      </w:pPr>
      <w:r>
        <w:rPr>
          <w:rFonts w:hint="eastAsia" w:ascii="宋体" w:hAnsi="宋体"/>
          <w:b/>
          <w:bCs/>
          <w:sz w:val="24"/>
          <w:szCs w:val="24"/>
          <w:lang w:bidi="zh-CN"/>
        </w:rPr>
        <w:t>（四）开发贷还款</w:t>
      </w:r>
    </w:p>
    <w:p>
      <w:pPr>
        <w:spacing w:before="156" w:beforeLines="50" w:after="156" w:afterLines="50" w:line="360" w:lineRule="auto"/>
        <w:ind w:firstLine="482" w:firstLineChars="200"/>
        <w:rPr>
          <w:rFonts w:ascii="宋体" w:hAnsi="宋体"/>
          <w:sz w:val="24"/>
          <w:szCs w:val="24"/>
          <w:lang w:bidi="zh-CN"/>
        </w:rPr>
      </w:pPr>
      <w:r>
        <w:rPr>
          <w:rFonts w:hint="eastAsia" w:ascii="宋体" w:hAnsi="宋体"/>
          <w:b/>
          <w:bCs/>
          <w:sz w:val="24"/>
          <w:szCs w:val="24"/>
          <w:lang w:bidi="zh-CN"/>
        </w:rPr>
        <w:t xml:space="preserve"> </w:t>
      </w:r>
      <w:r>
        <w:rPr>
          <w:rFonts w:hint="eastAsia" w:ascii="宋体" w:hAnsi="宋体"/>
          <w:sz w:val="24"/>
          <w:szCs w:val="24"/>
          <w:lang w:bidi="zh-CN"/>
        </w:rPr>
        <w:t>项目公司根据开发贷合同规定，2021年7月20日应按开发贷提款金额的10%还款，项目公司7月20日应归还银行开发贷借款1000万元。</w:t>
      </w:r>
    </w:p>
    <w:p>
      <w:pPr>
        <w:spacing w:before="156" w:beforeLines="50" w:after="156" w:afterLines="50" w:line="360" w:lineRule="auto"/>
        <w:ind w:firstLine="0" w:firstLineChars="0"/>
        <w:rPr>
          <w:rFonts w:ascii="宋体" w:hAnsi="宋体"/>
          <w:b/>
          <w:bCs/>
          <w:sz w:val="24"/>
          <w:szCs w:val="24"/>
          <w:lang w:bidi="zh-CN"/>
        </w:rPr>
      </w:pPr>
      <w:r>
        <w:rPr>
          <w:rFonts w:hint="eastAsia" w:ascii="宋体" w:hAnsi="宋体"/>
          <w:b/>
          <w:bCs/>
          <w:sz w:val="24"/>
          <w:szCs w:val="24"/>
          <w:lang w:bidi="zh-CN"/>
        </w:rPr>
        <w:t>（</w:t>
      </w:r>
      <w:r>
        <w:rPr>
          <w:rFonts w:hint="eastAsia" w:ascii="宋体" w:hAnsi="宋体"/>
          <w:b/>
          <w:bCs/>
          <w:sz w:val="24"/>
          <w:szCs w:val="24"/>
          <w:lang w:val="en-US" w:bidi="zh-CN"/>
        </w:rPr>
        <w:t>五</w:t>
      </w:r>
      <w:r>
        <w:rPr>
          <w:rFonts w:hint="eastAsia" w:ascii="宋体" w:hAnsi="宋体"/>
          <w:b/>
          <w:bCs/>
          <w:sz w:val="24"/>
          <w:szCs w:val="24"/>
          <w:lang w:bidi="zh-CN"/>
        </w:rPr>
        <w:t>）不可预见费用资金支出计划说明</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项目公司在7月份的不可预见费用为300.00万元，以备一些不可预测的资金支付。</w:t>
      </w:r>
    </w:p>
    <w:p>
      <w:pPr>
        <w:numPr>
          <w:ilvl w:val="-1"/>
          <w:numId w:val="0"/>
        </w:numPr>
        <w:spacing w:before="156" w:beforeLines="50" w:after="156" w:afterLines="50"/>
        <w:ind w:firstLine="0" w:firstLineChars="0"/>
        <w:rPr>
          <w:rFonts w:ascii="宋体" w:hAnsi="宋体"/>
          <w:b/>
          <w:sz w:val="24"/>
          <w:szCs w:val="24"/>
          <w:lang w:bidi="zh-CN"/>
        </w:rPr>
      </w:pPr>
      <w:r>
        <w:rPr>
          <w:rFonts w:hint="eastAsia" w:ascii="宋体" w:hAnsi="宋体"/>
          <w:sz w:val="24"/>
          <w:szCs w:val="24"/>
          <w:lang w:val="en-US" w:bidi="zh-CN"/>
        </w:rPr>
        <w:t>三、</w:t>
      </w:r>
      <w:r>
        <w:rPr>
          <w:rFonts w:ascii="宋体" w:hAnsi="宋体"/>
          <w:b/>
          <w:sz w:val="24"/>
          <w:szCs w:val="24"/>
          <w:lang w:bidi="zh-CN"/>
        </w:rPr>
        <w:t>结论：</w:t>
      </w:r>
    </w:p>
    <w:p>
      <w:pPr>
        <w:pStyle w:val="15"/>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项目公司本次提交的2021年7月付款需求，</w:t>
      </w:r>
      <w:r>
        <w:rPr>
          <w:rFonts w:hint="eastAsia" w:ascii="宋体" w:hAnsi="宋体"/>
          <w:bCs/>
          <w:color w:val="000000"/>
          <w:sz w:val="24"/>
          <w:szCs w:val="24"/>
          <w:lang w:bidi="zh-CN"/>
        </w:rPr>
        <w:t>涉及的合同及付款与开发节奏匹配，由于部分合同在提交预算时还未及时收到，</w:t>
      </w:r>
      <w:r>
        <w:rPr>
          <w:rFonts w:hint="eastAsia" w:ascii="宋体" w:hAnsi="宋体"/>
          <w:sz w:val="24"/>
          <w:szCs w:val="24"/>
          <w:lang w:bidi="zh-CN"/>
        </w:rPr>
        <w:t>后期我司会对合同严格把控。实际支付时，我司会对付款申请、发票、流程、合同、现场签证等依据进行审核、计算，根据实际申请情况该付款的合理性、合规性。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我司拟同意项目公司2021年7月份的资金计划，并以此作为付款的依据。待实际支付时，我司人员将对相关付款资料的合理、合规性一一核实，据实支付，请审批。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color w:val="000000"/>
          <w:sz w:val="24"/>
          <w:lang w:bidi="zh-CN"/>
        </w:rPr>
      </w:pPr>
      <w:r>
        <w:rPr>
          <w:rFonts w:hint="eastAsia" w:ascii="宋体" w:hAnsi="宋体"/>
          <w:b/>
          <w:color w:val="000000"/>
          <w:sz w:val="24"/>
          <w:lang w:bidi="zh-CN"/>
        </w:rPr>
        <w:t xml:space="preserve">       北京康信君安资产管理有限公司</w:t>
      </w:r>
    </w:p>
    <w:p>
      <w:pPr>
        <w:spacing w:before="156" w:beforeLines="50" w:line="360" w:lineRule="auto"/>
        <w:ind w:left="420" w:leftChars="200" w:firstLine="482" w:firstLineChars="200"/>
        <w:rPr>
          <w:rFonts w:ascii="宋体" w:hAnsi="宋体"/>
          <w:b/>
          <w:bCs/>
        </w:rPr>
      </w:pPr>
      <w:r>
        <w:rPr>
          <w:rFonts w:hint="eastAsia" w:ascii="宋体" w:hAnsi="宋体"/>
          <w:b/>
          <w:color w:val="000000"/>
          <w:sz w:val="24"/>
          <w:lang w:bidi="zh-CN"/>
        </w:rPr>
        <w:t xml:space="preserve">                                              </w:t>
      </w:r>
      <w:r>
        <w:rPr>
          <w:rFonts w:hint="eastAsia" w:ascii="宋体" w:hAnsi="宋体"/>
          <w:b/>
          <w:bCs/>
          <w:color w:val="000000"/>
          <w:sz w:val="24"/>
          <w:lang w:bidi="zh-CN"/>
        </w:rPr>
        <w:t xml:space="preserve"> 20</w:t>
      </w:r>
      <w:r>
        <w:rPr>
          <w:rFonts w:ascii="宋体" w:hAnsi="宋体"/>
          <w:b/>
          <w:bCs/>
          <w:color w:val="000000"/>
          <w:sz w:val="24"/>
          <w:lang w:bidi="zh-CN"/>
        </w:rPr>
        <w:t>2</w:t>
      </w:r>
      <w:r>
        <w:rPr>
          <w:rFonts w:hint="eastAsia" w:ascii="宋体" w:hAnsi="宋体"/>
          <w:b/>
          <w:bCs/>
          <w:color w:val="000000"/>
          <w:sz w:val="24"/>
          <w:lang w:bidi="zh-CN"/>
        </w:rPr>
        <w:t>1年7</w:t>
      </w:r>
      <w:r>
        <w:rPr>
          <w:rFonts w:ascii="宋体" w:hAnsi="宋体"/>
          <w:b/>
          <w:bCs/>
          <w:color w:val="000000"/>
          <w:sz w:val="24"/>
          <w:lang w:bidi="zh-CN"/>
        </w:rPr>
        <w:t>月</w:t>
      </w:r>
      <w:r>
        <w:rPr>
          <w:rFonts w:hint="eastAsia" w:ascii="宋体" w:hAnsi="宋体"/>
          <w:b/>
          <w:bCs/>
          <w:color w:val="000000"/>
          <w:sz w:val="24"/>
          <w:lang w:bidi="zh-CN"/>
        </w:rPr>
        <w:t>1</w:t>
      </w:r>
      <w:r>
        <w:rPr>
          <w:rFonts w:ascii="宋体" w:hAnsi="宋体"/>
          <w:b/>
          <w:bCs/>
          <w:color w:val="000000"/>
          <w:sz w:val="24"/>
          <w:lang w:bidi="zh-CN"/>
        </w:rPr>
        <w:t>日</w:t>
      </w:r>
    </w:p>
    <w:p>
      <w:pPr>
        <w:spacing w:line="360" w:lineRule="auto"/>
        <w:ind w:firstLine="4578" w:firstLineChars="1900"/>
        <w:rPr>
          <w:rFonts w:ascii="宋体" w:hAnsi="宋体"/>
          <w:b/>
          <w:color w:val="000000"/>
          <w:sz w:val="24"/>
          <w:lang w:bidi="zh-CN"/>
        </w:rPr>
      </w:pP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1F5288DA"/>
    <w:multiLevelType w:val="singleLevel"/>
    <w:tmpl w:val="1F5288DA"/>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40F89"/>
    <w:rsid w:val="000525F4"/>
    <w:rsid w:val="00065207"/>
    <w:rsid w:val="000C41A2"/>
    <w:rsid w:val="000E3789"/>
    <w:rsid w:val="00136E9B"/>
    <w:rsid w:val="00142260"/>
    <w:rsid w:val="00166F61"/>
    <w:rsid w:val="00194BA4"/>
    <w:rsid w:val="001E02CD"/>
    <w:rsid w:val="00237492"/>
    <w:rsid w:val="002A26CB"/>
    <w:rsid w:val="002B4D97"/>
    <w:rsid w:val="002E58E2"/>
    <w:rsid w:val="00347099"/>
    <w:rsid w:val="00473EDB"/>
    <w:rsid w:val="0049374E"/>
    <w:rsid w:val="004B1C61"/>
    <w:rsid w:val="004D1D0F"/>
    <w:rsid w:val="00510E2C"/>
    <w:rsid w:val="00552620"/>
    <w:rsid w:val="00571659"/>
    <w:rsid w:val="005B4A9C"/>
    <w:rsid w:val="005B5D70"/>
    <w:rsid w:val="006151EF"/>
    <w:rsid w:val="00634457"/>
    <w:rsid w:val="00644ECF"/>
    <w:rsid w:val="006E2B52"/>
    <w:rsid w:val="006F6637"/>
    <w:rsid w:val="00757726"/>
    <w:rsid w:val="007A22DB"/>
    <w:rsid w:val="007E1386"/>
    <w:rsid w:val="00816F02"/>
    <w:rsid w:val="00832436"/>
    <w:rsid w:val="008610EA"/>
    <w:rsid w:val="00877846"/>
    <w:rsid w:val="008847E6"/>
    <w:rsid w:val="009004D8"/>
    <w:rsid w:val="009030FB"/>
    <w:rsid w:val="009963A3"/>
    <w:rsid w:val="009A0579"/>
    <w:rsid w:val="00A6720B"/>
    <w:rsid w:val="00AF7AC5"/>
    <w:rsid w:val="00B21E45"/>
    <w:rsid w:val="00B2235F"/>
    <w:rsid w:val="00B2394B"/>
    <w:rsid w:val="00BA68DE"/>
    <w:rsid w:val="00BF7391"/>
    <w:rsid w:val="00C930E4"/>
    <w:rsid w:val="00C95AE7"/>
    <w:rsid w:val="00D306E0"/>
    <w:rsid w:val="00D628DD"/>
    <w:rsid w:val="00D76CDD"/>
    <w:rsid w:val="00DD6217"/>
    <w:rsid w:val="00DF4039"/>
    <w:rsid w:val="00E10A98"/>
    <w:rsid w:val="00E20E17"/>
    <w:rsid w:val="00E45716"/>
    <w:rsid w:val="00E568EC"/>
    <w:rsid w:val="00E921FE"/>
    <w:rsid w:val="00EA3F2C"/>
    <w:rsid w:val="00F01AF9"/>
    <w:rsid w:val="00F8220C"/>
    <w:rsid w:val="00FA3166"/>
    <w:rsid w:val="01457A2B"/>
    <w:rsid w:val="0160089D"/>
    <w:rsid w:val="016D283F"/>
    <w:rsid w:val="01820331"/>
    <w:rsid w:val="0185052F"/>
    <w:rsid w:val="01BE3516"/>
    <w:rsid w:val="02000641"/>
    <w:rsid w:val="023A166B"/>
    <w:rsid w:val="025B5601"/>
    <w:rsid w:val="03377A6F"/>
    <w:rsid w:val="03CC7EAC"/>
    <w:rsid w:val="03D15139"/>
    <w:rsid w:val="03FD640F"/>
    <w:rsid w:val="04143CD3"/>
    <w:rsid w:val="04420FC2"/>
    <w:rsid w:val="044D78F9"/>
    <w:rsid w:val="045F2534"/>
    <w:rsid w:val="04982717"/>
    <w:rsid w:val="04AB74D1"/>
    <w:rsid w:val="05067B84"/>
    <w:rsid w:val="05B317E8"/>
    <w:rsid w:val="05C8106C"/>
    <w:rsid w:val="05CA7F4E"/>
    <w:rsid w:val="05D30DB3"/>
    <w:rsid w:val="05F219EE"/>
    <w:rsid w:val="063D1761"/>
    <w:rsid w:val="065E74B9"/>
    <w:rsid w:val="0668611B"/>
    <w:rsid w:val="06914064"/>
    <w:rsid w:val="06F14B52"/>
    <w:rsid w:val="07063893"/>
    <w:rsid w:val="071E1F41"/>
    <w:rsid w:val="07220651"/>
    <w:rsid w:val="07BE3E19"/>
    <w:rsid w:val="07E03F89"/>
    <w:rsid w:val="08112B29"/>
    <w:rsid w:val="08B61D24"/>
    <w:rsid w:val="08C63B19"/>
    <w:rsid w:val="08EE1EC1"/>
    <w:rsid w:val="08FE655A"/>
    <w:rsid w:val="0918048C"/>
    <w:rsid w:val="093409B8"/>
    <w:rsid w:val="09732A2F"/>
    <w:rsid w:val="09B25B0E"/>
    <w:rsid w:val="09C04455"/>
    <w:rsid w:val="09C96C8D"/>
    <w:rsid w:val="0A1619B4"/>
    <w:rsid w:val="0A471ED4"/>
    <w:rsid w:val="0A7A7536"/>
    <w:rsid w:val="0AE0286B"/>
    <w:rsid w:val="0B0400F4"/>
    <w:rsid w:val="0B07614B"/>
    <w:rsid w:val="0B7603AF"/>
    <w:rsid w:val="0B7753A0"/>
    <w:rsid w:val="0B7B2334"/>
    <w:rsid w:val="0BD9562E"/>
    <w:rsid w:val="0BF42BB6"/>
    <w:rsid w:val="0C5374A3"/>
    <w:rsid w:val="0C890D7D"/>
    <w:rsid w:val="0CC65013"/>
    <w:rsid w:val="0CEB395B"/>
    <w:rsid w:val="0CFE302A"/>
    <w:rsid w:val="0D065785"/>
    <w:rsid w:val="0D980346"/>
    <w:rsid w:val="0DA84E1D"/>
    <w:rsid w:val="0DEB56BA"/>
    <w:rsid w:val="0DED7D5E"/>
    <w:rsid w:val="0E197A45"/>
    <w:rsid w:val="0E567A1D"/>
    <w:rsid w:val="0EB47384"/>
    <w:rsid w:val="0ECF4E41"/>
    <w:rsid w:val="0EE41FA3"/>
    <w:rsid w:val="0EE844A9"/>
    <w:rsid w:val="0F113233"/>
    <w:rsid w:val="0F2C2C9D"/>
    <w:rsid w:val="0F8C7248"/>
    <w:rsid w:val="0FA444E5"/>
    <w:rsid w:val="0FBF7501"/>
    <w:rsid w:val="10687D36"/>
    <w:rsid w:val="10D63836"/>
    <w:rsid w:val="10DF13AE"/>
    <w:rsid w:val="10E56E30"/>
    <w:rsid w:val="10F065AD"/>
    <w:rsid w:val="11114327"/>
    <w:rsid w:val="114D740A"/>
    <w:rsid w:val="119C077A"/>
    <w:rsid w:val="121078F4"/>
    <w:rsid w:val="124D4CD2"/>
    <w:rsid w:val="12573473"/>
    <w:rsid w:val="126C6A2F"/>
    <w:rsid w:val="128B072C"/>
    <w:rsid w:val="12A36276"/>
    <w:rsid w:val="12EE54E0"/>
    <w:rsid w:val="13003DDD"/>
    <w:rsid w:val="131F0A9D"/>
    <w:rsid w:val="13250F2B"/>
    <w:rsid w:val="132E3FC4"/>
    <w:rsid w:val="139160AD"/>
    <w:rsid w:val="13C62B56"/>
    <w:rsid w:val="14445D2D"/>
    <w:rsid w:val="148B044B"/>
    <w:rsid w:val="148C2B81"/>
    <w:rsid w:val="151D5CE9"/>
    <w:rsid w:val="153045D5"/>
    <w:rsid w:val="15407DD2"/>
    <w:rsid w:val="155022F1"/>
    <w:rsid w:val="15595FCC"/>
    <w:rsid w:val="15726428"/>
    <w:rsid w:val="15801617"/>
    <w:rsid w:val="15C45C63"/>
    <w:rsid w:val="15C45EAC"/>
    <w:rsid w:val="15FA1D5C"/>
    <w:rsid w:val="15FC5AC2"/>
    <w:rsid w:val="16251909"/>
    <w:rsid w:val="163E79F4"/>
    <w:rsid w:val="167E7CC5"/>
    <w:rsid w:val="16833AB4"/>
    <w:rsid w:val="16BE2D05"/>
    <w:rsid w:val="170A3E32"/>
    <w:rsid w:val="17335E77"/>
    <w:rsid w:val="174D0235"/>
    <w:rsid w:val="17614385"/>
    <w:rsid w:val="178873E1"/>
    <w:rsid w:val="17B44A28"/>
    <w:rsid w:val="17FA6E0A"/>
    <w:rsid w:val="180B6726"/>
    <w:rsid w:val="184D7354"/>
    <w:rsid w:val="191D4571"/>
    <w:rsid w:val="19464A4E"/>
    <w:rsid w:val="19741C99"/>
    <w:rsid w:val="19A8688E"/>
    <w:rsid w:val="19D22950"/>
    <w:rsid w:val="1A1927A5"/>
    <w:rsid w:val="1AB33D53"/>
    <w:rsid w:val="1B3D5828"/>
    <w:rsid w:val="1B761F0C"/>
    <w:rsid w:val="1B7A5359"/>
    <w:rsid w:val="1B88000C"/>
    <w:rsid w:val="1BB96E58"/>
    <w:rsid w:val="1BC52BE6"/>
    <w:rsid w:val="1BEB1207"/>
    <w:rsid w:val="1C301AE3"/>
    <w:rsid w:val="1C387A84"/>
    <w:rsid w:val="1C4A0D6F"/>
    <w:rsid w:val="1C9F792D"/>
    <w:rsid w:val="1CC86009"/>
    <w:rsid w:val="1CF1237E"/>
    <w:rsid w:val="1D043C1A"/>
    <w:rsid w:val="1D1900FC"/>
    <w:rsid w:val="1D2F70FB"/>
    <w:rsid w:val="1D7E3ED5"/>
    <w:rsid w:val="1DBC38F6"/>
    <w:rsid w:val="1DCF49CE"/>
    <w:rsid w:val="1E151CD1"/>
    <w:rsid w:val="1E5D2B30"/>
    <w:rsid w:val="1E685768"/>
    <w:rsid w:val="1E9E23D9"/>
    <w:rsid w:val="1EA0543A"/>
    <w:rsid w:val="1EAB6F9E"/>
    <w:rsid w:val="1EAC2049"/>
    <w:rsid w:val="1EBF3A72"/>
    <w:rsid w:val="1EE736B6"/>
    <w:rsid w:val="1F164F40"/>
    <w:rsid w:val="1F262681"/>
    <w:rsid w:val="1F4B3B20"/>
    <w:rsid w:val="1F4C0CB4"/>
    <w:rsid w:val="1F8C789F"/>
    <w:rsid w:val="1FA30126"/>
    <w:rsid w:val="1FA825E7"/>
    <w:rsid w:val="1FBF17CB"/>
    <w:rsid w:val="208A491E"/>
    <w:rsid w:val="20BF24BD"/>
    <w:rsid w:val="20E73F0C"/>
    <w:rsid w:val="20EB339D"/>
    <w:rsid w:val="215A009C"/>
    <w:rsid w:val="21645180"/>
    <w:rsid w:val="21CE249A"/>
    <w:rsid w:val="22083E29"/>
    <w:rsid w:val="225037A3"/>
    <w:rsid w:val="22606493"/>
    <w:rsid w:val="22C0087C"/>
    <w:rsid w:val="22EB5BE6"/>
    <w:rsid w:val="22FB6EA4"/>
    <w:rsid w:val="23235834"/>
    <w:rsid w:val="23565FC4"/>
    <w:rsid w:val="237572F3"/>
    <w:rsid w:val="23CF4E78"/>
    <w:rsid w:val="23E55ECF"/>
    <w:rsid w:val="23E843C5"/>
    <w:rsid w:val="24002B86"/>
    <w:rsid w:val="240D3276"/>
    <w:rsid w:val="243D694E"/>
    <w:rsid w:val="243E339F"/>
    <w:rsid w:val="244F0473"/>
    <w:rsid w:val="248825DA"/>
    <w:rsid w:val="24EE2B1D"/>
    <w:rsid w:val="257064DC"/>
    <w:rsid w:val="2587296C"/>
    <w:rsid w:val="25941A9C"/>
    <w:rsid w:val="25A8047B"/>
    <w:rsid w:val="25D3053A"/>
    <w:rsid w:val="25E826A4"/>
    <w:rsid w:val="25F73110"/>
    <w:rsid w:val="260A06B5"/>
    <w:rsid w:val="262D35E9"/>
    <w:rsid w:val="26507BBF"/>
    <w:rsid w:val="26D80FA1"/>
    <w:rsid w:val="26EE7F6B"/>
    <w:rsid w:val="272D05A1"/>
    <w:rsid w:val="27443037"/>
    <w:rsid w:val="276449B2"/>
    <w:rsid w:val="27A11C36"/>
    <w:rsid w:val="27A85743"/>
    <w:rsid w:val="27AC6052"/>
    <w:rsid w:val="27BD2064"/>
    <w:rsid w:val="27D6500C"/>
    <w:rsid w:val="27FB66BA"/>
    <w:rsid w:val="2813148C"/>
    <w:rsid w:val="287177CC"/>
    <w:rsid w:val="287B2704"/>
    <w:rsid w:val="28A35943"/>
    <w:rsid w:val="28AE1911"/>
    <w:rsid w:val="28C3091B"/>
    <w:rsid w:val="29376205"/>
    <w:rsid w:val="2A9918BD"/>
    <w:rsid w:val="2B41729A"/>
    <w:rsid w:val="2B675241"/>
    <w:rsid w:val="2B8F3ED4"/>
    <w:rsid w:val="2BA51613"/>
    <w:rsid w:val="2BB538F4"/>
    <w:rsid w:val="2BF30D9B"/>
    <w:rsid w:val="2C105FCA"/>
    <w:rsid w:val="2C3C5B31"/>
    <w:rsid w:val="2C59663D"/>
    <w:rsid w:val="2C5B14E4"/>
    <w:rsid w:val="2C6A7FC7"/>
    <w:rsid w:val="2C7C3655"/>
    <w:rsid w:val="2C98552C"/>
    <w:rsid w:val="2C9C3EDB"/>
    <w:rsid w:val="2CA16180"/>
    <w:rsid w:val="2CA16C7A"/>
    <w:rsid w:val="2CD859D2"/>
    <w:rsid w:val="2CDB4219"/>
    <w:rsid w:val="2CE06B2E"/>
    <w:rsid w:val="2CED177E"/>
    <w:rsid w:val="2CF61BEC"/>
    <w:rsid w:val="2CFD493A"/>
    <w:rsid w:val="2D0C56BB"/>
    <w:rsid w:val="2D205C44"/>
    <w:rsid w:val="2D6149CC"/>
    <w:rsid w:val="2D917B70"/>
    <w:rsid w:val="2DBB0A4E"/>
    <w:rsid w:val="2E132F56"/>
    <w:rsid w:val="2E827C4D"/>
    <w:rsid w:val="2E84349D"/>
    <w:rsid w:val="2E9424C7"/>
    <w:rsid w:val="2EE42EEB"/>
    <w:rsid w:val="2F0A7894"/>
    <w:rsid w:val="2F171E46"/>
    <w:rsid w:val="2F2071C5"/>
    <w:rsid w:val="2F49615F"/>
    <w:rsid w:val="303675CC"/>
    <w:rsid w:val="31233654"/>
    <w:rsid w:val="31982C35"/>
    <w:rsid w:val="31BC4B3E"/>
    <w:rsid w:val="31ED37AF"/>
    <w:rsid w:val="324C29C4"/>
    <w:rsid w:val="32782A3B"/>
    <w:rsid w:val="329F24D2"/>
    <w:rsid w:val="32C85E5F"/>
    <w:rsid w:val="331040BA"/>
    <w:rsid w:val="33347073"/>
    <w:rsid w:val="335454DF"/>
    <w:rsid w:val="33787C5A"/>
    <w:rsid w:val="33B0748C"/>
    <w:rsid w:val="33C94D94"/>
    <w:rsid w:val="340C62F0"/>
    <w:rsid w:val="34394656"/>
    <w:rsid w:val="34703F4D"/>
    <w:rsid w:val="347817F1"/>
    <w:rsid w:val="34C46E0D"/>
    <w:rsid w:val="35334DCE"/>
    <w:rsid w:val="35826B17"/>
    <w:rsid w:val="35F10696"/>
    <w:rsid w:val="36520E94"/>
    <w:rsid w:val="36861C6C"/>
    <w:rsid w:val="36916A6D"/>
    <w:rsid w:val="369827D3"/>
    <w:rsid w:val="369B3748"/>
    <w:rsid w:val="370467D7"/>
    <w:rsid w:val="37052A1D"/>
    <w:rsid w:val="3711059C"/>
    <w:rsid w:val="37452526"/>
    <w:rsid w:val="37594634"/>
    <w:rsid w:val="37967549"/>
    <w:rsid w:val="37991765"/>
    <w:rsid w:val="37AE30A7"/>
    <w:rsid w:val="381A3F87"/>
    <w:rsid w:val="38AA4328"/>
    <w:rsid w:val="38C671A6"/>
    <w:rsid w:val="392817E4"/>
    <w:rsid w:val="393A2CDA"/>
    <w:rsid w:val="39570990"/>
    <w:rsid w:val="39904870"/>
    <w:rsid w:val="3995346F"/>
    <w:rsid w:val="39A47685"/>
    <w:rsid w:val="3A7E706D"/>
    <w:rsid w:val="3A8E534D"/>
    <w:rsid w:val="3B154EFB"/>
    <w:rsid w:val="3B4314AC"/>
    <w:rsid w:val="3B744AB2"/>
    <w:rsid w:val="3B811491"/>
    <w:rsid w:val="3B8B71F6"/>
    <w:rsid w:val="3B8C2985"/>
    <w:rsid w:val="3BBD1509"/>
    <w:rsid w:val="3BE3326A"/>
    <w:rsid w:val="3C020ED8"/>
    <w:rsid w:val="3C2F4718"/>
    <w:rsid w:val="3C393C29"/>
    <w:rsid w:val="3C3E10EA"/>
    <w:rsid w:val="3C566A39"/>
    <w:rsid w:val="3CE77119"/>
    <w:rsid w:val="3CF828BA"/>
    <w:rsid w:val="3D260396"/>
    <w:rsid w:val="3D541817"/>
    <w:rsid w:val="3D550A03"/>
    <w:rsid w:val="3D564F9D"/>
    <w:rsid w:val="3D583477"/>
    <w:rsid w:val="3D712F1B"/>
    <w:rsid w:val="3D7C3CA5"/>
    <w:rsid w:val="3DC431CD"/>
    <w:rsid w:val="3DD228F1"/>
    <w:rsid w:val="3DEC2B69"/>
    <w:rsid w:val="3DF30266"/>
    <w:rsid w:val="3E276D18"/>
    <w:rsid w:val="3E392BFA"/>
    <w:rsid w:val="3EBD14AE"/>
    <w:rsid w:val="3ECE2F19"/>
    <w:rsid w:val="3F5D5C35"/>
    <w:rsid w:val="3F620304"/>
    <w:rsid w:val="3F66297D"/>
    <w:rsid w:val="3F7371C7"/>
    <w:rsid w:val="3FCF2C7E"/>
    <w:rsid w:val="3FF66482"/>
    <w:rsid w:val="404D7C42"/>
    <w:rsid w:val="40531F4B"/>
    <w:rsid w:val="407961B2"/>
    <w:rsid w:val="40C45CC1"/>
    <w:rsid w:val="410F5F39"/>
    <w:rsid w:val="41320C29"/>
    <w:rsid w:val="415E13CA"/>
    <w:rsid w:val="418F0C8B"/>
    <w:rsid w:val="419B0D7C"/>
    <w:rsid w:val="41EE0897"/>
    <w:rsid w:val="4288152F"/>
    <w:rsid w:val="428E79AE"/>
    <w:rsid w:val="42B71299"/>
    <w:rsid w:val="42BF0022"/>
    <w:rsid w:val="42F6655F"/>
    <w:rsid w:val="437C7673"/>
    <w:rsid w:val="43E87380"/>
    <w:rsid w:val="442344F9"/>
    <w:rsid w:val="44347EBF"/>
    <w:rsid w:val="446F482A"/>
    <w:rsid w:val="453617DE"/>
    <w:rsid w:val="454522F2"/>
    <w:rsid w:val="45704F51"/>
    <w:rsid w:val="459265D8"/>
    <w:rsid w:val="459E75CE"/>
    <w:rsid w:val="459F6927"/>
    <w:rsid w:val="45AC01D8"/>
    <w:rsid w:val="45CB5CB5"/>
    <w:rsid w:val="466923B3"/>
    <w:rsid w:val="46F1323C"/>
    <w:rsid w:val="473E093A"/>
    <w:rsid w:val="47582BF5"/>
    <w:rsid w:val="47663BCE"/>
    <w:rsid w:val="47BF23B5"/>
    <w:rsid w:val="47EB0EF6"/>
    <w:rsid w:val="480926A5"/>
    <w:rsid w:val="4818134B"/>
    <w:rsid w:val="4820754B"/>
    <w:rsid w:val="4875401E"/>
    <w:rsid w:val="48960A4D"/>
    <w:rsid w:val="4898566A"/>
    <w:rsid w:val="48A608C9"/>
    <w:rsid w:val="48BF0390"/>
    <w:rsid w:val="48CA21E2"/>
    <w:rsid w:val="48D90471"/>
    <w:rsid w:val="49011D9A"/>
    <w:rsid w:val="49243AE4"/>
    <w:rsid w:val="49333A0F"/>
    <w:rsid w:val="49664F28"/>
    <w:rsid w:val="49796351"/>
    <w:rsid w:val="498A1DA5"/>
    <w:rsid w:val="49BE34F1"/>
    <w:rsid w:val="4A0D2DD2"/>
    <w:rsid w:val="4A1D0FBD"/>
    <w:rsid w:val="4A3D35B2"/>
    <w:rsid w:val="4AA870DA"/>
    <w:rsid w:val="4AFB3425"/>
    <w:rsid w:val="4B6F75D2"/>
    <w:rsid w:val="4BC40E2B"/>
    <w:rsid w:val="4BF85F2C"/>
    <w:rsid w:val="4C546967"/>
    <w:rsid w:val="4C67086A"/>
    <w:rsid w:val="4C946F35"/>
    <w:rsid w:val="4CB00A1A"/>
    <w:rsid w:val="4D414106"/>
    <w:rsid w:val="4D66019D"/>
    <w:rsid w:val="4D8B0558"/>
    <w:rsid w:val="4DDB5665"/>
    <w:rsid w:val="4DF51DB2"/>
    <w:rsid w:val="4E177AC6"/>
    <w:rsid w:val="4E4A2DC4"/>
    <w:rsid w:val="4E4F3C60"/>
    <w:rsid w:val="4E640B21"/>
    <w:rsid w:val="4E731835"/>
    <w:rsid w:val="4E806D93"/>
    <w:rsid w:val="4E8809AE"/>
    <w:rsid w:val="4EB677B4"/>
    <w:rsid w:val="4F280D07"/>
    <w:rsid w:val="4F33548A"/>
    <w:rsid w:val="5014642F"/>
    <w:rsid w:val="50390D6A"/>
    <w:rsid w:val="504735FB"/>
    <w:rsid w:val="50686A54"/>
    <w:rsid w:val="50910764"/>
    <w:rsid w:val="50921F9B"/>
    <w:rsid w:val="509C33F1"/>
    <w:rsid w:val="50CC40E5"/>
    <w:rsid w:val="515B7CD2"/>
    <w:rsid w:val="518A2B6E"/>
    <w:rsid w:val="518B4155"/>
    <w:rsid w:val="51C3221B"/>
    <w:rsid w:val="52216AE2"/>
    <w:rsid w:val="52267887"/>
    <w:rsid w:val="52D17058"/>
    <w:rsid w:val="52DF2E02"/>
    <w:rsid w:val="52FE0989"/>
    <w:rsid w:val="53554135"/>
    <w:rsid w:val="53D130B5"/>
    <w:rsid w:val="53D644E9"/>
    <w:rsid w:val="53F03A45"/>
    <w:rsid w:val="53F31F0A"/>
    <w:rsid w:val="541818F7"/>
    <w:rsid w:val="546F71F4"/>
    <w:rsid w:val="54BD1A39"/>
    <w:rsid w:val="550F2D16"/>
    <w:rsid w:val="552D3A0F"/>
    <w:rsid w:val="555625EB"/>
    <w:rsid w:val="55575688"/>
    <w:rsid w:val="555C7D3D"/>
    <w:rsid w:val="5585137B"/>
    <w:rsid w:val="55EA5AAD"/>
    <w:rsid w:val="56125CFF"/>
    <w:rsid w:val="56C17C27"/>
    <w:rsid w:val="56C4716C"/>
    <w:rsid w:val="56F15B6E"/>
    <w:rsid w:val="56F57195"/>
    <w:rsid w:val="570876FE"/>
    <w:rsid w:val="574F78F4"/>
    <w:rsid w:val="575B0E90"/>
    <w:rsid w:val="57B61C7E"/>
    <w:rsid w:val="57C81CE6"/>
    <w:rsid w:val="58064348"/>
    <w:rsid w:val="584A5418"/>
    <w:rsid w:val="584C1FF1"/>
    <w:rsid w:val="585F234C"/>
    <w:rsid w:val="58874C34"/>
    <w:rsid w:val="58915066"/>
    <w:rsid w:val="58CB28EE"/>
    <w:rsid w:val="58D45C44"/>
    <w:rsid w:val="59403F15"/>
    <w:rsid w:val="59580C24"/>
    <w:rsid w:val="59752247"/>
    <w:rsid w:val="59944AC0"/>
    <w:rsid w:val="599C20AD"/>
    <w:rsid w:val="59A23A00"/>
    <w:rsid w:val="59DE52E9"/>
    <w:rsid w:val="5A7678F2"/>
    <w:rsid w:val="5AB041F8"/>
    <w:rsid w:val="5AB4232A"/>
    <w:rsid w:val="5AD42383"/>
    <w:rsid w:val="5BAA51F1"/>
    <w:rsid w:val="5C5C7054"/>
    <w:rsid w:val="5CD05C1D"/>
    <w:rsid w:val="5CFD794A"/>
    <w:rsid w:val="5D3651A2"/>
    <w:rsid w:val="5D535B24"/>
    <w:rsid w:val="5D763228"/>
    <w:rsid w:val="5DA863FB"/>
    <w:rsid w:val="5DAA5E5D"/>
    <w:rsid w:val="5DC36DA4"/>
    <w:rsid w:val="5DFB5A9F"/>
    <w:rsid w:val="5E270F56"/>
    <w:rsid w:val="5E2F035A"/>
    <w:rsid w:val="5E4160B9"/>
    <w:rsid w:val="5EA30419"/>
    <w:rsid w:val="5EA73C33"/>
    <w:rsid w:val="5EE534E2"/>
    <w:rsid w:val="5EE67009"/>
    <w:rsid w:val="5F0A518F"/>
    <w:rsid w:val="5F4D0066"/>
    <w:rsid w:val="5F8D363B"/>
    <w:rsid w:val="5FA430F5"/>
    <w:rsid w:val="5FF64F99"/>
    <w:rsid w:val="5FFC139C"/>
    <w:rsid w:val="6012349D"/>
    <w:rsid w:val="60871BB9"/>
    <w:rsid w:val="60D12852"/>
    <w:rsid w:val="60D34797"/>
    <w:rsid w:val="61023151"/>
    <w:rsid w:val="6123706B"/>
    <w:rsid w:val="61573F5F"/>
    <w:rsid w:val="6192415F"/>
    <w:rsid w:val="61FD3E67"/>
    <w:rsid w:val="621A29E3"/>
    <w:rsid w:val="626B2E01"/>
    <w:rsid w:val="62901BE3"/>
    <w:rsid w:val="62E25E13"/>
    <w:rsid w:val="632C7B4C"/>
    <w:rsid w:val="633352E9"/>
    <w:rsid w:val="637A3331"/>
    <w:rsid w:val="63873028"/>
    <w:rsid w:val="639535B1"/>
    <w:rsid w:val="63A41B40"/>
    <w:rsid w:val="63B238FE"/>
    <w:rsid w:val="648557B9"/>
    <w:rsid w:val="64C279C3"/>
    <w:rsid w:val="64F2428B"/>
    <w:rsid w:val="650F268F"/>
    <w:rsid w:val="65173FB0"/>
    <w:rsid w:val="657174B7"/>
    <w:rsid w:val="65A86603"/>
    <w:rsid w:val="65B44F0C"/>
    <w:rsid w:val="65D82C02"/>
    <w:rsid w:val="66010FA7"/>
    <w:rsid w:val="662340CC"/>
    <w:rsid w:val="66831A0C"/>
    <w:rsid w:val="6693257D"/>
    <w:rsid w:val="66BE5361"/>
    <w:rsid w:val="66CF6D88"/>
    <w:rsid w:val="66F72757"/>
    <w:rsid w:val="6710749C"/>
    <w:rsid w:val="6714053B"/>
    <w:rsid w:val="67354045"/>
    <w:rsid w:val="675531DD"/>
    <w:rsid w:val="676E3DC2"/>
    <w:rsid w:val="678A5BA3"/>
    <w:rsid w:val="67FA2970"/>
    <w:rsid w:val="685D3E7E"/>
    <w:rsid w:val="68637218"/>
    <w:rsid w:val="688473F2"/>
    <w:rsid w:val="689A4476"/>
    <w:rsid w:val="693653BC"/>
    <w:rsid w:val="693A6637"/>
    <w:rsid w:val="69614F1B"/>
    <w:rsid w:val="69801C62"/>
    <w:rsid w:val="6A0512F3"/>
    <w:rsid w:val="6A266B66"/>
    <w:rsid w:val="6A2B149B"/>
    <w:rsid w:val="6A52372A"/>
    <w:rsid w:val="6A8601F9"/>
    <w:rsid w:val="6AC911CF"/>
    <w:rsid w:val="6ACF38CA"/>
    <w:rsid w:val="6AD64CF5"/>
    <w:rsid w:val="6B1F26FA"/>
    <w:rsid w:val="6BAD635F"/>
    <w:rsid w:val="6BB17C5A"/>
    <w:rsid w:val="6C477E13"/>
    <w:rsid w:val="6C4A5D65"/>
    <w:rsid w:val="6C6C665B"/>
    <w:rsid w:val="6C73627E"/>
    <w:rsid w:val="6C836CCF"/>
    <w:rsid w:val="6C9C7B61"/>
    <w:rsid w:val="6CF92687"/>
    <w:rsid w:val="6D1B20C6"/>
    <w:rsid w:val="6D572487"/>
    <w:rsid w:val="6D992FF6"/>
    <w:rsid w:val="6DBE078D"/>
    <w:rsid w:val="6DED0A2B"/>
    <w:rsid w:val="6DF458DE"/>
    <w:rsid w:val="6E467BE7"/>
    <w:rsid w:val="6EAC296D"/>
    <w:rsid w:val="6ED30739"/>
    <w:rsid w:val="6EF72AAF"/>
    <w:rsid w:val="6F082D72"/>
    <w:rsid w:val="6F270F14"/>
    <w:rsid w:val="6F2C30D5"/>
    <w:rsid w:val="6F433989"/>
    <w:rsid w:val="6FA450EA"/>
    <w:rsid w:val="6FB2387C"/>
    <w:rsid w:val="6FD84985"/>
    <w:rsid w:val="6FE13AD6"/>
    <w:rsid w:val="6FFD6291"/>
    <w:rsid w:val="701D59A0"/>
    <w:rsid w:val="704E2A3A"/>
    <w:rsid w:val="707A4212"/>
    <w:rsid w:val="708E74E2"/>
    <w:rsid w:val="70BF7BD0"/>
    <w:rsid w:val="70EA3A16"/>
    <w:rsid w:val="71A551D8"/>
    <w:rsid w:val="71B0534F"/>
    <w:rsid w:val="71F4320F"/>
    <w:rsid w:val="720C055E"/>
    <w:rsid w:val="72431633"/>
    <w:rsid w:val="726C1734"/>
    <w:rsid w:val="728D5777"/>
    <w:rsid w:val="72AC6D48"/>
    <w:rsid w:val="72C95E04"/>
    <w:rsid w:val="72E81015"/>
    <w:rsid w:val="72F95036"/>
    <w:rsid w:val="730057E9"/>
    <w:rsid w:val="732F05A9"/>
    <w:rsid w:val="733C372D"/>
    <w:rsid w:val="734005FC"/>
    <w:rsid w:val="73746A3D"/>
    <w:rsid w:val="738C000B"/>
    <w:rsid w:val="73BF0189"/>
    <w:rsid w:val="73C1418E"/>
    <w:rsid w:val="73CF5C31"/>
    <w:rsid w:val="73E36C33"/>
    <w:rsid w:val="73F106B7"/>
    <w:rsid w:val="73F773CD"/>
    <w:rsid w:val="73F77FD4"/>
    <w:rsid w:val="744C0E9D"/>
    <w:rsid w:val="74AF74FD"/>
    <w:rsid w:val="74C05D26"/>
    <w:rsid w:val="74F86B09"/>
    <w:rsid w:val="756A4BDC"/>
    <w:rsid w:val="7571378A"/>
    <w:rsid w:val="7586575E"/>
    <w:rsid w:val="758F6EBD"/>
    <w:rsid w:val="75953196"/>
    <w:rsid w:val="75DF6357"/>
    <w:rsid w:val="75FB1E67"/>
    <w:rsid w:val="761B4740"/>
    <w:rsid w:val="763A0D50"/>
    <w:rsid w:val="765C6C04"/>
    <w:rsid w:val="76970119"/>
    <w:rsid w:val="76D406AE"/>
    <w:rsid w:val="77091E30"/>
    <w:rsid w:val="779B30BD"/>
    <w:rsid w:val="77A54DEC"/>
    <w:rsid w:val="77BC32DB"/>
    <w:rsid w:val="780C51CB"/>
    <w:rsid w:val="782650FC"/>
    <w:rsid w:val="786444DF"/>
    <w:rsid w:val="78854A52"/>
    <w:rsid w:val="78AB587D"/>
    <w:rsid w:val="78FA7290"/>
    <w:rsid w:val="797A33AF"/>
    <w:rsid w:val="798D04EA"/>
    <w:rsid w:val="79C62C3F"/>
    <w:rsid w:val="79C755E3"/>
    <w:rsid w:val="79DD6A97"/>
    <w:rsid w:val="7A106167"/>
    <w:rsid w:val="7A3109F2"/>
    <w:rsid w:val="7A8B2ED2"/>
    <w:rsid w:val="7A8D2B32"/>
    <w:rsid w:val="7AFE5010"/>
    <w:rsid w:val="7B0F28FF"/>
    <w:rsid w:val="7B433F38"/>
    <w:rsid w:val="7B5A3288"/>
    <w:rsid w:val="7B6D5CDF"/>
    <w:rsid w:val="7BB304B1"/>
    <w:rsid w:val="7BE015B2"/>
    <w:rsid w:val="7BF16677"/>
    <w:rsid w:val="7C1C2059"/>
    <w:rsid w:val="7C7A67E6"/>
    <w:rsid w:val="7CD104E1"/>
    <w:rsid w:val="7D0839FB"/>
    <w:rsid w:val="7D0878A2"/>
    <w:rsid w:val="7D0D5911"/>
    <w:rsid w:val="7D6015F6"/>
    <w:rsid w:val="7D615EE3"/>
    <w:rsid w:val="7D65683E"/>
    <w:rsid w:val="7D7C44F7"/>
    <w:rsid w:val="7E31568B"/>
    <w:rsid w:val="7E561D57"/>
    <w:rsid w:val="7E66375E"/>
    <w:rsid w:val="7E690D9B"/>
    <w:rsid w:val="7EA3662F"/>
    <w:rsid w:val="7F1261CA"/>
    <w:rsid w:val="7F27583F"/>
    <w:rsid w:val="7F3251CB"/>
    <w:rsid w:val="7F4C7C89"/>
    <w:rsid w:val="7F522792"/>
    <w:rsid w:val="7F5F5D88"/>
    <w:rsid w:val="7F927CE3"/>
    <w:rsid w:val="7FB41C1C"/>
    <w:rsid w:val="7FBD44BF"/>
    <w:rsid w:val="7FEC0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annotation text"/>
    <w:basedOn w:val="1"/>
    <w:link w:val="21"/>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16"/>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2"/>
    <w:qFormat/>
    <w:uiPriority w:val="0"/>
    <w:rPr>
      <w:b/>
      <w:bCs/>
    </w:rPr>
  </w:style>
  <w:style w:type="paragraph" w:styleId="11">
    <w:name w:val="Body Text First Indent"/>
    <w:basedOn w:val="6"/>
    <w:unhideWhenUsed/>
    <w:qFormat/>
    <w:uiPriority w:val="99"/>
    <w:pPr>
      <w:ind w:firstLine="420" w:firstLineChars="100"/>
    </w:pPr>
    <w:rPr>
      <w:szCs w:val="24"/>
    </w:rPr>
  </w:style>
  <w:style w:type="character" w:styleId="14">
    <w:name w:val="annotation reference"/>
    <w:basedOn w:val="13"/>
    <w:qFormat/>
    <w:uiPriority w:val="0"/>
    <w:rPr>
      <w:sz w:val="21"/>
      <w:szCs w:val="21"/>
    </w:rPr>
  </w:style>
  <w:style w:type="paragraph" w:styleId="15">
    <w:name w:val="List Paragraph"/>
    <w:basedOn w:val="1"/>
    <w:qFormat/>
    <w:uiPriority w:val="99"/>
    <w:pPr>
      <w:ind w:firstLine="420" w:firstLineChars="200"/>
    </w:pPr>
  </w:style>
  <w:style w:type="character" w:customStyle="1" w:styleId="16">
    <w:name w:val="批注框文本 字符"/>
    <w:basedOn w:val="13"/>
    <w:link w:val="7"/>
    <w:qFormat/>
    <w:uiPriority w:val="0"/>
    <w:rPr>
      <w:kern w:val="2"/>
      <w:sz w:val="18"/>
      <w:szCs w:val="18"/>
    </w:rPr>
  </w:style>
  <w:style w:type="character" w:customStyle="1" w:styleId="17">
    <w:name w:val="font21"/>
    <w:basedOn w:val="13"/>
    <w:qFormat/>
    <w:uiPriority w:val="0"/>
    <w:rPr>
      <w:rFonts w:hint="eastAsia" w:ascii="宋体" w:hAnsi="宋体" w:eastAsia="宋体" w:cs="宋体"/>
      <w:color w:val="000000"/>
      <w:sz w:val="20"/>
      <w:szCs w:val="20"/>
      <w:u w:val="none"/>
    </w:rPr>
  </w:style>
  <w:style w:type="character" w:customStyle="1" w:styleId="18">
    <w:name w:val="font01"/>
    <w:basedOn w:val="13"/>
    <w:qFormat/>
    <w:uiPriority w:val="0"/>
    <w:rPr>
      <w:rFonts w:hint="eastAsia" w:ascii="宋体" w:hAnsi="宋体" w:eastAsia="宋体" w:cs="宋体"/>
      <w:color w:val="000000"/>
      <w:sz w:val="22"/>
      <w:szCs w:val="22"/>
      <w:u w:val="none"/>
    </w:rPr>
  </w:style>
  <w:style w:type="character" w:customStyle="1" w:styleId="19">
    <w:name w:val="font41"/>
    <w:basedOn w:val="13"/>
    <w:qFormat/>
    <w:uiPriority w:val="0"/>
    <w:rPr>
      <w:rFonts w:hint="eastAsia" w:ascii="宋体" w:hAnsi="宋体" w:eastAsia="宋体" w:cs="宋体"/>
      <w:color w:val="000000"/>
      <w:sz w:val="22"/>
      <w:szCs w:val="22"/>
      <w:u w:val="none"/>
    </w:rPr>
  </w:style>
  <w:style w:type="character" w:customStyle="1" w:styleId="20">
    <w:name w:val="font31"/>
    <w:basedOn w:val="13"/>
    <w:qFormat/>
    <w:uiPriority w:val="0"/>
    <w:rPr>
      <w:rFonts w:ascii="Arial" w:hAnsi="Arial" w:cs="Arial"/>
      <w:color w:val="000000"/>
      <w:sz w:val="22"/>
      <w:szCs w:val="22"/>
      <w:u w:val="none"/>
    </w:rPr>
  </w:style>
  <w:style w:type="character" w:customStyle="1" w:styleId="21">
    <w:name w:val="批注文字 字符"/>
    <w:basedOn w:val="13"/>
    <w:link w:val="5"/>
    <w:qFormat/>
    <w:uiPriority w:val="0"/>
    <w:rPr>
      <w:kern w:val="2"/>
      <w:sz w:val="21"/>
      <w:szCs w:val="22"/>
    </w:rPr>
  </w:style>
  <w:style w:type="character" w:customStyle="1" w:styleId="22">
    <w:name w:val="批注主题 字符"/>
    <w:basedOn w:val="21"/>
    <w:link w:val="10"/>
    <w:qFormat/>
    <w:uiPriority w:val="0"/>
    <w:rPr>
      <w:b/>
      <w:bCs/>
      <w:kern w:val="2"/>
      <w:sz w:val="21"/>
      <w:szCs w:val="2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Pages>
  <Words>616</Words>
  <Characters>3517</Characters>
  <Lines>29</Lines>
  <Paragraphs>8</Paragraphs>
  <TotalTime>10</TotalTime>
  <ScaleCrop>false</ScaleCrop>
  <LinksUpToDate>false</LinksUpToDate>
  <CharactersWithSpaces>4125</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liujin</cp:lastModifiedBy>
  <dcterms:modified xsi:type="dcterms:W3CDTF">2021-07-02T04:35:35Z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61C261E861A44BD1A4E845138BB0BF89</vt:lpwstr>
  </property>
</Properties>
</file>