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中航信托•天垣3号恒大嘉兴海盐项目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2020年10月监管报告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项目名称：中航信托•天垣3号恒大嘉兴海盐项目投资集合资金信托计划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委托方：青岛航明投资合伙企业（有限合伙）</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监管人员：张智辉</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日期：2020年11月11日</w:t>
      </w:r>
    </w:p>
    <w:p>
      <w:pPr>
        <w:pStyle w:val="13"/>
        <w:widowControl w:val="0"/>
        <w:spacing w:after="0" w:line="240" w:lineRule="auto"/>
        <w:ind w:firstLine="3654" w:firstLineChars="1300"/>
        <w:rPr>
          <w:rFonts w:ascii="Arial" w:hAnsi="Arial" w:cs="Arial"/>
          <w:color w:val="000000"/>
          <w:sz w:val="21"/>
          <w:szCs w:val="21"/>
        </w:rPr>
      </w:pPr>
      <w:r>
        <w:rPr>
          <w:rFonts w:ascii="Arial" w:hAnsi="Arial" w:cs="Arial"/>
          <w:b/>
          <w:color w:val="000000"/>
          <w:sz w:val="28"/>
          <w:szCs w:val="28"/>
        </w:rPr>
        <w:t xml:space="preserve">   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"_Toc25226" </w:instrText>
      </w:r>
      <w:r>
        <w:fldChar w:fldCharType="separate"/>
      </w:r>
      <w:r>
        <w:rPr>
          <w:rFonts w:ascii="Arial" w:hAnsi="Arial" w:cs="Arial"/>
          <w:sz w:val="21"/>
          <w:szCs w:val="24"/>
        </w:rPr>
        <w:t>1项目基本情况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_Toc25226 </w:instrText>
      </w:r>
      <w:r>
        <w:rPr>
          <w:rFonts w:ascii="Arial" w:hAnsi="Arial" w:cs="Arial"/>
          <w:sz w:val="21"/>
        </w:rPr>
        <w:fldChar w:fldCharType="separate"/>
      </w:r>
      <w:r>
        <w:rPr>
          <w:rFonts w:ascii="Arial" w:hAnsi="Arial" w:cs="Arial"/>
          <w:sz w:val="21"/>
        </w:rPr>
        <w:t>1</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"_Toc14539" </w:instrText>
      </w:r>
      <w:r>
        <w:fldChar w:fldCharType="separate"/>
      </w:r>
      <w:r>
        <w:rPr>
          <w:rFonts w:ascii="Arial" w:hAnsi="Arial" w:cs="Arial"/>
          <w:sz w:val="21"/>
          <w:szCs w:val="24"/>
        </w:rPr>
        <w:t>1.1项目公司基本情况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_Toc14539 </w:instrText>
      </w:r>
      <w:r>
        <w:rPr>
          <w:rFonts w:ascii="Arial" w:hAnsi="Arial" w:cs="Arial"/>
          <w:sz w:val="21"/>
        </w:rPr>
        <w:fldChar w:fldCharType="separate"/>
      </w:r>
      <w:r>
        <w:rPr>
          <w:rFonts w:ascii="Arial" w:hAnsi="Arial" w:cs="Arial"/>
          <w:sz w:val="21"/>
        </w:rPr>
        <w:t>1</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"_Toc15419" </w:instrText>
      </w:r>
      <w:r>
        <w:fldChar w:fldCharType="separate"/>
      </w:r>
      <w:r>
        <w:rPr>
          <w:rFonts w:ascii="Arial" w:hAnsi="Arial" w:cs="Arial"/>
          <w:sz w:val="21"/>
          <w:szCs w:val="24"/>
        </w:rPr>
        <w:t>1.2项目概况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_Toc15419 </w:instrText>
      </w:r>
      <w:r>
        <w:rPr>
          <w:rFonts w:ascii="Arial" w:hAnsi="Arial" w:cs="Arial"/>
          <w:sz w:val="21"/>
        </w:rPr>
        <w:fldChar w:fldCharType="separate"/>
      </w:r>
      <w:r>
        <w:rPr>
          <w:rFonts w:ascii="Arial" w:hAnsi="Arial" w:cs="Arial"/>
          <w:sz w:val="21"/>
        </w:rPr>
        <w:t>1</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"_Toc9789" </w:instrText>
      </w:r>
      <w:r>
        <w:fldChar w:fldCharType="separate"/>
      </w:r>
      <w:r>
        <w:rPr>
          <w:rFonts w:ascii="Arial" w:hAnsi="Arial" w:cs="Arial"/>
          <w:sz w:val="21"/>
          <w:szCs w:val="24"/>
        </w:rPr>
        <w:t>2重大事件披露</w:t>
      </w:r>
      <w:r>
        <w:rPr>
          <w:rFonts w:ascii="Arial" w:hAnsi="Arial" w:cs="Arial"/>
          <w:sz w:val="21"/>
        </w:rPr>
        <w:tab/>
      </w:r>
      <w:r>
        <w:rPr>
          <w:rFonts w:ascii="Arial" w:hAnsi="Arial" w:cs="Arial"/>
          <w:sz w:val="21"/>
        </w:rPr>
        <w:fldChar w:fldCharType="begin"/>
      </w:r>
      <w:r>
        <w:rPr>
          <w:rFonts w:ascii="Arial" w:hAnsi="Arial" w:cs="Arial"/>
          <w:sz w:val="21"/>
        </w:rPr>
        <w:instrText xml:space="preserve"> PAGEREF _Toc9789 </w:instrText>
      </w:r>
      <w:r>
        <w:rPr>
          <w:rFonts w:ascii="Arial" w:hAnsi="Arial" w:cs="Arial"/>
          <w:sz w:val="21"/>
        </w:rPr>
        <w:fldChar w:fldCharType="separate"/>
      </w:r>
      <w:r>
        <w:rPr>
          <w:rFonts w:ascii="Arial" w:hAnsi="Arial" w:cs="Arial"/>
          <w:sz w:val="21"/>
        </w:rPr>
        <w:t>3</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"_Toc22916" </w:instrText>
      </w:r>
      <w:r>
        <w:fldChar w:fldCharType="separate"/>
      </w:r>
      <w:r>
        <w:rPr>
          <w:rFonts w:ascii="Arial" w:hAnsi="Arial" w:cs="Arial"/>
          <w:sz w:val="21"/>
          <w:szCs w:val="24"/>
        </w:rPr>
        <w:t>3项目五证办理及施工进度情况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_Toc22916 </w:instrText>
      </w:r>
      <w:r>
        <w:rPr>
          <w:rFonts w:ascii="Arial" w:hAnsi="Arial" w:cs="Arial"/>
          <w:sz w:val="21"/>
        </w:rPr>
        <w:fldChar w:fldCharType="separate"/>
      </w:r>
      <w:r>
        <w:rPr>
          <w:rFonts w:ascii="Arial" w:hAnsi="Arial" w:cs="Arial"/>
          <w:sz w:val="21"/>
        </w:rPr>
        <w:t>3</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"_Toc31196" </w:instrText>
      </w:r>
      <w:r>
        <w:fldChar w:fldCharType="separate"/>
      </w:r>
      <w:r>
        <w:rPr>
          <w:rFonts w:ascii="Arial" w:hAnsi="Arial" w:cs="Arial"/>
          <w:sz w:val="21"/>
        </w:rPr>
        <w:t>3.1项目五证办理情况说明</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_Toc31196 </w:instrText>
      </w:r>
      <w:r>
        <w:rPr>
          <w:rFonts w:ascii="Arial" w:hAnsi="Arial" w:cs="Arial"/>
          <w:sz w:val="21"/>
        </w:rPr>
        <w:fldChar w:fldCharType="separate"/>
      </w:r>
      <w:r>
        <w:rPr>
          <w:rFonts w:ascii="Arial" w:hAnsi="Arial" w:cs="Arial"/>
          <w:sz w:val="21"/>
        </w:rPr>
        <w:t>3</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"_Toc11834" </w:instrText>
      </w:r>
      <w:r>
        <w:fldChar w:fldCharType="separate"/>
      </w:r>
      <w:r>
        <w:rPr>
          <w:rFonts w:ascii="Arial" w:hAnsi="Arial" w:cs="Arial"/>
          <w:sz w:val="21"/>
        </w:rPr>
        <w:t>3.2项目施工情况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_Toc11834 </w:instrText>
      </w:r>
      <w:r>
        <w:rPr>
          <w:rFonts w:ascii="Arial" w:hAnsi="Arial" w:cs="Arial"/>
          <w:sz w:val="21"/>
        </w:rPr>
        <w:fldChar w:fldCharType="separate"/>
      </w:r>
      <w:r>
        <w:rPr>
          <w:rFonts w:ascii="Arial" w:hAnsi="Arial" w:cs="Arial"/>
          <w:sz w:val="21"/>
        </w:rPr>
        <w:t>4</w:t>
      </w:r>
      <w:r>
        <w:rPr>
          <w:rFonts w:ascii="Arial" w:hAnsi="Arial" w:cs="Arial"/>
          <w:sz w:val="21"/>
        </w:rPr>
        <w:fldChar w:fldCharType="end"/>
      </w:r>
      <w:r>
        <w:rPr>
          <w:rFonts w:ascii="Arial" w:hAnsi="Arial" w:cs="Arial"/>
          <w:sz w:val="21"/>
        </w:rPr>
        <w:fldChar w:fldCharType="end"/>
      </w:r>
    </w:p>
    <w:p>
      <w:pPr>
        <w:pStyle w:val="8"/>
        <w:tabs>
          <w:tab w:val="right" w:leader="dot" w:pos="9298"/>
        </w:tabs>
        <w:spacing w:line="240" w:lineRule="auto"/>
        <w:rPr>
          <w:rFonts w:ascii="Arial" w:hAnsi="Arial" w:cs="Arial"/>
          <w:sz w:val="21"/>
        </w:rPr>
      </w:pPr>
      <w:r>
        <w:fldChar w:fldCharType="begin"/>
      </w:r>
      <w:r>
        <w:instrText xml:space="preserve"> HYPERLINK \l "_Toc31522" </w:instrText>
      </w:r>
      <w:r>
        <w:fldChar w:fldCharType="separate"/>
      </w:r>
      <w:r>
        <w:rPr>
          <w:rFonts w:ascii="Arial" w:hAnsi="Arial" w:cs="Arial"/>
          <w:sz w:val="21"/>
        </w:rPr>
        <w:t>3.2.1项目2020年10月施工进度情况及11月施工计划</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_Toc31522 </w:instrText>
      </w:r>
      <w:r>
        <w:rPr>
          <w:rFonts w:ascii="Arial" w:hAnsi="Arial" w:cs="Arial"/>
          <w:sz w:val="21"/>
        </w:rPr>
        <w:fldChar w:fldCharType="separate"/>
      </w:r>
      <w:r>
        <w:rPr>
          <w:rFonts w:ascii="Arial" w:hAnsi="Arial" w:cs="Arial"/>
          <w:sz w:val="21"/>
        </w:rPr>
        <w:t>4</w:t>
      </w:r>
      <w:r>
        <w:rPr>
          <w:rFonts w:ascii="Arial" w:hAnsi="Arial" w:cs="Arial"/>
          <w:sz w:val="21"/>
        </w:rPr>
        <w:fldChar w:fldCharType="end"/>
      </w:r>
      <w:r>
        <w:rPr>
          <w:rFonts w:ascii="Arial" w:hAnsi="Arial" w:cs="Arial"/>
          <w:sz w:val="21"/>
        </w:rPr>
        <w:fldChar w:fldCharType="end"/>
      </w:r>
    </w:p>
    <w:p>
      <w:pPr>
        <w:pStyle w:val="8"/>
        <w:tabs>
          <w:tab w:val="right" w:leader="dot" w:pos="9298"/>
        </w:tabs>
        <w:spacing w:line="240" w:lineRule="auto"/>
        <w:rPr>
          <w:rFonts w:ascii="Arial" w:hAnsi="Arial" w:cs="Arial"/>
          <w:sz w:val="21"/>
        </w:rPr>
      </w:pPr>
      <w:r>
        <w:fldChar w:fldCharType="begin"/>
      </w:r>
      <w:r>
        <w:instrText xml:space="preserve"> HYPERLINK \l "_Toc13096" </w:instrText>
      </w:r>
      <w:r>
        <w:fldChar w:fldCharType="separate"/>
      </w:r>
      <w:r>
        <w:rPr>
          <w:rFonts w:ascii="Arial" w:hAnsi="Arial" w:cs="Arial"/>
          <w:sz w:val="21"/>
        </w:rPr>
        <w:t>3.2.2项目施工进度分析</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_Toc13096 </w:instrText>
      </w:r>
      <w:r>
        <w:rPr>
          <w:rFonts w:ascii="Arial" w:hAnsi="Arial" w:cs="Arial"/>
          <w:sz w:val="21"/>
        </w:rPr>
        <w:fldChar w:fldCharType="separate"/>
      </w:r>
      <w:r>
        <w:rPr>
          <w:rFonts w:ascii="Arial" w:hAnsi="Arial" w:cs="Arial"/>
          <w:sz w:val="21"/>
        </w:rPr>
        <w:t>5</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"_Toc22998" </w:instrText>
      </w:r>
      <w:r>
        <w:fldChar w:fldCharType="separate"/>
      </w:r>
      <w:r>
        <w:rPr>
          <w:rFonts w:ascii="Arial" w:hAnsi="Arial" w:cs="Arial"/>
          <w:sz w:val="21"/>
          <w:szCs w:val="24"/>
        </w:rPr>
        <w:t>4印鉴使用情况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_Toc22998 </w:instrText>
      </w:r>
      <w:r>
        <w:rPr>
          <w:rFonts w:ascii="Arial" w:hAnsi="Arial" w:cs="Arial"/>
          <w:sz w:val="21"/>
        </w:rPr>
        <w:fldChar w:fldCharType="separate"/>
      </w:r>
      <w:r>
        <w:rPr>
          <w:rFonts w:ascii="Arial" w:hAnsi="Arial" w:cs="Arial"/>
          <w:sz w:val="21"/>
        </w:rPr>
        <w:t>7</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"_Toc21772" </w:instrText>
      </w:r>
      <w:r>
        <w:fldChar w:fldCharType="separate"/>
      </w:r>
      <w:r>
        <w:rPr>
          <w:rFonts w:ascii="Arial" w:hAnsi="Arial" w:cs="Arial"/>
          <w:sz w:val="21"/>
          <w:szCs w:val="24"/>
        </w:rPr>
        <w:t>5合同签订情况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_Toc21772 </w:instrText>
      </w:r>
      <w:r>
        <w:rPr>
          <w:rFonts w:ascii="Arial" w:hAnsi="Arial" w:cs="Arial"/>
          <w:sz w:val="21"/>
        </w:rPr>
        <w:fldChar w:fldCharType="separate"/>
      </w:r>
      <w:r>
        <w:rPr>
          <w:rFonts w:ascii="Arial" w:hAnsi="Arial" w:cs="Arial"/>
          <w:sz w:val="21"/>
        </w:rPr>
        <w:t>8</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"_Toc18964" </w:instrText>
      </w:r>
      <w:r>
        <w:fldChar w:fldCharType="separate"/>
      </w:r>
      <w:r>
        <w:rPr>
          <w:rFonts w:ascii="Arial" w:hAnsi="Arial" w:cs="Arial"/>
          <w:sz w:val="21"/>
        </w:rPr>
        <w:t>5.1新签订合同情况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_Toc18964 </w:instrText>
      </w:r>
      <w:r>
        <w:rPr>
          <w:rFonts w:ascii="Arial" w:hAnsi="Arial" w:cs="Arial"/>
          <w:sz w:val="21"/>
        </w:rPr>
        <w:fldChar w:fldCharType="separate"/>
      </w:r>
      <w:r>
        <w:rPr>
          <w:rFonts w:ascii="Arial" w:hAnsi="Arial" w:cs="Arial"/>
          <w:sz w:val="21"/>
        </w:rPr>
        <w:t>8</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"_Toc22963" </w:instrText>
      </w:r>
      <w:r>
        <w:fldChar w:fldCharType="separate"/>
      </w:r>
      <w:r>
        <w:rPr>
          <w:rFonts w:ascii="Arial" w:hAnsi="Arial" w:cs="Arial"/>
          <w:sz w:val="21"/>
        </w:rPr>
        <w:t>5.2项目合同支付情况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_Toc22963 </w:instrText>
      </w:r>
      <w:r>
        <w:rPr>
          <w:rFonts w:ascii="Arial" w:hAnsi="Arial" w:cs="Arial"/>
          <w:sz w:val="21"/>
        </w:rPr>
        <w:fldChar w:fldCharType="separate"/>
      </w:r>
      <w:r>
        <w:rPr>
          <w:rFonts w:ascii="Arial" w:hAnsi="Arial" w:cs="Arial"/>
          <w:sz w:val="21"/>
        </w:rPr>
        <w:t>9</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"_Toc13989" </w:instrText>
      </w:r>
      <w:r>
        <w:fldChar w:fldCharType="separate"/>
      </w:r>
      <w:r>
        <w:rPr>
          <w:rFonts w:ascii="Arial" w:hAnsi="Arial" w:cs="Arial"/>
          <w:sz w:val="21"/>
          <w:szCs w:val="24"/>
        </w:rPr>
        <w:t>5.3 针对大额合同支付的意见</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_Toc13989 </w:instrText>
      </w:r>
      <w:r>
        <w:rPr>
          <w:rFonts w:ascii="Arial" w:hAnsi="Arial" w:cs="Arial"/>
          <w:sz w:val="21"/>
        </w:rPr>
        <w:fldChar w:fldCharType="separate"/>
      </w:r>
      <w:r>
        <w:rPr>
          <w:rFonts w:ascii="Arial" w:hAnsi="Arial" w:cs="Arial"/>
          <w:sz w:val="21"/>
        </w:rPr>
        <w:t>15</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"_Toc13453" </w:instrText>
      </w:r>
      <w:r>
        <w:fldChar w:fldCharType="separate"/>
      </w:r>
      <w:r>
        <w:rPr>
          <w:rFonts w:ascii="Arial" w:hAnsi="Arial" w:cs="Arial"/>
          <w:sz w:val="21"/>
          <w:szCs w:val="24"/>
        </w:rPr>
        <w:t>6资金情况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_Toc13453 </w:instrText>
      </w:r>
      <w:r>
        <w:rPr>
          <w:rFonts w:ascii="Arial" w:hAnsi="Arial" w:cs="Arial"/>
          <w:sz w:val="21"/>
        </w:rPr>
        <w:fldChar w:fldCharType="separate"/>
      </w:r>
      <w:r>
        <w:rPr>
          <w:rFonts w:ascii="Arial" w:hAnsi="Arial" w:cs="Arial"/>
          <w:sz w:val="21"/>
        </w:rPr>
        <w:t>16</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"_Toc5129" </w:instrText>
      </w:r>
      <w:r>
        <w:fldChar w:fldCharType="separate"/>
      </w:r>
      <w:r>
        <w:rPr>
          <w:rFonts w:ascii="Arial" w:hAnsi="Arial" w:cs="Arial"/>
          <w:sz w:val="21"/>
        </w:rPr>
        <w:t>6.1资金流出情况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_Toc5129 </w:instrText>
      </w:r>
      <w:r>
        <w:rPr>
          <w:rFonts w:ascii="Arial" w:hAnsi="Arial" w:cs="Arial"/>
          <w:sz w:val="21"/>
        </w:rPr>
        <w:fldChar w:fldCharType="separate"/>
      </w:r>
      <w:r>
        <w:rPr>
          <w:rFonts w:ascii="Arial" w:hAnsi="Arial" w:cs="Arial"/>
          <w:sz w:val="21"/>
        </w:rPr>
        <w:t>16</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"_Toc25516" </w:instrText>
      </w:r>
      <w:r>
        <w:fldChar w:fldCharType="separate"/>
      </w:r>
      <w:r>
        <w:rPr>
          <w:rFonts w:ascii="Arial" w:hAnsi="Arial" w:cs="Arial"/>
          <w:sz w:val="21"/>
        </w:rPr>
        <w:t>6.2资金流入情况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_Toc25516 </w:instrText>
      </w:r>
      <w:r>
        <w:rPr>
          <w:rFonts w:ascii="Arial" w:hAnsi="Arial" w:cs="Arial"/>
          <w:sz w:val="21"/>
        </w:rPr>
        <w:fldChar w:fldCharType="separate"/>
      </w:r>
      <w:r>
        <w:rPr>
          <w:rFonts w:ascii="Arial" w:hAnsi="Arial" w:cs="Arial"/>
          <w:sz w:val="21"/>
        </w:rPr>
        <w:t>19</w:t>
      </w:r>
      <w:r>
        <w:rPr>
          <w:rFonts w:ascii="Arial" w:hAnsi="Arial" w:cs="Arial"/>
          <w:sz w:val="21"/>
        </w:rPr>
        <w:fldChar w:fldCharType="end"/>
      </w:r>
      <w:r>
        <w:rPr>
          <w:rFonts w:ascii="Arial" w:hAnsi="Arial" w:cs="Arial"/>
          <w:sz w:val="21"/>
        </w:rPr>
        <w:fldChar w:fldCharType="end"/>
      </w:r>
    </w:p>
    <w:p>
      <w:pPr>
        <w:pStyle w:val="8"/>
        <w:tabs>
          <w:tab w:val="right" w:leader="dot" w:pos="9298"/>
        </w:tabs>
        <w:spacing w:line="240" w:lineRule="auto"/>
        <w:rPr>
          <w:rFonts w:ascii="Arial" w:hAnsi="Arial" w:cs="Arial"/>
          <w:sz w:val="21"/>
        </w:rPr>
      </w:pPr>
      <w:r>
        <w:fldChar w:fldCharType="begin"/>
      </w:r>
      <w:r>
        <w:instrText xml:space="preserve"> HYPERLINK \l "_Toc32107" </w:instrText>
      </w:r>
      <w:r>
        <w:fldChar w:fldCharType="separate"/>
      </w:r>
      <w:r>
        <w:rPr>
          <w:rFonts w:ascii="Arial" w:hAnsi="Arial" w:cs="Arial"/>
          <w:sz w:val="21"/>
        </w:rPr>
        <w:t>6.2.1销售回款流入</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_Toc32107 </w:instrText>
      </w:r>
      <w:r>
        <w:rPr>
          <w:rFonts w:ascii="Arial" w:hAnsi="Arial" w:cs="Arial"/>
          <w:sz w:val="21"/>
        </w:rPr>
        <w:fldChar w:fldCharType="separate"/>
      </w:r>
      <w:r>
        <w:rPr>
          <w:rFonts w:ascii="Arial" w:hAnsi="Arial" w:cs="Arial"/>
          <w:sz w:val="21"/>
        </w:rPr>
        <w:t>19</w:t>
      </w:r>
      <w:r>
        <w:rPr>
          <w:rFonts w:ascii="Arial" w:hAnsi="Arial" w:cs="Arial"/>
          <w:sz w:val="21"/>
        </w:rPr>
        <w:fldChar w:fldCharType="end"/>
      </w:r>
      <w:r>
        <w:rPr>
          <w:rFonts w:ascii="Arial" w:hAnsi="Arial" w:cs="Arial"/>
          <w:sz w:val="21"/>
        </w:rPr>
        <w:fldChar w:fldCharType="end"/>
      </w:r>
    </w:p>
    <w:p>
      <w:pPr>
        <w:pStyle w:val="8"/>
        <w:tabs>
          <w:tab w:val="right" w:leader="dot" w:pos="9298"/>
        </w:tabs>
        <w:spacing w:line="240" w:lineRule="auto"/>
        <w:rPr>
          <w:rFonts w:ascii="Arial" w:hAnsi="Arial" w:cs="Arial"/>
          <w:sz w:val="21"/>
        </w:rPr>
      </w:pPr>
      <w:r>
        <w:fldChar w:fldCharType="begin"/>
      </w:r>
      <w:r>
        <w:instrText xml:space="preserve"> HYPERLINK \l "_Toc23910" </w:instrText>
      </w:r>
      <w:r>
        <w:fldChar w:fldCharType="separate"/>
      </w:r>
      <w:r>
        <w:rPr>
          <w:rFonts w:ascii="Arial" w:hAnsi="Arial" w:cs="Arial"/>
          <w:sz w:val="21"/>
        </w:rPr>
        <w:t>6.2.2其他资金流入</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_Toc23910 </w:instrText>
      </w:r>
      <w:r>
        <w:rPr>
          <w:rFonts w:ascii="Arial" w:hAnsi="Arial" w:cs="Arial"/>
          <w:sz w:val="21"/>
        </w:rPr>
        <w:fldChar w:fldCharType="separate"/>
      </w:r>
      <w:r>
        <w:rPr>
          <w:rFonts w:ascii="Arial" w:hAnsi="Arial" w:cs="Arial"/>
          <w:sz w:val="21"/>
        </w:rPr>
        <w:t>19</w:t>
      </w:r>
      <w:r>
        <w:rPr>
          <w:rFonts w:ascii="Arial" w:hAnsi="Arial" w:cs="Arial"/>
          <w:sz w:val="21"/>
        </w:rPr>
        <w:fldChar w:fldCharType="end"/>
      </w:r>
      <w:r>
        <w:rPr>
          <w:rFonts w:ascii="Arial" w:hAnsi="Arial" w:cs="Arial"/>
          <w:sz w:val="21"/>
        </w:rPr>
        <w:fldChar w:fldCharType="end"/>
      </w:r>
    </w:p>
    <w:p>
      <w:pPr>
        <w:pStyle w:val="8"/>
        <w:tabs>
          <w:tab w:val="right" w:leader="dot" w:pos="9298"/>
        </w:tabs>
        <w:spacing w:line="240" w:lineRule="auto"/>
        <w:rPr>
          <w:rFonts w:ascii="Arial" w:hAnsi="Arial" w:cs="Arial"/>
          <w:sz w:val="21"/>
        </w:rPr>
      </w:pPr>
      <w:r>
        <w:fldChar w:fldCharType="begin"/>
      </w:r>
      <w:r>
        <w:instrText xml:space="preserve"> HYPERLINK \l "_Toc8253" </w:instrText>
      </w:r>
      <w:r>
        <w:fldChar w:fldCharType="separate"/>
      </w:r>
      <w:r>
        <w:rPr>
          <w:rFonts w:ascii="Arial" w:hAnsi="Arial" w:cs="Arial"/>
          <w:sz w:val="21"/>
        </w:rPr>
        <w:t>6.3各类保证金情况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_Toc8253 </w:instrText>
      </w:r>
      <w:r>
        <w:rPr>
          <w:rFonts w:ascii="Arial" w:hAnsi="Arial" w:cs="Arial"/>
          <w:sz w:val="21"/>
        </w:rPr>
        <w:fldChar w:fldCharType="separate"/>
      </w:r>
      <w:r>
        <w:rPr>
          <w:rFonts w:ascii="Arial" w:hAnsi="Arial" w:cs="Arial"/>
          <w:sz w:val="21"/>
        </w:rPr>
        <w:t>20</w:t>
      </w:r>
      <w:r>
        <w:rPr>
          <w:rFonts w:ascii="Arial" w:hAnsi="Arial" w:cs="Arial"/>
          <w:sz w:val="21"/>
        </w:rPr>
        <w:fldChar w:fldCharType="end"/>
      </w:r>
      <w:r>
        <w:rPr>
          <w:rFonts w:ascii="Arial" w:hAnsi="Arial" w:cs="Arial"/>
          <w:sz w:val="21"/>
        </w:rPr>
        <w:fldChar w:fldCharType="end"/>
      </w:r>
    </w:p>
    <w:p>
      <w:pPr>
        <w:pStyle w:val="8"/>
        <w:tabs>
          <w:tab w:val="right" w:leader="dot" w:pos="9298"/>
        </w:tabs>
        <w:spacing w:line="240" w:lineRule="auto"/>
        <w:rPr>
          <w:rFonts w:ascii="Arial" w:hAnsi="Arial" w:cs="Arial"/>
          <w:sz w:val="21"/>
        </w:rPr>
      </w:pPr>
      <w:r>
        <w:fldChar w:fldCharType="begin"/>
      </w:r>
      <w:r>
        <w:instrText xml:space="preserve"> HYPERLINK \l "_Toc12305" </w:instrText>
      </w:r>
      <w:r>
        <w:fldChar w:fldCharType="separate"/>
      </w:r>
      <w:r>
        <w:rPr>
          <w:rFonts w:ascii="Arial" w:hAnsi="Arial" w:cs="Arial"/>
          <w:sz w:val="21"/>
        </w:rPr>
        <w:t>6.4各银行账户余额</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_Toc12305 </w:instrText>
      </w:r>
      <w:r>
        <w:rPr>
          <w:rFonts w:ascii="Arial" w:hAnsi="Arial" w:cs="Arial"/>
          <w:sz w:val="21"/>
        </w:rPr>
        <w:fldChar w:fldCharType="separate"/>
      </w:r>
      <w:r>
        <w:rPr>
          <w:rFonts w:ascii="Arial" w:hAnsi="Arial" w:cs="Arial"/>
          <w:sz w:val="21"/>
        </w:rPr>
        <w:t>20</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"_Toc13697" </w:instrText>
      </w:r>
      <w:r>
        <w:fldChar w:fldCharType="separate"/>
      </w:r>
      <w:r>
        <w:rPr>
          <w:rFonts w:ascii="Arial" w:hAnsi="Arial" w:cs="Arial"/>
          <w:sz w:val="21"/>
          <w:szCs w:val="24"/>
        </w:rPr>
        <w:t>7项目成本统计</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_Toc13697 </w:instrText>
      </w:r>
      <w:r>
        <w:rPr>
          <w:rFonts w:ascii="Arial" w:hAnsi="Arial" w:cs="Arial"/>
          <w:sz w:val="21"/>
        </w:rPr>
        <w:fldChar w:fldCharType="separate"/>
      </w:r>
      <w:r>
        <w:rPr>
          <w:rFonts w:ascii="Arial" w:hAnsi="Arial" w:cs="Arial"/>
          <w:sz w:val="21"/>
        </w:rPr>
        <w:t>20</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"_Toc3228" </w:instrText>
      </w:r>
      <w:r>
        <w:fldChar w:fldCharType="separate"/>
      </w:r>
      <w:r>
        <w:rPr>
          <w:rFonts w:ascii="Arial" w:hAnsi="Arial" w:cs="Arial"/>
          <w:sz w:val="21"/>
          <w:szCs w:val="24"/>
        </w:rPr>
        <w:t>7.1</w:t>
      </w:r>
      <w:r>
        <w:rPr>
          <w:rFonts w:ascii="Arial" w:hAnsi="Arial" w:cs="Arial"/>
          <w:sz w:val="21"/>
        </w:rPr>
        <w:t>资金使用情况统计</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_Toc3228 </w:instrText>
      </w:r>
      <w:r>
        <w:rPr>
          <w:rFonts w:ascii="Arial" w:hAnsi="Arial" w:cs="Arial"/>
          <w:sz w:val="21"/>
        </w:rPr>
        <w:fldChar w:fldCharType="separate"/>
      </w:r>
      <w:r>
        <w:rPr>
          <w:rFonts w:ascii="Arial" w:hAnsi="Arial" w:cs="Arial"/>
          <w:sz w:val="21"/>
        </w:rPr>
        <w:t>20</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"_Toc32372" </w:instrText>
      </w:r>
      <w:r>
        <w:fldChar w:fldCharType="separate"/>
      </w:r>
      <w:r>
        <w:rPr>
          <w:rFonts w:ascii="Arial" w:hAnsi="Arial" w:cs="Arial"/>
          <w:sz w:val="21"/>
        </w:rPr>
        <w:t>7.2合约成本统计</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_Toc32372 </w:instrText>
      </w:r>
      <w:r>
        <w:rPr>
          <w:rFonts w:ascii="Arial" w:hAnsi="Arial" w:cs="Arial"/>
          <w:sz w:val="21"/>
        </w:rPr>
        <w:fldChar w:fldCharType="separate"/>
      </w:r>
      <w:r>
        <w:rPr>
          <w:rFonts w:ascii="Arial" w:hAnsi="Arial" w:cs="Arial"/>
          <w:sz w:val="21"/>
        </w:rPr>
        <w:t>21</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"_Toc31519" </w:instrText>
      </w:r>
      <w:r>
        <w:fldChar w:fldCharType="separate"/>
      </w:r>
      <w:r>
        <w:rPr>
          <w:rFonts w:ascii="Arial" w:hAnsi="Arial" w:cs="Arial"/>
          <w:sz w:val="21"/>
          <w:szCs w:val="24"/>
        </w:rPr>
        <w:t>8项目销售情况</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_Toc31519 </w:instrText>
      </w:r>
      <w:r>
        <w:rPr>
          <w:rFonts w:ascii="Arial" w:hAnsi="Arial" w:cs="Arial"/>
          <w:sz w:val="21"/>
        </w:rPr>
        <w:fldChar w:fldCharType="separate"/>
      </w:r>
      <w:r>
        <w:rPr>
          <w:rFonts w:ascii="Arial" w:hAnsi="Arial" w:cs="Arial"/>
          <w:sz w:val="21"/>
        </w:rPr>
        <w:t>22</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"_Toc10106" </w:instrText>
      </w:r>
      <w:r>
        <w:fldChar w:fldCharType="separate"/>
      </w:r>
      <w:r>
        <w:rPr>
          <w:rFonts w:ascii="Arial" w:hAnsi="Arial" w:cs="Arial"/>
          <w:sz w:val="21"/>
        </w:rPr>
        <w:t>8.1</w:t>
      </w:r>
      <w:r>
        <w:rPr>
          <w:rFonts w:ascii="Arial" w:hAnsi="Arial" w:cs="Arial"/>
          <w:kern w:val="44"/>
          <w:sz w:val="21"/>
          <w:szCs w:val="24"/>
        </w:rPr>
        <w:t>当地销售政策（预售政策、限购限售、限价政策描述）</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_Toc10106 </w:instrText>
      </w:r>
      <w:r>
        <w:rPr>
          <w:rFonts w:ascii="Arial" w:hAnsi="Arial" w:cs="Arial"/>
          <w:sz w:val="21"/>
        </w:rPr>
        <w:fldChar w:fldCharType="separate"/>
      </w:r>
      <w:r>
        <w:rPr>
          <w:rFonts w:ascii="Arial" w:hAnsi="Arial" w:cs="Arial"/>
          <w:sz w:val="21"/>
        </w:rPr>
        <w:t>22</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"_Toc12423" </w:instrText>
      </w:r>
      <w:r>
        <w:fldChar w:fldCharType="separate"/>
      </w:r>
      <w:r>
        <w:rPr>
          <w:rFonts w:ascii="Arial" w:hAnsi="Arial" w:cs="Arial"/>
          <w:sz w:val="21"/>
        </w:rPr>
        <w:t>8.2项目销售及营销推广计划</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_Toc12423 </w:instrText>
      </w:r>
      <w:r>
        <w:rPr>
          <w:rFonts w:ascii="Arial" w:hAnsi="Arial" w:cs="Arial"/>
          <w:sz w:val="21"/>
        </w:rPr>
        <w:fldChar w:fldCharType="separate"/>
      </w:r>
      <w:r>
        <w:rPr>
          <w:rFonts w:ascii="Arial" w:hAnsi="Arial" w:cs="Arial"/>
          <w:sz w:val="21"/>
        </w:rPr>
        <w:t>23</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"_Toc19320" </w:instrText>
      </w:r>
      <w:r>
        <w:fldChar w:fldCharType="separate"/>
      </w:r>
      <w:r>
        <w:rPr>
          <w:rFonts w:ascii="Arial" w:hAnsi="Arial" w:cs="Arial"/>
          <w:sz w:val="21"/>
        </w:rPr>
        <w:t>8.3项目销售情况统计</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_Toc19320 </w:instrText>
      </w:r>
      <w:r>
        <w:rPr>
          <w:rFonts w:ascii="Arial" w:hAnsi="Arial" w:cs="Arial"/>
          <w:sz w:val="21"/>
        </w:rPr>
        <w:fldChar w:fldCharType="separate"/>
      </w:r>
      <w:r>
        <w:rPr>
          <w:rFonts w:ascii="Arial" w:hAnsi="Arial" w:cs="Arial"/>
          <w:sz w:val="21"/>
        </w:rPr>
        <w:t>23</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"_Toc30477" </w:instrText>
      </w:r>
      <w:r>
        <w:fldChar w:fldCharType="separate"/>
      </w:r>
      <w:r>
        <w:rPr>
          <w:rFonts w:ascii="Arial" w:hAnsi="Arial" w:cs="Arial"/>
          <w:sz w:val="21"/>
          <w:szCs w:val="24"/>
        </w:rPr>
        <w:t>9下期关注重点</w:t>
      </w:r>
      <w:r>
        <w:rPr>
          <w:rFonts w:ascii="Arial" w:hAnsi="Arial" w:cs="Arial"/>
          <w:sz w:val="21"/>
        </w:rPr>
        <w:tab/>
      </w:r>
      <w:r>
        <w:rPr>
          <w:rFonts w:ascii="Arial" w:hAnsi="Arial" w:cs="Arial"/>
          <w:sz w:val="21"/>
        </w:rPr>
        <w:fldChar w:fldCharType="begin"/>
      </w:r>
      <w:r>
        <w:rPr>
          <w:rFonts w:ascii="Arial" w:hAnsi="Arial" w:cs="Arial"/>
          <w:sz w:val="21"/>
        </w:rPr>
        <w:instrText xml:space="preserve"> PAGEREF _Toc30477 </w:instrText>
      </w:r>
      <w:r>
        <w:rPr>
          <w:rFonts w:ascii="Arial" w:hAnsi="Arial" w:cs="Arial"/>
          <w:sz w:val="21"/>
        </w:rPr>
        <w:fldChar w:fldCharType="separate"/>
      </w:r>
      <w:r>
        <w:rPr>
          <w:rFonts w:ascii="Arial" w:hAnsi="Arial" w:cs="Arial"/>
          <w:sz w:val="21"/>
        </w:rPr>
        <w:t>23</w:t>
      </w:r>
      <w:r>
        <w:rPr>
          <w:rFonts w:ascii="Arial" w:hAnsi="Arial" w:cs="Arial"/>
          <w:sz w:val="21"/>
        </w:rPr>
        <w:fldChar w:fldCharType="end"/>
      </w:r>
      <w:r>
        <w:rPr>
          <w:rFonts w:ascii="Arial" w:hAnsi="Arial" w:cs="Arial"/>
          <w:sz w:val="21"/>
        </w:rPr>
        <w:fldChar w:fldCharType="end"/>
      </w:r>
    </w:p>
    <w:p>
      <w:pPr>
        <w:pStyle w:val="13"/>
        <w:tabs>
          <w:tab w:val="right" w:leader="dot" w:pos="9298"/>
          <w:tab w:val="clear" w:pos="8302"/>
        </w:tabs>
        <w:spacing w:line="240" w:lineRule="auto"/>
        <w:rPr>
          <w:rFonts w:ascii="Arial" w:hAnsi="Arial" w:cs="Arial"/>
          <w:sz w:val="21"/>
        </w:rPr>
      </w:pPr>
      <w:r>
        <w:fldChar w:fldCharType="begin"/>
      </w:r>
      <w:r>
        <w:instrText xml:space="preserve"> HYPERLINK \l "_Toc25349" </w:instrText>
      </w:r>
      <w:r>
        <w:fldChar w:fldCharType="separate"/>
      </w:r>
      <w:r>
        <w:rPr>
          <w:rFonts w:ascii="Arial" w:hAnsi="Arial" w:cs="Arial"/>
          <w:sz w:val="21"/>
          <w:szCs w:val="24"/>
        </w:rPr>
        <w:t>附件</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_Toc25349 </w:instrText>
      </w:r>
      <w:r>
        <w:rPr>
          <w:rFonts w:ascii="Arial" w:hAnsi="Arial" w:cs="Arial"/>
          <w:sz w:val="21"/>
        </w:rPr>
        <w:fldChar w:fldCharType="separate"/>
      </w:r>
      <w:r>
        <w:rPr>
          <w:rFonts w:ascii="Arial" w:hAnsi="Arial" w:cs="Arial"/>
          <w:sz w:val="21"/>
        </w:rPr>
        <w:t>24</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"_Toc26405" </w:instrText>
      </w:r>
      <w:r>
        <w:fldChar w:fldCharType="separate"/>
      </w:r>
      <w:r>
        <w:rPr>
          <w:rFonts w:ascii="Arial" w:hAnsi="Arial" w:cs="Arial"/>
          <w:sz w:val="21"/>
        </w:rPr>
        <w:t>附件一 项目公司对账单</w:t>
      </w:r>
      <w:r>
        <w:rPr>
          <w:rFonts w:ascii="Arial" w:hAnsi="Arial" w:cs="Arial"/>
          <w:sz w:val="21"/>
        </w:rPr>
        <w:tab/>
      </w:r>
      <w:r>
        <w:rPr>
          <w:rFonts w:ascii="Arial" w:hAnsi="Arial" w:cs="Arial"/>
          <w:sz w:val="21"/>
        </w:rPr>
        <w:fldChar w:fldCharType="begin"/>
      </w:r>
      <w:r>
        <w:rPr>
          <w:rFonts w:ascii="Arial" w:hAnsi="Arial" w:cs="Arial"/>
          <w:sz w:val="21"/>
        </w:rPr>
        <w:instrText xml:space="preserve"> PAGEREF _Toc26405 </w:instrText>
      </w:r>
      <w:r>
        <w:rPr>
          <w:rFonts w:ascii="Arial" w:hAnsi="Arial" w:cs="Arial"/>
          <w:sz w:val="21"/>
        </w:rPr>
        <w:fldChar w:fldCharType="separate"/>
      </w:r>
      <w:r>
        <w:rPr>
          <w:rFonts w:ascii="Arial" w:hAnsi="Arial" w:cs="Arial"/>
          <w:sz w:val="21"/>
        </w:rPr>
        <w:t>24</w:t>
      </w:r>
      <w:r>
        <w:rPr>
          <w:rFonts w:ascii="Arial" w:hAnsi="Arial" w:cs="Arial"/>
          <w:sz w:val="21"/>
        </w:rPr>
        <w:fldChar w:fldCharType="end"/>
      </w:r>
      <w:r>
        <w:rPr>
          <w:rFonts w:ascii="Arial" w:hAnsi="Arial" w:cs="Arial"/>
          <w:sz w:val="21"/>
        </w:rPr>
        <w:fldChar w:fldCharType="end"/>
      </w:r>
    </w:p>
    <w:p>
      <w:pPr>
        <w:pStyle w:val="14"/>
        <w:tabs>
          <w:tab w:val="right" w:leader="dot" w:pos="9298"/>
          <w:tab w:val="clear" w:pos="8302"/>
        </w:tabs>
        <w:spacing w:line="240" w:lineRule="auto"/>
        <w:rPr>
          <w:rFonts w:ascii="Arial" w:hAnsi="Arial" w:cs="Arial"/>
          <w:sz w:val="21"/>
        </w:rPr>
      </w:pPr>
      <w:r>
        <w:fldChar w:fldCharType="begin"/>
      </w:r>
      <w:r>
        <w:instrText xml:space="preserve"> HYPERLINK \l "_Toc1560" </w:instrText>
      </w:r>
      <w:r>
        <w:fldChar w:fldCharType="separate"/>
      </w:r>
      <w:r>
        <w:rPr>
          <w:rFonts w:ascii="Arial" w:hAnsi="Arial" w:cs="Arial"/>
          <w:bCs/>
          <w:sz w:val="21"/>
          <w:szCs w:val="32"/>
        </w:rPr>
        <w:t>附件二 用印登记薄</w:t>
      </w:r>
      <w:r>
        <w:rPr>
          <w:rFonts w:ascii="Arial" w:hAnsi="Arial" w:cs="Arial"/>
          <w:sz w:val="21"/>
        </w:rPr>
        <w:tab/>
      </w:r>
      <w:r>
        <w:rPr>
          <w:rFonts w:ascii="Arial" w:hAnsi="Arial" w:cs="Arial"/>
          <w:sz w:val="21"/>
        </w:rPr>
        <w:fldChar w:fldCharType="begin"/>
      </w:r>
      <w:r>
        <w:rPr>
          <w:rFonts w:ascii="Arial" w:hAnsi="Arial" w:cs="Arial"/>
          <w:sz w:val="21"/>
        </w:rPr>
        <w:instrText xml:space="preserve"> PAGEREF _Toc1560 </w:instrText>
      </w:r>
      <w:r>
        <w:rPr>
          <w:rFonts w:ascii="Arial" w:hAnsi="Arial" w:cs="Arial"/>
          <w:sz w:val="21"/>
        </w:rPr>
        <w:fldChar w:fldCharType="separate"/>
      </w:r>
      <w:r>
        <w:rPr>
          <w:rFonts w:ascii="Arial" w:hAnsi="Arial" w:cs="Arial"/>
          <w:sz w:val="21"/>
        </w:rPr>
        <w:t>27</w:t>
      </w:r>
      <w:r>
        <w:rPr>
          <w:rFonts w:ascii="Arial" w:hAnsi="Arial" w:cs="Arial"/>
          <w:sz w:val="21"/>
        </w:rPr>
        <w:fldChar w:fldCharType="end"/>
      </w:r>
      <w:r>
        <w:rPr>
          <w:rFonts w:ascii="Arial" w:hAnsi="Arial" w:cs="Arial"/>
          <w:sz w:val="21"/>
        </w:rPr>
        <w:fldChar w:fldCharType="end"/>
      </w:r>
    </w:p>
    <w:p>
      <w:pPr>
        <w:pStyle w:val="13"/>
        <w:widowControl w:val="0"/>
        <w:spacing w:after="0" w:line="240" w:lineRule="auto"/>
        <w:ind w:firstLine="2730" w:firstLineChars="1300"/>
        <w:jc w:val="center"/>
        <w:rPr>
          <w:rFonts w:ascii="Arial" w:hAnsi="Arial" w:cs="Arial"/>
          <w:bCs/>
          <w:kern w:val="44"/>
          <w:sz w:val="21"/>
          <w:szCs w:val="21"/>
        </w:rPr>
      </w:pPr>
      <w:r>
        <w:rPr>
          <w:rFonts w:ascii="Arial" w:hAnsi="Arial" w:cs="Arial"/>
          <w:color w:val="000000"/>
          <w:sz w:val="21"/>
          <w:szCs w:val="21"/>
        </w:rPr>
        <w:fldChar w:fldCharType="end"/>
      </w:r>
      <w:bookmarkStart w:id="0" w:name="_Toc535508633"/>
      <w:bookmarkStart w:id="1" w:name="_Toc535580018"/>
      <w:bookmarkStart w:id="2" w:name="_Toc532281654"/>
      <w:bookmarkStart w:id="3" w:name="_Toc535570745"/>
      <w:bookmarkStart w:id="4" w:name="_Toc45217873"/>
      <w:bookmarkStart w:id="5" w:name="_Toc535580086"/>
      <w:bookmarkStart w:id="6" w:name="_Toc373309848"/>
    </w:p>
    <w:p>
      <w:pPr>
        <w:pStyle w:val="13"/>
        <w:spacing w:line="240" w:lineRule="auto"/>
        <w:jc w:val="both"/>
        <w:rPr>
          <w:rFonts w:ascii="Arial" w:hAnsi="Arial" w:cs="Arial"/>
          <w:bCs/>
          <w:kern w:val="44"/>
          <w:sz w:val="21"/>
          <w:szCs w:val="21"/>
        </w:rPr>
        <w:sectPr>
          <w:footerReference r:id="rId5" w:type="default"/>
          <w:pgSz w:w="11906" w:h="16838"/>
          <w:pgMar w:top="1843" w:right="1134" w:bottom="1134" w:left="1134" w:header="851" w:footer="992" w:gutter="340"/>
          <w:cols w:space="0" w:num="1"/>
          <w:docGrid w:linePitch="312" w:charSpace="0"/>
        </w:sectPr>
      </w:pPr>
    </w:p>
    <w:p>
      <w:pPr>
        <w:pStyle w:val="13"/>
        <w:jc w:val="both"/>
        <w:rPr>
          <w:rFonts w:ascii="Arial" w:hAnsi="Arial" w:cs="Arial"/>
          <w:bCs/>
          <w:kern w:val="44"/>
          <w:sz w:val="21"/>
          <w:szCs w:val="21"/>
        </w:rPr>
      </w:pPr>
      <w:r>
        <w:rPr>
          <w:rFonts w:ascii="Arial" w:hAnsi="Arial" w:cs="Arial"/>
          <w:bCs/>
          <w:kern w:val="44"/>
          <w:sz w:val="21"/>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·项目公司：海盐丰涛置业有限公司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25771"/>
      <w:bookmarkStart w:id="8" w:name="_Toc4224"/>
      <w:bookmarkStart w:id="9" w:name="_Toc15496"/>
      <w:bookmarkStart w:id="10" w:name="_Toc29335"/>
      <w:bookmarkStart w:id="11" w:name="_Toc23945"/>
      <w:bookmarkStart w:id="12" w:name="_Toc12540"/>
      <w:bookmarkStart w:id="13" w:name="_Toc2847"/>
      <w:bookmarkStart w:id="14" w:name="_Toc30922"/>
      <w:bookmarkStart w:id="15" w:name="_Toc10225"/>
      <w:bookmarkStart w:id="16" w:name="_Toc14889"/>
      <w:bookmarkStart w:id="17" w:name="_Toc239"/>
      <w:bookmarkStart w:id="18" w:name="_Toc30168"/>
      <w:bookmarkStart w:id="19" w:name="_Toc4250"/>
      <w:bookmarkStart w:id="20" w:name="_Toc32746"/>
      <w:bookmarkStart w:id="21" w:name="_Toc16082"/>
      <w:bookmarkStart w:id="22" w:name="_Toc21237"/>
      <w:bookmarkStart w:id="23" w:name="_Toc2029"/>
      <w:bookmarkStart w:id="24" w:name="_Toc29765"/>
      <w:bookmarkStart w:id="25" w:name="_Toc6331"/>
      <w:bookmarkStart w:id="26" w:name="_Toc14395"/>
      <w:bookmarkStart w:id="27" w:name="_Toc4304"/>
      <w:bookmarkStart w:id="28" w:name="_Toc688"/>
      <w:bookmarkStart w:id="29" w:name="_Toc25226"/>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3"/>
        <w:rPr>
          <w:rFonts w:eastAsia="宋体" w:cs="Arial"/>
          <w:color w:val="000000"/>
          <w:sz w:val="24"/>
          <w:szCs w:val="24"/>
        </w:rPr>
      </w:pPr>
      <w:bookmarkStart w:id="30" w:name="_Toc11021"/>
      <w:bookmarkStart w:id="31" w:name="_Toc4110"/>
      <w:bookmarkStart w:id="32" w:name="_Toc27553"/>
      <w:bookmarkStart w:id="33" w:name="_Toc15897"/>
      <w:bookmarkStart w:id="34" w:name="_Toc12981"/>
      <w:bookmarkStart w:id="35" w:name="_Toc8657"/>
      <w:bookmarkStart w:id="36" w:name="_Toc24275"/>
      <w:bookmarkStart w:id="37" w:name="_Toc24356"/>
      <w:bookmarkStart w:id="38" w:name="_Toc23886"/>
      <w:bookmarkStart w:id="39" w:name="_Toc14539"/>
      <w:bookmarkStart w:id="40" w:name="_Toc32113"/>
      <w:bookmarkStart w:id="41" w:name="_Toc13384"/>
      <w:bookmarkStart w:id="42" w:name="_Toc13203"/>
      <w:bookmarkStart w:id="43" w:name="_Toc7349"/>
      <w:r>
        <w:rPr>
          <w:rFonts w:eastAsia="宋体" w:cs="Arial"/>
          <w:color w:val="000000"/>
          <w:sz w:val="24"/>
          <w:szCs w:val="24"/>
        </w:rPr>
        <w:t>1.1</w:t>
      </w:r>
      <w:bookmarkEnd w:id="30"/>
      <w:bookmarkStart w:id="44" w:name="_Toc1132"/>
      <w:r>
        <w:rPr>
          <w:rFonts w:eastAsia="宋体" w:cs="Arial"/>
          <w:color w:val="000000"/>
          <w:sz w:val="24"/>
          <w:szCs w:val="24"/>
        </w:rPr>
        <w:t>项目公司基本情况</w:t>
      </w:r>
      <w:bookmarkEnd w:id="31"/>
      <w:bookmarkEnd w:id="32"/>
      <w:bookmarkEnd w:id="33"/>
      <w:bookmarkEnd w:id="34"/>
      <w:bookmarkEnd w:id="35"/>
      <w:bookmarkEnd w:id="36"/>
      <w:bookmarkEnd w:id="37"/>
      <w:bookmarkEnd w:id="38"/>
      <w:bookmarkEnd w:id="39"/>
      <w:bookmarkEnd w:id="40"/>
      <w:bookmarkEnd w:id="41"/>
      <w:bookmarkEnd w:id="42"/>
      <w:bookmarkEnd w:id="43"/>
      <w:bookmarkEnd w:id="44"/>
    </w:p>
    <w:p>
      <w:pPr>
        <w:spacing w:line="480" w:lineRule="auto"/>
        <w:ind w:firstLine="420" w:firstLineChars="200"/>
        <w:rPr>
          <w:rFonts w:ascii="Arial" w:hAnsi="Arial" w:cs="Arial"/>
          <w:szCs w:val="21"/>
        </w:rPr>
      </w:pPr>
      <w:bookmarkStart w:id="45" w:name="_Toc535570748"/>
      <w:bookmarkStart w:id="46" w:name="_Toc532281655"/>
      <w:bookmarkStart w:id="47" w:name="_Toc535580021"/>
      <w:bookmarkStart w:id="48" w:name="_Toc45217874"/>
      <w:bookmarkStart w:id="49" w:name="_Toc535508634"/>
      <w:bookmarkStart w:id="50" w:name="_Toc535580089"/>
      <w:r>
        <w:rPr>
          <w:rFonts w:ascii="Arial" w:hAnsi="Arial" w:cs="Arial"/>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2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10" name="图片 10"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35ec3c8321b810a68b63ada546970"/>
                    <pic:cNvPicPr>
                      <a:picLocks noChangeAspect="1"/>
                    </pic:cNvPicPr>
                  </pic:nvPicPr>
                  <pic:blipFill>
                    <a:blip r:embed="rId9"/>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3"/>
        <w:rPr>
          <w:rFonts w:eastAsia="宋体" w:cs="Arial"/>
        </w:rPr>
      </w:pPr>
      <w:bookmarkStart w:id="51" w:name="_Toc25070"/>
      <w:bookmarkStart w:id="52" w:name="_Toc6102"/>
      <w:bookmarkStart w:id="53" w:name="_Toc4573"/>
      <w:bookmarkStart w:id="54" w:name="_Toc3568"/>
      <w:bookmarkStart w:id="55" w:name="_Toc15915"/>
      <w:bookmarkStart w:id="56" w:name="_Toc4782"/>
      <w:bookmarkStart w:id="57" w:name="_Toc3212"/>
      <w:bookmarkStart w:id="58" w:name="_Toc11851"/>
      <w:bookmarkStart w:id="59" w:name="_Toc14160"/>
      <w:bookmarkStart w:id="60" w:name="_Toc16918"/>
      <w:bookmarkStart w:id="61" w:name="_Toc3400"/>
      <w:bookmarkStart w:id="62" w:name="_Toc7466"/>
      <w:bookmarkStart w:id="63" w:name="_Toc3152"/>
      <w:bookmarkStart w:id="64" w:name="_Toc15419"/>
      <w:r>
        <w:rPr>
          <w:rFonts w:eastAsia="宋体" w:cs="Arial"/>
          <w:color w:val="000000"/>
          <w:sz w:val="24"/>
          <w:szCs w:val="24"/>
        </w:rPr>
        <w:t>1.2项目概况</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spacing w:line="360" w:lineRule="auto"/>
        <w:ind w:firstLine="420" w:firstLineChars="200"/>
        <w:jc w:val="left"/>
        <w:rPr>
          <w:rFonts w:ascii="Arial" w:hAnsi="Arial" w:cs="Arial"/>
          <w:szCs w:val="21"/>
        </w:rPr>
      </w:pPr>
      <w:r>
        <w:rPr>
          <w:rFonts w:ascii="Arial" w:hAnsi="Arial" w:cs="Arial"/>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50617.71万元，楼面价6,500.00元/㎡。用途为居住用地兼容部分商业，容积率上限为1.8，绿地率30%，其中商业商务建筑面积852.21㎡。该地块周边分布临近嘉凯城、绮园商业街、大润发超市等配套设施。</w:t>
      </w:r>
    </w:p>
    <w:p>
      <w:pPr>
        <w:spacing w:line="360" w:lineRule="auto"/>
        <w:ind w:firstLine="420" w:firstLineChars="200"/>
        <w:jc w:val="left"/>
        <w:rPr>
          <w:rFonts w:ascii="Arial" w:hAnsi="Arial" w:cs="Arial"/>
          <w:szCs w:val="21"/>
        </w:rPr>
      </w:pPr>
      <w:r>
        <w:rPr>
          <w:rFonts w:ascii="Arial" w:hAnsi="Arial" w:cs="Arial"/>
        </w:rPr>
        <w:drawing>
          <wp:anchor distT="0" distB="0" distL="114300" distR="114300" simplePos="0" relativeHeight="252010496" behindDoc="0" locked="0" layoutInCell="1" allowOverlap="1">
            <wp:simplePos x="0" y="0"/>
            <wp:positionH relativeFrom="column">
              <wp:posOffset>-1238250</wp:posOffset>
            </wp:positionH>
            <wp:positionV relativeFrom="paragraph">
              <wp:posOffset>1673860</wp:posOffset>
            </wp:positionV>
            <wp:extent cx="8213090" cy="5043170"/>
            <wp:effectExtent l="0" t="0" r="5080" b="1651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rot="5400000">
                      <a:off x="0" y="0"/>
                      <a:ext cx="8213090" cy="5043170"/>
                    </a:xfrm>
                    <a:prstGeom prst="rect">
                      <a:avLst/>
                    </a:prstGeom>
                    <a:noFill/>
                    <a:ln>
                      <a:noFill/>
                    </a:ln>
                  </pic:spPr>
                </pic:pic>
              </a:graphicData>
            </a:graphic>
          </wp:anchor>
        </w:drawing>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3060" w:firstLineChars="1700"/>
        <w:rPr>
          <w:rFonts w:ascii="Arial" w:hAnsi="Arial" w:cs="Arial"/>
          <w:sz w:val="18"/>
          <w:szCs w:val="18"/>
        </w:rPr>
      </w:pPr>
      <w:r>
        <w:rPr>
          <w:rFonts w:ascii="Arial" w:hAnsi="Arial" w:cs="Arial"/>
          <w:sz w:val="18"/>
          <w:szCs w:val="18"/>
        </w:rPr>
        <w:t>图2 项目总规划图</w: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r>
        <w:rPr>
          <w:rFonts w:ascii="Arial" w:hAnsi="Arial" w:cs="Arial"/>
        </w:rPr>
        <mc:AlternateContent>
          <mc:Choice Requires="wps">
            <w:drawing>
              <wp:anchor distT="0" distB="0" distL="114300" distR="114300" simplePos="0" relativeHeight="252194816" behindDoc="0" locked="0" layoutInCell="1" allowOverlap="1">
                <wp:simplePos x="0" y="0"/>
                <wp:positionH relativeFrom="column">
                  <wp:posOffset>1687195</wp:posOffset>
                </wp:positionH>
                <wp:positionV relativeFrom="paragraph">
                  <wp:posOffset>62865</wp:posOffset>
                </wp:positionV>
                <wp:extent cx="856615" cy="266700"/>
                <wp:effectExtent l="0" t="0" r="635" b="0"/>
                <wp:wrapNone/>
                <wp:docPr id="8" name="文本框 8"/>
                <wp:cNvGraphicFramePr/>
                <a:graphic xmlns:a="http://schemas.openxmlformats.org/drawingml/2006/main">
                  <a:graphicData uri="http://schemas.microsoft.com/office/word/2010/wordprocessingShape">
                    <wps:wsp>
                      <wps:cNvSpPr txBox="1"/>
                      <wps:spPr>
                        <a:xfrm>
                          <a:off x="2623185" y="4817745"/>
                          <a:ext cx="85661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项目地块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5pt;margin-top:4.95pt;height:21pt;width:67.45pt;z-index:252194816;mso-width-relative:page;mso-height-relative:page;" fillcolor="#FFFFFF [3201]" filled="t" stroked="f" coordsize="21600,21600" o:gfxdata="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GHWC&#10;1AAAAAgBAAAPAAAAAAAAAAEAIAAAACIAAABkcnMvZG93bnJldi54bWxQSwECFAAUAAAACACHTuJA&#10;Jdlk4V4CAACaBAAADgAAAAAAAAABACAAAAAjAQAAZHJzL2Uyb0RvYy54bWxQSwUGAAAAAAYABgBZ&#10;AQAA8wUAAAAA&#10;">
                <v:fill on="t" focussize="0,0"/>
                <v:stroke on="f" weight="0.5pt"/>
                <v:imagedata o:title=""/>
                <o:lock v:ext="edit" aspectratio="f"/>
                <v:textbox>
                  <w:txbxContent>
                    <w:p>
                      <w:r>
                        <w:rPr>
                          <w:rFonts w:hint="eastAsia"/>
                        </w:rPr>
                        <w:t>项目地块</w:t>
                      </w:r>
                    </w:p>
                  </w:txbxContent>
                </v:textbox>
              </v:shape>
            </w:pict>
          </mc:Fallback>
        </mc:AlternateConten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420" w:firstLineChars="200"/>
        <w:rPr>
          <w:rFonts w:ascii="Arial" w:hAnsi="Arial" w:cs="Arial"/>
          <w:color w:val="FF0000"/>
          <w:szCs w:val="21"/>
        </w:rPr>
      </w:pPr>
      <w:r>
        <w:rPr>
          <w:rFonts w:ascii="Arial" w:hAnsi="Arial" w:cs="Arial"/>
          <w:szCs w:val="21"/>
        </w:rPr>
        <w:t>根据项目公司提供，项目详细经济指标见下表：</w:t>
      </w:r>
    </w:p>
    <w:tbl>
      <w:tblPr>
        <w:tblStyle w:val="19"/>
        <w:tblW w:w="0" w:type="auto"/>
        <w:tblInd w:w="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92"/>
        <w:gridCol w:w="2039"/>
        <w:gridCol w:w="3106"/>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项目</w:t>
            </w:r>
          </w:p>
        </w:tc>
        <w:tc>
          <w:tcPr>
            <w:tcW w:w="310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都汇华庭</w:t>
            </w:r>
          </w:p>
        </w:tc>
        <w:tc>
          <w:tcPr>
            <w:tcW w:w="176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总用地面积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43,263.00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112,260.40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地上计容建筑面积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77,530.40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可售建筑面积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74,019.27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792"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高层建筑（精装）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73,167.06</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SOHO（精装）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商业（毛坯）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852.21</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rPr>
            </w:pPr>
            <w:r>
              <w:rPr>
                <w:rFonts w:ascii="Arial" w:hAnsi="Arial" w:cs="Arial"/>
                <w:b/>
                <w:bCs/>
                <w:kern w:val="24"/>
                <w:sz w:val="18"/>
                <w:szCs w:val="18"/>
              </w:rPr>
              <w:t>持有建筑面积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计容配套用房面积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3,511.13</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地上不计容建筑面积（赠送）</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地下商业面积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地下非人防车库面积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总户数</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642.00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容积率</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1.8</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机动车停车位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97" w:type="dxa"/>
            <w:vMerge w:val="restart"/>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bl>
    <w:p>
      <w:pPr>
        <w:pStyle w:val="2"/>
        <w:keepNext w:val="0"/>
        <w:keepLines w:val="0"/>
        <w:spacing w:before="300" w:after="300" w:line="360" w:lineRule="exact"/>
        <w:jc w:val="left"/>
        <w:rPr>
          <w:rFonts w:ascii="Arial" w:hAnsi="Arial" w:cs="Arial"/>
          <w:szCs w:val="21"/>
        </w:rPr>
      </w:pPr>
      <w:bookmarkStart w:id="65" w:name="_Toc7203"/>
      <w:bookmarkStart w:id="66" w:name="_Toc7811"/>
      <w:bookmarkStart w:id="67" w:name="_Toc29264"/>
      <w:bookmarkStart w:id="68" w:name="_Toc24078"/>
      <w:bookmarkStart w:id="69" w:name="_Toc29239"/>
      <w:bookmarkStart w:id="70" w:name="_Toc18822"/>
      <w:bookmarkStart w:id="71" w:name="_Toc1532"/>
      <w:bookmarkStart w:id="72" w:name="_Toc4585"/>
      <w:bookmarkStart w:id="73" w:name="_Toc6245"/>
      <w:bookmarkStart w:id="74" w:name="_Toc11151"/>
      <w:bookmarkStart w:id="75" w:name="_Toc979"/>
      <w:bookmarkStart w:id="76" w:name="_Toc3398"/>
      <w:bookmarkStart w:id="77" w:name="_Toc7734"/>
      <w:bookmarkStart w:id="78" w:name="_Toc4962"/>
      <w:bookmarkStart w:id="79" w:name="_Toc11933"/>
      <w:bookmarkStart w:id="80" w:name="_Toc4721"/>
      <w:bookmarkStart w:id="81" w:name="_Toc2018"/>
      <w:bookmarkStart w:id="82" w:name="_Toc6921"/>
      <w:bookmarkStart w:id="83" w:name="_Toc23582"/>
      <w:bookmarkStart w:id="84" w:name="_Toc32706"/>
      <w:bookmarkStart w:id="85" w:name="_Toc5072"/>
      <w:bookmarkStart w:id="86" w:name="_Toc9789"/>
      <w:bookmarkStart w:id="87" w:name="_Toc20465"/>
      <w:r>
        <w:rPr>
          <w:rFonts w:ascii="Arial" w:hAnsi="Arial" w:cs="Arial"/>
          <w:sz w:val="24"/>
          <w:szCs w:val="24"/>
        </w:rPr>
        <w:t>2重大事件披露</w:t>
      </w:r>
      <w:bookmarkEnd w:id="6"/>
      <w:bookmarkEnd w:id="45"/>
      <w:bookmarkEnd w:id="46"/>
      <w:bookmarkEnd w:id="47"/>
      <w:bookmarkEnd w:id="48"/>
      <w:bookmarkEnd w:id="49"/>
      <w:bookmarkEnd w:id="5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Start w:id="88" w:name="_Toc11536"/>
      <w:bookmarkStart w:id="89" w:name="_Toc532281656"/>
      <w:bookmarkStart w:id="90" w:name="_Toc45217875"/>
      <w:bookmarkStart w:id="91" w:name="_Toc535580022"/>
      <w:bookmarkStart w:id="92" w:name="_Toc535508635"/>
      <w:bookmarkStart w:id="93" w:name="_Toc535580090"/>
      <w:bookmarkStart w:id="94" w:name="_Toc535570749"/>
    </w:p>
    <w:p>
      <w:pPr>
        <w:numPr>
          <w:ilvl w:val="0"/>
          <w:numId w:val="1"/>
        </w:numPr>
        <w:spacing w:line="480" w:lineRule="auto"/>
        <w:ind w:left="426" w:firstLine="0"/>
        <w:rPr>
          <w:rFonts w:ascii="Arial" w:hAnsi="Arial" w:cs="Arial"/>
          <w:szCs w:val="21"/>
        </w:rPr>
      </w:pPr>
      <w:r>
        <w:rPr>
          <w:rFonts w:ascii="Arial" w:hAnsi="Arial" w:cs="Arial"/>
          <w:szCs w:val="21"/>
        </w:rPr>
        <w:t>根据与</w:t>
      </w:r>
      <w:r>
        <w:rPr>
          <w:rFonts w:ascii="Arial" w:hAnsi="Arial" w:cs="Arial"/>
          <w:szCs w:val="21"/>
          <w:lang w:bidi="ar"/>
        </w:rPr>
        <w:t>上海颖骏投资管理有限公司的借款协议，项目公司于</w:t>
      </w:r>
      <w:r>
        <w:rPr>
          <w:rFonts w:ascii="Arial" w:hAnsi="Arial" w:cs="Arial"/>
          <w:szCs w:val="21"/>
        </w:rPr>
        <w:t>2020年10月12日向</w:t>
      </w:r>
      <w:r>
        <w:rPr>
          <w:rFonts w:ascii="Arial" w:hAnsi="Arial" w:cs="Arial"/>
          <w:szCs w:val="21"/>
          <w:lang w:bidi="ar"/>
        </w:rPr>
        <w:t>上海颖骏投资管理有限公司偿还借款99,000,000.00元；2020年10月16日向上海颖骏投资管理有限公司偿还借款31,580,000.00元；2020年10月23日向上海颖骏投资管理有限公司偿还借款4,950,000.00元；</w:t>
      </w:r>
      <w:bookmarkEnd w:id="88"/>
      <w:r>
        <w:rPr>
          <w:rFonts w:ascii="Arial" w:hAnsi="Arial" w:cs="Arial"/>
          <w:szCs w:val="21"/>
          <w:lang w:bidi="ar"/>
        </w:rPr>
        <w:t>2020年10月30日向上海颖骏投资管理有限公司偿还借款款9,100,000.00元。（详见项目公司往来款明细表）</w:t>
      </w:r>
    </w:p>
    <w:p>
      <w:pPr>
        <w:numPr>
          <w:ilvl w:val="0"/>
          <w:numId w:val="1"/>
        </w:numPr>
        <w:spacing w:line="480" w:lineRule="auto"/>
        <w:ind w:left="426" w:firstLine="0"/>
        <w:rPr>
          <w:rFonts w:ascii="Arial" w:hAnsi="Arial" w:cs="Arial"/>
          <w:szCs w:val="21"/>
        </w:rPr>
      </w:pPr>
      <w:r>
        <w:rPr>
          <w:rFonts w:ascii="Arial" w:hAnsi="Arial" w:cs="Arial"/>
          <w:szCs w:val="21"/>
        </w:rPr>
        <w:t>项目公司于2020年10月10日收到中航信托资本公积99,000,000.00 元；2020年10月16日收到中航信托资本公积31,580,000.00元；2020年10月23日收到中航信托资本公积4,950,000.00 元；2020年10月30日收到中航信托注册资本9,100,000.00 元。（详见项目公司资金流入情况表）</w:t>
      </w:r>
    </w:p>
    <w:p>
      <w:pPr>
        <w:pStyle w:val="2"/>
        <w:keepNext w:val="0"/>
        <w:keepLines w:val="0"/>
        <w:spacing w:before="300" w:after="300" w:line="360" w:lineRule="exact"/>
        <w:jc w:val="left"/>
        <w:rPr>
          <w:rFonts w:ascii="Arial" w:hAnsi="Arial" w:cs="Arial"/>
          <w:color w:val="000000"/>
          <w:sz w:val="24"/>
          <w:szCs w:val="24"/>
        </w:rPr>
      </w:pPr>
      <w:bookmarkStart w:id="95" w:name="_Toc7713"/>
      <w:bookmarkStart w:id="96" w:name="_Toc13618"/>
      <w:bookmarkStart w:id="97" w:name="_Toc2544"/>
      <w:bookmarkStart w:id="98" w:name="_Toc9691"/>
      <w:bookmarkStart w:id="99" w:name="_Toc27120"/>
      <w:bookmarkStart w:id="100" w:name="_Toc22188"/>
      <w:bookmarkStart w:id="101" w:name="_Toc17407"/>
      <w:bookmarkStart w:id="102" w:name="_Toc31624"/>
      <w:bookmarkStart w:id="103" w:name="_Toc25504"/>
      <w:bookmarkStart w:id="104" w:name="_Toc20290"/>
      <w:bookmarkStart w:id="105" w:name="_Toc23455"/>
      <w:bookmarkStart w:id="106" w:name="_Toc10835"/>
      <w:bookmarkStart w:id="107" w:name="_Toc15531"/>
      <w:bookmarkStart w:id="108" w:name="_Toc12977"/>
      <w:bookmarkStart w:id="109" w:name="_Toc27344"/>
      <w:bookmarkStart w:id="110" w:name="_Toc6615"/>
      <w:bookmarkStart w:id="111" w:name="_Toc12527"/>
      <w:bookmarkStart w:id="112" w:name="_Toc29796"/>
      <w:bookmarkStart w:id="113" w:name="_Toc2846"/>
      <w:bookmarkStart w:id="114" w:name="_Toc5634"/>
      <w:bookmarkStart w:id="115" w:name="_Toc10540"/>
      <w:bookmarkStart w:id="116" w:name="_Toc27206"/>
      <w:bookmarkStart w:id="117" w:name="_Toc22916"/>
      <w:r>
        <w:rPr>
          <w:rFonts w:ascii="Arial" w:hAnsi="Arial" w:cs="Arial"/>
          <w:color w:val="000000"/>
          <w:sz w:val="24"/>
          <w:szCs w:val="24"/>
        </w:rPr>
        <w:t>3项目五证办理及施工进度情况</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3"/>
        <w:rPr>
          <w:rFonts w:eastAsia="宋体" w:cs="Arial"/>
          <w:sz w:val="24"/>
        </w:rPr>
      </w:pPr>
      <w:bookmarkStart w:id="118" w:name="_Toc535570750"/>
      <w:bookmarkStart w:id="119" w:name="_Toc23092"/>
      <w:bookmarkStart w:id="120" w:name="_Toc535580091"/>
      <w:bookmarkStart w:id="121" w:name="_Toc535508636"/>
      <w:bookmarkStart w:id="122" w:name="_Toc15959"/>
      <w:bookmarkStart w:id="123" w:name="_Toc10147"/>
      <w:bookmarkStart w:id="124" w:name="_Toc19011"/>
      <w:bookmarkStart w:id="125" w:name="_Toc26816"/>
      <w:bookmarkStart w:id="126" w:name="_Toc30238"/>
      <w:bookmarkStart w:id="127" w:name="_Toc535580023"/>
      <w:bookmarkStart w:id="128" w:name="_Toc10109"/>
      <w:bookmarkStart w:id="129" w:name="_Toc2173"/>
      <w:bookmarkStart w:id="130" w:name="_Toc17332"/>
      <w:bookmarkStart w:id="131" w:name="_Toc16110"/>
      <w:bookmarkStart w:id="132" w:name="_Toc45217876"/>
      <w:bookmarkStart w:id="133" w:name="_Toc8286"/>
      <w:bookmarkStart w:id="134" w:name="_Toc5455"/>
      <w:bookmarkStart w:id="135" w:name="_Toc21233"/>
      <w:bookmarkStart w:id="136" w:name="_Toc8591"/>
      <w:bookmarkStart w:id="137" w:name="_Toc2085"/>
      <w:bookmarkStart w:id="138" w:name="_Toc7484"/>
      <w:bookmarkStart w:id="139" w:name="_Toc25865"/>
      <w:bookmarkStart w:id="140" w:name="_Toc22692"/>
      <w:bookmarkStart w:id="141" w:name="_Toc14609"/>
      <w:bookmarkStart w:id="142" w:name="_Toc32146"/>
      <w:bookmarkStart w:id="143" w:name="_Toc532281657"/>
      <w:bookmarkStart w:id="144" w:name="_Toc4361"/>
      <w:bookmarkStart w:id="145" w:name="_Toc31196"/>
      <w:bookmarkStart w:id="146" w:name="_Toc5601"/>
      <w:r>
        <w:rPr>
          <w:rFonts w:eastAsia="宋体" w:cs="Arial"/>
          <w:sz w:val="24"/>
        </w:rPr>
        <w:t>3.1项目五证办理情况说明</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spacing w:line="480" w:lineRule="auto"/>
        <w:ind w:firstLine="420" w:firstLineChars="200"/>
        <w:rPr>
          <w:rFonts w:ascii="Arial" w:hAnsi="Arial" w:cs="Arial"/>
          <w:szCs w:val="21"/>
        </w:rPr>
      </w:pPr>
      <w:r>
        <w:rPr>
          <w:rFonts w:ascii="Arial" w:hAnsi="Arial" w:cs="Arial"/>
          <w:szCs w:val="21"/>
        </w:rPr>
        <w:t>截止到2020年</w:t>
      </w:r>
      <w:r>
        <w:rPr>
          <w:rFonts w:hint="eastAsia" w:ascii="Arial" w:hAnsi="Arial" w:cs="Arial"/>
          <w:szCs w:val="21"/>
          <w:lang w:val="en-US" w:eastAsia="zh-CN"/>
        </w:rPr>
        <w:t>10</w:t>
      </w:r>
      <w:r>
        <w:rPr>
          <w:rFonts w:ascii="Arial" w:hAnsi="Arial" w:cs="Arial"/>
          <w:szCs w:val="21"/>
        </w:rPr>
        <w:t>月</w:t>
      </w:r>
      <w:r>
        <w:rPr>
          <w:rFonts w:hint="eastAsia" w:ascii="Arial" w:hAnsi="Arial" w:cs="Arial"/>
          <w:szCs w:val="21"/>
          <w:lang w:val="en-US" w:eastAsia="zh-CN"/>
        </w:rPr>
        <w:t>9</w:t>
      </w:r>
      <w:r>
        <w:rPr>
          <w:rFonts w:ascii="Arial" w:hAnsi="Arial" w:cs="Arial"/>
          <w:szCs w:val="21"/>
        </w:rPr>
        <w:t>日项目已经取得了国有土地使用证、2020年</w:t>
      </w:r>
      <w:r>
        <w:rPr>
          <w:rFonts w:hint="eastAsia" w:ascii="Arial" w:hAnsi="Arial" w:cs="Arial"/>
          <w:szCs w:val="21"/>
          <w:lang w:val="en-US" w:eastAsia="zh-CN"/>
        </w:rPr>
        <w:t>9</w:t>
      </w:r>
      <w:r>
        <w:rPr>
          <w:rFonts w:ascii="Arial" w:hAnsi="Arial" w:cs="Arial"/>
          <w:szCs w:val="21"/>
        </w:rPr>
        <w:t>月</w:t>
      </w:r>
      <w:r>
        <w:rPr>
          <w:rFonts w:hint="eastAsia" w:ascii="Arial" w:hAnsi="Arial" w:cs="Arial"/>
          <w:szCs w:val="21"/>
          <w:lang w:val="en-US" w:eastAsia="zh-CN"/>
        </w:rPr>
        <w:t>30</w:t>
      </w:r>
      <w:r>
        <w:rPr>
          <w:rFonts w:ascii="Arial" w:hAnsi="Arial" w:cs="Arial"/>
          <w:szCs w:val="21"/>
        </w:rPr>
        <w:t>日取得建设用地规划许可证，具体证照办理进度情况如下表：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491" w:type="dxa"/>
        <w:tblInd w:w="-431" w:type="dxa"/>
        <w:tblLayout w:type="fixed"/>
        <w:tblCellMar>
          <w:top w:w="0" w:type="dxa"/>
          <w:left w:w="0" w:type="dxa"/>
          <w:bottom w:w="0" w:type="dxa"/>
          <w:right w:w="0" w:type="dxa"/>
        </w:tblCellMar>
      </w:tblPr>
      <w:tblGrid>
        <w:gridCol w:w="439"/>
        <w:gridCol w:w="1121"/>
        <w:gridCol w:w="3591"/>
        <w:gridCol w:w="1325"/>
        <w:gridCol w:w="1150"/>
        <w:gridCol w:w="1865"/>
      </w:tblGrid>
      <w:tr>
        <w:tblPrEx>
          <w:tblCellMar>
            <w:top w:w="0" w:type="dxa"/>
            <w:left w:w="0" w:type="dxa"/>
            <w:bottom w:w="0" w:type="dxa"/>
            <w:right w:w="0" w:type="dxa"/>
          </w:tblCellMar>
        </w:tblPrEx>
        <w:trPr>
          <w:cantSplit/>
          <w:trHeight w:val="562" w:hRule="atLeast"/>
          <w:tblHeader/>
        </w:trPr>
        <w:tc>
          <w:tcPr>
            <w:tcW w:w="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5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86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318"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bookmarkStart w:id="593" w:name="_GoBack"/>
            <w:bookmarkEnd w:id="593"/>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10</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9</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已纳入共管</w:t>
            </w:r>
          </w:p>
        </w:tc>
      </w:tr>
      <w:tr>
        <w:tblPrEx>
          <w:tblCellMar>
            <w:top w:w="0" w:type="dxa"/>
            <w:left w:w="0" w:type="dxa"/>
            <w:bottom w:w="0" w:type="dxa"/>
            <w:right w:w="0" w:type="dxa"/>
          </w:tblCellMar>
        </w:tblPrEx>
        <w:trPr>
          <w:cantSplit/>
          <w:trHeight w:val="480"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30</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853"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w:hAnsi="Arial" w:cs="Arial"/>
                <w:sz w:val="18"/>
                <w:szCs w:val="18"/>
              </w:rPr>
            </w:pPr>
            <w:r>
              <w:rPr>
                <w:rFonts w:ascii="Arial" w:hAnsi="Arial" w:cs="Arial"/>
                <w:sz w:val="18"/>
                <w:szCs w:val="18"/>
              </w:rPr>
              <w:t>已经立项、有批准、核准、备案等文件</w:t>
            </w:r>
          </w:p>
          <w:p>
            <w:pPr>
              <w:widowControl/>
              <w:numPr>
                <w:ilvl w:val="0"/>
                <w:numId w:val="2"/>
              </w:numPr>
              <w:jc w:val="center"/>
              <w:textAlignment w:val="center"/>
              <w:rPr>
                <w:rFonts w:ascii="Arial" w:hAnsi="Arial" w:cs="Arial"/>
                <w:sz w:val="18"/>
                <w:szCs w:val="18"/>
              </w:rPr>
            </w:pPr>
            <w:r>
              <w:rPr>
                <w:rFonts w:ascii="Arial" w:hAnsi="Arial" w:cs="Arial"/>
                <w:sz w:val="18"/>
                <w:szCs w:val="18"/>
              </w:rPr>
              <w:t>取得土地证</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项目公司预计11月中旬取得，目前按计划推进。</w:t>
            </w:r>
          </w:p>
        </w:tc>
      </w:tr>
      <w:tr>
        <w:tblPrEx>
          <w:tblCellMar>
            <w:top w:w="0" w:type="dxa"/>
            <w:left w:w="0" w:type="dxa"/>
            <w:bottom w:w="0" w:type="dxa"/>
            <w:right w:w="0" w:type="dxa"/>
          </w:tblCellMar>
        </w:tblPrEx>
        <w:trPr>
          <w:cantSplit/>
          <w:trHeight w:val="270"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 xml:space="preserve">1、已经办理该建筑工程用地批准手续。 </w:t>
            </w:r>
          </w:p>
          <w:p>
            <w:pPr>
              <w:widowControl/>
              <w:jc w:val="center"/>
              <w:textAlignment w:val="center"/>
              <w:rPr>
                <w:rFonts w:ascii="Arial" w:hAnsi="Arial" w:cs="Arial"/>
                <w:sz w:val="18"/>
                <w:szCs w:val="18"/>
              </w:rPr>
            </w:pPr>
            <w:r>
              <w:rPr>
                <w:rFonts w:ascii="Arial" w:hAnsi="Arial" w:cs="Arial"/>
                <w:sz w:val="18"/>
                <w:szCs w:val="18"/>
              </w:rPr>
              <w:t>2、已经取得建设工程规划许可证。</w:t>
            </w:r>
          </w:p>
          <w:p>
            <w:pPr>
              <w:widowControl/>
              <w:jc w:val="center"/>
              <w:textAlignment w:val="center"/>
              <w:rPr>
                <w:rFonts w:ascii="Arial" w:hAnsi="Arial" w:cs="Arial"/>
                <w:sz w:val="18"/>
                <w:szCs w:val="18"/>
              </w:rPr>
            </w:pPr>
            <w:r>
              <w:rPr>
                <w:rFonts w:ascii="Arial" w:hAnsi="Arial" w:cs="Arial"/>
                <w:sz w:val="18"/>
                <w:szCs w:val="18"/>
              </w:rPr>
              <w:t>3、施工场地已经基本具备施工条件，需要拆迁的，其拆迁进度符合施工要求。</w:t>
            </w:r>
          </w:p>
          <w:p>
            <w:pPr>
              <w:widowControl/>
              <w:jc w:val="center"/>
              <w:textAlignment w:val="center"/>
              <w:rPr>
                <w:rFonts w:ascii="Arial" w:hAnsi="Arial" w:cs="Arial"/>
                <w:sz w:val="18"/>
                <w:szCs w:val="18"/>
              </w:rPr>
            </w:pPr>
            <w:r>
              <w:rPr>
                <w:rFonts w:ascii="Arial" w:hAnsi="Arial" w:cs="Arial"/>
                <w:sz w:val="18"/>
                <w:szCs w:val="18"/>
              </w:rPr>
              <w:t>4、已经确定施工企业。</w:t>
            </w:r>
          </w:p>
          <w:p>
            <w:pPr>
              <w:widowControl/>
              <w:jc w:val="center"/>
              <w:textAlignment w:val="center"/>
              <w:rPr>
                <w:rFonts w:ascii="Arial" w:hAnsi="Arial" w:cs="Arial"/>
                <w:sz w:val="18"/>
                <w:szCs w:val="18"/>
              </w:rPr>
            </w:pPr>
            <w:r>
              <w:rPr>
                <w:rFonts w:ascii="Arial" w:hAnsi="Arial" w:cs="Arial"/>
                <w:sz w:val="18"/>
                <w:szCs w:val="18"/>
              </w:rPr>
              <w:t xml:space="preserve">5、已满足施工需要的施工图纸及技术资料，施工图设计文件已按规定进行了审查。 </w:t>
            </w:r>
          </w:p>
          <w:p>
            <w:pPr>
              <w:widowControl/>
              <w:jc w:val="center"/>
              <w:textAlignment w:val="center"/>
              <w:rPr>
                <w:rFonts w:ascii="Arial" w:hAnsi="Arial" w:cs="Arial"/>
                <w:sz w:val="18"/>
                <w:szCs w:val="18"/>
              </w:rPr>
            </w:pPr>
            <w:r>
              <w:rPr>
                <w:rFonts w:ascii="Arial" w:hAnsi="Arial" w:cs="Arial"/>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sz w:val="18"/>
                <w:szCs w:val="18"/>
              </w:rPr>
            </w:pPr>
            <w:r>
              <w:rPr>
                <w:rFonts w:ascii="Arial" w:hAnsi="Arial" w:cs="Arial"/>
                <w:sz w:val="18"/>
                <w:szCs w:val="18"/>
              </w:rPr>
              <w:t>7、按照规定应该委托监理的工程已委托监理。</w:t>
            </w:r>
          </w:p>
          <w:p>
            <w:pPr>
              <w:widowControl/>
              <w:jc w:val="center"/>
              <w:textAlignment w:val="center"/>
              <w:rPr>
                <w:rFonts w:ascii="Arial" w:hAnsi="Arial" w:cs="Arial"/>
                <w:sz w:val="18"/>
                <w:szCs w:val="18"/>
              </w:rPr>
            </w:pPr>
            <w:r>
              <w:rPr>
                <w:rFonts w:ascii="Arial" w:hAnsi="Arial" w:cs="Arial"/>
                <w:sz w:val="18"/>
                <w:szCs w:val="18"/>
              </w:rPr>
              <w:t>8、建设资金已经落实。</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项目公司预计11月中旬取得，目前按计划推进。</w:t>
            </w:r>
          </w:p>
        </w:tc>
      </w:tr>
      <w:tr>
        <w:tblPrEx>
          <w:tblCellMar>
            <w:top w:w="0" w:type="dxa"/>
            <w:left w:w="0" w:type="dxa"/>
            <w:bottom w:w="0" w:type="dxa"/>
            <w:right w:w="0" w:type="dxa"/>
          </w:tblCellMar>
        </w:tblPrEx>
        <w:trPr>
          <w:cantSplit/>
          <w:trHeight w:val="1758"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59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办理商品房预售许可证时，无需解除在先的土地抵押与在建工程抵押，但需要抵押权人出具同意预售的函;2、预售证可分批次办理，预售面积不得小于2万m²，单个预售证办理开发建设的资金占工程建设总投资的25%以上且已出正负零;3、办理预售证需要现场查勘。</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未到办理节点</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注：以上表格中的五证计划取得时间数据依据信托尽调报告所填列，实际取得时间以实际情况为准。</w:t>
      </w:r>
    </w:p>
    <w:p>
      <w:pPr>
        <w:pStyle w:val="3"/>
        <w:rPr>
          <w:rFonts w:eastAsia="宋体" w:cs="Arial"/>
          <w:sz w:val="24"/>
        </w:rPr>
      </w:pPr>
      <w:bookmarkStart w:id="147" w:name="_Toc7111"/>
      <w:bookmarkStart w:id="148" w:name="_Toc5783"/>
      <w:bookmarkStart w:id="149" w:name="_Toc7898"/>
      <w:bookmarkStart w:id="150" w:name="_Toc11581"/>
      <w:bookmarkStart w:id="151" w:name="_Toc18163"/>
      <w:bookmarkStart w:id="152" w:name="_Toc16295"/>
      <w:bookmarkStart w:id="153" w:name="_Toc11834"/>
      <w:bookmarkStart w:id="154" w:name="_Toc24063"/>
      <w:bookmarkStart w:id="155" w:name="_Toc19540"/>
      <w:bookmarkStart w:id="156" w:name="_Toc21296"/>
      <w:bookmarkStart w:id="157" w:name="_Toc29257"/>
      <w:bookmarkStart w:id="158" w:name="_Toc13206"/>
      <w:bookmarkStart w:id="159" w:name="_Toc8552"/>
      <w:bookmarkStart w:id="160" w:name="_Toc9840"/>
      <w:bookmarkStart w:id="161" w:name="_Toc532281658"/>
      <w:bookmarkStart w:id="162" w:name="_Toc3081"/>
      <w:bookmarkStart w:id="163" w:name="_Toc535508637"/>
      <w:bookmarkStart w:id="164" w:name="_Toc535580092"/>
      <w:bookmarkStart w:id="165" w:name="_Toc1778"/>
      <w:bookmarkStart w:id="166" w:name="_Toc535580024"/>
      <w:bookmarkStart w:id="167" w:name="_Toc20083"/>
      <w:bookmarkStart w:id="168" w:name="_Toc26908"/>
      <w:bookmarkStart w:id="169" w:name="_Toc8131"/>
      <w:bookmarkStart w:id="170" w:name="_Toc45217877"/>
      <w:bookmarkStart w:id="171" w:name="_Toc14867"/>
      <w:bookmarkStart w:id="172" w:name="_Toc32321"/>
      <w:bookmarkStart w:id="173" w:name="_Toc25561"/>
      <w:bookmarkStart w:id="174" w:name="_Toc535570751"/>
      <w:bookmarkStart w:id="175" w:name="_Toc10110"/>
      <w:r>
        <w:rPr>
          <w:rFonts w:eastAsia="宋体" w:cs="Arial"/>
          <w:sz w:val="24"/>
        </w:rPr>
        <w:t>3.2项目施工情况</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outlineLvl w:val="2"/>
        <w:rPr>
          <w:rFonts w:ascii="Arial" w:hAnsi="Arial" w:cs="Arial"/>
          <w:b/>
          <w:sz w:val="24"/>
        </w:rPr>
      </w:pPr>
      <w:bookmarkStart w:id="176" w:name="_Toc30283"/>
      <w:bookmarkStart w:id="177" w:name="_Toc16700"/>
      <w:bookmarkStart w:id="178" w:name="_Toc1368"/>
      <w:bookmarkStart w:id="179" w:name="_Toc24708"/>
      <w:bookmarkStart w:id="180" w:name="_Toc11543"/>
      <w:bookmarkStart w:id="181" w:name="_Toc8524"/>
      <w:bookmarkStart w:id="182" w:name="_Toc15119"/>
      <w:bookmarkStart w:id="183" w:name="_Toc15389"/>
      <w:bookmarkStart w:id="184" w:name="_Toc15612"/>
      <w:bookmarkStart w:id="185" w:name="_Toc18918"/>
      <w:bookmarkStart w:id="186" w:name="_Toc17539"/>
      <w:bookmarkStart w:id="187" w:name="_Toc2250"/>
      <w:bookmarkStart w:id="188" w:name="_Toc31522"/>
      <w:r>
        <w:rPr>
          <w:rFonts w:ascii="Arial" w:hAnsi="Arial" w:cs="Arial"/>
          <w:b/>
          <w:sz w:val="24"/>
        </w:rPr>
        <w:t>3.2.1项目2020年10月施工进度情况</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Arial" w:hAnsi="Arial" w:cs="Arial"/>
          <w:b/>
          <w:sz w:val="24"/>
        </w:rPr>
        <w:t>及11月施工计划</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spacing w:line="480" w:lineRule="auto"/>
        <w:ind w:firstLine="420" w:firstLineChars="200"/>
        <w:rPr>
          <w:rFonts w:ascii="Arial" w:hAnsi="Arial" w:cs="Arial"/>
          <w:szCs w:val="21"/>
        </w:rPr>
      </w:pPr>
    </w:p>
    <w:p>
      <w:pPr>
        <w:spacing w:line="480" w:lineRule="auto"/>
        <w:ind w:firstLine="420" w:firstLineChars="200"/>
        <w:rPr>
          <w:rFonts w:ascii="Arial" w:hAnsi="Arial" w:cs="Arial"/>
          <w:szCs w:val="21"/>
        </w:rPr>
      </w:pPr>
      <w:r>
        <w:rPr>
          <w:rFonts w:ascii="Arial" w:hAnsi="Arial" w:cs="Arial"/>
          <w:szCs w:val="21"/>
        </w:rPr>
        <w:t xml:space="preserve">截至2020年10月31日，项目现场施工情况如下： </w:t>
      </w:r>
    </w:p>
    <w:p>
      <w:pPr>
        <w:spacing w:line="480" w:lineRule="auto"/>
        <w:ind w:left="210" w:leftChars="100" w:firstLine="210" w:firstLineChars="100"/>
        <w:rPr>
          <w:rFonts w:ascii="Arial" w:hAnsi="Arial" w:cs="Arial"/>
          <w:bCs/>
          <w:kern w:val="44"/>
          <w:szCs w:val="21"/>
        </w:rPr>
      </w:pPr>
      <w:r>
        <w:rPr>
          <w:rFonts w:ascii="Arial" w:hAnsi="Arial" w:cs="Arial"/>
          <w:bCs/>
          <w:kern w:val="44"/>
          <w:szCs w:val="21"/>
        </w:rPr>
        <w:t>1、10#楼一层顶板完成；</w:t>
      </w:r>
    </w:p>
    <w:p>
      <w:pPr>
        <w:spacing w:line="480" w:lineRule="auto"/>
        <w:ind w:left="210" w:leftChars="100" w:firstLine="210" w:firstLineChars="100"/>
        <w:rPr>
          <w:rFonts w:ascii="Arial" w:hAnsi="Arial" w:cs="Arial"/>
          <w:bCs/>
          <w:kern w:val="44"/>
          <w:szCs w:val="21"/>
        </w:rPr>
      </w:pPr>
      <w:r>
        <w:rPr>
          <w:rFonts w:ascii="Arial" w:hAnsi="Arial" w:cs="Arial"/>
          <w:bCs/>
          <w:kern w:val="44"/>
          <w:szCs w:val="21"/>
        </w:rPr>
        <w:t>2、9#号楼正负零钢筋绑扎完成90%；</w:t>
      </w:r>
    </w:p>
    <w:p>
      <w:pPr>
        <w:spacing w:line="480" w:lineRule="auto"/>
        <w:ind w:left="210" w:leftChars="100" w:firstLine="210" w:firstLineChars="100"/>
        <w:rPr>
          <w:rFonts w:ascii="Arial" w:hAnsi="Arial" w:cs="Arial"/>
          <w:bCs/>
          <w:kern w:val="44"/>
          <w:szCs w:val="21"/>
        </w:rPr>
      </w:pPr>
      <w:r>
        <w:rPr>
          <w:rFonts w:ascii="Arial" w:hAnsi="Arial" w:cs="Arial"/>
          <w:bCs/>
          <w:kern w:val="44"/>
          <w:szCs w:val="21"/>
        </w:rPr>
        <w:t>3、6#楼筏板钢筋完成35%；</w:t>
      </w:r>
    </w:p>
    <w:p>
      <w:pPr>
        <w:spacing w:line="480" w:lineRule="auto"/>
        <w:ind w:firstLine="420" w:firstLineChars="200"/>
        <w:rPr>
          <w:rFonts w:ascii="Arial" w:hAnsi="Arial" w:cs="Arial"/>
          <w:bCs/>
          <w:kern w:val="44"/>
          <w:szCs w:val="21"/>
        </w:rPr>
      </w:pPr>
      <w:r>
        <w:rPr>
          <w:rFonts w:ascii="Arial" w:hAnsi="Arial" w:cs="Arial"/>
          <w:bCs/>
          <w:kern w:val="44"/>
          <w:szCs w:val="21"/>
        </w:rPr>
        <w:t>4、售楼处、临时样板房装修完成，营销软装布置完成，售楼处、商业、临时样板房外立面完成；</w:t>
      </w:r>
    </w:p>
    <w:p>
      <w:pPr>
        <w:spacing w:line="480" w:lineRule="auto"/>
        <w:ind w:firstLine="420" w:firstLineChars="200"/>
        <w:rPr>
          <w:rFonts w:ascii="Arial" w:hAnsi="Arial" w:cs="Arial"/>
          <w:bCs/>
          <w:kern w:val="44"/>
          <w:szCs w:val="21"/>
        </w:rPr>
      </w:pPr>
      <w:r>
        <w:rPr>
          <w:rFonts w:ascii="Arial" w:hAnsi="Arial" w:cs="Arial"/>
          <w:bCs/>
          <w:kern w:val="44"/>
          <w:szCs w:val="21"/>
        </w:rPr>
        <w:t>5、展示区室外园建，园林完成。</w:t>
      </w: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项目11月施工计划如下：</w:t>
      </w:r>
    </w:p>
    <w:p>
      <w:pPr>
        <w:spacing w:line="480" w:lineRule="auto"/>
        <w:ind w:firstLine="420" w:firstLineChars="200"/>
        <w:rPr>
          <w:rFonts w:ascii="Arial" w:hAnsi="Arial" w:cs="Arial"/>
          <w:color w:val="FF0000"/>
        </w:rPr>
      </w:pPr>
      <w:r>
        <w:rPr>
          <w:rFonts w:ascii="Arial" w:hAnsi="Arial" w:cs="Arial"/>
          <w:szCs w:val="21"/>
        </w:rPr>
        <w:t>10月土方完成20%，售楼部、样板房、商业收尾完成并达展示条件。1#楼、3#楼、4#楼、5#楼、8#楼筏板完成，2#楼土方完成，6#楼施工至正负零，9#楼二层结构完成、10#楼施工至三层顶板模板。</w:t>
      </w:r>
    </w:p>
    <w:p>
      <w:pPr>
        <w:outlineLvl w:val="2"/>
        <w:rPr>
          <w:rFonts w:ascii="Arial" w:hAnsi="Arial" w:cs="Arial"/>
          <w:b/>
          <w:sz w:val="24"/>
        </w:rPr>
      </w:pPr>
      <w:bookmarkStart w:id="189" w:name="_Toc16642"/>
      <w:bookmarkStart w:id="190" w:name="_Toc26538"/>
      <w:bookmarkStart w:id="191" w:name="_Toc971"/>
      <w:bookmarkStart w:id="192" w:name="_Toc9226"/>
      <w:bookmarkStart w:id="193" w:name="_Toc13096"/>
      <w:bookmarkStart w:id="194" w:name="_Toc24281"/>
      <w:bookmarkStart w:id="195" w:name="_Toc26131"/>
      <w:bookmarkStart w:id="196" w:name="_Toc13880"/>
      <w:bookmarkStart w:id="197" w:name="_Toc4098"/>
      <w:bookmarkStart w:id="198" w:name="_Toc32281"/>
      <w:bookmarkStart w:id="199" w:name="_Toc30796"/>
      <w:bookmarkStart w:id="200" w:name="_Toc21318"/>
      <w:bookmarkStart w:id="201" w:name="_Toc22717"/>
      <w:r>
        <w:rPr>
          <w:rFonts w:ascii="Arial" w:hAnsi="Arial" w:cs="Arial"/>
          <w:b/>
          <w:sz w:val="24"/>
        </w:rPr>
        <w:t>3.2.2项目施工进度分析</w:t>
      </w:r>
      <w:bookmarkEnd w:id="189"/>
      <w:bookmarkEnd w:id="190"/>
      <w:bookmarkEnd w:id="191"/>
      <w:bookmarkEnd w:id="192"/>
      <w:bookmarkEnd w:id="193"/>
      <w:bookmarkEnd w:id="194"/>
      <w:bookmarkEnd w:id="195"/>
      <w:bookmarkEnd w:id="196"/>
      <w:bookmarkEnd w:id="197"/>
      <w:bookmarkEnd w:id="198"/>
      <w:bookmarkEnd w:id="199"/>
      <w:bookmarkEnd w:id="200"/>
      <w:bookmarkEnd w:id="201"/>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90"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展示区</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硬装已基本完成</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售楼部</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硬装已基本完成</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ind w:firstLine="720" w:firstLineChars="400"/>
              <w:textAlignment w:val="top"/>
              <w:rPr>
                <w:rFonts w:ascii="Arial" w:hAnsi="Arial" w:cs="Arial"/>
                <w:color w:val="000000"/>
                <w:sz w:val="18"/>
                <w:szCs w:val="18"/>
              </w:rPr>
            </w:pPr>
            <w:r>
              <w:rPr>
                <w:rFonts w:ascii="Arial" w:hAnsi="Arial" w:cs="Arial"/>
                <w:color w:val="000000"/>
                <w:kern w:val="0"/>
                <w:sz w:val="18"/>
                <w:szCs w:val="18"/>
                <w:lang w:bidi="ar"/>
              </w:rPr>
              <w:t>2020年11月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9#楼正负零钢筋绑扎完成90%、10#楼一层顶板完成</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2023年6月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注：以上表格中的工程进度计划完成时间数据依据项目公司提供数据填列，实际形象进度以工程现场为准。</w:t>
      </w:r>
    </w:p>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ascii="Arial" w:hAnsi="Arial" w:cs="Arial"/>
          <w:szCs w:val="21"/>
        </w:rPr>
        <w:t>根据康信资管驻场人员对现场的勘查，截至2020年10月31日，项目现场已全面施工，桩基已全部完成，因未取得《施工许可证》，土方不能外运，全部堆放至东北角；</w:t>
      </w:r>
      <w:r>
        <w:rPr>
          <w:rFonts w:ascii="Arial" w:hAnsi="Arial" w:cs="Arial"/>
          <w:bCs/>
          <w:kern w:val="44"/>
          <w:szCs w:val="21"/>
        </w:rPr>
        <w:t>售楼处、临时样板房装修完成，营销软装布置完成</w:t>
      </w:r>
      <w:r>
        <w:rPr>
          <w:rFonts w:ascii="Arial" w:hAnsi="Arial" w:cs="Arial"/>
          <w:szCs w:val="21"/>
        </w:rPr>
        <w:t>，</w:t>
      </w:r>
      <w:r>
        <w:rPr>
          <w:rFonts w:ascii="Arial" w:hAnsi="Arial" w:cs="Arial"/>
          <w:bCs/>
          <w:kern w:val="44"/>
          <w:szCs w:val="21"/>
        </w:rPr>
        <w:t>售楼处、商业、临时样板房外立面完成，展示区室外园建，园林完成。</w:t>
      </w:r>
      <w:r>
        <w:rPr>
          <w:rFonts w:ascii="Arial" w:hAnsi="Arial" w:cs="Arial"/>
          <w:szCs w:val="21"/>
        </w:rPr>
        <w:t>工地现场形象进度与项目公司提交施工进度一致。工地现场情况详见现场照片。</w:t>
      </w:r>
    </w:p>
    <w:p>
      <w:pPr>
        <w:spacing w:line="480" w:lineRule="auto"/>
        <w:ind w:firstLine="420" w:firstLineChars="200"/>
        <w:rPr>
          <w:rFonts w:ascii="Arial" w:hAnsi="Arial" w:cs="Arial"/>
          <w:szCs w:val="21"/>
        </w:rPr>
      </w:pPr>
      <w:r>
        <w:rPr>
          <w:rFonts w:ascii="Arial" w:hAnsi="Arial" w:cs="Arial"/>
          <w:szCs w:val="21"/>
        </w:rPr>
        <w:t>项目公司未办理施工证及未批先建手续即开始施工，违反了《中华人民共和国建筑法》、《建筑工程施工许可管理办法》等法律法规，有罚款及停工整顿的风险，项目公司表示已知晓该事项，并愿意接受处罚。</w:t>
      </w:r>
    </w:p>
    <w:p>
      <w:pPr>
        <w:spacing w:line="480" w:lineRule="auto"/>
        <w:ind w:firstLine="420" w:firstLineChars="200"/>
        <w:rPr>
          <w:rFonts w:ascii="Arial" w:hAnsi="Arial" w:cs="Arial"/>
          <w:szCs w:val="21"/>
        </w:rPr>
      </w:pPr>
    </w:p>
    <w:p>
      <w:pPr>
        <w:spacing w:line="480" w:lineRule="auto"/>
        <w:jc w:val="left"/>
        <w:rPr>
          <w:rFonts w:ascii="Arial" w:hAnsi="Arial" w:cs="Arial"/>
          <w:color w:val="000000"/>
          <w:sz w:val="28"/>
          <w:szCs w:val="28"/>
        </w:rPr>
      </w:pPr>
      <w:r>
        <w:rPr>
          <w:rFonts w:ascii="Arial" w:hAnsi="Arial" w:cs="Arial"/>
          <w:b/>
          <w:bCs/>
          <w:kern w:val="44"/>
          <w:szCs w:val="21"/>
        </w:rPr>
        <w:t>标的项目现场照片（2020年10月）</w:t>
      </w:r>
      <w:r>
        <w:rPr>
          <w:rFonts w:ascii="Arial" w:hAnsi="Arial" w:cs="Arial"/>
          <w:color w:val="000000"/>
          <w:sz w:val="24"/>
        </w:rPr>
        <w:drawing>
          <wp:anchor distT="0" distB="0" distL="114300" distR="114300" simplePos="0" relativeHeight="252096512" behindDoc="0" locked="0" layoutInCell="1" allowOverlap="1">
            <wp:simplePos x="0" y="0"/>
            <wp:positionH relativeFrom="column">
              <wp:posOffset>2758440</wp:posOffset>
            </wp:positionH>
            <wp:positionV relativeFrom="paragraph">
              <wp:posOffset>347345</wp:posOffset>
            </wp:positionV>
            <wp:extent cx="2749550" cy="1852295"/>
            <wp:effectExtent l="0" t="0" r="8890" b="6985"/>
            <wp:wrapNone/>
            <wp:docPr id="1" name="图片 1" descr="52947fabff180a3c95b6aed7c6eb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947fabff180a3c95b6aed7c6eb076"/>
                    <pic:cNvPicPr>
                      <a:picLocks noChangeAspect="1"/>
                    </pic:cNvPicPr>
                  </pic:nvPicPr>
                  <pic:blipFill>
                    <a:blip r:embed="rId11"/>
                    <a:stretch>
                      <a:fillRect/>
                    </a:stretch>
                  </pic:blipFill>
                  <pic:spPr>
                    <a:xfrm>
                      <a:off x="0" y="0"/>
                      <a:ext cx="2749550" cy="1852295"/>
                    </a:xfrm>
                    <a:prstGeom prst="rect">
                      <a:avLst/>
                    </a:prstGeom>
                  </pic:spPr>
                </pic:pic>
              </a:graphicData>
            </a:graphic>
          </wp:anchor>
        </w:drawing>
      </w:r>
      <w:r>
        <w:rPr>
          <w:rFonts w:ascii="Arial" w:hAnsi="Arial" w:cs="Arial"/>
          <w:color w:val="000000"/>
          <w:sz w:val="24"/>
        </w:rPr>
        <w:drawing>
          <wp:anchor distT="0" distB="0" distL="114300" distR="114300" simplePos="0" relativeHeight="252039168" behindDoc="0" locked="0" layoutInCell="1" allowOverlap="1">
            <wp:simplePos x="0" y="0"/>
            <wp:positionH relativeFrom="column">
              <wp:posOffset>-350520</wp:posOffset>
            </wp:positionH>
            <wp:positionV relativeFrom="paragraph">
              <wp:posOffset>348615</wp:posOffset>
            </wp:positionV>
            <wp:extent cx="2688590" cy="1852295"/>
            <wp:effectExtent l="0" t="0" r="8890" b="6985"/>
            <wp:wrapNone/>
            <wp:docPr id="18" name="图片 18" descr="5f04f1924286183fa5daf5ba7cb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f04f1924286183fa5daf5ba7cb8022"/>
                    <pic:cNvPicPr>
                      <a:picLocks noChangeAspect="1"/>
                    </pic:cNvPicPr>
                  </pic:nvPicPr>
                  <pic:blipFill>
                    <a:blip r:embed="rId12"/>
                    <a:stretch>
                      <a:fillRect/>
                    </a:stretch>
                  </pic:blipFill>
                  <pic:spPr>
                    <a:xfrm>
                      <a:off x="0" y="0"/>
                      <a:ext cx="2688590" cy="1852295"/>
                    </a:xfrm>
                    <a:prstGeom prst="rect">
                      <a:avLst/>
                    </a:prstGeom>
                  </pic:spPr>
                </pic:pic>
              </a:graphicData>
            </a:graphic>
          </wp:anchor>
        </w:drawing>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ind w:right="-506" w:rightChars="-241"/>
        <w:rPr>
          <w:rFonts w:ascii="Arial" w:hAnsi="Arial" w:cs="Arial"/>
          <w:color w:val="000000"/>
          <w:szCs w:val="21"/>
        </w:rPr>
      </w:pPr>
    </w:p>
    <w:p>
      <w:pPr>
        <w:ind w:right="-506" w:rightChars="-241"/>
        <w:rPr>
          <w:rFonts w:ascii="Arial" w:hAnsi="Arial" w:cs="Arial"/>
          <w:color w:val="000000"/>
          <w:szCs w:val="21"/>
        </w:rPr>
      </w:pPr>
    </w:p>
    <w:p>
      <w:pPr>
        <w:ind w:right="-506" w:rightChars="-241"/>
        <w:rPr>
          <w:rFonts w:ascii="Arial" w:hAnsi="Arial" w:cs="Arial"/>
          <w:color w:val="000000"/>
          <w:szCs w:val="21"/>
        </w:rPr>
      </w:pPr>
    </w:p>
    <w:p>
      <w:pPr>
        <w:ind w:right="-506" w:rightChars="-241"/>
        <w:rPr>
          <w:rFonts w:ascii="Arial" w:hAnsi="Arial" w:cs="Arial"/>
          <w:color w:val="000000"/>
          <w:szCs w:val="21"/>
        </w:rPr>
      </w:pPr>
    </w:p>
    <w:p>
      <w:pPr>
        <w:ind w:right="-506" w:rightChars="-241" w:firstLine="420" w:firstLineChars="200"/>
        <w:rPr>
          <w:rFonts w:ascii="Arial" w:hAnsi="Arial" w:cs="Arial"/>
          <w:color w:val="000000"/>
          <w:szCs w:val="21"/>
        </w:rPr>
      </w:pPr>
      <w:r>
        <w:rPr>
          <w:rFonts w:ascii="Arial" w:hAnsi="Arial" w:cs="Arial"/>
          <w:color w:val="000000"/>
          <w:szCs w:val="21"/>
        </w:rPr>
        <w:t>1、6号楼</w:t>
      </w:r>
      <w:r>
        <w:rPr>
          <w:rFonts w:ascii="Arial" w:hAnsi="Arial" w:cs="Arial"/>
          <w:color w:val="000000"/>
          <w:sz w:val="15"/>
          <w:szCs w:val="15"/>
        </w:rPr>
        <w:t xml:space="preserve">                    </w:t>
      </w:r>
      <w:r>
        <w:rPr>
          <w:rFonts w:ascii="Arial" w:hAnsi="Arial" w:cs="Arial"/>
          <w:color w:val="000000"/>
          <w:szCs w:val="21"/>
        </w:rPr>
        <w:t xml:space="preserve">                       2、10号楼</w:t>
      </w:r>
    </w:p>
    <w:p>
      <w:pPr>
        <w:rPr>
          <w:rFonts w:ascii="Arial" w:hAnsi="Arial" w:cs="Arial"/>
          <w:color w:val="000000"/>
          <w:szCs w:val="21"/>
        </w:rPr>
      </w:pPr>
      <w:r>
        <w:rPr>
          <w:rFonts w:ascii="Arial" w:hAnsi="Arial" w:cs="Arial"/>
          <w:color w:val="000000"/>
          <w:szCs w:val="21"/>
        </w:rPr>
        <w:br w:type="page"/>
      </w:r>
    </w:p>
    <w:p>
      <w:pPr>
        <w:ind w:right="-506" w:rightChars="-241" w:firstLine="420" w:firstLineChars="200"/>
        <w:rPr>
          <w:rFonts w:ascii="Arial" w:hAnsi="Arial" w:cs="Arial"/>
          <w:color w:val="000000"/>
          <w:szCs w:val="21"/>
        </w:rPr>
      </w:pPr>
    </w:p>
    <w:p>
      <w:pPr>
        <w:rPr>
          <w:rFonts w:ascii="Arial" w:hAnsi="Arial" w:cs="Arial"/>
          <w:color w:val="000000"/>
          <w:szCs w:val="21"/>
        </w:rPr>
      </w:pPr>
    </w:p>
    <w:p>
      <w:pPr>
        <w:ind w:right="-506" w:rightChars="-241"/>
        <w:rPr>
          <w:rFonts w:ascii="Arial" w:hAnsi="Arial" w:cs="Arial"/>
          <w:color w:val="000000"/>
          <w:sz w:val="15"/>
          <w:szCs w:val="15"/>
        </w:rPr>
      </w:pPr>
    </w:p>
    <w:p>
      <w:pPr>
        <w:rPr>
          <w:rFonts w:ascii="Arial" w:hAnsi="Arial" w:cs="Arial"/>
        </w:rPr>
      </w:pPr>
      <w:r>
        <w:rPr>
          <w:rFonts w:ascii="Arial" w:hAnsi="Arial" w:cs="Arial"/>
          <w:b/>
          <w:bCs/>
          <w:kern w:val="44"/>
          <w:szCs w:val="21"/>
        </w:rPr>
        <w:t>标的项目现场照片（2020年10月）</w:t>
      </w:r>
    </w:p>
    <w:p>
      <w:pPr>
        <w:rPr>
          <w:rFonts w:ascii="Arial" w:hAnsi="Arial" w:cs="Arial"/>
          <w:color w:val="000000"/>
          <w:sz w:val="24"/>
        </w:rPr>
      </w:pPr>
      <w:bookmarkStart w:id="202" w:name="_Toc535580026"/>
      <w:bookmarkStart w:id="203" w:name="_Toc45217878"/>
      <w:bookmarkStart w:id="204" w:name="_Toc535570753"/>
      <w:bookmarkStart w:id="205" w:name="_Toc532281660"/>
      <w:bookmarkStart w:id="206" w:name="_Toc535580094"/>
      <w:bookmarkStart w:id="207" w:name="_Toc535508639"/>
    </w:p>
    <w:p>
      <w:pPr>
        <w:rPr>
          <w:rFonts w:ascii="Arial" w:hAnsi="Arial" w:cs="Arial"/>
          <w:color w:val="000000"/>
          <w:sz w:val="24"/>
        </w:rPr>
      </w:pPr>
    </w:p>
    <w:p>
      <w:pPr>
        <w:rPr>
          <w:rFonts w:ascii="Arial" w:hAnsi="Arial" w:cs="Arial"/>
          <w:color w:val="000000"/>
          <w:sz w:val="24"/>
        </w:rPr>
      </w:pPr>
      <w:r>
        <w:rPr>
          <w:rFonts w:ascii="Arial" w:hAnsi="Arial" w:cs="Arial"/>
          <w:color w:val="000000"/>
          <w:sz w:val="24"/>
        </w:rPr>
        <w:drawing>
          <wp:anchor distT="0" distB="0" distL="114300" distR="114300" simplePos="0" relativeHeight="252128256" behindDoc="0" locked="0" layoutInCell="1" allowOverlap="1">
            <wp:simplePos x="0" y="0"/>
            <wp:positionH relativeFrom="column">
              <wp:posOffset>2835910</wp:posOffset>
            </wp:positionH>
            <wp:positionV relativeFrom="paragraph">
              <wp:posOffset>116205</wp:posOffset>
            </wp:positionV>
            <wp:extent cx="2800985" cy="1864360"/>
            <wp:effectExtent l="0" t="0" r="3175" b="10160"/>
            <wp:wrapNone/>
            <wp:docPr id="2" name="图片 2" descr="a19a518e4477cf94274cda79e315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9a518e4477cf94274cda79e315f87"/>
                    <pic:cNvPicPr>
                      <a:picLocks noChangeAspect="1"/>
                    </pic:cNvPicPr>
                  </pic:nvPicPr>
                  <pic:blipFill>
                    <a:blip r:embed="rId13"/>
                    <a:stretch>
                      <a:fillRect/>
                    </a:stretch>
                  </pic:blipFill>
                  <pic:spPr>
                    <a:xfrm>
                      <a:off x="0" y="0"/>
                      <a:ext cx="2800985" cy="1864360"/>
                    </a:xfrm>
                    <a:prstGeom prst="rect">
                      <a:avLst/>
                    </a:prstGeom>
                  </pic:spPr>
                </pic:pic>
              </a:graphicData>
            </a:graphic>
          </wp:anchor>
        </w:drawing>
      </w:r>
      <w:r>
        <w:rPr>
          <w:rFonts w:ascii="Arial" w:hAnsi="Arial" w:cs="Arial"/>
          <w:color w:val="000000"/>
          <w:sz w:val="24"/>
        </w:rPr>
        <w:drawing>
          <wp:anchor distT="0" distB="0" distL="114300" distR="114300" simplePos="0" relativeHeight="252066816" behindDoc="0" locked="0" layoutInCell="1" allowOverlap="1">
            <wp:simplePos x="0" y="0"/>
            <wp:positionH relativeFrom="column">
              <wp:posOffset>-350520</wp:posOffset>
            </wp:positionH>
            <wp:positionV relativeFrom="paragraph">
              <wp:posOffset>103505</wp:posOffset>
            </wp:positionV>
            <wp:extent cx="2772410" cy="1859915"/>
            <wp:effectExtent l="0" t="0" r="1270" b="14605"/>
            <wp:wrapNone/>
            <wp:docPr id="15" name="图片 15" descr="3e4cc5a9a6ef315740e75b2d7fc6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e4cc5a9a6ef315740e75b2d7fc699a"/>
                    <pic:cNvPicPr>
                      <a:picLocks noChangeAspect="1"/>
                    </pic:cNvPicPr>
                  </pic:nvPicPr>
                  <pic:blipFill>
                    <a:blip r:embed="rId14"/>
                    <a:stretch>
                      <a:fillRect/>
                    </a:stretch>
                  </pic:blipFill>
                  <pic:spPr>
                    <a:xfrm>
                      <a:off x="0" y="0"/>
                      <a:ext cx="2772410" cy="1859915"/>
                    </a:xfrm>
                    <a:prstGeom prst="rect">
                      <a:avLst/>
                    </a:prstGeom>
                  </pic:spPr>
                </pic:pic>
              </a:graphicData>
            </a:graphic>
          </wp:anchor>
        </w:drawing>
      </w: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ind w:firstLine="630" w:firstLineChars="300"/>
        <w:rPr>
          <w:rFonts w:ascii="Arial" w:hAnsi="Arial" w:cs="Arial"/>
          <w:color w:val="000000"/>
          <w:szCs w:val="21"/>
        </w:rPr>
      </w:pPr>
      <w:bookmarkStart w:id="208" w:name="_Toc24195"/>
      <w:r>
        <w:rPr>
          <w:rFonts w:ascii="Arial" w:hAnsi="Arial" w:cs="Arial"/>
          <w:color w:val="000000"/>
          <w:szCs w:val="21"/>
        </w:rPr>
        <w:t xml:space="preserve">3、9号楼 </w:t>
      </w:r>
      <w:r>
        <w:rPr>
          <w:rFonts w:ascii="Arial" w:hAnsi="Arial" w:cs="Arial"/>
          <w:color w:val="000000"/>
          <w:sz w:val="24"/>
        </w:rPr>
        <w:t xml:space="preserve">           </w:t>
      </w:r>
      <w:r>
        <w:rPr>
          <w:rFonts w:ascii="Arial" w:hAnsi="Arial" w:cs="Arial"/>
          <w:color w:val="000000"/>
          <w:sz w:val="15"/>
          <w:szCs w:val="15"/>
        </w:rPr>
        <w:t xml:space="preserve">                           </w:t>
      </w:r>
      <w:r>
        <w:rPr>
          <w:rFonts w:ascii="Arial" w:hAnsi="Arial" w:cs="Arial"/>
          <w:color w:val="000000"/>
          <w:szCs w:val="21"/>
        </w:rPr>
        <w:t xml:space="preserve">  4、售楼处    </w:t>
      </w:r>
      <w:bookmarkEnd w:id="208"/>
    </w:p>
    <w:p>
      <w:pPr>
        <w:rPr>
          <w:rFonts w:ascii="Arial" w:hAnsi="Arial" w:cs="Arial"/>
          <w:color w:val="000000"/>
          <w:szCs w:val="21"/>
        </w:rPr>
      </w:pPr>
      <w:r>
        <w:rPr>
          <w:rFonts w:ascii="Arial" w:hAnsi="Arial" w:cs="Arial"/>
          <w:color w:val="000000"/>
          <w:sz w:val="24"/>
        </w:rPr>
        <w:drawing>
          <wp:anchor distT="0" distB="0" distL="114300" distR="114300" simplePos="0" relativeHeight="252162048" behindDoc="0" locked="0" layoutInCell="1" allowOverlap="1">
            <wp:simplePos x="0" y="0"/>
            <wp:positionH relativeFrom="column">
              <wp:posOffset>2841625</wp:posOffset>
            </wp:positionH>
            <wp:positionV relativeFrom="paragraph">
              <wp:posOffset>140335</wp:posOffset>
            </wp:positionV>
            <wp:extent cx="2811780" cy="1875155"/>
            <wp:effectExtent l="0" t="0" r="7620" b="14605"/>
            <wp:wrapNone/>
            <wp:docPr id="5" name="图片 5" descr="64dba88910b3c43e8a195a9c009a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dba88910b3c43e8a195a9c009a0a4"/>
                    <pic:cNvPicPr>
                      <a:picLocks noChangeAspect="1"/>
                    </pic:cNvPicPr>
                  </pic:nvPicPr>
                  <pic:blipFill>
                    <a:blip r:embed="rId15"/>
                    <a:stretch>
                      <a:fillRect/>
                    </a:stretch>
                  </pic:blipFill>
                  <pic:spPr>
                    <a:xfrm>
                      <a:off x="0" y="0"/>
                      <a:ext cx="2811780" cy="1875155"/>
                    </a:xfrm>
                    <a:prstGeom prst="rect">
                      <a:avLst/>
                    </a:prstGeom>
                  </pic:spPr>
                </pic:pic>
              </a:graphicData>
            </a:graphic>
          </wp:anchor>
        </w:drawing>
      </w:r>
      <w:r>
        <w:rPr>
          <w:rFonts w:ascii="Arial" w:hAnsi="Arial" w:cs="Arial"/>
          <w:color w:val="000000"/>
          <w:sz w:val="24"/>
        </w:rPr>
        <w:drawing>
          <wp:anchor distT="0" distB="0" distL="114300" distR="114300" simplePos="0" relativeHeight="252161024" behindDoc="0" locked="0" layoutInCell="1" allowOverlap="1">
            <wp:simplePos x="0" y="0"/>
            <wp:positionH relativeFrom="column">
              <wp:posOffset>-358140</wp:posOffset>
            </wp:positionH>
            <wp:positionV relativeFrom="paragraph">
              <wp:posOffset>140970</wp:posOffset>
            </wp:positionV>
            <wp:extent cx="2773045" cy="1856105"/>
            <wp:effectExtent l="0" t="0" r="635" b="3175"/>
            <wp:wrapNone/>
            <wp:docPr id="4" name="图片 4" descr="4adc7ceb65cf5caec9b7d1aea3f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adc7ceb65cf5caec9b7d1aea3f7637"/>
                    <pic:cNvPicPr>
                      <a:picLocks noChangeAspect="1"/>
                    </pic:cNvPicPr>
                  </pic:nvPicPr>
                  <pic:blipFill>
                    <a:blip r:embed="rId16"/>
                    <a:stretch>
                      <a:fillRect/>
                    </a:stretch>
                  </pic:blipFill>
                  <pic:spPr>
                    <a:xfrm>
                      <a:off x="0" y="0"/>
                      <a:ext cx="2773045" cy="1856105"/>
                    </a:xfrm>
                    <a:prstGeom prst="rect">
                      <a:avLst/>
                    </a:prstGeom>
                  </pic:spPr>
                </pic:pic>
              </a:graphicData>
            </a:graphic>
          </wp:anchor>
        </w:drawing>
      </w: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r>
        <w:rPr>
          <w:rFonts w:ascii="Arial" w:hAnsi="Arial" w:cs="Arial"/>
          <w:color w:val="000000"/>
          <w:sz w:val="15"/>
          <w:szCs w:val="15"/>
        </w:rPr>
        <w:t xml:space="preserve">       </w:t>
      </w:r>
      <w:r>
        <w:rPr>
          <w:rFonts w:ascii="Arial" w:hAnsi="Arial" w:cs="Arial"/>
          <w:color w:val="000000"/>
          <w:szCs w:val="21"/>
        </w:rPr>
        <w:t xml:space="preserve">5、售楼处                                     6、样板房      </w:t>
      </w:r>
    </w:p>
    <w:p>
      <w:pPr>
        <w:rPr>
          <w:rFonts w:ascii="Arial" w:hAnsi="Arial" w:cs="Arial"/>
          <w:color w:val="000000"/>
          <w:sz w:val="15"/>
          <w:szCs w:val="15"/>
        </w:rPr>
      </w:pPr>
      <w:r>
        <w:rPr>
          <w:rFonts w:ascii="Arial" w:hAnsi="Arial" w:cs="Arial"/>
          <w:color w:val="000000"/>
          <w:sz w:val="15"/>
          <w:szCs w:val="15"/>
        </w:rPr>
        <w:t xml:space="preserve">                                                                                                                                   </w:t>
      </w:r>
    </w:p>
    <w:p>
      <w:pPr>
        <w:rPr>
          <w:rFonts w:ascii="Arial" w:hAnsi="Arial" w:cs="Arial"/>
          <w:color w:val="000000"/>
          <w:sz w:val="24"/>
        </w:rPr>
      </w:pPr>
      <w:r>
        <w:rPr>
          <w:rFonts w:ascii="Arial" w:hAnsi="Arial" w:cs="Arial"/>
          <w:color w:val="000000"/>
          <w:sz w:val="24"/>
        </w:rPr>
        <w:drawing>
          <wp:anchor distT="0" distB="0" distL="114300" distR="114300" simplePos="0" relativeHeight="252193792" behindDoc="0" locked="0" layoutInCell="1" allowOverlap="1">
            <wp:simplePos x="0" y="0"/>
            <wp:positionH relativeFrom="column">
              <wp:posOffset>2849245</wp:posOffset>
            </wp:positionH>
            <wp:positionV relativeFrom="paragraph">
              <wp:posOffset>45085</wp:posOffset>
            </wp:positionV>
            <wp:extent cx="2796540" cy="1837690"/>
            <wp:effectExtent l="0" t="0" r="7620" b="6350"/>
            <wp:wrapNone/>
            <wp:docPr id="9" name="图片 9" descr="da8e744e42dd21afbbff5d28d78d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8e744e42dd21afbbff5d28d78d535"/>
                    <pic:cNvPicPr>
                      <a:picLocks noChangeAspect="1"/>
                    </pic:cNvPicPr>
                  </pic:nvPicPr>
                  <pic:blipFill>
                    <a:blip r:embed="rId17"/>
                    <a:stretch>
                      <a:fillRect/>
                    </a:stretch>
                  </pic:blipFill>
                  <pic:spPr>
                    <a:xfrm>
                      <a:off x="0" y="0"/>
                      <a:ext cx="2796540" cy="1837690"/>
                    </a:xfrm>
                    <a:prstGeom prst="rect">
                      <a:avLst/>
                    </a:prstGeom>
                  </pic:spPr>
                </pic:pic>
              </a:graphicData>
            </a:graphic>
          </wp:anchor>
        </w:drawing>
      </w:r>
      <w:r>
        <w:rPr>
          <w:rFonts w:ascii="Arial" w:hAnsi="Arial" w:cs="Arial"/>
          <w:color w:val="000000"/>
          <w:sz w:val="24"/>
        </w:rPr>
        <w:drawing>
          <wp:anchor distT="0" distB="0" distL="114300" distR="114300" simplePos="0" relativeHeight="252192768" behindDoc="0" locked="0" layoutInCell="1" allowOverlap="1">
            <wp:simplePos x="0" y="0"/>
            <wp:positionH relativeFrom="column">
              <wp:posOffset>-381000</wp:posOffset>
            </wp:positionH>
            <wp:positionV relativeFrom="paragraph">
              <wp:posOffset>34925</wp:posOffset>
            </wp:positionV>
            <wp:extent cx="2795270" cy="1841500"/>
            <wp:effectExtent l="0" t="0" r="8890" b="2540"/>
            <wp:wrapNone/>
            <wp:docPr id="6" name="图片 6" descr="f8403b24ff9d25b02270b21e644b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403b24ff9d25b02270b21e644b233"/>
                    <pic:cNvPicPr>
                      <a:picLocks noChangeAspect="1"/>
                    </pic:cNvPicPr>
                  </pic:nvPicPr>
                  <pic:blipFill>
                    <a:blip r:embed="rId18"/>
                    <a:stretch>
                      <a:fillRect/>
                    </a:stretch>
                  </pic:blipFill>
                  <pic:spPr>
                    <a:xfrm>
                      <a:off x="0" y="0"/>
                      <a:ext cx="2795270" cy="1841500"/>
                    </a:xfrm>
                    <a:prstGeom prst="rect">
                      <a:avLst/>
                    </a:prstGeom>
                  </pic:spPr>
                </pic:pic>
              </a:graphicData>
            </a:graphic>
          </wp:anchor>
        </w:drawing>
      </w:r>
    </w:p>
    <w:p>
      <w:pPr>
        <w:rPr>
          <w:rFonts w:ascii="Arial" w:hAnsi="Arial" w:cs="Arial"/>
          <w:color w:val="000000"/>
          <w:sz w:val="24"/>
        </w:rPr>
      </w:pPr>
      <w:bookmarkStart w:id="209" w:name="_Toc29435"/>
      <w:bookmarkStart w:id="210" w:name="_Toc4252"/>
      <w:bookmarkStart w:id="211" w:name="_Toc21728"/>
      <w:bookmarkStart w:id="212" w:name="_Toc28272"/>
      <w:bookmarkStart w:id="213" w:name="_Toc506"/>
      <w:bookmarkStart w:id="214" w:name="_Toc2209"/>
      <w:bookmarkStart w:id="215" w:name="_Toc14941"/>
      <w:bookmarkStart w:id="216" w:name="_Toc10003"/>
      <w:bookmarkStart w:id="217" w:name="_Toc24581"/>
      <w:bookmarkStart w:id="218" w:name="_Toc10395"/>
      <w:bookmarkStart w:id="219" w:name="_Toc12319"/>
      <w:bookmarkStart w:id="220" w:name="_Toc570"/>
      <w:bookmarkStart w:id="221" w:name="_Toc14446"/>
      <w:bookmarkStart w:id="222" w:name="_Toc31324"/>
    </w:p>
    <w:p>
      <w:pPr>
        <w:rPr>
          <w:rFonts w:ascii="Arial" w:hAnsi="Arial" w:cs="Arial"/>
          <w:color w:val="000000"/>
          <w:sz w:val="24"/>
        </w:rPr>
      </w:pPr>
    </w:p>
    <w:p>
      <w:pPr>
        <w:pStyle w:val="2"/>
        <w:spacing w:before="300" w:after="300" w:line="360" w:lineRule="exact"/>
        <w:jc w:val="left"/>
        <w:rPr>
          <w:rFonts w:ascii="Arial" w:hAnsi="Arial" w:cs="Arial"/>
          <w:color w:val="000000"/>
          <w:sz w:val="24"/>
          <w:szCs w:val="24"/>
        </w:rPr>
      </w:pPr>
      <w:bookmarkStart w:id="223" w:name="_Toc3744"/>
      <w:bookmarkStart w:id="224" w:name="_Toc19814"/>
      <w:bookmarkStart w:id="225" w:name="_Toc21756"/>
      <w:bookmarkStart w:id="226" w:name="_Toc29074"/>
      <w:bookmarkStart w:id="227" w:name="_Toc3178"/>
    </w:p>
    <w:p>
      <w:pPr>
        <w:pStyle w:val="2"/>
        <w:spacing w:before="300" w:after="300" w:line="360" w:lineRule="exact"/>
        <w:jc w:val="left"/>
        <w:rPr>
          <w:rFonts w:ascii="Arial" w:hAnsi="Arial" w:cs="Arial"/>
          <w:color w:val="000000"/>
          <w:sz w:val="24"/>
          <w:szCs w:val="24"/>
        </w:rPr>
      </w:pPr>
    </w:p>
    <w:p>
      <w:pPr>
        <w:pStyle w:val="2"/>
        <w:spacing w:before="300" w:after="300" w:line="360" w:lineRule="exact"/>
        <w:jc w:val="left"/>
        <w:rPr>
          <w:rFonts w:ascii="Arial" w:hAnsi="Arial" w:cs="Arial"/>
          <w:color w:val="000000"/>
          <w:sz w:val="24"/>
          <w:szCs w:val="24"/>
        </w:rPr>
      </w:pPr>
    </w:p>
    <w:p>
      <w:pPr>
        <w:rPr>
          <w:rFonts w:ascii="Arial" w:hAnsi="Arial" w:cs="Arial"/>
        </w:rPr>
      </w:pPr>
    </w:p>
    <w:p>
      <w:pPr>
        <w:ind w:firstLine="630" w:firstLineChars="300"/>
        <w:rPr>
          <w:rFonts w:ascii="Arial" w:hAnsi="Arial" w:cs="Arial"/>
          <w:color w:val="000000"/>
          <w:szCs w:val="21"/>
        </w:rPr>
      </w:pPr>
      <w:r>
        <w:rPr>
          <w:rFonts w:ascii="Arial" w:hAnsi="Arial" w:cs="Arial"/>
          <w:color w:val="000000"/>
          <w:szCs w:val="21"/>
        </w:rPr>
        <w:t>7、样板房                                     8、售楼处园林</w:t>
      </w:r>
    </w:p>
    <w:p>
      <w:pPr>
        <w:rPr>
          <w:rFonts w:ascii="Arial" w:hAnsi="Arial" w:cs="Arial"/>
          <w:color w:val="000000"/>
          <w:sz w:val="24"/>
        </w:rPr>
      </w:pPr>
      <w:bookmarkStart w:id="228" w:name="_Toc25625"/>
      <w:bookmarkStart w:id="229" w:name="_Toc10183"/>
      <w:r>
        <w:rPr>
          <w:rFonts w:ascii="Arial" w:hAnsi="Arial" w:cs="Arial"/>
          <w:color w:val="000000"/>
          <w:sz w:val="24"/>
        </w:rPr>
        <w:br w:type="page"/>
      </w:r>
    </w:p>
    <w:p>
      <w:pPr>
        <w:pStyle w:val="2"/>
        <w:spacing w:before="300" w:after="300" w:line="360" w:lineRule="exact"/>
        <w:jc w:val="left"/>
        <w:rPr>
          <w:rFonts w:ascii="Arial" w:hAnsi="Arial" w:cs="Arial"/>
          <w:color w:val="000000"/>
          <w:sz w:val="24"/>
          <w:szCs w:val="24"/>
        </w:rPr>
      </w:pPr>
      <w:bookmarkStart w:id="230" w:name="_Toc22998"/>
      <w:r>
        <w:rPr>
          <w:rFonts w:ascii="Arial" w:hAnsi="Arial" w:cs="Arial"/>
          <w:color w:val="000000"/>
          <w:sz w:val="24"/>
          <w:szCs w:val="24"/>
        </w:rPr>
        <w:t>4印鉴使用情况</w:t>
      </w:r>
      <w:bookmarkEnd w:id="202"/>
      <w:bookmarkEnd w:id="203"/>
      <w:bookmarkEnd w:id="204"/>
      <w:bookmarkEnd w:id="205"/>
      <w:bookmarkEnd w:id="206"/>
      <w:bookmarkEnd w:id="20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spacing w:line="480" w:lineRule="auto"/>
        <w:ind w:firstLine="420" w:firstLineChars="200"/>
        <w:rPr>
          <w:rFonts w:ascii="Arial" w:hAnsi="Arial" w:cs="Arial"/>
          <w:bCs/>
          <w:kern w:val="44"/>
          <w:szCs w:val="21"/>
        </w:rPr>
      </w:pPr>
      <w:r>
        <w:rPr>
          <w:rFonts w:ascii="Arial" w:hAnsi="Arial" w:cs="Arial"/>
          <w:bCs/>
          <w:kern w:val="44"/>
          <w:szCs w:val="21"/>
        </w:rPr>
        <w:t>根据根据监管协议的约定，康信资管人员与海盐丰涛置业有限公司共管的印鉴为：公章、法定代表人人名章、合同专用章、财务专用章、发票专用章、法人章，经办人章。对于印章的使用，项目公司人员按照中航信托的要求，履行印章使用流程，康信资管监管人员了解用印事由，通过微信书面和发送邮件的方式向中航信托领导提交用印申请，待中航信托领导批复后方给予盖章。项目公司印鉴使用情况详见下表：</w:t>
      </w:r>
    </w:p>
    <w:tbl>
      <w:tblPr>
        <w:tblStyle w:val="18"/>
        <w:tblW w:w="9529" w:type="dxa"/>
        <w:jc w:val="center"/>
        <w:tblLayout w:type="fixed"/>
        <w:tblCellMar>
          <w:top w:w="15" w:type="dxa"/>
          <w:left w:w="15" w:type="dxa"/>
          <w:bottom w:w="15" w:type="dxa"/>
          <w:right w:w="15" w:type="dxa"/>
        </w:tblCellMar>
      </w:tblPr>
      <w:tblGrid>
        <w:gridCol w:w="1979"/>
        <w:gridCol w:w="887"/>
        <w:gridCol w:w="1500"/>
        <w:gridCol w:w="1480"/>
        <w:gridCol w:w="1570"/>
        <w:gridCol w:w="1338"/>
        <w:gridCol w:w="775"/>
      </w:tblGrid>
      <w:tr>
        <w:tblPrEx>
          <w:tblCellMar>
            <w:top w:w="15" w:type="dxa"/>
            <w:left w:w="15" w:type="dxa"/>
            <w:bottom w:w="15" w:type="dxa"/>
            <w:right w:w="15" w:type="dxa"/>
          </w:tblCellMar>
        </w:tblPrEx>
        <w:trPr>
          <w:trHeight w:val="53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法人人名章（份）</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财务专用章（份）</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合同专用章（份）</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发票专用章（份）</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海盐丰涛置业有限公司</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37</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14</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0</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56</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1</w:t>
            </w:r>
          </w:p>
        </w:tc>
        <w:tc>
          <w:tcPr>
            <w:tcW w:w="775"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项目公司2020年10月印章使用明细表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放款材料用印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中航放款资料-出资通知书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应云炜</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海盐恒大都汇华庭临时样板房小型中央空调采购合同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售楼处艺术灯购销合同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售楼处地毯采购合同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南湖晚报2020广告协议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节能评估合同用印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技术咨询合同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公章、法人章（6份）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施工证、工规证材料用印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民工工资支付四方监管协议、承诺书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牛畅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公章、法人章（3份）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施工证、工规证材料用印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规划告知承诺书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牛畅</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公章、法人章（5份）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单位存款协议</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农行单位存款协议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刘若含</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明日观地产2020年度广告合作协议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广告合同用印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禾枫说楼2020年度广告合作协议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广告合同用印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嘉兴电台2020年度广告合作协议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委托协议书用印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生活垃圾清运及处置委托协议书</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6" w:hRule="atLeas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海盐恒大都汇华庭项目高层临时MT6-2saA户型现代橙装风格样板房室内软装饰施工合同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海盐都汇华庭项目人防门供货及安装工程施工合同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《海盐恒大都汇华庭项目围蔽工程施工合同》补充协议（1-赶工奖框架协议）及补充协议（2-赶工奖）</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公章（11份）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项目规划设计报审材料</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承诺函、报批方案文本</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李潇杰</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广告合同用印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嘉兴19楼2020年度广告合作协议</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合同专用章（4份）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工程施工合同用印</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海盐恒大都汇华庭展示区导视系统及精神堡垒制作安装工程施工合同</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合同法务部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张瀚翔</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抖音企业号申请</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抖音企业号申请公函用印</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销售部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莫涛</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城市建筑垃圾处置核准申请表</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城市建筑垃圾处置核准申请表</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综合管理部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王思宇</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发票专用章（1份）</w:t>
            </w:r>
          </w:p>
        </w:tc>
        <w:tc>
          <w:tcPr>
            <w:tcW w:w="222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开票信息确认单</w:t>
            </w: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恒大农牧开票所需海盐丰涛开票信息确认单</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彭帧</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张智辉/监察室</w:t>
            </w:r>
          </w:p>
        </w:tc>
      </w:tr>
    </w:tbl>
    <w:p>
      <w:pPr>
        <w:pStyle w:val="2"/>
        <w:spacing w:before="300" w:after="300" w:line="360" w:lineRule="exact"/>
        <w:jc w:val="left"/>
        <w:rPr>
          <w:rFonts w:ascii="Arial" w:hAnsi="Arial" w:cs="Arial"/>
          <w:color w:val="000000"/>
          <w:sz w:val="24"/>
          <w:szCs w:val="24"/>
        </w:rPr>
      </w:pPr>
      <w:bookmarkStart w:id="231" w:name="_Toc14939"/>
      <w:bookmarkStart w:id="232" w:name="_Toc24908"/>
      <w:bookmarkStart w:id="233" w:name="_Toc21772"/>
      <w:bookmarkStart w:id="234" w:name="_Toc19745"/>
      <w:bookmarkStart w:id="235" w:name="_Toc27585"/>
      <w:bookmarkStart w:id="236" w:name="_Toc4419"/>
      <w:bookmarkStart w:id="237" w:name="_Toc2357"/>
      <w:bookmarkStart w:id="238" w:name="_Toc18025"/>
      <w:bookmarkStart w:id="239" w:name="_Toc4509"/>
      <w:bookmarkStart w:id="240" w:name="_Toc16476"/>
      <w:bookmarkStart w:id="241" w:name="_Toc27308"/>
      <w:bookmarkStart w:id="242" w:name="_Toc31469"/>
      <w:bookmarkStart w:id="243" w:name="_Toc31393"/>
      <w:bookmarkStart w:id="244" w:name="_Toc24099"/>
      <w:bookmarkStart w:id="245" w:name="_Toc11273"/>
      <w:r>
        <w:rPr>
          <w:rFonts w:ascii="Arial" w:hAnsi="Arial" w:cs="Arial"/>
          <w:color w:val="000000"/>
          <w:sz w:val="24"/>
          <w:szCs w:val="24"/>
        </w:rPr>
        <w:t>5合同签订情况</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3"/>
        <w:rPr>
          <w:rFonts w:eastAsia="宋体" w:cs="Arial"/>
          <w:sz w:val="24"/>
        </w:rPr>
      </w:pPr>
      <w:bookmarkStart w:id="246" w:name="_Toc4193"/>
      <w:bookmarkStart w:id="247" w:name="_Toc29354"/>
      <w:bookmarkStart w:id="248" w:name="_Toc7987"/>
      <w:bookmarkStart w:id="249" w:name="_Toc14182"/>
      <w:bookmarkStart w:id="250" w:name="_Toc29466"/>
      <w:bookmarkStart w:id="251" w:name="_Toc24352"/>
      <w:bookmarkStart w:id="252" w:name="_Toc8355"/>
      <w:bookmarkStart w:id="253" w:name="_Toc30558"/>
      <w:bookmarkStart w:id="254" w:name="_Toc18964"/>
      <w:bookmarkStart w:id="255" w:name="_Toc14284"/>
      <w:bookmarkStart w:id="256" w:name="_Toc3599"/>
      <w:bookmarkStart w:id="257" w:name="_Toc29375"/>
      <w:bookmarkStart w:id="258" w:name="_Toc3075"/>
      <w:r>
        <w:rPr>
          <w:rFonts w:eastAsia="宋体" w:cs="Arial"/>
          <w:sz w:val="24"/>
        </w:rPr>
        <w:t>5.1</w:t>
      </w:r>
      <w:r>
        <w:rPr>
          <w:rFonts w:eastAsia="宋体" w:cs="Arial"/>
          <w:color w:val="000000"/>
          <w:kern w:val="44"/>
          <w:sz w:val="24"/>
          <w:szCs w:val="24"/>
        </w:rPr>
        <w:t>新签订合同情况</w:t>
      </w:r>
      <w:bookmarkEnd w:id="246"/>
      <w:bookmarkEnd w:id="247"/>
      <w:bookmarkEnd w:id="248"/>
      <w:bookmarkEnd w:id="249"/>
      <w:bookmarkEnd w:id="250"/>
      <w:bookmarkEnd w:id="251"/>
      <w:bookmarkEnd w:id="252"/>
      <w:bookmarkEnd w:id="253"/>
      <w:bookmarkEnd w:id="254"/>
      <w:bookmarkEnd w:id="255"/>
      <w:bookmarkEnd w:id="256"/>
      <w:bookmarkEnd w:id="257"/>
      <w:bookmarkEnd w:id="258"/>
    </w:p>
    <w:p>
      <w:pPr>
        <w:spacing w:line="360" w:lineRule="auto"/>
        <w:ind w:firstLine="420" w:firstLineChars="200"/>
        <w:rPr>
          <w:rFonts w:ascii="Arial" w:hAnsi="Arial" w:cs="Arial"/>
          <w:bCs/>
          <w:kern w:val="44"/>
          <w:szCs w:val="21"/>
        </w:rPr>
      </w:pPr>
      <w:r>
        <w:rPr>
          <w:rFonts w:ascii="Arial" w:hAnsi="Arial" w:cs="Arial"/>
          <w:bCs/>
          <w:kern w:val="44"/>
          <w:szCs w:val="21"/>
        </w:rPr>
        <w:t>2020年8月28日入场后至2020年10月31日，项目公司共计签订合同58份，合同总价</w:t>
      </w:r>
      <w:r>
        <w:rPr>
          <w:rFonts w:ascii="Arial" w:hAnsi="Arial" w:cs="Arial"/>
          <w:szCs w:val="21"/>
        </w:rPr>
        <w:t>879,434,266.92</w:t>
      </w:r>
      <w:r>
        <w:rPr>
          <w:rFonts w:ascii="Arial" w:hAnsi="Arial" w:cs="Arial"/>
          <w:bCs/>
          <w:kern w:val="44"/>
          <w:szCs w:val="21"/>
        </w:rPr>
        <w:t>元。本月新签订合同金额2,087,386.99元，本月无合同结算</w:t>
      </w:r>
      <w:r>
        <w:rPr>
          <w:rFonts w:ascii="Arial" w:hAnsi="Arial" w:cs="Arial"/>
          <w:szCs w:val="21"/>
        </w:rPr>
        <w:t>，</w:t>
      </w:r>
      <w:r>
        <w:rPr>
          <w:rFonts w:ascii="Arial" w:hAnsi="Arial" w:cs="Arial"/>
          <w:bCs/>
          <w:kern w:val="44"/>
          <w:szCs w:val="21"/>
        </w:rPr>
        <w:t>2020年10月新签订合同情况如下表：</w:t>
      </w:r>
    </w:p>
    <w:p>
      <w:pPr>
        <w:rPr>
          <w:rFonts w:ascii="Arial" w:hAnsi="Arial" w:cs="Arial"/>
        </w:rPr>
      </w:pPr>
    </w:p>
    <w:p>
      <w:pPr>
        <w:spacing w:before="240" w:beforeLines="100"/>
        <w:jc w:val="center"/>
        <w:rPr>
          <w:rFonts w:ascii="Arial" w:hAnsi="Arial" w:cs="Arial"/>
          <w:b/>
          <w:color w:val="000000"/>
          <w:sz w:val="24"/>
          <w:szCs w:val="28"/>
        </w:rPr>
      </w:pPr>
      <w:r>
        <w:rPr>
          <w:rFonts w:ascii="Arial" w:hAnsi="Arial" w:cs="Arial"/>
          <w:b/>
          <w:color w:val="000000"/>
          <w:sz w:val="24"/>
          <w:szCs w:val="28"/>
        </w:rPr>
        <w:t>2020年10月合同签订情况表</w:t>
      </w:r>
    </w:p>
    <w:tbl>
      <w:tblPr>
        <w:tblStyle w:val="18"/>
        <w:tblW w:w="9737" w:type="dxa"/>
        <w:tblInd w:w="0" w:type="dxa"/>
        <w:tblLayout w:type="fixed"/>
        <w:tblCellMar>
          <w:top w:w="0" w:type="dxa"/>
          <w:left w:w="0" w:type="dxa"/>
          <w:bottom w:w="0" w:type="dxa"/>
          <w:right w:w="0" w:type="dxa"/>
        </w:tblCellMar>
      </w:tblPr>
      <w:tblGrid>
        <w:gridCol w:w="524"/>
        <w:gridCol w:w="1308"/>
        <w:gridCol w:w="1544"/>
        <w:gridCol w:w="3655"/>
        <w:gridCol w:w="1442"/>
        <w:gridCol w:w="1264"/>
      </w:tblGrid>
      <w:tr>
        <w:tblPrEx>
          <w:tblCellMar>
            <w:top w:w="0" w:type="dxa"/>
            <w:left w:w="0" w:type="dxa"/>
            <w:bottom w:w="0" w:type="dxa"/>
            <w:right w:w="0" w:type="dxa"/>
          </w:tblCellMar>
        </w:tblPrEx>
        <w:trPr>
          <w:trHeight w:val="401" w:hRule="atLeast"/>
          <w:tblHead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签约日期</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江门市中意灯饰水晶有限公司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海盐恒大都汇华庭售楼部艺术灯具购销合同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乙方负责海盐恒大都汇华庭售楼处艺术灯供应</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105,752.94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r>
      <w:tr>
        <w:tblPrEx>
          <w:tblCellMar>
            <w:top w:w="0" w:type="dxa"/>
            <w:left w:w="0" w:type="dxa"/>
            <w:bottom w:w="0" w:type="dxa"/>
            <w:right w:w="0" w:type="dxa"/>
          </w:tblCellMar>
        </w:tblPrEx>
        <w:trPr>
          <w:cantSplit/>
          <w:trHeight w:val="9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杭州芝浦机电设备工程有限公司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海盐恒大都汇华庭项目样板房小型中央空调采购合同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乙方负责海盐恒大都汇华庭样板房小中央空调供应</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31,940.26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r>
      <w:tr>
        <w:tblPrEx>
          <w:tblCellMar>
            <w:top w:w="0" w:type="dxa"/>
            <w:left w:w="0" w:type="dxa"/>
            <w:bottom w:w="0" w:type="dxa"/>
            <w:right w:w="0" w:type="dxa"/>
          </w:tblCellMar>
        </w:tblPrEx>
        <w:trPr>
          <w:cantSplit/>
          <w:trHeight w:val="762"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桐乡市恒诚节能技术咨询有限公司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技术咨询合同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乙方负责海盐恒大都汇华庭的节能评估审查</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153,000.00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r>
      <w:tr>
        <w:tblPrEx>
          <w:tblCellMar>
            <w:top w:w="0" w:type="dxa"/>
            <w:left w:w="0" w:type="dxa"/>
            <w:bottom w:w="0" w:type="dxa"/>
            <w:right w:w="0" w:type="dxa"/>
          </w:tblCellMar>
        </w:tblPrEx>
        <w:trPr>
          <w:cantSplit/>
          <w:trHeight w:val="626"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威海山花华宝地毯有限公司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海盐恒大都汇华庭地毯采购合同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乙方负责海盐恒大都汇华庭项目的地毯供应</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111,152.00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r>
      <w:tr>
        <w:tblPrEx>
          <w:tblCellMar>
            <w:top w:w="0" w:type="dxa"/>
            <w:left w:w="0" w:type="dxa"/>
            <w:bottom w:w="0" w:type="dxa"/>
            <w:right w:w="0" w:type="dxa"/>
          </w:tblCellMar>
        </w:tblPrEx>
        <w:trPr>
          <w:cantSplit/>
          <w:trHeight w:val="654"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嘉兴嘉报传媒广告有限公司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南湖晚报2020年度广告合作协议</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甲方在南湖晚报媒体平台发布商业广告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r>
      <w:tr>
        <w:tblPrEx>
          <w:tblCellMar>
            <w:top w:w="0" w:type="dxa"/>
            <w:left w:w="0" w:type="dxa"/>
            <w:bottom w:w="0" w:type="dxa"/>
            <w:right w:w="0" w:type="dxa"/>
          </w:tblCellMar>
        </w:tblPrEx>
        <w:trPr>
          <w:cantSplit/>
          <w:trHeight w:val="4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嘉兴钧策文化传媒有限公司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明日观地产2020年度广告合作协议</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甲方在明日观地产媒体平台上发布商业广告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嘉兴爱快信息技术有限公司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禾枫说楼2020年度广告合作协议</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甲方在明日观地产媒体平台上发布商业广告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嘉兴市广播电视集团</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嘉兴电台2020年度广告合作协议</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甲方在明日观地产媒体平台上发布商业广告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海盐县武原街道环卫所</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生活垃圾清运及处置委托协议书</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乙方负责海盐恒大都汇华庭售楼部垃圾清理</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3,600.00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广州市雅媞饰家装饰工程有限公司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海盐恒大都汇华庭项目高层临时MT6-2saA户型现代橙装风格样板房室内软装饰施工合同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项项目高层临时MI6-2sA户型现代橙装风格样板房软装饰方案的设计，按甲方最终确认的年度中标软裴风格方案结合样板房现场装饰效果进行装饰物料配置、物流配送、现场布置及安装等工作</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306,125.00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嘉兴巨匠防护设备有限公司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海盐都汇华庭项目人防门供货及安装工程施工合同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乙方负责海盐都汇华庭项目人防门供货及安装工程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720,292.65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《海盐恒大都汇华庭项目围蔽工程施工合同》补充协议（1-赶工奖框架协议）及补充协议（2-赶工奖）</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鉴于乙方承接的《海盐恒大都汇华庭项目围蔽工程》在2020年 7月的施工进度达到甲方设定的目标进度，甲方同意支付乙方赶工奖，具体赶工奖金额为</w:t>
            </w:r>
            <w:r>
              <w:rPr>
                <w:rFonts w:hint="eastAsia" w:ascii="宋体" w:hAnsi="宋体" w:cs="宋体"/>
                <w:color w:val="000000"/>
                <w:kern w:val="0"/>
                <w:sz w:val="18"/>
                <w:szCs w:val="18"/>
                <w:lang w:bidi="ar"/>
              </w:rPr>
              <w:t>∶</w:t>
            </w:r>
            <w:r>
              <w:rPr>
                <w:rFonts w:ascii="Arial" w:hAnsi="Arial" w:cs="Arial"/>
                <w:color w:val="000000"/>
                <w:kern w:val="0"/>
                <w:sz w:val="18"/>
                <w:szCs w:val="18"/>
                <w:lang w:bidi="ar"/>
              </w:rPr>
              <w:t>5184.34元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5,184.34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r>
      <w:tr>
        <w:tblPrEx>
          <w:tblCellMar>
            <w:top w:w="0" w:type="dxa"/>
            <w:left w:w="0" w:type="dxa"/>
            <w:bottom w:w="0" w:type="dxa"/>
            <w:right w:w="0" w:type="dxa"/>
          </w:tblCellMar>
        </w:tblPrEx>
        <w:trPr>
          <w:cantSplit/>
          <w:trHeight w:val="514"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南京唯启广告传媒有限公司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海盐恒大都汇华庭展示区导视系统及精神堡垒制作安装工程施工合同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乙方负责海盐恒大都汇华庭展示区导视系统及精神堡垒制作安装工程施工</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150,339.80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嘉兴十九楼网络科技有限公司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嘉兴19楼2020年度广告合作协议</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甲方在嘉兴19楼媒体平台上发布商业广告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r>
    </w:tbl>
    <w:p>
      <w:pPr>
        <w:rPr>
          <w:rFonts w:ascii="Arial" w:hAnsi="Arial" w:cs="Arial"/>
        </w:rPr>
      </w:pPr>
    </w:p>
    <w:p>
      <w:pPr>
        <w:rPr>
          <w:rFonts w:ascii="Arial" w:hAnsi="Arial" w:cs="Arial"/>
        </w:rPr>
      </w:pPr>
      <w:bookmarkStart w:id="259" w:name="_Toc9630"/>
      <w:bookmarkStart w:id="260" w:name="_Toc4141"/>
      <w:bookmarkStart w:id="261" w:name="_Toc7756"/>
      <w:bookmarkStart w:id="262" w:name="_Toc10219"/>
      <w:bookmarkStart w:id="263" w:name="_Toc10873"/>
      <w:bookmarkStart w:id="264" w:name="_Toc28483"/>
      <w:bookmarkStart w:id="265" w:name="_Toc799"/>
      <w:bookmarkStart w:id="266" w:name="_Toc7407"/>
      <w:bookmarkStart w:id="267" w:name="_Toc26465"/>
      <w:bookmarkStart w:id="268" w:name="_Toc3819"/>
      <w:bookmarkStart w:id="269" w:name="_Toc32286"/>
      <w:bookmarkStart w:id="270" w:name="_Toc1582"/>
      <w:bookmarkStart w:id="271" w:name="_Toc4738"/>
      <w:bookmarkStart w:id="272" w:name="_Toc4356"/>
    </w:p>
    <w:p>
      <w:pPr>
        <w:pStyle w:val="3"/>
        <w:rPr>
          <w:rFonts w:eastAsia="宋体" w:cs="Arial"/>
          <w:sz w:val="24"/>
        </w:rPr>
      </w:pPr>
      <w:bookmarkStart w:id="273" w:name="_Toc22963"/>
      <w:r>
        <w:rPr>
          <w:rFonts w:eastAsia="宋体" w:cs="Arial"/>
          <w:sz w:val="24"/>
        </w:rPr>
        <w:t>5.2项目合同支付情况</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spacing w:line="480" w:lineRule="auto"/>
        <w:ind w:firstLine="420" w:firstLineChars="200"/>
        <w:rPr>
          <w:rFonts w:ascii="Arial" w:hAnsi="Arial" w:cs="Arial"/>
          <w:szCs w:val="21"/>
        </w:rPr>
      </w:pPr>
      <w:r>
        <w:rPr>
          <w:rFonts w:ascii="Arial" w:hAnsi="Arial" w:cs="Arial"/>
          <w:szCs w:val="21"/>
        </w:rPr>
        <w:t>依据项目公司提供的合同台账，截至2020年10月31日，项目公司共签订合同（含土地使用权出让合同变更协议）58份，合同金额共计879,434,266.92元，依据合同支付552,324,592.77元，其中10月支付22,351,083.14元，待支付合同金额327,109,674.15 元，合同支付情况详见下表：</w:t>
      </w:r>
    </w:p>
    <w:p>
      <w:pPr>
        <w:spacing w:line="480" w:lineRule="auto"/>
        <w:ind w:firstLine="420" w:firstLineChars="200"/>
        <w:rPr>
          <w:rFonts w:ascii="Arial" w:hAnsi="Arial" w:cs="Arial"/>
          <w:szCs w:val="21"/>
        </w:rPr>
      </w:pPr>
      <w:r>
        <w:rPr>
          <w:rFonts w:ascii="Arial" w:hAnsi="Arial" w:cs="Arial"/>
          <w:szCs w:val="21"/>
        </w:rPr>
        <w:t>（转下页）</w:t>
      </w:r>
    </w:p>
    <w:p>
      <w:pPr>
        <w:rPr>
          <w:rFonts w:ascii="Arial" w:hAnsi="Arial" w:cs="Arial"/>
          <w:szCs w:val="21"/>
        </w:rPr>
        <w:sectPr>
          <w:headerReference r:id="rId6" w:type="default"/>
          <w:footerReference r:id="rId7" w:type="default"/>
          <w:pgSz w:w="11905" w:h="16838"/>
          <w:pgMar w:top="1134" w:right="1134" w:bottom="1134" w:left="1134" w:header="851" w:footer="992" w:gutter="340"/>
          <w:pgNumType w:start="1"/>
          <w:cols w:space="0" w:num="1"/>
          <w:docGrid w:linePitch="312" w:charSpace="0"/>
        </w:sectPr>
      </w:pPr>
      <w:r>
        <w:rPr>
          <w:rFonts w:ascii="Arial" w:hAnsi="Arial" w:cs="Arial"/>
          <w:szCs w:val="21"/>
        </w:rPr>
        <w:br w:type="page"/>
      </w:r>
    </w:p>
    <w:p>
      <w:pPr>
        <w:rPr>
          <w:rFonts w:ascii="Arial" w:hAnsi="Arial" w:cs="Arial"/>
          <w:szCs w:val="21"/>
        </w:rPr>
      </w:pPr>
    </w:p>
    <w:p>
      <w:pPr>
        <w:spacing w:before="240" w:beforeLines="100"/>
        <w:jc w:val="center"/>
        <w:rPr>
          <w:rFonts w:ascii="Arial" w:hAnsi="Arial" w:cs="Arial"/>
          <w:b/>
          <w:color w:val="000000"/>
          <w:sz w:val="24"/>
          <w:szCs w:val="28"/>
        </w:rPr>
      </w:pPr>
      <w:r>
        <w:rPr>
          <w:rFonts w:ascii="Arial" w:hAnsi="Arial" w:cs="Arial"/>
          <w:b/>
          <w:color w:val="000000"/>
          <w:sz w:val="24"/>
          <w:szCs w:val="28"/>
        </w:rPr>
        <w:t>合同付款情况统计表</w:t>
      </w:r>
    </w:p>
    <w:tbl>
      <w:tblPr>
        <w:tblStyle w:val="18"/>
        <w:tblW w:w="13685" w:type="dxa"/>
        <w:jc w:val="center"/>
        <w:tblLayout w:type="fixed"/>
        <w:tblCellMar>
          <w:top w:w="0" w:type="dxa"/>
          <w:left w:w="0" w:type="dxa"/>
          <w:bottom w:w="0" w:type="dxa"/>
          <w:right w:w="0" w:type="dxa"/>
        </w:tblCellMar>
      </w:tblPr>
      <w:tblGrid>
        <w:gridCol w:w="982"/>
        <w:gridCol w:w="1421"/>
        <w:gridCol w:w="1014"/>
        <w:gridCol w:w="2677"/>
        <w:gridCol w:w="2568"/>
        <w:gridCol w:w="1596"/>
        <w:gridCol w:w="1394"/>
        <w:gridCol w:w="1493"/>
        <w:gridCol w:w="540"/>
      </w:tblGrid>
      <w:tr>
        <w:tblPrEx>
          <w:tblCellMar>
            <w:top w:w="0" w:type="dxa"/>
            <w:left w:w="0" w:type="dxa"/>
            <w:bottom w:w="0" w:type="dxa"/>
            <w:right w:w="0" w:type="dxa"/>
          </w:tblCellMar>
        </w:tblPrEx>
        <w:trPr>
          <w:cantSplit/>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1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7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7"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cantSplit/>
          <w:trHeight w:val="643"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1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7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3304242020A21025 号《国有建设用地使用权出让合同》变更协议</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恒大地产集团上海盛建置业有限公司、海盐县自然资源和规划局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国有建设用地使用权出让合同变更协议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506,177,100.00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506,177,100.00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506,177,100.00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506,177,100.00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100%</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1,825,012.46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恒沪工合字20[0.37-97]001-1、001-2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《海盐恒大都汇华庭项目围蔽工程施工合同》补充协议（1-赶工奖框架协议）及补充协议（2-赶工奖）</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5,184.34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广州市恒合工程监理有限公司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建设工程监理合同（海盐恒大都汇华庭项目监理工程（非人防））</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3,476,202.00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海盐恒大都汇华庭项目临时道路工程施工合同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1,000,445.60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海盐恒大都汇华庭临时围墙工程施工合同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383,997.41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浙江省地球物理技术应用研究所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海盐恒大都汇华庭项目桩基检测工程承包合同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593,795.00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浙江东南建设管理有限公司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海盐恒大都汇华庭项目人防监理合同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94,679.20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海盐恒大都汇华庭项目勘察工程施工合同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607,483.48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上海电气承广电力工程有限公司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电力安装工程设计施工承包合同(海盐恒大都汇华庭项目临时用电工程)</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565,257.28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海盐恒大都汇华庭基坑监测工程监测合同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213,484.00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海盐恒大都汇华庭项目人防工程施工图设计合同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147,830.14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1"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4,315,677.76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895,791.64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895,791.64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r>
      <w:tr>
        <w:tblPrEx>
          <w:tblCellMar>
            <w:top w:w="0" w:type="dxa"/>
            <w:left w:w="0" w:type="dxa"/>
            <w:bottom w:w="0" w:type="dxa"/>
            <w:right w:w="0" w:type="dxa"/>
          </w:tblCellMar>
        </w:tblPrEx>
        <w:trPr>
          <w:cantSplit/>
          <w:trHeight w:val="57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杭州市勘测设</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计研究院</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海盐恒大都汇华庭项目基坑支护设计合同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268,000.00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268,000.00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上海柏涛工程设计顾问有限公司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建筑外立面方案设计合同（海盐恒大都汇华庭项目非标立面方案设计）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1,150,000.00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深圳市希尔景观设计有限公司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海盐恒大都汇华庭项目园林工程设计合同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595,186.10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广州市白云建筑设计院有限公司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嘉兴海盐县新桥路西项目（海盐恒大都会华庭项目）规划方案设计费支付协议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临时使用土地合同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临时用地复垦方案</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临时用地复垦协议书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桐乡市恒诚节能技术咨询有限公司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技术咨询合同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153,000.00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前期类合同合计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16,123,354.77</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1,163,791.64</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1,689,911.64</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浙江尚都建设有限公司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海盐恒大都汇华庭项目土石方工程施工合同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10,607,008.00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海盐恒大都汇华庭项目桩基工程施工合同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75,962,717.16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20,620,003.50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30,748,701.44</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海盐恒大都汇华庭项目基坑支护及降排水工程施工合同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40,551,285.55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11,871,302.06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29%</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江苏省苏中建设集团股份有限公司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海盐恒大都汇华庭项目主体及配套建设工程施工合同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215,000,000.00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68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上海继昱建设工程有限公司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海盐恒大都汇华庭售楼处临时样板房、商业消防工程施工合同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289,164.50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西安高科幕墙门窗有限公司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海盐恒大都汇华庭售楼处、商业外立面幕墙工程施工合同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1,969,524.40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嘉兴巨匠防护设备有限公司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海盐都汇华庭项目人防门供货及安装工程施工合同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sz w:val="18"/>
                <w:szCs w:val="18"/>
                <w:lang w:bidi="ar"/>
              </w:rPr>
              <w:t xml:space="preserve">720,292.65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广州恒大材料设备有限公司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深圳恒大材料设备有限公司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84,600.00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cantSplit/>
          <w:trHeight w:val="369"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工程类合同合计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345,099,992.26</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20,620,003.50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42,704,603.50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12%</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上海鹤琢广告有限公司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海盐恒大都汇华庭项目全案广告代理合同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900,000.00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广东天广联会展有限公司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海盐恒大都汇华庭智慧社区展示区物料包装合同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430,000.00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236,500.00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236,500.00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55%</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深圳钛铂新媒体营销股份有限公司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海盐恒大都汇华庭项目3D宣传片制作合同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135,000.00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lang w:bidi="ar"/>
              </w:rPr>
              <w:t xml:space="preserve">40,500.00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海盐恒大都汇华庭售楼处室内装修工程施工合同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1,108,967.66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kern w:val="0"/>
                <w:sz w:val="18"/>
                <w:szCs w:val="18"/>
                <w:lang w:bidi="ar"/>
              </w:rPr>
              <w:t>0.00</w:t>
            </w:r>
            <w:r>
              <w:rPr>
                <w:rFonts w:ascii="Arial" w:hAnsi="Arial" w:cs="Arial"/>
                <w:color w:val="000000"/>
                <w:sz w:val="18"/>
                <w:szCs w:val="18"/>
                <w:lang w:bidi="ar"/>
              </w:rPr>
              <w:t xml:space="preserve">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lang w:bidi="ar"/>
              </w:rPr>
              <w:t xml:space="preserve">554,483.83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海盐恒大都汇华庭临时样板房室内装修工程施工合同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137,453.04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海盐恒大都汇华庭项目售楼处小型中央空调安装施工合同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105,247.50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海盐恒大都汇华庭临时样板房小型中央空调安装施工合同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21,146.69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湖南美致空间设计空间有限公司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海盐恒大都汇华庭项目滨河左岸销售中心室内软装工程施工合同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661,576.00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330,788.00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529,260.80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安徽省安泰科技股份有限公司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海盐恒大都汇华庭售楼处、临时样板房智能化工程施工合同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237,177.33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171,420.39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江门市中意灯饰水晶有限公司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海盐恒大都汇华庭售楼部艺术灯具购销合同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105,752.94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海盐恒大都汇华庭项目样板房小型中央空调采购合同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31,940.26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威海山花华宝地毯有限公司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海盐恒大都汇华庭地毯采购合同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111,152.00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嘉兴嘉报传媒广告有限公司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南湖晚报2020年度广告合作协议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嘉兴钧策文化传媒有限公司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明日观地产2020年度广告合作协议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嘉兴爱快信息技术有限公司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禾枫说楼2020年度广告合作协议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嘉兴市广播电视集团</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嘉兴电台2020年度广告合作协议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海盐县武原街道环卫所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生活垃圾清运及处置委托协议书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3,600.00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广州市雅媞饰家装饰工程有限公司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海盐恒大都汇华庭项目高层临时MT6-2saA户型现代橙装风格样板房室内软装饰施工合同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306,125.00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南京唯启广告传媒有限公司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海盐恒大都汇华庭展示区导视系统及精神堡垒制作安装工程施工合同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150,339.80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嘉兴十九楼网络科技有限公司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嘉兴19楼2020年度广告合作协议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营销类合同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5,116,898.61</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567,288.00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1,360,744.63</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海盐恒大都汇华庭项目红线外设置施工道路工程施工合同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769,321.28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上海徐汇园林发展有限公司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海盐恒大都汇华庭园建施工合同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5,700,800.00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基础设施类合同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6,470,121.28</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恒沪租合字20[0.37-95]001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2020/5/13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房屋租赁合同(吴文博)</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46,800.00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管理类合同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46,800.00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嘉兴海房工程咨询有限公司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咨询服务协议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392,233.00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98%</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其他类合同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400,000.00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bCs/>
                <w:color w:val="000000"/>
                <w:kern w:val="0"/>
                <w:sz w:val="18"/>
                <w:szCs w:val="18"/>
                <w:lang w:bidi="ar"/>
              </w:rPr>
              <w:t xml:space="preserve">392,233.00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98%</w:t>
            </w:r>
          </w:p>
        </w:tc>
      </w:tr>
      <w:tr>
        <w:tblPrEx>
          <w:tblCellMar>
            <w:top w:w="0" w:type="dxa"/>
            <w:left w:w="0" w:type="dxa"/>
            <w:bottom w:w="0" w:type="dxa"/>
            <w:right w:w="0" w:type="dxa"/>
          </w:tblCellMar>
        </w:tblPrEx>
        <w:trPr>
          <w:cantSplit/>
          <w:trHeight w:val="369"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879,434,266.92</w:t>
            </w:r>
          </w:p>
        </w:tc>
        <w:tc>
          <w:tcPr>
            <w:tcW w:w="139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22,351,083.14</w:t>
            </w:r>
          </w:p>
        </w:tc>
        <w:tc>
          <w:tcPr>
            <w:tcW w:w="1493"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color w:val="000000"/>
                <w:kern w:val="0"/>
                <w:sz w:val="18"/>
                <w:szCs w:val="18"/>
                <w:lang w:bidi="ar"/>
              </w:rPr>
              <w:t>552,324,592.77</w:t>
            </w:r>
          </w:p>
        </w:tc>
        <w:tc>
          <w:tcPr>
            <w:tcW w:w="54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63%</w:t>
            </w:r>
          </w:p>
        </w:tc>
      </w:tr>
    </w:tbl>
    <w:p>
      <w:pPr>
        <w:ind w:left="1411" w:leftChars="303" w:right="489" w:rightChars="233" w:hanging="775" w:hangingChars="431"/>
        <w:rPr>
          <w:rFonts w:ascii="Arial" w:hAnsi="Arial" w:cs="Arial"/>
          <w:sz w:val="18"/>
          <w:szCs w:val="18"/>
        </w:rPr>
      </w:pPr>
      <w:r>
        <w:rPr>
          <w:rFonts w:ascii="Arial" w:hAnsi="Arial" w:cs="Arial"/>
          <w:sz w:val="18"/>
          <w:szCs w:val="18"/>
        </w:rPr>
        <w:t>备注：1、本表不包含项目公司签订的备案专用合同3份，分别为与平湖市东港建筑工程有限责任公司签订的《建设工程施工合同》2份，合同金额总价316,900,000.00元，此2份合同仅供双方办理无证施工处罚使用，不实际履行，双方无任何权利义务；与江苏省苏中建设集团股份有限公司签订的《建设工程施工合同》，合同金额340,000,000.00元，此合同仅供双方备案使用，不实际履行，双方无任何权利义务。</w:t>
      </w:r>
    </w:p>
    <w:p>
      <w:pPr>
        <w:numPr>
          <w:ilvl w:val="255"/>
          <w:numId w:val="0"/>
        </w:numPr>
        <w:ind w:left="401" w:leftChars="191" w:firstLine="540" w:firstLineChars="300"/>
        <w:jc w:val="left"/>
        <w:rPr>
          <w:rFonts w:ascii="Arial" w:hAnsi="Arial" w:cs="Arial"/>
          <w:bCs/>
          <w:kern w:val="44"/>
          <w:sz w:val="18"/>
          <w:szCs w:val="18"/>
        </w:rPr>
      </w:pPr>
      <w:r>
        <w:rPr>
          <w:rFonts w:ascii="Arial" w:hAnsi="Arial" w:cs="Arial"/>
          <w:sz w:val="18"/>
          <w:szCs w:val="18"/>
        </w:rPr>
        <w:t xml:space="preserve">  2、累计支付</w:t>
      </w:r>
      <w:r>
        <w:rPr>
          <w:rFonts w:ascii="Arial" w:hAnsi="Arial" w:cs="Arial"/>
          <w:bCs/>
          <w:kern w:val="44"/>
          <w:sz w:val="18"/>
          <w:szCs w:val="18"/>
        </w:rPr>
        <w:t>金额包含已开出商业承兑汇票金额。</w:t>
      </w: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sectPr>
          <w:pgSz w:w="16838" w:h="11905" w:orient="landscape"/>
          <w:pgMar w:top="1134" w:right="1134" w:bottom="1134" w:left="1134" w:header="851" w:footer="992" w:gutter="340"/>
          <w:cols w:space="0" w:num="1"/>
          <w:docGrid w:linePitch="312" w:charSpace="0"/>
        </w:sectPr>
      </w:pPr>
    </w:p>
    <w:p>
      <w:pPr>
        <w:pStyle w:val="3"/>
        <w:rPr>
          <w:rFonts w:eastAsia="宋体" w:cs="Arial"/>
          <w:color w:val="000000"/>
          <w:sz w:val="24"/>
          <w:szCs w:val="24"/>
        </w:rPr>
      </w:pPr>
      <w:bookmarkStart w:id="274" w:name="_Toc13989"/>
      <w:bookmarkStart w:id="275" w:name="_Toc373309851"/>
      <w:bookmarkStart w:id="276" w:name="_Toc411430359"/>
      <w:bookmarkStart w:id="277" w:name="_Toc532281663"/>
      <w:bookmarkStart w:id="278" w:name="_Toc6474"/>
      <w:bookmarkStart w:id="279" w:name="_Toc23345"/>
      <w:bookmarkStart w:id="280" w:name="_Toc17836"/>
      <w:bookmarkStart w:id="281" w:name="_Toc15137"/>
      <w:bookmarkStart w:id="282" w:name="_Toc45217880"/>
      <w:bookmarkStart w:id="283" w:name="_Toc11712"/>
      <w:bookmarkStart w:id="284" w:name="_Toc11147"/>
      <w:bookmarkStart w:id="285" w:name="_Toc19240"/>
      <w:bookmarkStart w:id="286" w:name="_Toc535580097"/>
      <w:bookmarkStart w:id="287" w:name="_Toc19599"/>
      <w:bookmarkStart w:id="288" w:name="_Toc12986"/>
      <w:bookmarkStart w:id="289" w:name="_Toc31506"/>
      <w:bookmarkStart w:id="290" w:name="_Toc22501"/>
      <w:bookmarkStart w:id="291" w:name="_Toc535570756"/>
      <w:bookmarkStart w:id="292" w:name="_Toc535580029"/>
      <w:bookmarkStart w:id="293" w:name="_Toc5971"/>
      <w:bookmarkStart w:id="294" w:name="_Toc4153"/>
      <w:bookmarkStart w:id="295" w:name="_Toc24707"/>
      <w:bookmarkStart w:id="296" w:name="_Toc1140"/>
      <w:bookmarkStart w:id="297" w:name="_Toc5206"/>
      <w:bookmarkStart w:id="298" w:name="_Toc3215"/>
      <w:bookmarkStart w:id="299" w:name="_Toc14038"/>
      <w:bookmarkStart w:id="300" w:name="_Toc18333"/>
      <w:bookmarkStart w:id="301" w:name="_Toc15439"/>
      <w:bookmarkStart w:id="302" w:name="_Toc23400"/>
      <w:bookmarkStart w:id="303" w:name="_Toc535508642"/>
      <w:bookmarkStart w:id="304" w:name="_Toc30482"/>
      <w:r>
        <w:rPr>
          <w:rFonts w:eastAsia="宋体" w:cs="Arial"/>
          <w:color w:val="000000"/>
          <w:sz w:val="24"/>
          <w:szCs w:val="24"/>
        </w:rPr>
        <w:t>5.3 针对大额合同支付的意见</w:t>
      </w:r>
      <w:bookmarkEnd w:id="274"/>
    </w:p>
    <w:p>
      <w:pPr>
        <w:spacing w:line="480" w:lineRule="auto"/>
        <w:ind w:firstLine="420" w:firstLineChars="200"/>
        <w:rPr>
          <w:rFonts w:ascii="Arial" w:hAnsi="Arial" w:cs="Arial"/>
          <w:szCs w:val="21"/>
        </w:rPr>
      </w:pPr>
      <w:r>
        <w:rPr>
          <w:rFonts w:ascii="Arial" w:hAnsi="Arial" w:cs="Arial"/>
          <w:szCs w:val="21"/>
        </w:rPr>
        <w:t>项目公司已于2020年7月2日我司入场前与江苏骏兴建设工程有限公司签定了《海盐恒大都汇华庭项目桩基工程施工合同》，由乙方负责海盐恒大都汇华庭项目桩基工程，具体施工范围以甲方确认的施工图、相关补充图、设计变更及现场工程师指令为准，合同金额75,962,717.16元。经我司对该合同价格进行复核，合同清单中主要的项目成孔、混凝土灌注、钢筋制安单价在合理范围内，未发现明显偏离市场价格的情况；经我司复核工程量情况，抽查部分工程量，发现暂估工程偏大，我司抽查1#、2#、s1楼及地下车库部位的混凝土灌注工程量，对比此部分合同暂估工程量，并按同比例预估整个项目工程量差异，预估因暂估工程量偏大，导致合同金额提高了20%。</w:t>
      </w:r>
    </w:p>
    <w:p>
      <w:pPr>
        <w:spacing w:line="480" w:lineRule="auto"/>
        <w:ind w:firstLine="420" w:firstLineChars="200"/>
        <w:rPr>
          <w:rFonts w:ascii="Arial" w:hAnsi="Arial" w:cs="Arial"/>
          <w:szCs w:val="21"/>
        </w:rPr>
      </w:pPr>
      <w:r>
        <w:rPr>
          <w:rFonts w:ascii="Arial" w:hAnsi="Arial" w:cs="Arial"/>
          <w:szCs w:val="21"/>
        </w:rPr>
        <w:t>本月项目公司提交了该工程2020年8月、9月工程进度款支付申请，乙方8月、9月完成工程量6705.45万元，占合同比例88%，经监理公司、项目公司审核，8月及9月核定产值6475.56万元。据此，项目公司出具8月及9月工程进度款支付审批单金额合计5180.44万元，占核定产值的80%，占合同总价的68%，实际申请支付2,062.00万元，占核定产值的31.84%。根据合同对进度款支付的约定：每月支付至乙方完成合格施工工程量（甲方认可）的 80 %，项目公司8月、9月桩基工程进度款支付申请金额符合合同约定。根据监理公司、项目公司提交的进度款申请资料及我公司人员在现场确认进度，已确认桩基工程已实施完毕，监理公司已确认质量符合要求，资料齐全；监理公司、项目公司已对施工单位上报的产值、月度付款额进行审核，并按审批权限做出确认，项目公司8月、9月桩基工程进度款支付比例与现场进度匹配。根据项目公司2020年10月10日提交的，中航信托已于2020年10月20日审批通过的《海盐恒大都汇华庭2020年10月支付计划》，项目公司2020年10月桩基工程计划支付工程进度款4,167.57万元，项目公司申请支付2020年8月、9月桩基工程进度款2,062.00万元，未超过资金计划审批金额。</w:t>
      </w:r>
    </w:p>
    <w:p>
      <w:pPr>
        <w:spacing w:line="480" w:lineRule="auto"/>
        <w:ind w:firstLine="420" w:firstLineChars="200"/>
        <w:rPr>
          <w:rFonts w:ascii="Arial" w:hAnsi="Arial" w:cs="Arial"/>
          <w:szCs w:val="21"/>
        </w:rPr>
      </w:pPr>
      <w:r>
        <w:rPr>
          <w:rFonts w:ascii="Arial" w:hAnsi="Arial" w:cs="Arial"/>
          <w:szCs w:val="21"/>
        </w:rPr>
        <w:t>综上所述，项目公司2020年10月申请支付2,062.00万元桩基工程进度款，符合合同条款约定及资金计划，支付比例与现场形象进度相匹配；本月支付后，桩基工程进度款累计支付3,074.87万元，仅占合同总价的40%，未达到涉及预估偏高的工程量比例，尚不会产生超付风险。</w:t>
      </w:r>
    </w:p>
    <w:p>
      <w:pPr>
        <w:spacing w:line="480" w:lineRule="auto"/>
        <w:ind w:firstLine="420" w:firstLineChars="200"/>
        <w:rPr>
          <w:rFonts w:ascii="Arial" w:hAnsi="Arial" w:cs="Arial"/>
          <w:szCs w:val="21"/>
        </w:rPr>
      </w:pPr>
      <w:r>
        <w:rPr>
          <w:rFonts w:ascii="Arial" w:hAnsi="Arial" w:cs="Arial"/>
          <w:szCs w:val="21"/>
        </w:rPr>
        <w:t>由于项目公司采用 1 年期电子商业承兑汇票形式支付本月工程款，根据项目公司提供的补贴利率12%，预计将增加对施工方的补贴成本216.9万元。</w:t>
      </w:r>
    </w:p>
    <w:p>
      <w:pPr>
        <w:pStyle w:val="2"/>
        <w:keepNext w:val="0"/>
        <w:keepLines w:val="0"/>
        <w:spacing w:before="300" w:after="300" w:line="360" w:lineRule="exact"/>
        <w:jc w:val="left"/>
        <w:rPr>
          <w:rFonts w:ascii="Arial" w:hAnsi="Arial" w:cs="Arial"/>
          <w:color w:val="000000"/>
          <w:sz w:val="24"/>
          <w:szCs w:val="24"/>
        </w:rPr>
      </w:pPr>
      <w:bookmarkStart w:id="305" w:name="_Toc13453"/>
      <w:r>
        <w:rPr>
          <w:rFonts w:ascii="Arial" w:hAnsi="Arial" w:cs="Arial"/>
          <w:color w:val="000000"/>
          <w:sz w:val="24"/>
          <w:szCs w:val="24"/>
        </w:rPr>
        <w:t>6资金</w:t>
      </w:r>
      <w:bookmarkEnd w:id="275"/>
      <w:bookmarkEnd w:id="276"/>
      <w:bookmarkEnd w:id="277"/>
      <w:r>
        <w:rPr>
          <w:rFonts w:ascii="Arial" w:hAnsi="Arial" w:cs="Arial"/>
          <w:color w:val="000000"/>
          <w:sz w:val="24"/>
          <w:szCs w:val="24"/>
        </w:rPr>
        <w:t>情况</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3"/>
        <w:rPr>
          <w:rFonts w:eastAsia="宋体" w:cs="Arial"/>
          <w:sz w:val="24"/>
        </w:rPr>
      </w:pPr>
      <w:bookmarkStart w:id="306" w:name="_Toc11232"/>
      <w:bookmarkStart w:id="307" w:name="_Toc26270"/>
      <w:bookmarkStart w:id="308" w:name="_Toc45217881"/>
      <w:bookmarkStart w:id="309" w:name="_Toc7253"/>
      <w:bookmarkStart w:id="310" w:name="_Toc535580030"/>
      <w:bookmarkStart w:id="311" w:name="_Toc20103"/>
      <w:bookmarkStart w:id="312" w:name="_Toc8487"/>
      <w:bookmarkStart w:id="313" w:name="_Toc4446"/>
      <w:bookmarkStart w:id="314" w:name="_Toc13085"/>
      <w:bookmarkStart w:id="315" w:name="_Toc535580098"/>
      <w:bookmarkStart w:id="316" w:name="_Toc17229"/>
      <w:bookmarkStart w:id="317" w:name="_Toc296"/>
      <w:bookmarkStart w:id="318" w:name="_Toc2689"/>
      <w:bookmarkStart w:id="319" w:name="_Toc9084"/>
      <w:bookmarkStart w:id="320" w:name="_Toc6055"/>
      <w:bookmarkStart w:id="321" w:name="_Toc6281"/>
      <w:bookmarkStart w:id="322" w:name="_Toc4358"/>
      <w:bookmarkStart w:id="323" w:name="_Toc535508643"/>
      <w:bookmarkStart w:id="324" w:name="_Toc535570757"/>
      <w:bookmarkStart w:id="325" w:name="_Toc15195"/>
      <w:bookmarkStart w:id="326" w:name="_Toc1758"/>
      <w:bookmarkStart w:id="327" w:name="_Toc724"/>
      <w:bookmarkStart w:id="328" w:name="_Toc13970"/>
      <w:bookmarkStart w:id="329" w:name="_Toc31674"/>
      <w:bookmarkStart w:id="330" w:name="_Toc16263"/>
      <w:bookmarkStart w:id="331" w:name="_Toc10525"/>
      <w:bookmarkStart w:id="332" w:name="_Toc5267"/>
      <w:bookmarkStart w:id="333" w:name="_Toc5129"/>
      <w:r>
        <w:rPr>
          <w:rFonts w:eastAsia="宋体" w:cs="Arial"/>
          <w:sz w:val="24"/>
        </w:rPr>
        <w:t>6.1资金流出情况</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spacing w:line="480" w:lineRule="auto"/>
        <w:ind w:firstLine="420" w:firstLineChars="200"/>
        <w:rPr>
          <w:rFonts w:ascii="Arial" w:hAnsi="Arial" w:cs="Arial"/>
          <w:bCs/>
          <w:kern w:val="44"/>
          <w:szCs w:val="21"/>
        </w:rPr>
      </w:pPr>
      <w:r>
        <w:rPr>
          <w:rFonts w:ascii="Arial" w:hAnsi="Arial" w:cs="Arial"/>
          <w:bCs/>
          <w:kern w:val="44"/>
          <w:szCs w:val="21"/>
        </w:rPr>
        <w:t>项目公司2020年10月资金支出计划6,353.73万元，实际资金支付2,246.86万元，使用1年期商业承兑汇票支付1,160.38万元，9个月期商业承兑汇票支付1,018.00万元。除此之外，项目公司支付往来款14,463.00万元，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431"/>
        <w:gridCol w:w="1404"/>
        <w:gridCol w:w="166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项目</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16.01</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4.56</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28.48%</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原计划支付3笔费用，其中提前预测绘费4.56万元已支付；海盐县滨海规划测绘有限公司规划预测绘6.00万元未支付，浙江恒欣建筑设计股份有限公司桐乡恒欣分公司建筑日照分析费5.45万元未支付。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6,121.54</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2,098.38</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34.28%</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原计划支付18笔工程款，10月仅支付桩基工程款2,062.00万元；基坑支护设计工程款26.8万元；项目施工图设计费9.58万元。其他项目未支付。</w:t>
            </w:r>
          </w:p>
        </w:tc>
      </w:tr>
      <w:tr>
        <w:tblPrEx>
          <w:tblCellMar>
            <w:top w:w="0" w:type="dxa"/>
            <w:left w:w="108" w:type="dxa"/>
            <w:bottom w:w="0" w:type="dxa"/>
            <w:right w:w="108" w:type="dxa"/>
          </w:tblCellMar>
        </w:tblPrEx>
        <w:trPr>
          <w:trHeight w:val="429"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65.18</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56.73</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87.04%</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原计划支付4笔费用，10月仅支付智慧社区展示区物料包装工程款23.65万元；销售中心软装工程款33.08万元，其他项目未支付。</w:t>
            </w:r>
          </w:p>
        </w:tc>
      </w:tr>
      <w:tr>
        <w:tblPrEx>
          <w:tblCellMar>
            <w:top w:w="0" w:type="dxa"/>
            <w:left w:w="108" w:type="dxa"/>
            <w:bottom w:w="0" w:type="dxa"/>
            <w:right w:w="108" w:type="dxa"/>
          </w:tblCellMar>
        </w:tblPrEx>
        <w:trPr>
          <w:trHeight w:val="9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51.00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7.11</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13.94%</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发放员工工资、社保、公积金等支出共计1.36万元；水电费、网络费支出共计5.40万元；办公用品0.35万元；由于项目尚未开盘，10月实际支付的员工工资、社保、公积金低于资金计划。</w:t>
            </w:r>
          </w:p>
        </w:tc>
      </w:tr>
      <w:tr>
        <w:tblPrEx>
          <w:tblCellMar>
            <w:top w:w="0" w:type="dxa"/>
            <w:left w:w="108" w:type="dxa"/>
            <w:bottom w:w="0" w:type="dxa"/>
            <w:right w:w="108" w:type="dxa"/>
          </w:tblCellMar>
        </w:tblPrEx>
        <w:trPr>
          <w:trHeight w:val="53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0.08</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0.40%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均为手续费和税费；税费支出以项目公司申报自动划扣，符合国家相关标准。</w:t>
            </w:r>
          </w:p>
        </w:tc>
      </w:tr>
      <w:tr>
        <w:tblPrEx>
          <w:tblCellMar>
            <w:top w:w="0" w:type="dxa"/>
            <w:left w:w="108" w:type="dxa"/>
            <w:bottom w:w="0" w:type="dxa"/>
            <w:right w:w="108" w:type="dxa"/>
          </w:tblCellMar>
        </w:tblPrEx>
        <w:trPr>
          <w:trHeight w:val="552"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其他不可预见费</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80.00</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支付未在10月资金计划中列示的工程费用项目施工图设计费80.00万元。</w:t>
            </w: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bCs/>
                <w:sz w:val="18"/>
                <w:szCs w:val="18"/>
              </w:rPr>
            </w:pPr>
            <w:r>
              <w:rPr>
                <w:rFonts w:ascii="Arial" w:hAnsi="Arial" w:cs="Arial"/>
                <w:b/>
                <w:bCs/>
                <w:color w:val="000000"/>
                <w:kern w:val="0"/>
                <w:sz w:val="18"/>
                <w:szCs w:val="18"/>
                <w:lang w:bidi="ar"/>
              </w:rPr>
              <w:t>合计</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6,353.73</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2,246.86</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35.36%</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top"/>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2020年10月份，项目公司资金使用情况详见下表：</w:t>
      </w:r>
    </w:p>
    <w:p>
      <w:pPr>
        <w:spacing w:line="480" w:lineRule="auto"/>
        <w:ind w:firstLine="420" w:firstLineChars="200"/>
        <w:rPr>
          <w:rFonts w:ascii="Arial" w:hAnsi="Arial" w:cs="Arial"/>
          <w:bCs/>
          <w:kern w:val="44"/>
          <w:szCs w:val="21"/>
        </w:rPr>
        <w:sectPr>
          <w:pgSz w:w="11905" w:h="16838"/>
          <w:pgMar w:top="1134" w:right="1134" w:bottom="1134" w:left="1134" w:header="851" w:footer="992" w:gutter="340"/>
          <w:cols w:space="0" w:num="1"/>
          <w:docGrid w:linePitch="312" w:charSpace="0"/>
        </w:sectPr>
      </w:pPr>
      <w:r>
        <w:rPr>
          <w:rFonts w:ascii="Arial" w:hAnsi="Arial" w:cs="Arial"/>
          <w:bCs/>
          <w:kern w:val="44"/>
          <w:szCs w:val="21"/>
        </w:rPr>
        <w:t>（转下页）</w:t>
      </w:r>
    </w:p>
    <w:p>
      <w:pPr>
        <w:spacing w:before="240" w:beforeLines="100"/>
        <w:jc w:val="center"/>
        <w:rPr>
          <w:rFonts w:ascii="Arial" w:hAnsi="Arial" w:cs="Arial"/>
          <w:b/>
          <w:color w:val="000000"/>
          <w:sz w:val="24"/>
          <w:szCs w:val="28"/>
        </w:rPr>
      </w:pPr>
      <w:bookmarkStart w:id="334" w:name="_Toc45217882"/>
      <w:bookmarkStart w:id="335" w:name="_Toc535570758"/>
      <w:bookmarkStart w:id="336" w:name="_Toc535580099"/>
      <w:bookmarkStart w:id="337" w:name="_Toc535580031"/>
      <w:bookmarkStart w:id="338" w:name="_Toc535508644"/>
      <w:r>
        <w:rPr>
          <w:rFonts w:ascii="Arial" w:hAnsi="Arial" w:cs="Arial"/>
          <w:b/>
          <w:color w:val="000000"/>
          <w:sz w:val="24"/>
          <w:szCs w:val="28"/>
        </w:rPr>
        <w:t>项目公司现金流出明细表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989"/>
        <w:gridCol w:w="1140"/>
        <w:gridCol w:w="1786"/>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89"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4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78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国网浙江省电力有限公司嘉兴供电公司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1,258.32 </w:t>
            </w:r>
          </w:p>
        </w:tc>
        <w:tc>
          <w:tcPr>
            <w:tcW w:w="1140" w:type="dxa"/>
            <w:vAlign w:val="center"/>
          </w:tcPr>
          <w:p>
            <w:pPr>
              <w:widowControl/>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建筑工程费用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国网浙江省电力有限公司嘉兴供电公司</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5,446.17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建筑工程费用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嘉兴市住房公积金管理服务中心海盐分中心</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公积金</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2,912.00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2020/10/9</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海盐县天仙河自来水经营有限公司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用水费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10,583.12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2020/10/11</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国网浙江省电力有限公司嘉兴供电公司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1,135.01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2020/10/11</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国网浙江省电力有限公司嘉兴供电公司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电费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3,535.94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2020/10/11</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2020/10/12</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2020/10/12</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待报解预算收入（财库联网集中户）</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基本医疗保险费220.80|失业保险费91.00|基本医疗保险费1638.00|企业职工基本养老保险费1456.00</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3,405.80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2020/10/13</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建行-1027</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2020/10/15</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2020/10/15</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12</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广东特立会展科技有限公司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智慧社区展示区物料工程款</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236,500.00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2020/10/15</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营销费用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13</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嘉兴市国华建设工程造价咨询有限公司海盐分公司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提前预测绘费用.</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45,600.00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2020/10/15</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前期费用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14</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 </w:t>
            </w:r>
          </w:p>
        </w:tc>
        <w:tc>
          <w:tcPr>
            <w:tcW w:w="11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1786"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15</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待报解预算收入（财库联网集中户）</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个人所得税</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74.51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2020/10/19</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16</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杭州亚君文化办公用品有限公司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办公用品</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3,537.40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17</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湖南美致空间设计工程有限公司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销售中心软装工程款</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330,788.00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18</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中国联合网络通信有限公司嘉兴市分公司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网络费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24,017.40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19</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徐腾峰</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浮动工资</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2,506.26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20</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潘汝杰</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浮动工资</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2,520.00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21</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戚一飞</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浮动工资</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683.48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22</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张晓杰</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浮动工资</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1,606.52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23</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24</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15.00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25</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5.00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26</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27</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国网浙江省电力有限公司嘉兴供电公司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电费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4,228.95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28</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国网浙江省电力有限公司嘉兴供电公司</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电费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3,767.36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2020/10/20</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建行-1027</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29</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2020/10/21</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30</w:t>
            </w:r>
          </w:p>
        </w:tc>
        <w:tc>
          <w:tcPr>
            <w:tcW w:w="2281"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2496" w:type="dxa"/>
            <w:vAlign w:val="center"/>
          </w:tcPr>
          <w:p>
            <w:pPr>
              <w:widowControl/>
              <w:jc w:val="center"/>
              <w:rPr>
                <w:rFonts w:ascii="Arial" w:hAnsi="Arial" w:cs="Arial"/>
                <w:color w:val="000000"/>
                <w:sz w:val="18"/>
                <w:szCs w:val="18"/>
              </w:rPr>
            </w:pPr>
            <w:r>
              <w:rPr>
                <w:rFonts w:ascii="Arial" w:hAnsi="Arial" w:cs="Arial"/>
                <w:color w:val="000000"/>
                <w:sz w:val="18"/>
                <w:szCs w:val="18"/>
              </w:rPr>
              <w:t>手续费</w:t>
            </w:r>
          </w:p>
        </w:tc>
        <w:tc>
          <w:tcPr>
            <w:tcW w:w="1989"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2.00 </w:t>
            </w:r>
          </w:p>
        </w:tc>
        <w:tc>
          <w:tcPr>
            <w:tcW w:w="1140" w:type="dxa"/>
            <w:vAlign w:val="center"/>
          </w:tcPr>
          <w:p>
            <w:pPr>
              <w:widowControl/>
              <w:jc w:val="center"/>
              <w:rPr>
                <w:rFonts w:ascii="Arial" w:hAnsi="Arial" w:cs="Arial"/>
                <w:color w:val="000000"/>
                <w:sz w:val="18"/>
                <w:szCs w:val="18"/>
              </w:rPr>
            </w:pPr>
            <w:r>
              <w:rPr>
                <w:rFonts w:ascii="Arial" w:hAnsi="Arial" w:cs="Arial"/>
                <w:color w:val="000000"/>
                <w:sz w:val="18"/>
                <w:szCs w:val="18"/>
              </w:rPr>
              <w:t>2020/10/21</w:t>
            </w:r>
          </w:p>
        </w:tc>
        <w:tc>
          <w:tcPr>
            <w:tcW w:w="1786" w:type="dxa"/>
            <w:vAlign w:val="center"/>
          </w:tcPr>
          <w:p>
            <w:pPr>
              <w:widowControl/>
              <w:jc w:val="center"/>
              <w:rPr>
                <w:rFonts w:ascii="Arial" w:hAnsi="Arial" w:cs="Arial"/>
                <w:color w:val="000000"/>
                <w:sz w:val="18"/>
                <w:szCs w:val="18"/>
              </w:rPr>
            </w:pPr>
            <w:r>
              <w:rPr>
                <w:rFonts w:ascii="Arial" w:hAnsi="Arial" w:cs="Arial"/>
                <w:color w:val="00000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31</w:t>
            </w:r>
          </w:p>
        </w:tc>
        <w:tc>
          <w:tcPr>
            <w:tcW w:w="2281"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2496" w:type="dxa"/>
            <w:vAlign w:val="center"/>
          </w:tcPr>
          <w:p>
            <w:pPr>
              <w:widowControl/>
              <w:jc w:val="center"/>
              <w:rPr>
                <w:rFonts w:ascii="Arial" w:hAnsi="Arial" w:cs="Arial"/>
                <w:kern w:val="0"/>
                <w:sz w:val="18"/>
                <w:szCs w:val="18"/>
              </w:rPr>
            </w:pPr>
            <w:r>
              <w:rPr>
                <w:rFonts w:ascii="Arial" w:hAnsi="Arial" w:cs="Arial"/>
                <w:kern w:val="0"/>
                <w:sz w:val="18"/>
                <w:szCs w:val="18"/>
              </w:rPr>
              <w:t>手续费</w:t>
            </w:r>
          </w:p>
        </w:tc>
        <w:tc>
          <w:tcPr>
            <w:tcW w:w="1989" w:type="dxa"/>
            <w:vAlign w:val="center"/>
          </w:tcPr>
          <w:p>
            <w:pPr>
              <w:widowControl/>
              <w:jc w:val="center"/>
              <w:rPr>
                <w:rFonts w:ascii="Arial" w:hAnsi="Arial" w:cs="Arial"/>
                <w:kern w:val="0"/>
                <w:sz w:val="18"/>
                <w:szCs w:val="18"/>
              </w:rPr>
            </w:pPr>
            <w:r>
              <w:rPr>
                <w:rFonts w:ascii="Arial" w:hAnsi="Arial" w:cs="Arial"/>
                <w:kern w:val="0"/>
                <w:sz w:val="18"/>
                <w:szCs w:val="18"/>
              </w:rPr>
              <w:t xml:space="preserve">99.00 </w:t>
            </w:r>
          </w:p>
        </w:tc>
        <w:tc>
          <w:tcPr>
            <w:tcW w:w="1140" w:type="dxa"/>
            <w:vAlign w:val="center"/>
          </w:tcPr>
          <w:p>
            <w:pPr>
              <w:widowControl/>
              <w:jc w:val="center"/>
              <w:rPr>
                <w:rFonts w:ascii="Arial" w:hAnsi="Arial" w:cs="Arial"/>
                <w:kern w:val="0"/>
                <w:sz w:val="18"/>
                <w:szCs w:val="18"/>
              </w:rPr>
            </w:pPr>
            <w:r>
              <w:rPr>
                <w:rFonts w:ascii="Arial" w:hAnsi="Arial" w:cs="Arial"/>
                <w:kern w:val="0"/>
                <w:sz w:val="18"/>
                <w:szCs w:val="18"/>
              </w:rPr>
              <w:t>2020/10/24</w:t>
            </w:r>
          </w:p>
        </w:tc>
        <w:tc>
          <w:tcPr>
            <w:tcW w:w="1786"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133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684,850.24</w:t>
            </w:r>
          </w:p>
        </w:tc>
      </w:tr>
    </w:tbl>
    <w:p>
      <w:pPr>
        <w:spacing w:line="480" w:lineRule="auto"/>
        <w:ind w:firstLine="420" w:firstLineChars="200"/>
        <w:jc w:val="left"/>
        <w:rPr>
          <w:rFonts w:ascii="Arial" w:hAnsi="Arial" w:cs="Arial"/>
          <w:bCs/>
          <w:kern w:val="44"/>
          <w:szCs w:val="21"/>
        </w:rPr>
      </w:pPr>
      <w:bookmarkStart w:id="339" w:name="_Toc14835"/>
      <w:bookmarkStart w:id="340" w:name="_Toc15931"/>
      <w:bookmarkStart w:id="341" w:name="_Toc5289"/>
      <w:bookmarkStart w:id="342" w:name="_Toc7687"/>
      <w:bookmarkStart w:id="343" w:name="_Toc10235"/>
      <w:bookmarkStart w:id="344" w:name="_Toc28402"/>
      <w:bookmarkStart w:id="345" w:name="_Toc21001"/>
      <w:bookmarkStart w:id="346" w:name="_Toc27392"/>
    </w:p>
    <w:p>
      <w:pPr>
        <w:spacing w:line="480" w:lineRule="auto"/>
        <w:ind w:firstLine="420" w:firstLineChars="200"/>
        <w:jc w:val="left"/>
        <w:rPr>
          <w:rFonts w:ascii="Arial" w:hAnsi="Arial" w:cs="Arial"/>
          <w:bCs/>
          <w:kern w:val="44"/>
          <w:szCs w:val="21"/>
        </w:rPr>
      </w:pPr>
    </w:p>
    <w:p>
      <w:pPr>
        <w:spacing w:line="480" w:lineRule="auto"/>
        <w:ind w:firstLine="420" w:firstLineChars="200"/>
        <w:jc w:val="left"/>
        <w:rPr>
          <w:rFonts w:ascii="Arial" w:hAnsi="Arial" w:cs="Arial"/>
          <w:bCs/>
          <w:kern w:val="44"/>
          <w:szCs w:val="21"/>
        </w:rPr>
        <w:sectPr>
          <w:pgSz w:w="16838" w:h="11905" w:orient="landscape"/>
          <w:pgMar w:top="1134" w:right="1134" w:bottom="1134" w:left="1134" w:header="851" w:footer="992" w:gutter="340"/>
          <w:cols w:space="0" w:num="1"/>
          <w:docGrid w:linePitch="312" w:charSpace="0"/>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spacing w:before="240" w:beforeLines="100"/>
        <w:ind w:firstLine="2650" w:firstLineChars="1100"/>
        <w:rPr>
          <w:rFonts w:ascii="Arial" w:hAnsi="Arial" w:cs="Arial"/>
          <w:b/>
          <w:color w:val="000000"/>
          <w:sz w:val="24"/>
          <w:szCs w:val="28"/>
        </w:rPr>
      </w:pPr>
      <w:bookmarkStart w:id="347" w:name="_Toc12848"/>
      <w:bookmarkStart w:id="348" w:name="_Toc12796"/>
      <w:bookmarkStart w:id="349" w:name="_Toc2854"/>
      <w:bookmarkStart w:id="350" w:name="_Toc24762"/>
      <w:bookmarkStart w:id="351" w:name="_Toc10418"/>
      <w:bookmarkStart w:id="352" w:name="_Toc13805"/>
      <w:bookmarkStart w:id="353" w:name="_Toc19143"/>
      <w:bookmarkStart w:id="354" w:name="_Toc18885"/>
      <w:bookmarkStart w:id="355" w:name="_Toc23589"/>
      <w:bookmarkStart w:id="356" w:name="_Toc26469"/>
      <w:bookmarkStart w:id="357" w:name="_Toc2906"/>
      <w:bookmarkStart w:id="358" w:name="_Toc8109"/>
      <w:r>
        <w:rPr>
          <w:rFonts w:ascii="Arial" w:hAnsi="Arial" w:cs="Arial"/>
          <w:b/>
          <w:color w:val="000000"/>
          <w:sz w:val="24"/>
          <w:szCs w:val="28"/>
        </w:rPr>
        <w:t>项目公司商业承兑汇票统计表</w:t>
      </w:r>
    </w:p>
    <w:tbl>
      <w:tblPr>
        <w:tblStyle w:val="19"/>
        <w:tblW w:w="10236"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2677"/>
        <w:gridCol w:w="2805"/>
        <w:gridCol w:w="148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tcPr>
          <w:p>
            <w:pPr>
              <w:widowControl/>
              <w:jc w:val="center"/>
              <w:rPr>
                <w:rFonts w:ascii="Arial" w:hAnsi="Arial" w:cs="Arial"/>
                <w:b/>
                <w:bCs/>
                <w:kern w:val="44"/>
                <w:sz w:val="18"/>
                <w:szCs w:val="18"/>
              </w:rPr>
            </w:pPr>
            <w:r>
              <w:rPr>
                <w:rFonts w:ascii="Arial" w:hAnsi="Arial" w:cs="Arial"/>
                <w:b/>
                <w:bCs/>
                <w:kern w:val="44"/>
                <w:sz w:val="18"/>
                <w:szCs w:val="18"/>
              </w:rPr>
              <w:t>出票时间</w:t>
            </w:r>
          </w:p>
        </w:tc>
        <w:tc>
          <w:tcPr>
            <w:tcW w:w="2677" w:type="dxa"/>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480" w:type="dxa"/>
          </w:tcPr>
          <w:p>
            <w:pPr>
              <w:widowControl/>
              <w:jc w:val="center"/>
              <w:rPr>
                <w:rFonts w:ascii="Arial" w:hAnsi="Arial" w:cs="Arial"/>
                <w:b/>
                <w:bCs/>
                <w:kern w:val="44"/>
                <w:sz w:val="18"/>
                <w:szCs w:val="18"/>
              </w:rPr>
            </w:pPr>
            <w:r>
              <w:rPr>
                <w:rFonts w:ascii="Arial" w:hAnsi="Arial" w:cs="Arial"/>
                <w:b/>
                <w:bCs/>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641" w:type="dxa"/>
            <w:vAlign w:val="center"/>
          </w:tcPr>
          <w:p>
            <w:pPr>
              <w:jc w:val="center"/>
              <w:rPr>
                <w:rFonts w:ascii="Arial" w:hAnsi="Arial" w:cs="Arial"/>
                <w:sz w:val="18"/>
                <w:szCs w:val="18"/>
              </w:rPr>
            </w:pPr>
            <w:r>
              <w:rPr>
                <w:rFonts w:ascii="Arial" w:hAnsi="Arial" w:cs="Arial"/>
                <w:sz w:val="18"/>
                <w:szCs w:val="18"/>
              </w:rPr>
              <w:t>1</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2020/10/21</w:t>
            </w:r>
          </w:p>
        </w:tc>
        <w:tc>
          <w:tcPr>
            <w:tcW w:w="2677"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江苏博森建筑设计有限公司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项目施工图设计费</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895,791.64</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2</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2020/10/22</w:t>
            </w:r>
          </w:p>
        </w:tc>
        <w:tc>
          <w:tcPr>
            <w:tcW w:w="2677"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杭州市勘测设计研究院</w:t>
            </w:r>
          </w:p>
        </w:tc>
        <w:tc>
          <w:tcPr>
            <w:tcW w:w="2805"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基坑支护设计费</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268,000.00</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3</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2020/10/23</w:t>
            </w:r>
          </w:p>
        </w:tc>
        <w:tc>
          <w:tcPr>
            <w:tcW w:w="2677"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江苏骏兴建设工程有限公司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桩基工程施工工程款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10,440,000.00</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4</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2020/10/28</w:t>
            </w:r>
          </w:p>
        </w:tc>
        <w:tc>
          <w:tcPr>
            <w:tcW w:w="2677"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江苏骏兴建设工程有限公司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color w:val="000000"/>
                <w:kern w:val="0"/>
                <w:sz w:val="18"/>
                <w:szCs w:val="18"/>
                <w:lang w:bidi="ar"/>
              </w:rPr>
              <w:t>桩基工程施工工程款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10,180,003.50</w:t>
            </w:r>
          </w:p>
        </w:tc>
        <w:tc>
          <w:tcPr>
            <w:tcW w:w="1480" w:type="dxa"/>
            <w:vAlign w:val="center"/>
          </w:tcPr>
          <w:p>
            <w:pPr>
              <w:jc w:val="center"/>
              <w:rPr>
                <w:rFonts w:ascii="Arial" w:hAnsi="Arial" w:cs="Arial"/>
                <w:sz w:val="18"/>
                <w:szCs w:val="18"/>
              </w:rPr>
            </w:pPr>
            <w:r>
              <w:rPr>
                <w:rFonts w:ascii="Arial" w:hAnsi="Arial" w:cs="Arial"/>
                <w:sz w:val="18"/>
                <w:szCs w:val="18"/>
              </w:rPr>
              <w:t>应付票据 9个月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1" w:type="dxa"/>
            <w:gridSpan w:val="4"/>
          </w:tcPr>
          <w:p>
            <w:pPr>
              <w:jc w:val="center"/>
              <w:rPr>
                <w:rFonts w:ascii="Arial" w:hAnsi="Arial" w:cs="Arial"/>
                <w:sz w:val="18"/>
                <w:szCs w:val="18"/>
              </w:rPr>
            </w:pPr>
            <w:r>
              <w:rPr>
                <w:rFonts w:ascii="Arial" w:hAnsi="Arial" w:cs="Arial"/>
                <w:b/>
                <w:bCs/>
                <w:kern w:val="44"/>
                <w:sz w:val="18"/>
                <w:szCs w:val="18"/>
              </w:rPr>
              <w:t>合计</w:t>
            </w:r>
          </w:p>
        </w:tc>
        <w:tc>
          <w:tcPr>
            <w:tcW w:w="1485" w:type="dxa"/>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21,783,795.14</w:t>
            </w:r>
          </w:p>
        </w:tc>
        <w:tc>
          <w:tcPr>
            <w:tcW w:w="1480" w:type="dxa"/>
          </w:tcPr>
          <w:p>
            <w:pPr>
              <w:rPr>
                <w:rFonts w:ascii="Arial" w:hAnsi="Arial" w:cs="Arial"/>
                <w:sz w:val="18"/>
                <w:szCs w:val="18"/>
              </w:rPr>
            </w:pPr>
          </w:p>
        </w:tc>
      </w:tr>
    </w:tbl>
    <w:p>
      <w:pPr>
        <w:spacing w:before="240" w:beforeLines="100"/>
        <w:ind w:firstLine="2891" w:firstLineChars="1200"/>
        <w:rPr>
          <w:rFonts w:ascii="Arial" w:hAnsi="Arial" w:cs="Arial"/>
          <w:b/>
          <w:color w:val="000000"/>
          <w:sz w:val="24"/>
          <w:szCs w:val="28"/>
        </w:rPr>
      </w:pPr>
      <w:bookmarkStart w:id="359" w:name="_Toc7325"/>
      <w:bookmarkStart w:id="360" w:name="_Toc1729"/>
      <w:r>
        <w:rPr>
          <w:rFonts w:ascii="Arial" w:hAnsi="Arial" w:cs="Arial"/>
          <w:b/>
          <w:color w:val="000000"/>
          <w:sz w:val="24"/>
          <w:szCs w:val="28"/>
        </w:rPr>
        <w:t>项目公司往来款明细表</w:t>
      </w:r>
    </w:p>
    <w:tbl>
      <w:tblPr>
        <w:tblStyle w:val="19"/>
        <w:tblW w:w="10236"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2677"/>
        <w:gridCol w:w="2805"/>
        <w:gridCol w:w="148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tcPr>
          <w:p>
            <w:pPr>
              <w:widowControl/>
              <w:jc w:val="center"/>
              <w:rPr>
                <w:rFonts w:ascii="Arial" w:hAnsi="Arial" w:cs="Arial"/>
                <w:b/>
                <w:bCs/>
                <w:kern w:val="44"/>
                <w:sz w:val="18"/>
                <w:szCs w:val="18"/>
              </w:rPr>
            </w:pPr>
            <w:r>
              <w:rPr>
                <w:rFonts w:ascii="Arial" w:hAnsi="Arial" w:cs="Arial"/>
                <w:b/>
                <w:bCs/>
                <w:kern w:val="44"/>
                <w:sz w:val="18"/>
                <w:szCs w:val="18"/>
              </w:rPr>
              <w:t>付款时间</w:t>
            </w:r>
          </w:p>
        </w:tc>
        <w:tc>
          <w:tcPr>
            <w:tcW w:w="2677" w:type="dxa"/>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480" w:type="dxa"/>
          </w:tcPr>
          <w:p>
            <w:pPr>
              <w:widowControl/>
              <w:jc w:val="center"/>
              <w:rPr>
                <w:rFonts w:ascii="Arial" w:hAnsi="Arial" w:cs="Arial"/>
                <w:b/>
                <w:bCs/>
                <w:kern w:val="44"/>
                <w:sz w:val="18"/>
                <w:szCs w:val="18"/>
              </w:rPr>
            </w:pPr>
            <w:r>
              <w:rPr>
                <w:rFonts w:ascii="Arial" w:hAnsi="Arial" w:cs="Arial"/>
                <w:b/>
                <w:bCs/>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641" w:type="dxa"/>
            <w:vAlign w:val="center"/>
          </w:tcPr>
          <w:p>
            <w:pPr>
              <w:jc w:val="center"/>
              <w:rPr>
                <w:rFonts w:ascii="Arial" w:hAnsi="Arial" w:cs="Arial"/>
                <w:sz w:val="18"/>
                <w:szCs w:val="18"/>
              </w:rPr>
            </w:pPr>
            <w:r>
              <w:rPr>
                <w:rFonts w:ascii="Arial" w:hAnsi="Arial" w:cs="Arial"/>
                <w:sz w:val="18"/>
                <w:szCs w:val="18"/>
              </w:rPr>
              <w:t>1</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2020/10/12</w:t>
            </w:r>
          </w:p>
        </w:tc>
        <w:tc>
          <w:tcPr>
            <w:tcW w:w="26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归还借款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49,000,000.00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2</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2020/10/12</w:t>
            </w:r>
          </w:p>
        </w:tc>
        <w:tc>
          <w:tcPr>
            <w:tcW w:w="26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归还借款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50,000,000.00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3</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2020/10/16</w:t>
            </w:r>
          </w:p>
        </w:tc>
        <w:tc>
          <w:tcPr>
            <w:tcW w:w="26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归还借款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31,580,000.00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4</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2020/10/23</w:t>
            </w:r>
          </w:p>
        </w:tc>
        <w:tc>
          <w:tcPr>
            <w:tcW w:w="26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805" w:type="dxa"/>
            <w:vAlign w:val="center"/>
          </w:tcPr>
          <w:p>
            <w:pPr>
              <w:widowControl/>
              <w:jc w:val="center"/>
              <w:textAlignment w:val="center"/>
              <w:rPr>
                <w:rFonts w:ascii="Arial" w:hAnsi="Arial" w:cs="Arial"/>
                <w:kern w:val="0"/>
                <w:sz w:val="18"/>
                <w:szCs w:val="18"/>
              </w:rPr>
            </w:pPr>
            <w:r>
              <w:rPr>
                <w:rFonts w:ascii="Arial" w:hAnsi="Arial" w:cs="Arial"/>
                <w:kern w:val="0"/>
                <w:sz w:val="18"/>
                <w:szCs w:val="18"/>
              </w:rPr>
              <w:t>归还借款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4,950,000.00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5</w:t>
            </w:r>
          </w:p>
        </w:tc>
        <w:tc>
          <w:tcPr>
            <w:tcW w:w="1148" w:type="dxa"/>
            <w:vAlign w:val="center"/>
          </w:tcPr>
          <w:p>
            <w:pPr>
              <w:widowControl/>
              <w:jc w:val="center"/>
              <w:rPr>
                <w:rFonts w:ascii="Arial" w:hAnsi="Arial" w:cs="Arial"/>
                <w:color w:val="000000"/>
                <w:sz w:val="18"/>
                <w:szCs w:val="18"/>
              </w:rPr>
            </w:pPr>
            <w:r>
              <w:rPr>
                <w:rFonts w:ascii="Arial" w:hAnsi="Arial" w:cs="Arial"/>
                <w:color w:val="000000"/>
                <w:sz w:val="18"/>
                <w:szCs w:val="18"/>
              </w:rPr>
              <w:t>2020/10/30</w:t>
            </w:r>
          </w:p>
        </w:tc>
        <w:tc>
          <w:tcPr>
            <w:tcW w:w="2677"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上海颖骏投资管理有限公司</w:t>
            </w:r>
          </w:p>
        </w:tc>
        <w:tc>
          <w:tcPr>
            <w:tcW w:w="2805" w:type="dxa"/>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rPr>
              <w:t>归还借款</w:t>
            </w:r>
          </w:p>
        </w:tc>
        <w:tc>
          <w:tcPr>
            <w:tcW w:w="1485" w:type="dxa"/>
            <w:vAlign w:val="center"/>
          </w:tcPr>
          <w:p>
            <w:pPr>
              <w:widowControl/>
              <w:jc w:val="center"/>
              <w:rPr>
                <w:rFonts w:ascii="Arial" w:hAnsi="Arial" w:cs="Arial"/>
                <w:color w:val="000000"/>
                <w:sz w:val="18"/>
                <w:szCs w:val="18"/>
              </w:rPr>
            </w:pPr>
            <w:r>
              <w:rPr>
                <w:rFonts w:ascii="Arial" w:hAnsi="Arial" w:cs="Arial"/>
                <w:color w:val="000000"/>
                <w:sz w:val="18"/>
                <w:szCs w:val="18"/>
              </w:rPr>
              <w:t xml:space="preserve">9,100,000.00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1" w:type="dxa"/>
            <w:gridSpan w:val="4"/>
          </w:tcPr>
          <w:p>
            <w:pPr>
              <w:jc w:val="center"/>
              <w:rPr>
                <w:rFonts w:ascii="Arial" w:hAnsi="Arial" w:cs="Arial"/>
                <w:sz w:val="18"/>
                <w:szCs w:val="18"/>
              </w:rPr>
            </w:pPr>
            <w:r>
              <w:rPr>
                <w:rFonts w:ascii="Arial" w:hAnsi="Arial" w:cs="Arial"/>
                <w:b/>
                <w:bCs/>
                <w:kern w:val="44"/>
                <w:sz w:val="18"/>
                <w:szCs w:val="18"/>
              </w:rPr>
              <w:t>合计</w:t>
            </w:r>
          </w:p>
        </w:tc>
        <w:tc>
          <w:tcPr>
            <w:tcW w:w="1485" w:type="dxa"/>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144,630,000.00</w:t>
            </w:r>
          </w:p>
        </w:tc>
        <w:tc>
          <w:tcPr>
            <w:tcW w:w="1480" w:type="dxa"/>
          </w:tcPr>
          <w:p>
            <w:pPr>
              <w:rPr>
                <w:rFonts w:ascii="Arial" w:hAnsi="Arial" w:cs="Arial"/>
                <w:sz w:val="18"/>
                <w:szCs w:val="18"/>
              </w:rPr>
            </w:pPr>
          </w:p>
        </w:tc>
      </w:tr>
    </w:tbl>
    <w:p>
      <w:pPr>
        <w:pStyle w:val="3"/>
        <w:rPr>
          <w:rFonts w:eastAsia="宋体" w:cs="Arial"/>
          <w:sz w:val="24"/>
        </w:rPr>
      </w:pPr>
      <w:bookmarkStart w:id="361" w:name="_Toc25516"/>
      <w:r>
        <w:rPr>
          <w:rFonts w:eastAsia="宋体" w:cs="Arial"/>
          <w:sz w:val="24"/>
        </w:rPr>
        <w:t>6.2资金流入情况</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spacing w:line="480" w:lineRule="auto"/>
        <w:ind w:firstLine="420" w:firstLineChars="200"/>
        <w:rPr>
          <w:rFonts w:ascii="Arial" w:hAnsi="Arial" w:cs="Arial"/>
          <w:bCs/>
          <w:kern w:val="44"/>
          <w:szCs w:val="21"/>
        </w:rPr>
      </w:pPr>
      <w:r>
        <w:rPr>
          <w:rFonts w:ascii="Arial" w:hAnsi="Arial" w:cs="Arial"/>
          <w:bCs/>
          <w:kern w:val="44"/>
          <w:szCs w:val="21"/>
        </w:rPr>
        <w:t>2020年10月期间项目公司资金流入14,463.00万元，均为</w:t>
      </w:r>
      <w:r>
        <w:rPr>
          <w:rFonts w:ascii="Arial" w:hAnsi="Arial" w:cs="Arial"/>
          <w:szCs w:val="21"/>
        </w:rPr>
        <w:t>青岛航明投资合伙企业（有限合伙）的投资款。</w:t>
      </w:r>
    </w:p>
    <w:p>
      <w:pPr>
        <w:spacing w:before="300" w:after="300" w:line="360" w:lineRule="exact"/>
        <w:outlineLvl w:val="2"/>
        <w:rPr>
          <w:rFonts w:ascii="Arial" w:hAnsi="Arial" w:cs="Arial"/>
          <w:b/>
          <w:sz w:val="24"/>
        </w:rPr>
      </w:pPr>
      <w:bookmarkStart w:id="362" w:name="_Toc741"/>
      <w:bookmarkStart w:id="363" w:name="_Toc28063"/>
      <w:bookmarkStart w:id="364" w:name="_Toc13623"/>
      <w:bookmarkStart w:id="365" w:name="_Toc32107"/>
      <w:r>
        <w:rPr>
          <w:rFonts w:ascii="Arial" w:hAnsi="Arial" w:cs="Arial"/>
          <w:b/>
          <w:sz w:val="24"/>
        </w:rPr>
        <w:t>6.2.1销售回款流入</w:t>
      </w:r>
      <w:bookmarkEnd w:id="362"/>
      <w:bookmarkEnd w:id="363"/>
      <w:bookmarkEnd w:id="364"/>
      <w:bookmarkEnd w:id="365"/>
    </w:p>
    <w:p>
      <w:pPr>
        <w:spacing w:line="480" w:lineRule="auto"/>
        <w:ind w:firstLine="420" w:firstLineChars="200"/>
        <w:rPr>
          <w:rFonts w:ascii="Arial" w:hAnsi="Arial" w:cs="Arial"/>
          <w:bCs/>
          <w:kern w:val="44"/>
          <w:szCs w:val="21"/>
        </w:rPr>
      </w:pPr>
      <w:r>
        <w:rPr>
          <w:rFonts w:ascii="Arial" w:hAnsi="Arial" w:cs="Arial"/>
          <w:bCs/>
          <w:kern w:val="44"/>
          <w:szCs w:val="21"/>
        </w:rPr>
        <w:t>尚未开始销售，暂无销售回款资金流入。</w:t>
      </w:r>
    </w:p>
    <w:p>
      <w:pPr>
        <w:spacing w:line="480" w:lineRule="auto"/>
        <w:outlineLvl w:val="2"/>
        <w:rPr>
          <w:rFonts w:ascii="Arial" w:hAnsi="Arial" w:cs="Arial"/>
        </w:rPr>
      </w:pPr>
      <w:bookmarkStart w:id="366" w:name="_Toc23910"/>
      <w:bookmarkStart w:id="367" w:name="_Toc18301"/>
      <w:bookmarkStart w:id="368" w:name="_Toc13746"/>
      <w:bookmarkStart w:id="369" w:name="_Toc6053"/>
      <w:r>
        <w:rPr>
          <w:rFonts w:ascii="Arial" w:hAnsi="Arial" w:cs="Arial"/>
          <w:b/>
          <w:sz w:val="24"/>
        </w:rPr>
        <w:t>6.2.2其他资金流入</w:t>
      </w:r>
      <w:bookmarkEnd w:id="366"/>
      <w:bookmarkEnd w:id="367"/>
      <w:bookmarkEnd w:id="368"/>
      <w:bookmarkEnd w:id="369"/>
    </w:p>
    <w:p>
      <w:pPr>
        <w:ind w:firstLine="420" w:firstLineChars="200"/>
        <w:rPr>
          <w:rFonts w:ascii="Arial" w:hAnsi="Arial" w:cs="Arial"/>
          <w:bCs/>
          <w:kern w:val="44"/>
          <w:szCs w:val="21"/>
        </w:rPr>
      </w:pPr>
      <w:r>
        <w:rPr>
          <w:rFonts w:ascii="Arial" w:hAnsi="Arial" w:cs="Arial"/>
        </w:rPr>
        <w:t>2020年10月份，项目公司</w:t>
      </w:r>
      <w:r>
        <w:rPr>
          <w:rFonts w:ascii="Arial" w:hAnsi="Arial" w:cs="Arial"/>
          <w:bCs/>
          <w:kern w:val="44"/>
          <w:szCs w:val="21"/>
        </w:rPr>
        <w:t>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项目公司资金流入情况表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ascii="Arial" w:hAnsi="Arial" w:cs="Arial"/>
                <w:b/>
                <w:sz w:val="20"/>
                <w:szCs w:val="22"/>
              </w:rPr>
              <w:t>付款方</w:t>
            </w:r>
          </w:p>
        </w:tc>
        <w:tc>
          <w:tcPr>
            <w:tcW w:w="2100" w:type="dxa"/>
            <w:vAlign w:val="center"/>
          </w:tcPr>
          <w:p>
            <w:pPr>
              <w:jc w:val="center"/>
              <w:rPr>
                <w:rFonts w:ascii="Arial" w:hAnsi="Arial" w:cs="Arial"/>
                <w:b/>
                <w:sz w:val="20"/>
                <w:szCs w:val="22"/>
              </w:rPr>
            </w:pPr>
            <w:r>
              <w:rPr>
                <w:rFonts w:ascii="Arial" w:hAnsi="Arial" w:cs="Arial"/>
                <w:b/>
                <w:sz w:val="20"/>
                <w:szCs w:val="22"/>
              </w:rPr>
              <w:t>资金用途</w:t>
            </w:r>
          </w:p>
        </w:tc>
        <w:tc>
          <w:tcPr>
            <w:tcW w:w="1740" w:type="dxa"/>
            <w:vAlign w:val="center"/>
          </w:tcPr>
          <w:p>
            <w:pPr>
              <w:jc w:val="center"/>
              <w:rPr>
                <w:rFonts w:ascii="Arial" w:hAnsi="Arial" w:cs="Arial"/>
                <w:b/>
                <w:sz w:val="20"/>
                <w:szCs w:val="22"/>
              </w:rPr>
            </w:pPr>
            <w:r>
              <w:rPr>
                <w:rFonts w:ascii="Arial" w:hAnsi="Arial" w:cs="Arial"/>
                <w:b/>
                <w:sz w:val="20"/>
                <w:szCs w:val="22"/>
              </w:rPr>
              <w:t>金额</w:t>
            </w:r>
          </w:p>
        </w:tc>
        <w:tc>
          <w:tcPr>
            <w:tcW w:w="1936" w:type="dxa"/>
            <w:vAlign w:val="center"/>
          </w:tcPr>
          <w:p>
            <w:pPr>
              <w:jc w:val="center"/>
              <w:rPr>
                <w:rFonts w:ascii="Arial" w:hAnsi="Arial" w:cs="Arial"/>
                <w:b/>
                <w:sz w:val="20"/>
                <w:szCs w:val="22"/>
              </w:rPr>
            </w:pPr>
            <w:r>
              <w:rPr>
                <w:rFonts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c>
          <w:tcPr>
            <w:tcW w:w="612"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投资款</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 xml:space="preserve">99,000,000.00 </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2020/10/10</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中行-8270</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投资款</w:t>
            </w:r>
          </w:p>
        </w:tc>
        <w:tc>
          <w:tcPr>
            <w:tcW w:w="1740" w:type="dxa"/>
            <w:vAlign w:val="center"/>
          </w:tcPr>
          <w:p>
            <w:pPr>
              <w:widowControl/>
              <w:jc w:val="center"/>
              <w:rPr>
                <w:rFonts w:ascii="Arial" w:hAnsi="Arial" w:cs="Arial"/>
                <w:kern w:val="0"/>
                <w:sz w:val="18"/>
                <w:szCs w:val="18"/>
              </w:rPr>
            </w:pPr>
            <w:r>
              <w:rPr>
                <w:rFonts w:ascii="Arial" w:hAnsi="Arial" w:cs="Arial"/>
                <w:kern w:val="0"/>
                <w:sz w:val="18"/>
                <w:szCs w:val="18"/>
              </w:rPr>
              <w:t>31,580,000.00</w:t>
            </w:r>
          </w:p>
        </w:tc>
        <w:tc>
          <w:tcPr>
            <w:tcW w:w="1936" w:type="dxa"/>
            <w:vAlign w:val="center"/>
          </w:tcPr>
          <w:p>
            <w:pPr>
              <w:widowControl/>
              <w:jc w:val="center"/>
              <w:rPr>
                <w:rFonts w:ascii="Arial" w:hAnsi="Arial" w:cs="Arial"/>
                <w:kern w:val="0"/>
                <w:sz w:val="18"/>
                <w:szCs w:val="18"/>
              </w:rPr>
            </w:pPr>
            <w:r>
              <w:rPr>
                <w:rFonts w:ascii="Arial" w:hAnsi="Arial" w:cs="Arial"/>
                <w:kern w:val="0"/>
                <w:sz w:val="18"/>
                <w:szCs w:val="18"/>
              </w:rPr>
              <w:t>2020/10/16</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color w:val="000000"/>
                <w:sz w:val="18"/>
                <w:szCs w:val="18"/>
              </w:rPr>
              <w:t>投资款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4,950,000.00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2020/10/23</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559" w:type="dxa"/>
            <w:vAlign w:val="center"/>
          </w:tcPr>
          <w:p>
            <w:pPr>
              <w:widowControl/>
              <w:jc w:val="center"/>
              <w:rPr>
                <w:rFonts w:ascii="Arial" w:hAnsi="Arial" w:cs="Arial"/>
                <w:color w:val="000000"/>
                <w:sz w:val="20"/>
                <w:szCs w:val="20"/>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color w:val="000000"/>
                <w:sz w:val="20"/>
                <w:szCs w:val="20"/>
              </w:rPr>
            </w:pPr>
            <w:r>
              <w:rPr>
                <w:rFonts w:ascii="Arial" w:hAnsi="Arial" w:cs="Arial"/>
                <w:color w:val="000000"/>
                <w:sz w:val="18"/>
                <w:szCs w:val="18"/>
              </w:rPr>
              <w:t>投资款</w:t>
            </w:r>
          </w:p>
        </w:tc>
        <w:tc>
          <w:tcPr>
            <w:tcW w:w="174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9,100,000.00 </w:t>
            </w:r>
          </w:p>
        </w:tc>
        <w:tc>
          <w:tcPr>
            <w:tcW w:w="1936"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2020/10/30</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720" w:type="dxa"/>
            <w:gridSpan w:val="3"/>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144,630,000.00</w:t>
            </w:r>
          </w:p>
        </w:tc>
      </w:tr>
    </w:tbl>
    <w:p>
      <w:pPr>
        <w:rPr>
          <w:rFonts w:ascii="Arial" w:hAnsi="Arial" w:cs="Arial"/>
          <w:sz w:val="24"/>
        </w:rPr>
      </w:pPr>
      <w:bookmarkStart w:id="370" w:name="_Toc14659"/>
      <w:bookmarkStart w:id="371" w:name="_Toc15854"/>
      <w:bookmarkStart w:id="372" w:name="_Toc8940"/>
      <w:bookmarkStart w:id="373" w:name="_Toc29613"/>
      <w:bookmarkStart w:id="374" w:name="_Toc798"/>
      <w:bookmarkStart w:id="375" w:name="_Toc24345"/>
      <w:bookmarkStart w:id="376" w:name="_Toc253"/>
      <w:bookmarkStart w:id="377" w:name="_Toc6152"/>
      <w:bookmarkStart w:id="378" w:name="_Toc5640"/>
      <w:bookmarkStart w:id="379" w:name="_Toc20088"/>
      <w:bookmarkStart w:id="380" w:name="_Toc535570760"/>
      <w:bookmarkStart w:id="381" w:name="_Toc535580101"/>
      <w:bookmarkStart w:id="382" w:name="_Toc45217883"/>
      <w:bookmarkStart w:id="383" w:name="_Toc532281664"/>
      <w:bookmarkStart w:id="384" w:name="_Toc535508646"/>
      <w:bookmarkStart w:id="385" w:name="_Toc535580033"/>
    </w:p>
    <w:p>
      <w:pPr>
        <w:pStyle w:val="4"/>
        <w:rPr>
          <w:rFonts w:ascii="Arial" w:hAnsi="Arial" w:cs="Arial"/>
          <w:sz w:val="24"/>
        </w:rPr>
      </w:pPr>
      <w:bookmarkStart w:id="386" w:name="_Toc32349"/>
      <w:bookmarkStart w:id="387" w:name="_Toc18760"/>
      <w:bookmarkStart w:id="388" w:name="_Toc19842"/>
      <w:bookmarkStart w:id="389" w:name="_Toc17010"/>
      <w:bookmarkStart w:id="390" w:name="_Toc8253"/>
      <w:r>
        <w:rPr>
          <w:rFonts w:ascii="Arial" w:hAnsi="Arial" w:cs="Arial"/>
          <w:sz w:val="24"/>
        </w:rPr>
        <w:t>6.3各类保证金情况</w:t>
      </w:r>
      <w:bookmarkEnd w:id="386"/>
      <w:bookmarkEnd w:id="387"/>
      <w:bookmarkEnd w:id="388"/>
      <w:bookmarkEnd w:id="389"/>
      <w:bookmarkEnd w:id="390"/>
    </w:p>
    <w:p>
      <w:pPr>
        <w:spacing w:line="360" w:lineRule="auto"/>
        <w:ind w:firstLine="420" w:firstLineChars="200"/>
        <w:rPr>
          <w:rFonts w:ascii="Arial" w:hAnsi="Arial" w:cs="Arial"/>
          <w:szCs w:val="21"/>
        </w:rPr>
      </w:pPr>
      <w:r>
        <w:rPr>
          <w:rFonts w:ascii="Arial" w:hAnsi="Arial" w:cs="Arial"/>
          <w:szCs w:val="21"/>
        </w:rPr>
        <w:t>截至到2020年10月31日，项目公司共收取保证金45,283.25元,无退还。该资金的具体情况如下：</w:t>
      </w:r>
    </w:p>
    <w:p>
      <w:pPr>
        <w:rPr>
          <w:rFonts w:ascii="Arial" w:hAnsi="Arial" w:cs="Arial"/>
          <w:sz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blHeader/>
        </w:trPr>
        <w:tc>
          <w:tcPr>
            <w:tcW w:w="3077" w:type="dxa"/>
            <w:vAlign w:val="center"/>
          </w:tcPr>
          <w:p>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pPr>
              <w:jc w:val="center"/>
              <w:rPr>
                <w:rFonts w:ascii="Arial" w:hAnsi="Arial" w:cs="Arial"/>
                <w:b/>
                <w:bCs/>
                <w:sz w:val="18"/>
                <w:szCs w:val="18"/>
              </w:rPr>
            </w:pPr>
            <w:r>
              <w:rPr>
                <w:rFonts w:ascii="Arial" w:hAnsi="Arial"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人防监理项目履约保证金</w:t>
            </w:r>
          </w:p>
        </w:tc>
        <w:tc>
          <w:tcPr>
            <w:tcW w:w="1937" w:type="dxa"/>
            <w:vAlign w:val="bottom"/>
          </w:tcPr>
          <w:p>
            <w:pPr>
              <w:jc w:val="center"/>
              <w:rPr>
                <w:rFonts w:ascii="Arial" w:hAnsi="Arial" w:cs="Arial"/>
                <w:sz w:val="18"/>
                <w:szCs w:val="18"/>
              </w:rPr>
            </w:pPr>
            <w:r>
              <w:rPr>
                <w:rFonts w:ascii="Arial" w:hAnsi="Arial" w:cs="Arial"/>
                <w:sz w:val="18"/>
                <w:szCs w:val="18"/>
              </w:rPr>
              <w:t>2,840.38</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勘察履约保证金</w:t>
            </w:r>
          </w:p>
        </w:tc>
        <w:tc>
          <w:tcPr>
            <w:tcW w:w="1937" w:type="dxa"/>
            <w:vAlign w:val="bottom"/>
          </w:tcPr>
          <w:p>
            <w:pPr>
              <w:jc w:val="center"/>
              <w:rPr>
                <w:rFonts w:ascii="Arial" w:hAnsi="Arial" w:cs="Arial"/>
                <w:sz w:val="18"/>
                <w:szCs w:val="18"/>
              </w:rPr>
            </w:pPr>
            <w:r>
              <w:rPr>
                <w:rFonts w:ascii="Arial" w:hAnsi="Arial" w:cs="Arial"/>
                <w:sz w:val="18"/>
                <w:szCs w:val="18"/>
              </w:rPr>
              <w:t>18,224.50</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监测履约保证金</w:t>
            </w:r>
          </w:p>
        </w:tc>
        <w:tc>
          <w:tcPr>
            <w:tcW w:w="1937" w:type="dxa"/>
            <w:vAlign w:val="bottom"/>
          </w:tcPr>
          <w:p>
            <w:pPr>
              <w:jc w:val="center"/>
              <w:rPr>
                <w:rFonts w:ascii="Arial" w:hAnsi="Arial" w:cs="Arial"/>
                <w:sz w:val="18"/>
                <w:szCs w:val="18"/>
              </w:rPr>
            </w:pPr>
            <w:r>
              <w:rPr>
                <w:rFonts w:ascii="Arial" w:hAnsi="Arial" w:cs="Arial"/>
                <w:sz w:val="18"/>
                <w:szCs w:val="18"/>
              </w:rPr>
              <w:t>6,404.52</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履约保证金</w:t>
            </w:r>
          </w:p>
        </w:tc>
        <w:tc>
          <w:tcPr>
            <w:tcW w:w="1937" w:type="dxa"/>
            <w:vAlign w:val="bottom"/>
          </w:tcPr>
          <w:p>
            <w:pPr>
              <w:jc w:val="center"/>
              <w:rPr>
                <w:rFonts w:ascii="Arial" w:hAnsi="Arial" w:cs="Arial"/>
                <w:sz w:val="18"/>
                <w:szCs w:val="18"/>
              </w:rPr>
            </w:pPr>
            <w:r>
              <w:rPr>
                <w:rFonts w:ascii="Arial" w:hAnsi="Arial" w:cs="Arial"/>
                <w:sz w:val="18"/>
                <w:szCs w:val="18"/>
              </w:rPr>
              <w:t>17,813.85</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077" w:type="dxa"/>
            <w:vAlign w:val="center"/>
          </w:tcPr>
          <w:p>
            <w:pPr>
              <w:jc w:val="center"/>
              <w:rPr>
                <w:rFonts w:ascii="Arial" w:hAnsi="Arial" w:cs="Arial"/>
                <w:sz w:val="18"/>
                <w:szCs w:val="18"/>
              </w:rPr>
            </w:pPr>
            <w:r>
              <w:rPr>
                <w:rFonts w:ascii="Arial" w:hAnsi="Arial" w:cs="Arial"/>
                <w:sz w:val="18"/>
                <w:szCs w:val="18"/>
              </w:rPr>
              <w:t>合计</w:t>
            </w:r>
          </w:p>
        </w:tc>
        <w:tc>
          <w:tcPr>
            <w:tcW w:w="1937" w:type="dxa"/>
            <w:vAlign w:val="bottom"/>
          </w:tcPr>
          <w:p>
            <w:pPr>
              <w:widowControl/>
              <w:jc w:val="center"/>
              <w:textAlignment w:val="bottom"/>
              <w:rPr>
                <w:rFonts w:ascii="Arial" w:hAnsi="Arial" w:cs="Arial"/>
                <w:b/>
                <w:color w:val="000000"/>
                <w:sz w:val="20"/>
                <w:szCs w:val="20"/>
              </w:rPr>
            </w:pPr>
            <w:r>
              <w:rPr>
                <w:rFonts w:ascii="Arial" w:hAnsi="Arial" w:cs="Arial"/>
                <w:sz w:val="18"/>
                <w:szCs w:val="18"/>
              </w:rPr>
              <w:t>45,283.25</w:t>
            </w:r>
          </w:p>
        </w:tc>
        <w:tc>
          <w:tcPr>
            <w:tcW w:w="1745" w:type="dxa"/>
            <w:vAlign w:val="center"/>
          </w:tcPr>
          <w:p>
            <w:pPr>
              <w:jc w:val="center"/>
              <w:rPr>
                <w:rFonts w:ascii="Arial" w:hAnsi="Arial" w:cs="Arial"/>
                <w:sz w:val="24"/>
              </w:rPr>
            </w:pPr>
          </w:p>
        </w:tc>
        <w:tc>
          <w:tcPr>
            <w:tcW w:w="2754" w:type="dxa"/>
            <w:gridSpan w:val="2"/>
            <w:vAlign w:val="center"/>
          </w:tcPr>
          <w:p>
            <w:pPr>
              <w:jc w:val="center"/>
              <w:rPr>
                <w:rFonts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b/>
                <w:bCs/>
                <w:sz w:val="18"/>
                <w:szCs w:val="18"/>
              </w:rPr>
            </w:pPr>
            <w:r>
              <w:rPr>
                <w:rFonts w:ascii="Arial" w:hAnsi="Arial" w:cs="Arial"/>
                <w:b/>
                <w:bCs/>
                <w:color w:val="000000"/>
                <w:kern w:val="0"/>
                <w:sz w:val="18"/>
                <w:szCs w:val="18"/>
              </w:rPr>
              <w:t>保证金余额</w:t>
            </w:r>
          </w:p>
        </w:tc>
        <w:tc>
          <w:tcPr>
            <w:tcW w:w="3682" w:type="dxa"/>
            <w:gridSpan w:val="2"/>
            <w:vAlign w:val="center"/>
          </w:tcPr>
          <w:p>
            <w:pPr>
              <w:jc w:val="center"/>
              <w:rPr>
                <w:rFonts w:ascii="Arial" w:hAnsi="Arial" w:cs="Arial"/>
                <w:b/>
                <w:bCs/>
                <w:sz w:val="24"/>
              </w:rPr>
            </w:pPr>
            <w:r>
              <w:rPr>
                <w:rFonts w:ascii="Arial" w:hAnsi="Arial" w:cs="Arial"/>
                <w:b/>
                <w:bCs/>
                <w:color w:val="000000"/>
                <w:kern w:val="0"/>
                <w:sz w:val="18"/>
                <w:szCs w:val="18"/>
                <w:lang w:bidi="ar"/>
              </w:rPr>
              <w:t>45,283.25</w:t>
            </w:r>
          </w:p>
        </w:tc>
        <w:tc>
          <w:tcPr>
            <w:tcW w:w="2754" w:type="dxa"/>
            <w:gridSpan w:val="2"/>
            <w:vAlign w:val="center"/>
          </w:tcPr>
          <w:p>
            <w:pPr>
              <w:jc w:val="center"/>
              <w:rPr>
                <w:rFonts w:ascii="Arial" w:hAnsi="Arial" w:cs="Arial"/>
                <w:b/>
                <w:bCs/>
                <w:sz w:val="24"/>
              </w:rPr>
            </w:pPr>
          </w:p>
        </w:tc>
      </w:tr>
    </w:tbl>
    <w:p>
      <w:pPr>
        <w:pStyle w:val="4"/>
        <w:rPr>
          <w:rFonts w:ascii="Arial" w:hAnsi="Arial" w:cs="Arial"/>
          <w:sz w:val="24"/>
        </w:rPr>
      </w:pPr>
      <w:bookmarkStart w:id="391" w:name="_Toc10864"/>
      <w:bookmarkStart w:id="392" w:name="_Toc8246"/>
      <w:bookmarkStart w:id="393" w:name="_Toc8059"/>
      <w:bookmarkStart w:id="394" w:name="_Toc17908"/>
      <w:bookmarkStart w:id="395" w:name="_Toc14810"/>
      <w:bookmarkStart w:id="396" w:name="_Toc22479"/>
      <w:bookmarkStart w:id="397" w:name="_Toc26359"/>
      <w:bookmarkStart w:id="398" w:name="_Toc6251"/>
      <w:bookmarkStart w:id="399" w:name="_Toc4806"/>
      <w:bookmarkStart w:id="400" w:name="_Toc23006"/>
      <w:bookmarkStart w:id="401" w:name="_Toc14227"/>
      <w:bookmarkStart w:id="402" w:name="_Toc8358"/>
      <w:bookmarkStart w:id="403" w:name="_Toc12305"/>
      <w:r>
        <w:rPr>
          <w:rFonts w:ascii="Arial" w:hAnsi="Arial" w:cs="Arial"/>
          <w:sz w:val="24"/>
        </w:rPr>
        <w:t>6.4各银行账户余额</w:t>
      </w:r>
      <w:bookmarkEnd w:id="370"/>
      <w:bookmarkEnd w:id="371"/>
      <w:bookmarkEnd w:id="372"/>
      <w:bookmarkEnd w:id="373"/>
      <w:bookmarkEnd w:id="374"/>
      <w:bookmarkEnd w:id="375"/>
      <w:bookmarkEnd w:id="376"/>
      <w:bookmarkEnd w:id="377"/>
      <w:bookmarkEnd w:id="378"/>
      <w:bookmarkEnd w:id="379"/>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根据项目公司提供的银行流水，截至2020年10月31日，项目公司各资金账户余额总计1,304,107.57元，各账户余额见下表。</w:t>
      </w:r>
    </w:p>
    <w:p>
      <w:pPr>
        <w:spacing w:line="480" w:lineRule="auto"/>
        <w:ind w:firstLine="482" w:firstLineChars="200"/>
        <w:jc w:val="center"/>
        <w:rPr>
          <w:rFonts w:ascii="Arial" w:hAnsi="Arial" w:cs="Arial"/>
          <w:b/>
          <w:color w:val="000000"/>
          <w:sz w:val="24"/>
        </w:rPr>
      </w:pPr>
      <w:r>
        <w:rPr>
          <w:rFonts w:ascii="Arial" w:hAnsi="Arial" w:cs="Arial"/>
          <w:b/>
          <w:color w:val="000000"/>
          <w:sz w:val="24"/>
        </w:rPr>
        <w:t>截至2020年10月31日项目公司各银行账户余额汇总</w:t>
      </w:r>
    </w:p>
    <w:tbl>
      <w:tblPr>
        <w:tblStyle w:val="18"/>
        <w:tblW w:w="9072"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3167"/>
        <w:gridCol w:w="269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629"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583"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jc w:val="center"/>
              <w:rPr>
                <w:rFonts w:ascii="Arial" w:hAnsi="Arial" w:cs="Arial"/>
                <w:color w:val="000000"/>
                <w:sz w:val="24"/>
              </w:rPr>
            </w:pPr>
            <w:r>
              <w:rPr>
                <w:rFonts w:ascii="Arial" w:hAnsi="Arial" w:cs="Arial"/>
                <w:sz w:val="18"/>
                <w:szCs w:val="18"/>
              </w:rPr>
              <w:t>中国建设银行股份有限公司海盐支行</w:t>
            </w:r>
          </w:p>
        </w:tc>
        <w:tc>
          <w:tcPr>
            <w:tcW w:w="2693" w:type="dxa"/>
            <w:noWrap/>
            <w:vAlign w:val="center"/>
          </w:tcPr>
          <w:p>
            <w:pPr>
              <w:jc w:val="center"/>
              <w:rPr>
                <w:rFonts w:ascii="Arial" w:hAnsi="Arial" w:cs="Arial"/>
                <w:color w:val="000000"/>
                <w:sz w:val="24"/>
              </w:rPr>
            </w:pPr>
            <w:r>
              <w:rPr>
                <w:rFonts w:ascii="Arial" w:hAnsi="Arial" w:cs="Arial"/>
                <w:sz w:val="18"/>
                <w:szCs w:val="18"/>
              </w:rPr>
              <w:t>33050163712700001027</w:t>
            </w:r>
          </w:p>
        </w:tc>
        <w:tc>
          <w:tcPr>
            <w:tcW w:w="2583" w:type="dxa"/>
            <w:noWrap/>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13,911.71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color w:val="000000"/>
                <w:sz w:val="18"/>
                <w:szCs w:val="15"/>
              </w:rPr>
            </w:pPr>
            <w:r>
              <w:rPr>
                <w:rFonts w:ascii="Arial" w:hAnsi="Arial" w:cs="Arial"/>
                <w:color w:val="000000"/>
                <w:sz w:val="18"/>
                <w:szCs w:val="15"/>
              </w:rPr>
              <w:t>2</w:t>
            </w:r>
          </w:p>
        </w:tc>
        <w:tc>
          <w:tcPr>
            <w:tcW w:w="3167" w:type="dxa"/>
            <w:noWrap/>
            <w:vAlign w:val="center"/>
          </w:tcPr>
          <w:p>
            <w:pPr>
              <w:jc w:val="center"/>
              <w:rPr>
                <w:rFonts w:ascii="Arial" w:hAnsi="Arial" w:cs="Arial"/>
                <w:sz w:val="18"/>
                <w:szCs w:val="18"/>
                <w:lang w:bidi="ar"/>
              </w:rPr>
            </w:pPr>
            <w:r>
              <w:rPr>
                <w:rFonts w:ascii="Arial" w:hAnsi="Arial" w:cs="Arial"/>
                <w:sz w:val="18"/>
                <w:szCs w:val="18"/>
              </w:rPr>
              <w:t>中国银行股份有限公司海盐支行</w:t>
            </w:r>
          </w:p>
        </w:tc>
        <w:tc>
          <w:tcPr>
            <w:tcW w:w="2693" w:type="dxa"/>
            <w:noWrap/>
            <w:vAlign w:val="center"/>
          </w:tcPr>
          <w:p>
            <w:pPr>
              <w:jc w:val="center"/>
              <w:rPr>
                <w:rFonts w:ascii="Arial" w:hAnsi="Arial" w:cs="Arial"/>
                <w:color w:val="000000"/>
                <w:kern w:val="0"/>
                <w:sz w:val="18"/>
                <w:szCs w:val="18"/>
                <w:lang w:bidi="ar"/>
              </w:rPr>
            </w:pPr>
            <w:r>
              <w:rPr>
                <w:rFonts w:ascii="Arial" w:hAnsi="Arial" w:cs="Arial"/>
                <w:sz w:val="18"/>
                <w:szCs w:val="18"/>
              </w:rPr>
              <w:t>374078228270</w:t>
            </w:r>
          </w:p>
        </w:tc>
        <w:tc>
          <w:tcPr>
            <w:tcW w:w="2583" w:type="dxa"/>
            <w:noWrap/>
            <w:vAlign w:val="bottom"/>
          </w:tcPr>
          <w:p>
            <w:pPr>
              <w:widowControl/>
              <w:jc w:val="center"/>
              <w:textAlignment w:val="bottom"/>
              <w:rPr>
                <w:rFonts w:ascii="Arial" w:hAnsi="Arial" w:cs="Arial"/>
                <w:color w:val="000000"/>
                <w:sz w:val="20"/>
                <w:szCs w:val="20"/>
              </w:rPr>
            </w:pPr>
            <w:r>
              <w:rPr>
                <w:rFonts w:ascii="Arial" w:hAnsi="Arial" w:cs="Arial"/>
                <w:color w:val="000000"/>
                <w:kern w:val="0"/>
                <w:sz w:val="20"/>
                <w:szCs w:val="20"/>
                <w:lang w:bidi="ar"/>
              </w:rPr>
              <w:t>22,168.43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color w:val="000000"/>
                <w:sz w:val="18"/>
                <w:szCs w:val="15"/>
              </w:rPr>
            </w:pPr>
            <w:r>
              <w:rPr>
                <w:rFonts w:ascii="Arial" w:hAnsi="Arial" w:cs="Arial"/>
                <w:color w:val="000000"/>
                <w:sz w:val="18"/>
                <w:szCs w:val="15"/>
              </w:rPr>
              <w:t>3</w:t>
            </w:r>
          </w:p>
        </w:tc>
        <w:tc>
          <w:tcPr>
            <w:tcW w:w="3167" w:type="dxa"/>
            <w:noWrap/>
            <w:vAlign w:val="center"/>
          </w:tcPr>
          <w:p>
            <w:pPr>
              <w:jc w:val="center"/>
              <w:rPr>
                <w:rFonts w:ascii="Arial" w:hAnsi="Arial" w:cs="Arial"/>
                <w:sz w:val="18"/>
                <w:szCs w:val="18"/>
                <w:lang w:bidi="ar"/>
              </w:rPr>
            </w:pPr>
            <w:r>
              <w:rPr>
                <w:rFonts w:ascii="Arial" w:hAnsi="Arial" w:cs="Arial"/>
                <w:sz w:val="18"/>
                <w:szCs w:val="18"/>
              </w:rPr>
              <w:t>中国农业银行股份有限公司海盐县支行</w:t>
            </w:r>
          </w:p>
        </w:tc>
        <w:tc>
          <w:tcPr>
            <w:tcW w:w="2693" w:type="dxa"/>
            <w:noWrap/>
            <w:vAlign w:val="center"/>
          </w:tcPr>
          <w:p>
            <w:pPr>
              <w:jc w:val="center"/>
              <w:rPr>
                <w:rFonts w:ascii="Arial" w:hAnsi="Arial" w:cs="Arial"/>
                <w:sz w:val="18"/>
                <w:szCs w:val="18"/>
              </w:rPr>
            </w:pPr>
            <w:r>
              <w:rPr>
                <w:rFonts w:ascii="Arial" w:hAnsi="Arial" w:cs="Arial"/>
                <w:sz w:val="18"/>
                <w:szCs w:val="18"/>
              </w:rPr>
              <w:t>10360101040032179</w:t>
            </w:r>
          </w:p>
        </w:tc>
        <w:tc>
          <w:tcPr>
            <w:tcW w:w="2583" w:type="dxa"/>
            <w:noWrap/>
            <w:vAlign w:val="bottom"/>
          </w:tcPr>
          <w:p>
            <w:pPr>
              <w:jc w:val="center"/>
              <w:rPr>
                <w:rFonts w:ascii="Arial" w:hAnsi="Arial" w:cs="Arial"/>
                <w:sz w:val="18"/>
                <w:szCs w:val="18"/>
              </w:rPr>
            </w:pPr>
            <w:r>
              <w:rPr>
                <w:rFonts w:ascii="Arial" w:hAnsi="Arial" w:cs="Arial"/>
                <w:sz w:val="18"/>
                <w:szCs w:val="18"/>
              </w:rPr>
              <w:t>1,268,027.43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583" w:type="dxa"/>
            <w:noWrap/>
            <w:vAlign w:val="bottom"/>
          </w:tcPr>
          <w:p>
            <w:pPr>
              <w:widowControl/>
              <w:jc w:val="center"/>
              <w:textAlignment w:val="bottom"/>
              <w:rPr>
                <w:rFonts w:ascii="Arial" w:hAnsi="Arial" w:cs="Arial"/>
                <w:color w:val="000000"/>
                <w:sz w:val="18"/>
                <w:szCs w:val="18"/>
              </w:rPr>
            </w:pPr>
            <w:r>
              <w:rPr>
                <w:rFonts w:ascii="Arial" w:hAnsi="Arial" w:cs="Arial"/>
                <w:b/>
                <w:bCs/>
                <w:color w:val="000000"/>
                <w:kern w:val="0"/>
                <w:sz w:val="18"/>
                <w:szCs w:val="18"/>
                <w:lang w:bidi="ar"/>
              </w:rPr>
              <w:t>1,304,107.57</w:t>
            </w:r>
          </w:p>
        </w:tc>
      </w:tr>
    </w:tbl>
    <w:p>
      <w:pPr>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sz w:val="24"/>
          <w:szCs w:val="24"/>
        </w:rPr>
      </w:pPr>
      <w:bookmarkStart w:id="404" w:name="_Toc18260"/>
      <w:bookmarkStart w:id="405" w:name="_Toc15728"/>
      <w:bookmarkStart w:id="406" w:name="_Toc23061"/>
      <w:bookmarkStart w:id="407" w:name="_Toc13697"/>
      <w:bookmarkStart w:id="408" w:name="_Toc4564"/>
      <w:bookmarkStart w:id="409" w:name="_Toc28705"/>
      <w:bookmarkStart w:id="410" w:name="_Toc18031"/>
      <w:bookmarkStart w:id="411" w:name="_Toc11089"/>
      <w:bookmarkStart w:id="412" w:name="_Toc32594"/>
      <w:bookmarkStart w:id="413" w:name="_Toc7872"/>
      <w:bookmarkStart w:id="414" w:name="_Toc8867"/>
      <w:bookmarkStart w:id="415" w:name="_Toc8417"/>
      <w:bookmarkStart w:id="416" w:name="_Toc100"/>
      <w:bookmarkStart w:id="417" w:name="_Toc14795"/>
      <w:bookmarkStart w:id="418" w:name="_Toc12693"/>
      <w:bookmarkStart w:id="419" w:name="_Toc22072"/>
      <w:bookmarkStart w:id="420" w:name="_Toc18101"/>
      <w:bookmarkStart w:id="421" w:name="_Toc31576"/>
      <w:bookmarkStart w:id="422" w:name="_Toc2816"/>
      <w:bookmarkStart w:id="423" w:name="_Toc704"/>
      <w:bookmarkStart w:id="424" w:name="_Toc27779"/>
      <w:bookmarkStart w:id="425" w:name="_Toc27863"/>
      <w:bookmarkStart w:id="426" w:name="_Toc11940"/>
      <w:r>
        <w:rPr>
          <w:rFonts w:ascii="Arial" w:hAnsi="Arial" w:cs="Arial"/>
          <w:sz w:val="24"/>
          <w:szCs w:val="24"/>
        </w:rPr>
        <w:t>7项目成本统计</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3"/>
        <w:rPr>
          <w:rFonts w:eastAsia="宋体" w:cs="Arial"/>
          <w:sz w:val="24"/>
        </w:rPr>
      </w:pPr>
      <w:bookmarkStart w:id="427" w:name="_Toc31081"/>
      <w:bookmarkStart w:id="428" w:name="_Toc3228"/>
      <w:bookmarkStart w:id="429" w:name="_Toc9983"/>
      <w:bookmarkStart w:id="430" w:name="_Toc17605"/>
      <w:bookmarkStart w:id="431" w:name="_Toc30894"/>
      <w:bookmarkStart w:id="432" w:name="_Toc4672"/>
      <w:bookmarkStart w:id="433" w:name="_Toc15407"/>
      <w:bookmarkStart w:id="434" w:name="_Toc5703"/>
      <w:bookmarkStart w:id="435" w:name="_Toc3669"/>
      <w:bookmarkStart w:id="436" w:name="_Toc13627"/>
      <w:bookmarkStart w:id="437" w:name="_Toc19639"/>
      <w:bookmarkStart w:id="438" w:name="_Toc12349"/>
      <w:bookmarkStart w:id="439" w:name="_Toc227"/>
      <w:bookmarkStart w:id="440" w:name="_Toc28506"/>
      <w:bookmarkStart w:id="441" w:name="_Toc31778"/>
      <w:r>
        <w:rPr>
          <w:rFonts w:eastAsia="宋体" w:cs="Arial"/>
          <w:color w:val="000000"/>
          <w:sz w:val="24"/>
          <w:szCs w:val="24"/>
        </w:rPr>
        <w:t>7.1</w:t>
      </w:r>
      <w:r>
        <w:rPr>
          <w:rFonts w:eastAsia="宋体" w:cs="Arial"/>
          <w:sz w:val="24"/>
        </w:rPr>
        <w:t>资金使用情况统计</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spacing w:line="480" w:lineRule="auto"/>
        <w:ind w:firstLine="420" w:firstLineChars="200"/>
        <w:rPr>
          <w:rFonts w:ascii="Arial" w:hAnsi="Arial" w:cs="Arial"/>
          <w:szCs w:val="21"/>
        </w:rPr>
      </w:pPr>
      <w:r>
        <w:rPr>
          <w:rFonts w:ascii="Arial" w:hAnsi="Arial" w:cs="Arial"/>
          <w:szCs w:val="21"/>
        </w:rPr>
        <w:t>根据信托尽调报告，项目总目标成本119,832.05万元，建面单方成本约15,456.14元/㎡。截至2020年10月31日，项目已使用资金57,267.66 万元，其中本期使用2,246.86万元，资金使用汇总情况详见下表：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801"/>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2020年10月份</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截至2020年10月31日累计成本（元）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一、土地成本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0.00 </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土地成本小计</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39"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19,990,000.00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45,600.00 </w:t>
            </w:r>
          </w:p>
        </w:tc>
        <w:tc>
          <w:tcPr>
            <w:tcW w:w="2155"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1,463,700.00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344,030,000.00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21,813,750.01</w:t>
            </w:r>
          </w:p>
        </w:tc>
        <w:tc>
          <w:tcPr>
            <w:tcW w:w="2155"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44,076,737.88</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53,090,000.00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44,430,000.00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承诺成本小计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461,540,000.00</w:t>
            </w:r>
          </w:p>
        </w:tc>
        <w:tc>
          <w:tcPr>
            <w:tcW w:w="2053"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21,859,350.01</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45,540,437.88</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24,750,000.00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818.51 </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11,326.91</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119,886,900.00 </w:t>
            </w:r>
          </w:p>
        </w:tc>
        <w:tc>
          <w:tcPr>
            <w:tcW w:w="2053" w:type="dxa"/>
            <w:noWrap/>
            <w:vAlign w:val="center"/>
          </w:tcPr>
          <w:p>
            <w:pPr>
              <w:widowControl/>
              <w:jc w:val="center"/>
              <w:textAlignment w:val="center"/>
              <w:rPr>
                <w:rFonts w:ascii="Arial" w:hAnsi="Arial" w:cs="Arial"/>
                <w:color w:val="000000"/>
                <w:kern w:val="0"/>
                <w:sz w:val="18"/>
                <w:szCs w:val="18"/>
                <w:lang w:bidi="ar"/>
              </w:rPr>
            </w:pPr>
          </w:p>
        </w:tc>
        <w:tc>
          <w:tcPr>
            <w:tcW w:w="2155" w:type="dxa"/>
            <w:noWrap/>
            <w:vAlign w:val="center"/>
          </w:tcPr>
          <w:p>
            <w:pPr>
              <w:widowControl/>
              <w:jc w:val="center"/>
              <w:rPr>
                <w:rFonts w:ascii="Arial" w:hAnsi="Arial" w:cs="Arial"/>
                <w:color w:val="000000"/>
                <w:kern w:val="0"/>
                <w:sz w:val="18"/>
                <w:szCs w:val="18"/>
                <w:lang w:bidi="ar"/>
              </w:rPr>
            </w:pP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26,210,800.00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41,188.86 </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115,122.17</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39,316,100.00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567,288.00 </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1,442,741.23</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期间费用和税费小计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210,163,800.00</w:t>
            </w:r>
          </w:p>
        </w:tc>
        <w:tc>
          <w:tcPr>
            <w:tcW w:w="2053"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609,295.37</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1,569,190.31</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1,198,320,500.00</w:t>
            </w:r>
          </w:p>
        </w:tc>
        <w:tc>
          <w:tcPr>
            <w:tcW w:w="2053"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rPr>
              <w:t>22,468,645.38</w:t>
            </w:r>
          </w:p>
        </w:tc>
        <w:tc>
          <w:tcPr>
            <w:tcW w:w="2155" w:type="dxa"/>
            <w:noWrap/>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rPr>
              <w:t>572,676,572.09</w:t>
            </w:r>
          </w:p>
        </w:tc>
        <w:tc>
          <w:tcPr>
            <w:tcW w:w="1610" w:type="dxa"/>
            <w:noWrap/>
            <w:vAlign w:val="center"/>
          </w:tcPr>
          <w:p>
            <w:pPr>
              <w:widowControl/>
              <w:jc w:val="center"/>
              <w:rPr>
                <w:rFonts w:ascii="Arial" w:hAnsi="Arial" w:cs="Arial"/>
                <w:b/>
                <w:bCs/>
                <w:color w:val="000000"/>
                <w:kern w:val="0"/>
                <w:sz w:val="18"/>
                <w:szCs w:val="18"/>
                <w:lang w:bidi="ar"/>
              </w:rPr>
            </w:pPr>
            <w:r>
              <w:rPr>
                <w:rFonts w:ascii="Arial" w:hAnsi="Arial" w:cs="Arial"/>
                <w:b/>
                <w:bCs/>
                <w:color w:val="000000"/>
                <w:kern w:val="0"/>
                <w:sz w:val="18"/>
                <w:szCs w:val="18"/>
                <w:lang w:bidi="ar"/>
              </w:rPr>
              <w:t>47.79%</w:t>
            </w:r>
          </w:p>
        </w:tc>
      </w:tr>
    </w:tbl>
    <w:p>
      <w:pPr>
        <w:ind w:firstLine="360" w:firstLineChars="200"/>
        <w:jc w:val="left"/>
        <w:rPr>
          <w:rFonts w:ascii="Arial" w:hAnsi="Arial" w:cs="Arial"/>
          <w:bCs/>
          <w:kern w:val="44"/>
          <w:sz w:val="18"/>
          <w:szCs w:val="18"/>
        </w:rPr>
      </w:pPr>
      <w:r>
        <w:rPr>
          <w:rFonts w:ascii="Arial" w:hAnsi="Arial" w:cs="Arial"/>
          <w:sz w:val="18"/>
          <w:szCs w:val="18"/>
        </w:rPr>
        <w:t>注：1、项目公司目标成本</w:t>
      </w:r>
      <w:r>
        <w:rPr>
          <w:rFonts w:ascii="Arial" w:hAnsi="Arial" w:cs="Arial"/>
          <w:bCs/>
          <w:kern w:val="44"/>
          <w:sz w:val="18"/>
          <w:szCs w:val="18"/>
        </w:rPr>
        <w:t>来源于信托尽调报告；</w:t>
      </w:r>
    </w:p>
    <w:p>
      <w:pPr>
        <w:numPr>
          <w:ilvl w:val="0"/>
          <w:numId w:val="3"/>
        </w:numPr>
        <w:ind w:left="986" w:leftChars="341" w:hanging="270" w:hangingChars="150"/>
        <w:jc w:val="left"/>
        <w:rPr>
          <w:rFonts w:ascii="Arial" w:hAnsi="Arial" w:cs="Arial"/>
          <w:bCs/>
          <w:kern w:val="44"/>
          <w:sz w:val="18"/>
          <w:szCs w:val="18"/>
        </w:rPr>
      </w:pPr>
      <w:r>
        <w:rPr>
          <w:rFonts w:ascii="Arial" w:hAnsi="Arial" w:cs="Arial"/>
          <w:bCs/>
          <w:kern w:val="44"/>
          <w:sz w:val="18"/>
          <w:szCs w:val="18"/>
        </w:rPr>
        <w:t>本表金额包含已开出商业承兑汇票金额。</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累计成本中260,215,301.02元为入场前发生成本，以网银入账信息填列；</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土地成本中包含由恒大地产集团上海盛建置业有限公司支付的海盐县20-033号地块土拍保证金101,110,000.00元，契税15,438,401.6元，土地滞纳金3,951,442.30元；</w:t>
      </w:r>
    </w:p>
    <w:p>
      <w:pPr>
        <w:numPr>
          <w:ilvl w:val="0"/>
          <w:numId w:val="3"/>
        </w:numPr>
        <w:ind w:left="986" w:leftChars="341" w:hanging="270" w:hangingChars="150"/>
        <w:jc w:val="left"/>
        <w:rPr>
          <w:rFonts w:ascii="Arial" w:hAnsi="Arial" w:cs="Arial"/>
          <w:bCs/>
          <w:kern w:val="44"/>
          <w:sz w:val="18"/>
          <w:szCs w:val="18"/>
        </w:rPr>
      </w:pPr>
      <w:r>
        <w:rPr>
          <w:rStyle w:val="27"/>
          <w:rFonts w:ascii="Arial" w:hAnsi="Arial" w:cs="Arial"/>
          <w:sz w:val="18"/>
          <w:szCs w:val="18"/>
        </w:rPr>
        <w:t>截至10月31日，偿还上海颖骏投资管理有限公司借款336,180,000.00元，未计入项目成本；</w:t>
      </w:r>
    </w:p>
    <w:p>
      <w:pPr>
        <w:numPr>
          <w:ilvl w:val="255"/>
          <w:numId w:val="0"/>
        </w:numPr>
        <w:ind w:left="401" w:leftChars="191"/>
        <w:rPr>
          <w:rStyle w:val="27"/>
          <w:rFonts w:ascii="Arial" w:hAnsi="Arial" w:cs="Arial"/>
          <w:sz w:val="18"/>
          <w:szCs w:val="18"/>
        </w:rPr>
      </w:pPr>
    </w:p>
    <w:p>
      <w:pPr>
        <w:ind w:left="401" w:leftChars="191"/>
        <w:rPr>
          <w:rStyle w:val="27"/>
          <w:rFonts w:ascii="Arial" w:hAnsi="Arial" w:cs="Arial"/>
          <w:sz w:val="18"/>
          <w:szCs w:val="18"/>
        </w:rPr>
      </w:pPr>
    </w:p>
    <w:p>
      <w:pPr>
        <w:pStyle w:val="3"/>
        <w:rPr>
          <w:rFonts w:eastAsia="宋体" w:cs="Arial"/>
          <w:sz w:val="24"/>
        </w:rPr>
      </w:pPr>
      <w:bookmarkStart w:id="442" w:name="_Toc24068"/>
      <w:bookmarkStart w:id="443" w:name="_Toc28279"/>
      <w:bookmarkStart w:id="444" w:name="_Toc6261"/>
      <w:bookmarkStart w:id="445" w:name="_Toc30221"/>
      <w:bookmarkStart w:id="446" w:name="_Toc6979"/>
      <w:bookmarkStart w:id="447" w:name="_Toc9290"/>
      <w:bookmarkStart w:id="448" w:name="_Toc32372"/>
      <w:bookmarkStart w:id="449" w:name="_Toc12080"/>
      <w:bookmarkStart w:id="450" w:name="_Toc11558"/>
      <w:bookmarkStart w:id="451" w:name="_Toc21185"/>
      <w:bookmarkStart w:id="452" w:name="_Toc30404"/>
      <w:bookmarkStart w:id="453" w:name="_Toc6163"/>
      <w:bookmarkStart w:id="454" w:name="_Toc1768"/>
      <w:bookmarkStart w:id="455" w:name="_Toc14088"/>
      <w:bookmarkStart w:id="456" w:name="_Toc13482"/>
      <w:r>
        <w:rPr>
          <w:rFonts w:eastAsia="宋体" w:cs="Arial"/>
          <w:sz w:val="24"/>
        </w:rPr>
        <w:t>7.2合约成本统计</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spacing w:line="480" w:lineRule="auto"/>
        <w:ind w:firstLine="420" w:firstLineChars="200"/>
        <w:rPr>
          <w:rFonts w:ascii="Arial" w:hAnsi="Arial" w:cs="Arial"/>
          <w:szCs w:val="21"/>
        </w:rPr>
      </w:pPr>
      <w:r>
        <w:rPr>
          <w:rFonts w:ascii="Arial" w:hAnsi="Arial" w:cs="Arial"/>
          <w:szCs w:val="21"/>
        </w:rPr>
        <w:t>依据项目公司提供的合同台账，截至2020年10月31日，项目公司已签订合同58份（含土地使用权出让合同变更协议、3份备案类合同），合同金额共计</w:t>
      </w:r>
      <w:r>
        <w:rPr>
          <w:rFonts w:ascii="Arial" w:hAnsi="Arial" w:cs="Arial"/>
          <w:szCs w:val="21"/>
          <w:lang w:bidi="ar"/>
        </w:rPr>
        <w:t>898,824,110.82</w:t>
      </w:r>
      <w:r>
        <w:rPr>
          <w:rFonts w:ascii="Arial" w:hAnsi="Arial" w:cs="Arial"/>
          <w:szCs w:val="21"/>
        </w:rPr>
        <w:t>元，占目标成本的75%；依据合同支付</w:t>
      </w:r>
      <w:r>
        <w:rPr>
          <w:rFonts w:ascii="Arial" w:hAnsi="Arial" w:cs="Arial"/>
          <w:szCs w:val="21"/>
          <w:lang w:bidi="ar"/>
        </w:rPr>
        <w:t>571,714,436.67元</w:t>
      </w:r>
      <w:r>
        <w:rPr>
          <w:rFonts w:ascii="Arial" w:hAnsi="Arial" w:cs="Arial"/>
          <w:szCs w:val="21"/>
        </w:rPr>
        <w:t>，待支付合同金额327,109,674.15 元，合同支付情况详见下表：</w:t>
      </w:r>
    </w:p>
    <w:tbl>
      <w:tblPr>
        <w:tblStyle w:val="18"/>
        <w:tblW w:w="9201" w:type="dxa"/>
        <w:jc w:val="center"/>
        <w:tblLayout w:type="fixed"/>
        <w:tblCellMar>
          <w:top w:w="0" w:type="dxa"/>
          <w:left w:w="0" w:type="dxa"/>
          <w:bottom w:w="0" w:type="dxa"/>
          <w:right w:w="0" w:type="dxa"/>
        </w:tblCellMar>
      </w:tblPr>
      <w:tblGrid>
        <w:gridCol w:w="1356"/>
        <w:gridCol w:w="528"/>
        <w:gridCol w:w="1525"/>
        <w:gridCol w:w="1608"/>
        <w:gridCol w:w="1258"/>
        <w:gridCol w:w="1528"/>
        <w:gridCol w:w="1398"/>
      </w:tblGrid>
      <w:tr>
        <w:tblPrEx>
          <w:tblCellMar>
            <w:top w:w="0" w:type="dxa"/>
            <w:left w:w="0" w:type="dxa"/>
            <w:bottom w:w="0" w:type="dxa"/>
            <w:right w:w="0" w:type="dxa"/>
          </w:tblCellMar>
        </w:tblPrEx>
        <w:trPr>
          <w:trHeight w:val="52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99.80%</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99.80%</w:t>
            </w:r>
          </w:p>
        </w:tc>
      </w:tr>
      <w:tr>
        <w:tblPrEx>
          <w:tblCellMar>
            <w:top w:w="0" w:type="dxa"/>
            <w:left w:w="0" w:type="dxa"/>
            <w:bottom w:w="0" w:type="dxa"/>
            <w:right w:w="0" w:type="dxa"/>
          </w:tblCellMar>
        </w:tblPrEx>
        <w:trPr>
          <w:trHeight w:val="303"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16,123,354.77</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19,990,000.00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80.66%</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1,689,911.64</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8.45%</w:t>
            </w:r>
          </w:p>
        </w:tc>
      </w:tr>
      <w:tr>
        <w:tblPrEx>
          <w:tblCellMar>
            <w:top w:w="0" w:type="dxa"/>
            <w:left w:w="0" w:type="dxa"/>
            <w:bottom w:w="0" w:type="dxa"/>
            <w:right w:w="0" w:type="dxa"/>
          </w:tblCellMar>
        </w:tblPrEx>
        <w:trPr>
          <w:trHeight w:val="455"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345,099,992.26</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344,030,000.00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100.31%</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color w:val="000000"/>
                <w:kern w:val="0"/>
                <w:sz w:val="18"/>
                <w:szCs w:val="18"/>
                <w:lang w:bidi="ar"/>
              </w:rPr>
              <w:t>42,704,603.50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12.37%</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基础设施类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6,470,121.28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53,090,000.00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12.19%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539"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公共配套设施类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44,430,000.00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承诺成本类合同小计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29</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367,693,468.31</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461,540,000.00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79.67%</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44,394,515.14</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9.62%</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46,800.00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26,210,800.00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0.18%</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5,116,898.61</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39,316,100.00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13.01%</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1,360,744.63</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3.46%</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400,000.00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392,233.00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144,636,900.00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期间费用和税费类成本合同小计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25</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5,563,698.61</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210,163,800.00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2.65%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1,752,977.63</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0.83%</w:t>
            </w:r>
          </w:p>
        </w:tc>
      </w:tr>
      <w:tr>
        <w:tblPrEx>
          <w:tblCellMar>
            <w:top w:w="0" w:type="dxa"/>
            <w:left w:w="0" w:type="dxa"/>
            <w:bottom w:w="0" w:type="dxa"/>
            <w:right w:w="0" w:type="dxa"/>
          </w:tblCellMar>
        </w:tblPrEx>
        <w:trPr>
          <w:trHeight w:val="27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color w:val="000000"/>
                <w:kern w:val="0"/>
                <w:sz w:val="18"/>
                <w:szCs w:val="18"/>
                <w:lang w:bidi="ar"/>
              </w:rPr>
              <w:t>55</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b/>
                <w:color w:val="000000"/>
                <w:kern w:val="0"/>
                <w:sz w:val="18"/>
                <w:szCs w:val="18"/>
                <w:lang w:bidi="ar"/>
              </w:rPr>
              <w:t>898,824,110.82</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color w:val="000000"/>
                <w:kern w:val="0"/>
                <w:sz w:val="18"/>
                <w:szCs w:val="18"/>
                <w:lang w:bidi="ar"/>
              </w:rPr>
              <w:t>1,198,320,500.00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kern w:val="0"/>
                <w:sz w:val="18"/>
                <w:szCs w:val="18"/>
                <w:lang w:bidi="ar"/>
              </w:rPr>
            </w:pPr>
            <w:r>
              <w:rPr>
                <w:rFonts w:ascii="Arial" w:hAnsi="Arial" w:cs="Arial"/>
                <w:b/>
                <w:color w:val="000000"/>
                <w:kern w:val="0"/>
                <w:sz w:val="18"/>
                <w:szCs w:val="18"/>
                <w:lang w:bidi="ar"/>
              </w:rPr>
              <w:t>75%</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571,714,436.67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47.71%</w:t>
            </w:r>
          </w:p>
        </w:tc>
      </w:tr>
    </w:tbl>
    <w:p>
      <w:pPr>
        <w:ind w:left="1030" w:leftChars="170" w:hanging="673" w:hangingChars="374"/>
        <w:jc w:val="left"/>
        <w:rPr>
          <w:rFonts w:ascii="Arial" w:hAnsi="Arial" w:cs="Arial"/>
          <w:bCs/>
          <w:kern w:val="44"/>
          <w:sz w:val="18"/>
          <w:szCs w:val="18"/>
        </w:rPr>
      </w:pPr>
      <w:bookmarkStart w:id="457" w:name="_Toc22315"/>
      <w:bookmarkStart w:id="458" w:name="_Toc27161"/>
      <w:bookmarkStart w:id="459" w:name="_Toc25830"/>
      <w:r>
        <w:rPr>
          <w:rFonts w:ascii="Arial" w:hAnsi="Arial" w:cs="Arial"/>
          <w:sz w:val="18"/>
          <w:szCs w:val="18"/>
        </w:rPr>
        <w:t>注：1、根据2020年4月26日项目公司与海盐县自然资源和规划局、</w:t>
      </w:r>
      <w:r>
        <w:rPr>
          <w:rStyle w:val="27"/>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签订的《国有建设用地使用权出让合同补充合同》，项目公司承担原合同中受让人（即恒大地产集团上海盛建置业有限公司</w:t>
      </w:r>
      <w:r>
        <w:rPr>
          <w:rStyle w:val="27"/>
          <w:rFonts w:ascii="Arial" w:hAnsi="Arial" w:cs="Arial"/>
          <w:sz w:val="18"/>
          <w:szCs w:val="18"/>
        </w:rPr>
        <w:t>）</w:t>
      </w:r>
      <w:r>
        <w:rPr>
          <w:rFonts w:ascii="Arial" w:hAnsi="Arial" w:cs="Arial"/>
          <w:sz w:val="18"/>
          <w:szCs w:val="18"/>
        </w:rPr>
        <w:t>的一切权利和义务</w:t>
      </w:r>
      <w:r>
        <w:rPr>
          <w:rFonts w:ascii="Arial" w:hAnsi="Arial" w:cs="Arial"/>
          <w:bCs/>
          <w:kern w:val="44"/>
          <w:sz w:val="18"/>
          <w:szCs w:val="18"/>
        </w:rPr>
        <w:t>。</w:t>
      </w:r>
    </w:p>
    <w:p>
      <w:pPr>
        <w:numPr>
          <w:ilvl w:val="0"/>
          <w:numId w:val="4"/>
        </w:numPr>
        <w:ind w:left="680"/>
        <w:jc w:val="left"/>
        <w:rPr>
          <w:rFonts w:ascii="Arial" w:hAnsi="Arial" w:cs="Arial"/>
          <w:bCs/>
          <w:kern w:val="44"/>
          <w:sz w:val="18"/>
          <w:szCs w:val="18"/>
        </w:rPr>
      </w:pPr>
      <w:r>
        <w:rPr>
          <w:rFonts w:ascii="Arial" w:hAnsi="Arial" w:cs="Arial"/>
          <w:bCs/>
          <w:kern w:val="44"/>
          <w:sz w:val="18"/>
          <w:szCs w:val="18"/>
        </w:rPr>
        <w:t>土地合同金额含契税、印花税15,438,401.60元，土地滞纳金3,951,442.30元。</w:t>
      </w:r>
    </w:p>
    <w:p>
      <w:pPr>
        <w:numPr>
          <w:ilvl w:val="0"/>
          <w:numId w:val="4"/>
        </w:numPr>
        <w:ind w:left="948" w:leftChars="323" w:hanging="270" w:hangingChars="150"/>
        <w:jc w:val="left"/>
        <w:rPr>
          <w:rFonts w:ascii="Arial" w:hAnsi="Arial" w:cs="Arial"/>
          <w:bCs/>
          <w:kern w:val="44"/>
          <w:sz w:val="18"/>
          <w:szCs w:val="18"/>
        </w:rPr>
      </w:pPr>
      <w:r>
        <w:rPr>
          <w:rFonts w:ascii="Arial" w:hAnsi="Arial" w:cs="Arial"/>
          <w:bCs/>
          <w:kern w:val="44"/>
          <w:sz w:val="18"/>
          <w:szCs w:val="18"/>
        </w:rPr>
        <w:t>与深圳恒大材料设备有限公司签订的《海盐恒大都汇华庭材料物资供货合同》合同金额为0元，9月实际支付84,600元，此实际支付84,600元计入工程类合同金额。</w:t>
      </w:r>
    </w:p>
    <w:p>
      <w:pPr>
        <w:numPr>
          <w:ilvl w:val="0"/>
          <w:numId w:val="4"/>
        </w:numPr>
        <w:ind w:left="680"/>
        <w:jc w:val="left"/>
        <w:rPr>
          <w:rFonts w:ascii="Arial" w:hAnsi="Arial" w:cs="Arial"/>
          <w:bCs/>
          <w:kern w:val="44"/>
          <w:sz w:val="18"/>
          <w:szCs w:val="18"/>
        </w:rPr>
      </w:pPr>
      <w:r>
        <w:rPr>
          <w:rFonts w:ascii="Arial" w:hAnsi="Arial" w:cs="Arial"/>
          <w:bCs/>
          <w:kern w:val="44"/>
          <w:sz w:val="18"/>
          <w:szCs w:val="18"/>
        </w:rPr>
        <w:t>本表中累计支付金额包含已开出商业承兑汇票金额，未考虑其后期发生的贴现金额。</w:t>
      </w:r>
    </w:p>
    <w:p>
      <w:pPr>
        <w:spacing w:line="480" w:lineRule="auto"/>
        <w:ind w:firstLine="420" w:firstLineChars="200"/>
        <w:rPr>
          <w:rFonts w:ascii="Arial" w:hAnsi="Arial" w:cs="Arial"/>
          <w:szCs w:val="21"/>
        </w:rPr>
      </w:pPr>
      <w:bookmarkStart w:id="460" w:name="_Toc20226"/>
      <w:bookmarkStart w:id="461" w:name="_Toc24511"/>
      <w:bookmarkStart w:id="462" w:name="_Toc6327"/>
      <w:bookmarkStart w:id="463" w:name="_Toc12337"/>
      <w:bookmarkStart w:id="464" w:name="_Toc30520"/>
      <w:bookmarkStart w:id="465" w:name="_Toc21443"/>
      <w:bookmarkStart w:id="466" w:name="_Toc7010"/>
      <w:bookmarkStart w:id="467" w:name="_Toc32680"/>
      <w:bookmarkStart w:id="468" w:name="_Toc22573"/>
    </w:p>
    <w:p>
      <w:pPr>
        <w:spacing w:line="480" w:lineRule="auto"/>
        <w:ind w:firstLine="420" w:firstLineChars="200"/>
        <w:rPr>
          <w:rFonts w:ascii="Arial" w:hAnsi="Arial" w:cs="Arial"/>
          <w:szCs w:val="21"/>
        </w:rPr>
      </w:pPr>
      <w:r>
        <w:rPr>
          <w:rFonts w:ascii="Arial" w:hAnsi="Arial" w:cs="Arial"/>
          <w:szCs w:val="21"/>
        </w:rPr>
        <w:t>本期签订合同14份，合同总额2,087,386.99元，期间费用和税费类成本合同金额增加1,208,910.00元；承诺成本类合同金额增加878,476.99元，均为营销类合同。</w:t>
      </w:r>
    </w:p>
    <w:p>
      <w:pPr>
        <w:spacing w:line="480" w:lineRule="auto"/>
        <w:ind w:firstLine="420" w:firstLineChars="200"/>
        <w:rPr>
          <w:rFonts w:ascii="Arial" w:hAnsi="Arial" w:cs="Arial"/>
          <w:szCs w:val="21"/>
        </w:rPr>
      </w:pPr>
      <w:r>
        <w:rPr>
          <w:rFonts w:ascii="Arial" w:hAnsi="Arial" w:cs="Arial"/>
          <w:szCs w:val="21"/>
        </w:rPr>
        <w:t>本期支付前期设计费1,163,791.64元，桩基工程款20,620,003.50元，售楼部物料款567,288.00元。</w:t>
      </w:r>
    </w:p>
    <w:p>
      <w:pPr>
        <w:spacing w:line="480" w:lineRule="auto"/>
        <w:ind w:firstLine="420" w:firstLineChars="200"/>
        <w:rPr>
          <w:rFonts w:ascii="Arial" w:hAnsi="Arial" w:cs="Arial"/>
          <w:color w:val="000000"/>
          <w:sz w:val="24"/>
        </w:rPr>
      </w:pPr>
      <w:r>
        <w:rPr>
          <w:rFonts w:ascii="Arial" w:hAnsi="Arial" w:cs="Arial"/>
          <w:szCs w:val="21"/>
        </w:rPr>
        <w:t>根据项目公司网银导出数据及</w:t>
      </w:r>
      <w:r>
        <w:rPr>
          <w:rFonts w:ascii="Arial" w:hAnsi="Arial" w:cs="Arial"/>
          <w:bCs/>
          <w:kern w:val="44"/>
          <w:szCs w:val="21"/>
        </w:rPr>
        <w:t>康信资管</w:t>
      </w:r>
      <w:r>
        <w:rPr>
          <w:rFonts w:ascii="Arial" w:hAnsi="Arial" w:cs="Arial"/>
          <w:szCs w:val="21"/>
        </w:rPr>
        <w:t>入场后记录，截至2020年10月31日，项目公司共开具25张1年期商业承兑汇票，汇票总金额34,356,748.27元，1张9个月期商业承兑汇票10,180,003.50元，根据项目公司提供的补贴利率12%，预计将增加对施工方的补贴成本5,344,410.21元。</w:t>
      </w:r>
    </w:p>
    <w:p>
      <w:pPr>
        <w:pStyle w:val="2"/>
        <w:keepNext w:val="0"/>
        <w:keepLines w:val="0"/>
        <w:spacing w:before="300" w:after="300" w:line="360" w:lineRule="exact"/>
        <w:jc w:val="left"/>
        <w:rPr>
          <w:rFonts w:ascii="Arial" w:hAnsi="Arial" w:cs="Arial"/>
          <w:color w:val="000000"/>
          <w:sz w:val="24"/>
          <w:szCs w:val="24"/>
        </w:rPr>
      </w:pPr>
      <w:bookmarkStart w:id="469" w:name="_Toc30783"/>
      <w:bookmarkStart w:id="470" w:name="_Toc16781"/>
      <w:bookmarkStart w:id="471" w:name="_Toc31519"/>
      <w:r>
        <w:rPr>
          <w:rFonts w:ascii="Arial" w:hAnsi="Arial" w:cs="Arial"/>
          <w:color w:val="000000"/>
          <w:sz w:val="24"/>
          <w:szCs w:val="24"/>
        </w:rPr>
        <w:t>8项目销售情况</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pStyle w:val="3"/>
        <w:rPr>
          <w:rFonts w:eastAsia="宋体" w:cs="Arial"/>
          <w:color w:val="000000"/>
          <w:kern w:val="44"/>
          <w:sz w:val="24"/>
          <w:szCs w:val="24"/>
        </w:rPr>
      </w:pPr>
      <w:bookmarkStart w:id="472" w:name="_Toc9619"/>
      <w:bookmarkStart w:id="473" w:name="_Toc4043"/>
      <w:bookmarkStart w:id="474" w:name="_Toc4050"/>
      <w:bookmarkStart w:id="475" w:name="_Toc28522"/>
      <w:bookmarkStart w:id="476" w:name="_Toc13124"/>
      <w:bookmarkStart w:id="477" w:name="_Toc3357"/>
      <w:bookmarkStart w:id="478" w:name="_Toc10336"/>
      <w:bookmarkStart w:id="479" w:name="_Toc23954"/>
      <w:bookmarkStart w:id="480" w:name="_Toc30791"/>
      <w:bookmarkStart w:id="481" w:name="_Toc8645"/>
      <w:bookmarkStart w:id="482" w:name="_Toc132"/>
      <w:bookmarkStart w:id="483" w:name="_Toc10106"/>
      <w:bookmarkStart w:id="484" w:name="_Toc19898"/>
      <w:bookmarkStart w:id="485" w:name="_Toc25619"/>
      <w:bookmarkStart w:id="486" w:name="_Toc8301"/>
      <w:r>
        <w:rPr>
          <w:rFonts w:eastAsia="宋体" w:cs="Arial"/>
          <w:sz w:val="24"/>
        </w:rPr>
        <w:t>8.1</w:t>
      </w:r>
      <w:r>
        <w:rPr>
          <w:rFonts w:eastAsia="宋体" w:cs="Arial"/>
          <w:color w:val="000000"/>
          <w:kern w:val="44"/>
          <w:sz w:val="24"/>
          <w:szCs w:val="24"/>
        </w:rPr>
        <w:t>当地销售政策（预售政策、限购限售、限价政策描述）</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pPr>
        <w:spacing w:line="480" w:lineRule="auto"/>
        <w:ind w:firstLine="420" w:firstLineChars="200"/>
        <w:rPr>
          <w:rFonts w:ascii="Arial" w:hAnsi="Arial" w:cs="Arial"/>
        </w:rPr>
      </w:pPr>
      <w:r>
        <w:rPr>
          <w:rFonts w:ascii="Arial" w:hAnsi="Arial" w:cs="Arial"/>
        </w:rPr>
        <w:t>（1）预售政策：</w:t>
      </w:r>
    </w:p>
    <w:p>
      <w:pPr>
        <w:spacing w:line="480" w:lineRule="auto"/>
        <w:ind w:firstLine="420" w:firstLineChars="200"/>
        <w:rPr>
          <w:rFonts w:ascii="Arial" w:hAnsi="Arial" w:cs="Arial"/>
        </w:rPr>
      </w:pPr>
      <w:r>
        <w:rPr>
          <w:rFonts w:ascii="Arial" w:hAnsi="Arial" w:cs="Arial"/>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spacing w:line="480" w:lineRule="auto"/>
        <w:ind w:firstLine="420" w:firstLineChars="200"/>
        <w:rPr>
          <w:rFonts w:ascii="Arial" w:hAnsi="Arial" w:cs="Arial"/>
        </w:rPr>
      </w:pPr>
      <w:r>
        <w:rPr>
          <w:rFonts w:ascii="Arial" w:hAnsi="Arial" w:cs="Arial"/>
        </w:rPr>
        <w:t>（2）限购政策：</w:t>
      </w:r>
    </w:p>
    <w:p>
      <w:pPr>
        <w:spacing w:line="480" w:lineRule="auto"/>
        <w:ind w:firstLine="420" w:firstLineChars="200"/>
        <w:rPr>
          <w:rFonts w:ascii="Arial" w:hAnsi="Arial" w:cs="Arial"/>
        </w:rPr>
      </w:pPr>
      <w:r>
        <w:rPr>
          <w:rFonts w:ascii="Arial" w:hAnsi="Arial" w:cs="Arial"/>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spacing w:line="480" w:lineRule="auto"/>
        <w:ind w:firstLine="420" w:firstLineChars="200"/>
        <w:rPr>
          <w:rFonts w:ascii="Arial" w:hAnsi="Arial" w:cs="Arial"/>
        </w:rPr>
      </w:pPr>
      <w:r>
        <w:rPr>
          <w:rFonts w:ascii="Arial" w:hAnsi="Arial" w:cs="Arial"/>
        </w:rPr>
        <w:t>（3）限价政策：</w:t>
      </w:r>
    </w:p>
    <w:p>
      <w:pPr>
        <w:spacing w:line="480" w:lineRule="auto"/>
        <w:ind w:firstLine="420" w:firstLineChars="200"/>
        <w:rPr>
          <w:rFonts w:ascii="Arial" w:hAnsi="Arial" w:cs="Arial"/>
        </w:rPr>
      </w:pPr>
      <w:bookmarkStart w:id="487" w:name="_Toc14026"/>
      <w:bookmarkStart w:id="488" w:name="_Toc2350"/>
      <w:bookmarkStart w:id="489" w:name="_Toc7311"/>
      <w:bookmarkStart w:id="490" w:name="_Toc9486"/>
      <w:bookmarkStart w:id="491" w:name="_Toc6280"/>
      <w:bookmarkStart w:id="492" w:name="_Toc18788"/>
      <w:bookmarkStart w:id="493" w:name="_Toc32570"/>
      <w:bookmarkStart w:id="494" w:name="_Toc7694"/>
      <w:bookmarkStart w:id="495" w:name="_Toc30969"/>
      <w:bookmarkStart w:id="496" w:name="_Toc20320"/>
      <w:bookmarkStart w:id="497" w:name="_Toc12917"/>
      <w:bookmarkStart w:id="498" w:name="_Toc21015"/>
      <w:r>
        <w:rPr>
          <w:rFonts w:ascii="Arial" w:hAnsi="Arial" w:cs="Arial"/>
        </w:rPr>
        <w:t>根据不同区域情况限价，但限价逐步放松。办理价格备案时，先由房地产商自行申报价格，再由行业协会定价，最后由区住建局报市房管中心进行三区会议与三部门会议决定最终的定价。</w:t>
      </w:r>
    </w:p>
    <w:p>
      <w:pPr>
        <w:pStyle w:val="3"/>
        <w:rPr>
          <w:rFonts w:eastAsia="宋体" w:cs="Arial"/>
          <w:sz w:val="24"/>
        </w:rPr>
      </w:pPr>
      <w:bookmarkStart w:id="499" w:name="_Toc20118"/>
      <w:bookmarkStart w:id="500" w:name="_Toc24251"/>
      <w:bookmarkStart w:id="501" w:name="_Toc12423"/>
      <w:r>
        <w:rPr>
          <w:rFonts w:eastAsia="宋体" w:cs="Arial"/>
          <w:sz w:val="24"/>
        </w:rPr>
        <w:t>8.2项目销售及营销推广计划</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numPr>
          <w:ilvl w:val="0"/>
          <w:numId w:val="5"/>
        </w:numPr>
        <w:spacing w:line="480" w:lineRule="auto"/>
        <w:ind w:firstLine="420" w:firstLineChars="200"/>
        <w:rPr>
          <w:rFonts w:ascii="Arial" w:hAnsi="Arial" w:cs="Arial"/>
        </w:rPr>
      </w:pPr>
      <w:r>
        <w:rPr>
          <w:rFonts w:ascii="Arial" w:hAnsi="Arial" w:cs="Arial"/>
        </w:rPr>
        <w:t>项目公司拟于11月30日取得首批预售许可证。</w:t>
      </w:r>
    </w:p>
    <w:p>
      <w:pPr>
        <w:spacing w:line="480" w:lineRule="auto"/>
        <w:ind w:firstLine="420" w:firstLineChars="200"/>
        <w:rPr>
          <w:rFonts w:ascii="Arial" w:hAnsi="Arial" w:cs="Arial"/>
        </w:rPr>
      </w:pPr>
      <w:r>
        <w:rPr>
          <w:rFonts w:ascii="Arial" w:hAnsi="Arial" w:cs="Arial"/>
        </w:rPr>
        <w:t>（2）项目公司拟于11月7日售楼部对外展示</w:t>
      </w:r>
    </w:p>
    <w:p>
      <w:pPr>
        <w:pStyle w:val="3"/>
        <w:rPr>
          <w:rFonts w:eastAsia="宋体" w:cs="Arial"/>
          <w:sz w:val="24"/>
        </w:rPr>
      </w:pPr>
      <w:bookmarkStart w:id="502" w:name="_Toc22308"/>
      <w:bookmarkStart w:id="503" w:name="_Toc21807"/>
      <w:bookmarkStart w:id="504" w:name="_Toc24661"/>
      <w:bookmarkStart w:id="505" w:name="_Toc19320"/>
      <w:bookmarkStart w:id="506" w:name="_Toc11607"/>
      <w:bookmarkStart w:id="507" w:name="_Toc18851"/>
      <w:bookmarkStart w:id="508" w:name="_Toc18718"/>
      <w:bookmarkStart w:id="509" w:name="_Toc7891"/>
      <w:bookmarkStart w:id="510" w:name="_Toc7896"/>
      <w:bookmarkStart w:id="511" w:name="_Toc8166"/>
      <w:bookmarkStart w:id="512" w:name="_Toc4827"/>
      <w:bookmarkStart w:id="513" w:name="_Toc13053"/>
      <w:bookmarkStart w:id="514" w:name="_Toc18913"/>
      <w:bookmarkStart w:id="515" w:name="_Toc3051"/>
      <w:bookmarkStart w:id="516" w:name="_Toc7994"/>
      <w:r>
        <w:rPr>
          <w:rFonts w:eastAsia="宋体" w:cs="Arial"/>
          <w:sz w:val="24"/>
        </w:rPr>
        <w:t>8.3项目销售情况统计</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numPr>
          <w:ilvl w:val="255"/>
          <w:numId w:val="0"/>
        </w:numPr>
        <w:spacing w:line="360" w:lineRule="auto"/>
        <w:ind w:firstLine="420" w:firstLineChars="200"/>
        <w:rPr>
          <w:rFonts w:ascii="Arial" w:hAnsi="Arial" w:cs="Arial"/>
        </w:rPr>
      </w:pPr>
      <w:r>
        <w:rPr>
          <w:rFonts w:ascii="Arial" w:hAnsi="Arial" w:cs="Arial"/>
        </w:rPr>
        <w:t>项目公司尚未进入销售阶段</w:t>
      </w:r>
    </w:p>
    <w:p>
      <w:pPr>
        <w:pStyle w:val="2"/>
        <w:keepNext w:val="0"/>
        <w:keepLines w:val="0"/>
        <w:spacing w:before="300" w:after="300" w:line="360" w:lineRule="exact"/>
        <w:jc w:val="left"/>
        <w:rPr>
          <w:rFonts w:ascii="Arial" w:hAnsi="Arial" w:cs="Arial"/>
          <w:color w:val="000000"/>
          <w:sz w:val="24"/>
          <w:szCs w:val="24"/>
        </w:rPr>
      </w:pPr>
      <w:bookmarkStart w:id="517" w:name="_Toc11401"/>
      <w:bookmarkStart w:id="518" w:name="_Toc7161"/>
      <w:bookmarkStart w:id="519" w:name="_Toc19692"/>
      <w:bookmarkStart w:id="520" w:name="_Toc22077"/>
      <w:bookmarkStart w:id="521" w:name="_Toc30477"/>
      <w:bookmarkStart w:id="522" w:name="_Toc32039"/>
      <w:bookmarkStart w:id="523" w:name="_Toc3967"/>
      <w:bookmarkStart w:id="524" w:name="_Toc19387"/>
      <w:bookmarkStart w:id="525" w:name="_Toc3192"/>
      <w:r>
        <w:rPr>
          <w:rFonts w:ascii="Arial" w:hAnsi="Arial" w:cs="Arial"/>
          <w:color w:val="000000"/>
          <w:sz w:val="24"/>
          <w:szCs w:val="24"/>
        </w:rPr>
        <w:t>9下期关注重点</w:t>
      </w:r>
      <w:bookmarkEnd w:id="517"/>
      <w:bookmarkEnd w:id="518"/>
      <w:bookmarkEnd w:id="519"/>
      <w:bookmarkEnd w:id="520"/>
      <w:bookmarkEnd w:id="521"/>
      <w:bookmarkEnd w:id="522"/>
      <w:bookmarkEnd w:id="523"/>
    </w:p>
    <w:p>
      <w:pPr>
        <w:spacing w:line="360" w:lineRule="auto"/>
        <w:ind w:firstLine="420" w:firstLineChars="200"/>
        <w:jc w:val="left"/>
        <w:rPr>
          <w:rFonts w:ascii="Arial" w:hAnsi="Arial" w:cs="Arial"/>
          <w:color w:val="000000"/>
          <w:szCs w:val="21"/>
        </w:rPr>
      </w:pPr>
      <w:r>
        <w:rPr>
          <w:rFonts w:ascii="Arial" w:hAnsi="Arial" w:cs="Arial"/>
          <w:color w:val="000000"/>
          <w:szCs w:val="21"/>
        </w:rPr>
        <w:t>综上所述，基于目前海盐都汇华庭项目运营状况，后续工作中将对下列事项进行重点关注：</w:t>
      </w:r>
    </w:p>
    <w:p>
      <w:pPr>
        <w:numPr>
          <w:ilvl w:val="0"/>
          <w:numId w:val="6"/>
        </w:numPr>
        <w:spacing w:line="480" w:lineRule="auto"/>
        <w:ind w:left="845" w:firstLine="0"/>
        <w:jc w:val="left"/>
        <w:rPr>
          <w:rFonts w:ascii="Arial" w:hAnsi="Arial" w:cs="Arial"/>
          <w:szCs w:val="21"/>
        </w:rPr>
      </w:pPr>
      <w:r>
        <w:rPr>
          <w:rFonts w:ascii="Arial" w:hAnsi="Arial" w:cs="Arial"/>
          <w:szCs w:val="21"/>
        </w:rPr>
        <w:t>关注海盐都汇华庭项目《建设工程规划许可证》、《建筑工程施工许可证》、《预售许可证》办理进度；</w:t>
      </w:r>
    </w:p>
    <w:p>
      <w:pPr>
        <w:numPr>
          <w:ilvl w:val="0"/>
          <w:numId w:val="6"/>
        </w:numPr>
        <w:spacing w:line="480" w:lineRule="auto"/>
        <w:ind w:left="845" w:firstLine="0"/>
        <w:jc w:val="left"/>
        <w:rPr>
          <w:rFonts w:ascii="Arial" w:hAnsi="Arial" w:cs="Arial"/>
          <w:szCs w:val="21"/>
        </w:rPr>
      </w:pPr>
      <w:r>
        <w:rPr>
          <w:rFonts w:ascii="Arial" w:hAnsi="Arial" w:cs="Arial"/>
          <w:szCs w:val="21"/>
        </w:rPr>
        <w:t>关注海盐都汇华庭项目工程土方合同、桩基合同、基坑支护合同，加强合同实施过程产值计量审核工作，避免超工作量、超进度付款；要求留存施工过程必要的资料，保证实际工程量复核的依据性，避免合同结算金额偏高，发生项目利润的转移情况；</w:t>
      </w:r>
    </w:p>
    <w:p>
      <w:pPr>
        <w:numPr>
          <w:ilvl w:val="0"/>
          <w:numId w:val="6"/>
        </w:numPr>
        <w:spacing w:line="480" w:lineRule="auto"/>
        <w:ind w:left="845" w:firstLine="0"/>
        <w:jc w:val="left"/>
        <w:rPr>
          <w:rFonts w:ascii="Arial" w:hAnsi="Arial" w:cs="Arial"/>
          <w:szCs w:val="21"/>
        </w:rPr>
      </w:pPr>
      <w:r>
        <w:rPr>
          <w:rFonts w:ascii="Arial" w:hAnsi="Arial" w:cs="Arial"/>
          <w:szCs w:val="21"/>
        </w:rPr>
        <w:t>关注项目公司资金余额及资金使用情况、资金计划完成情况。</w:t>
      </w:r>
    </w:p>
    <w:p>
      <w:pPr>
        <w:spacing w:before="300" w:after="300" w:line="360" w:lineRule="exact"/>
        <w:jc w:val="left"/>
        <w:rPr>
          <w:rFonts w:ascii="Arial" w:hAnsi="Arial" w:cs="Arial"/>
          <w:color w:val="000000"/>
          <w:sz w:val="24"/>
        </w:rPr>
      </w:pPr>
      <w:bookmarkStart w:id="526" w:name="_Toc25198"/>
      <w:bookmarkStart w:id="527" w:name="_Toc28903"/>
      <w:bookmarkStart w:id="528" w:name="_Toc13942"/>
      <w:bookmarkStart w:id="529" w:name="_Toc30408"/>
      <w:bookmarkStart w:id="530" w:name="_Toc32094"/>
      <w:bookmarkStart w:id="531" w:name="_Toc20853"/>
      <w:bookmarkStart w:id="532" w:name="_Toc20278"/>
      <w:bookmarkStart w:id="533" w:name="_Toc19608"/>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534" w:name="_Toc4123"/>
      <w:bookmarkStart w:id="535" w:name="_Toc8356"/>
      <w:bookmarkStart w:id="536" w:name="_Toc21930"/>
      <w:bookmarkStart w:id="537" w:name="_Toc28889"/>
      <w:bookmarkStart w:id="538" w:name="_Toc25349"/>
      <w:r>
        <w:rPr>
          <w:rFonts w:ascii="Arial" w:hAnsi="Arial" w:cs="Arial"/>
          <w:color w:val="000000"/>
          <w:sz w:val="24"/>
          <w:szCs w:val="24"/>
        </w:rPr>
        <w:t>附件</w:t>
      </w:r>
      <w:bookmarkEnd w:id="380"/>
      <w:bookmarkEnd w:id="381"/>
      <w:bookmarkEnd w:id="382"/>
      <w:bookmarkEnd w:id="383"/>
      <w:bookmarkEnd w:id="384"/>
      <w:bookmarkEnd w:id="385"/>
      <w:bookmarkEnd w:id="419"/>
      <w:bookmarkEnd w:id="420"/>
      <w:bookmarkEnd w:id="421"/>
      <w:bookmarkEnd w:id="422"/>
      <w:bookmarkEnd w:id="423"/>
      <w:bookmarkEnd w:id="424"/>
      <w:bookmarkEnd w:id="425"/>
      <w:bookmarkEnd w:id="426"/>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3"/>
        <w:rPr>
          <w:rFonts w:eastAsia="宋体" w:cs="Arial"/>
          <w:sz w:val="24"/>
        </w:rPr>
      </w:pPr>
      <w:bookmarkStart w:id="539" w:name="_Toc535580034"/>
      <w:bookmarkStart w:id="540" w:name="_Toc535580102"/>
      <w:bookmarkStart w:id="541" w:name="_Toc535508647"/>
      <w:bookmarkStart w:id="542" w:name="_Toc532281665"/>
      <w:bookmarkStart w:id="543" w:name="_Toc535570761"/>
      <w:bookmarkStart w:id="544" w:name="_Toc21470"/>
      <w:bookmarkStart w:id="545" w:name="_Toc27512"/>
      <w:bookmarkStart w:id="546" w:name="_Toc16241"/>
      <w:bookmarkStart w:id="547" w:name="_Toc20523"/>
      <w:bookmarkStart w:id="548" w:name="_Toc31415"/>
      <w:bookmarkStart w:id="549" w:name="_Toc30228"/>
      <w:bookmarkStart w:id="550" w:name="_Toc8254"/>
      <w:bookmarkStart w:id="551" w:name="_Toc26405"/>
      <w:bookmarkStart w:id="552" w:name="_Toc25953"/>
      <w:bookmarkStart w:id="553" w:name="_Toc10565"/>
      <w:bookmarkStart w:id="554" w:name="_Toc11405"/>
      <w:bookmarkStart w:id="555" w:name="_Toc30895"/>
      <w:bookmarkStart w:id="556" w:name="_Toc16889"/>
      <w:bookmarkStart w:id="557" w:name="_Toc30197"/>
      <w:bookmarkStart w:id="558" w:name="_Toc4198"/>
      <w:bookmarkStart w:id="559" w:name="_Toc6866"/>
      <w:bookmarkStart w:id="560" w:name="_Toc21475"/>
      <w:bookmarkStart w:id="561" w:name="_Toc27000"/>
      <w:bookmarkStart w:id="562" w:name="_Toc1108"/>
      <w:bookmarkStart w:id="563" w:name="_Toc8634"/>
      <w:bookmarkStart w:id="564" w:name="_Toc30857"/>
      <w:bookmarkStart w:id="565" w:name="_Toc1075"/>
      <w:bookmarkStart w:id="566" w:name="_Toc8410"/>
      <w:bookmarkStart w:id="567" w:name="_Toc45217884"/>
      <w:r>
        <w:rPr>
          <w:rFonts w:eastAsia="宋体" w:cs="Arial"/>
          <w:sz w:val="24"/>
        </w:rPr>
        <w:t>附件一</w:t>
      </w:r>
      <w:bookmarkEnd w:id="539"/>
      <w:bookmarkEnd w:id="540"/>
      <w:bookmarkEnd w:id="541"/>
      <w:bookmarkEnd w:id="542"/>
      <w:bookmarkEnd w:id="543"/>
      <w:r>
        <w:rPr>
          <w:rFonts w:eastAsia="宋体" w:cs="Arial"/>
          <w:sz w:val="24"/>
        </w:rPr>
        <w:t xml:space="preserve"> 项目公司对账单</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pPr>
        <w:spacing w:before="240" w:beforeLines="100" w:after="300" w:line="360" w:lineRule="exact"/>
        <w:jc w:val="center"/>
        <w:rPr>
          <w:rFonts w:ascii="Arial" w:hAnsi="Arial" w:cs="Arial"/>
          <w:b/>
          <w:color w:val="000000"/>
          <w:sz w:val="24"/>
        </w:rPr>
      </w:pPr>
      <w:r>
        <w:rPr>
          <w:rFonts w:ascii="Arial" w:hAnsi="Arial" w:cs="Arial"/>
          <w:b/>
          <w:color w:val="000000"/>
          <w:sz w:val="24"/>
        </w:rPr>
        <w:t>中国银行海盐支行（8270）账户10月份银行对账单</w:t>
      </w:r>
    </w:p>
    <w:p>
      <w:pPr>
        <w:spacing w:before="240" w:beforeLines="100" w:after="300" w:line="360" w:lineRule="exact"/>
        <w:jc w:val="center"/>
        <w:rPr>
          <w:rFonts w:ascii="Arial" w:hAnsi="Arial" w:cs="Arial"/>
          <w:b/>
          <w:color w:val="000000"/>
          <w:sz w:val="24"/>
        </w:rPr>
      </w:pPr>
      <w:r>
        <w:rPr>
          <w:rFonts w:ascii="Arial" w:hAnsi="Arial" w:cs="Arial"/>
          <w:b/>
          <w:color w:val="000000"/>
          <w:sz w:val="24"/>
        </w:rPr>
        <w:t>10月1日至10月30日资金未发生变动</w:t>
      </w:r>
    </w:p>
    <w:p>
      <w:pPr>
        <w:rPr>
          <w:rFonts w:ascii="Arial" w:hAnsi="Arial" w:cs="Arial"/>
          <w:sz w:val="24"/>
        </w:rPr>
      </w:pPr>
    </w:p>
    <w:bookmarkEnd w:id="567"/>
    <w:p>
      <w:pPr>
        <w:rPr>
          <w:rFonts w:ascii="Arial" w:hAnsi="Arial" w:cs="Arial"/>
          <w:b/>
          <w:color w:val="000000"/>
          <w:sz w:val="24"/>
        </w:rPr>
      </w:pPr>
      <w:bookmarkStart w:id="568" w:name="_Toc45217885"/>
      <w:bookmarkStart w:id="569" w:name="_Toc535508648"/>
      <w:bookmarkStart w:id="570" w:name="_Toc535580103"/>
      <w:bookmarkStart w:id="571" w:name="_Toc535580035"/>
      <w:bookmarkStart w:id="572" w:name="_Toc535570762"/>
      <w:bookmarkStart w:id="573" w:name="_Toc514075669"/>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jc w:val="center"/>
        <w:rPr>
          <w:rFonts w:ascii="Arial" w:hAnsi="Arial" w:cs="Arial"/>
          <w:b/>
          <w:color w:val="000000"/>
          <w:sz w:val="24"/>
        </w:rPr>
      </w:pPr>
      <w:r>
        <w:rPr>
          <w:rFonts w:ascii="Arial" w:hAnsi="Arial" w:cs="Arial"/>
          <w:b/>
          <w:color w:val="000000"/>
          <w:sz w:val="24"/>
        </w:rPr>
        <w:t>中国建设银行海盐支行（1027）账户10月份银行对账单</w:t>
      </w:r>
    </w:p>
    <w:p>
      <w:pPr>
        <w:rPr>
          <w:rFonts w:ascii="Arial" w:hAnsi="Arial" w:cs="Arial"/>
        </w:rPr>
      </w:pPr>
    </w:p>
    <w:p>
      <w:pPr>
        <w:rPr>
          <w:rFonts w:ascii="Arial" w:hAnsi="Arial" w:cs="Arial"/>
        </w:rPr>
      </w:pPr>
      <w:r>
        <w:rPr>
          <w:rFonts w:ascii="Arial" w:hAnsi="Arial" w:cs="Arial"/>
        </w:rPr>
        <w:drawing>
          <wp:inline distT="0" distB="0" distL="114300" distR="114300">
            <wp:extent cx="5895975" cy="2945765"/>
            <wp:effectExtent l="0" t="0" r="1905" b="10795"/>
            <wp:docPr id="19" name="图片 19" descr="5e652dae102217660deb4e10a6d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e652dae102217660deb4e10a6d4966"/>
                    <pic:cNvPicPr>
                      <a:picLocks noChangeAspect="1"/>
                    </pic:cNvPicPr>
                  </pic:nvPicPr>
                  <pic:blipFill>
                    <a:blip r:embed="rId19"/>
                    <a:stretch>
                      <a:fillRect/>
                    </a:stretch>
                  </pic:blipFill>
                  <pic:spPr>
                    <a:xfrm>
                      <a:off x="0" y="0"/>
                      <a:ext cx="5895975" cy="294576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bCs/>
          <w:sz w:val="24"/>
          <w:szCs w:val="32"/>
        </w:rPr>
      </w:pPr>
      <w:bookmarkStart w:id="574" w:name="_Toc28754"/>
      <w:bookmarkStart w:id="575" w:name="_Toc16357"/>
      <w:bookmarkStart w:id="576" w:name="_Toc187"/>
      <w:bookmarkStart w:id="577" w:name="_Toc7546"/>
      <w:bookmarkStart w:id="578" w:name="_Toc11274"/>
      <w:bookmarkStart w:id="579" w:name="_Toc18186"/>
      <w:bookmarkStart w:id="580" w:name="_Toc7415"/>
      <w:bookmarkStart w:id="581" w:name="_Toc18594"/>
      <w:bookmarkStart w:id="582" w:name="_Toc31887"/>
      <w:bookmarkStart w:id="583" w:name="_Toc4409"/>
      <w:bookmarkStart w:id="584" w:name="_Toc32270"/>
      <w:bookmarkStart w:id="585" w:name="_Toc31430"/>
      <w:bookmarkStart w:id="586" w:name="_Toc31902"/>
      <w:bookmarkStart w:id="587" w:name="_Toc1033"/>
      <w:bookmarkStart w:id="588" w:name="_Toc32603"/>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ind w:firstLine="1205" w:firstLineChars="500"/>
        <w:rPr>
          <w:rFonts w:ascii="Arial" w:hAnsi="Arial" w:cs="Arial"/>
          <w:b/>
          <w:bCs/>
          <w:sz w:val="24"/>
          <w:szCs w:val="32"/>
        </w:rPr>
      </w:pPr>
      <w:bookmarkStart w:id="589" w:name="_Toc16621"/>
      <w:r>
        <w:rPr>
          <w:rFonts w:ascii="Arial" w:hAnsi="Arial" w:cs="Arial"/>
          <w:b/>
          <w:bCs/>
          <w:sz w:val="24"/>
          <w:szCs w:val="32"/>
        </w:rPr>
        <w:t>中国农业银行海盐县支行（2179）账户10月份银行账单</w:t>
      </w:r>
      <w:bookmarkEnd w:id="589"/>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rPr>
          <w:rFonts w:ascii="Arial" w:hAnsi="Arial" w:cs="Arial"/>
          <w:b/>
          <w:bCs/>
          <w:sz w:val="24"/>
          <w:szCs w:val="32"/>
        </w:rPr>
        <w:drawing>
          <wp:inline distT="0" distB="0" distL="114300" distR="114300">
            <wp:extent cx="5901690" cy="5248275"/>
            <wp:effectExtent l="0" t="0" r="11430" b="9525"/>
            <wp:docPr id="12" name="图片 12" descr="dd9ee7178cdc4e35b42eb260f9f7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9ee7178cdc4e35b42eb260f9f72f5"/>
                    <pic:cNvPicPr>
                      <a:picLocks noChangeAspect="1"/>
                    </pic:cNvPicPr>
                  </pic:nvPicPr>
                  <pic:blipFill>
                    <a:blip r:embed="rId20"/>
                    <a:stretch>
                      <a:fillRect/>
                    </a:stretch>
                  </pic:blipFill>
                  <pic:spPr>
                    <a:xfrm>
                      <a:off x="0" y="0"/>
                      <a:ext cx="5901690" cy="5248275"/>
                    </a:xfrm>
                    <a:prstGeom prst="rect">
                      <a:avLst/>
                    </a:prstGeom>
                  </pic:spPr>
                </pic:pic>
              </a:graphicData>
            </a:graphic>
          </wp:inline>
        </w:drawing>
      </w:r>
      <w:r>
        <w:rPr>
          <w:rFonts w:ascii="Arial" w:hAnsi="Arial" w:cs="Arial"/>
          <w:b/>
          <w:bCs/>
          <w:sz w:val="24"/>
          <w:szCs w:val="32"/>
        </w:rPr>
        <w:drawing>
          <wp:inline distT="0" distB="0" distL="114300" distR="114300">
            <wp:extent cx="5902325" cy="2060575"/>
            <wp:effectExtent l="0" t="0" r="10795" b="12065"/>
            <wp:docPr id="16" name="图片 16" descr="1ea114a46adc0c73871f54d73151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ea114a46adc0c73871f54d73151d68"/>
                    <pic:cNvPicPr>
                      <a:picLocks noChangeAspect="1"/>
                    </pic:cNvPicPr>
                  </pic:nvPicPr>
                  <pic:blipFill>
                    <a:blip r:embed="rId21"/>
                    <a:stretch>
                      <a:fillRect/>
                    </a:stretch>
                  </pic:blipFill>
                  <pic:spPr>
                    <a:xfrm>
                      <a:off x="0" y="0"/>
                      <a:ext cx="5902325" cy="2060575"/>
                    </a:xfrm>
                    <a:prstGeom prst="rect">
                      <a:avLst/>
                    </a:prstGeom>
                  </pic:spPr>
                </pic:pic>
              </a:graphicData>
            </a:graphic>
          </wp:inline>
        </w:drawing>
      </w:r>
      <w:r>
        <w:rPr>
          <w:rFonts w:ascii="Arial" w:hAnsi="Arial" w:cs="Arial"/>
          <w:b/>
          <w:bCs/>
          <w:sz w:val="24"/>
          <w:szCs w:val="32"/>
        </w:rPr>
        <w:drawing>
          <wp:inline distT="0" distB="0" distL="114300" distR="114300">
            <wp:extent cx="5896610" cy="3742055"/>
            <wp:effectExtent l="0" t="0" r="1270" b="6985"/>
            <wp:docPr id="17" name="图片 17" descr="d2aecd0ddfc2a9e693d53e50c205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aecd0ddfc2a9e693d53e50c205d9b"/>
                    <pic:cNvPicPr>
                      <a:picLocks noChangeAspect="1"/>
                    </pic:cNvPicPr>
                  </pic:nvPicPr>
                  <pic:blipFill>
                    <a:blip r:embed="rId22"/>
                    <a:stretch>
                      <a:fillRect/>
                    </a:stretch>
                  </pic:blipFill>
                  <pic:spPr>
                    <a:xfrm>
                      <a:off x="0" y="0"/>
                      <a:ext cx="5896610" cy="3742055"/>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outlineLvl w:val="1"/>
        <w:rPr>
          <w:rFonts w:ascii="Arial" w:hAnsi="Arial" w:cs="Arial"/>
          <w:b/>
          <w:bCs/>
          <w:sz w:val="24"/>
          <w:szCs w:val="32"/>
        </w:rPr>
      </w:pPr>
      <w:bookmarkStart w:id="590" w:name="_Toc21324"/>
      <w:bookmarkStart w:id="591" w:name="_Toc32674"/>
      <w:bookmarkStart w:id="592" w:name="_Toc1560"/>
      <w:r>
        <w:rPr>
          <w:rFonts w:ascii="Arial" w:hAnsi="Arial" w:cs="Arial"/>
          <w:b/>
          <w:bCs/>
          <w:sz w:val="24"/>
          <w:szCs w:val="32"/>
        </w:rPr>
        <w:t>附件二 用印登记薄</w:t>
      </w:r>
      <w:bookmarkEnd w:id="590"/>
      <w:bookmarkEnd w:id="591"/>
      <w:bookmarkEnd w:id="592"/>
    </w:p>
    <w:p>
      <w:pPr>
        <w:rPr>
          <w:rFonts w:ascii="Arial" w:hAnsi="Arial" w:cs="Arial"/>
          <w:b/>
          <w:bCs/>
          <w:sz w:val="24"/>
          <w:szCs w:val="32"/>
        </w:rPr>
      </w:pPr>
    </w:p>
    <w:p>
      <w:pPr>
        <w:ind w:firstLine="1928" w:firstLineChars="800"/>
        <w:rPr>
          <w:rFonts w:ascii="Arial" w:hAnsi="Arial" w:cs="Arial"/>
          <w:b/>
          <w:bCs/>
          <w:sz w:val="24"/>
          <w:szCs w:val="32"/>
        </w:rPr>
      </w:pPr>
      <w:r>
        <w:rPr>
          <w:rFonts w:ascii="Arial" w:hAnsi="Arial" w:cs="Arial"/>
          <w:b/>
          <w:bCs/>
          <w:sz w:val="24"/>
          <w:szCs w:val="32"/>
        </w:rPr>
        <w:t>项目公司2020年10月份用印登记簿</w:t>
      </w:r>
    </w:p>
    <w:p>
      <w:pPr>
        <w:ind w:firstLine="2409" w:firstLineChars="1000"/>
        <w:rPr>
          <w:rFonts w:ascii="Arial" w:hAnsi="Arial" w:cs="Arial"/>
          <w:b/>
          <w:bCs/>
          <w:sz w:val="24"/>
          <w:szCs w:val="32"/>
        </w:rPr>
      </w:pPr>
    </w:p>
    <w:p>
      <w:pPr>
        <w:rPr>
          <w:rFonts w:ascii="Arial" w:hAnsi="Arial" w:cs="Arial"/>
          <w:b/>
          <w:bCs/>
          <w:sz w:val="24"/>
          <w:szCs w:val="32"/>
        </w:rPr>
      </w:pPr>
      <w:r>
        <w:rPr>
          <w:rFonts w:ascii="Arial" w:hAnsi="Arial" w:cs="Arial"/>
        </w:rPr>
        <w:drawing>
          <wp:inline distT="0" distB="0" distL="114300" distR="114300">
            <wp:extent cx="5898515" cy="308610"/>
            <wp:effectExtent l="0" t="0" r="1460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3"/>
                    <a:stretch>
                      <a:fillRect/>
                    </a:stretch>
                  </pic:blipFill>
                  <pic:spPr>
                    <a:xfrm>
                      <a:off x="0" y="0"/>
                      <a:ext cx="5898515" cy="308610"/>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r>
        <w:rPr>
          <w:rFonts w:ascii="Arial" w:hAnsi="Arial" w:cs="Arial"/>
        </w:rPr>
        <w:drawing>
          <wp:inline distT="0" distB="0" distL="114300" distR="114300">
            <wp:extent cx="5902325" cy="1086485"/>
            <wp:effectExtent l="0" t="0" r="1079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5902325" cy="108648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r>
        <w:rPr>
          <w:rFonts w:ascii="Arial" w:hAnsi="Arial" w:cs="Arial"/>
        </w:rPr>
        <w:drawing>
          <wp:inline distT="0" distB="0" distL="114300" distR="114300">
            <wp:extent cx="5899785" cy="4153535"/>
            <wp:effectExtent l="0" t="0" r="13335" b="698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899785" cy="4153535"/>
                    </a:xfrm>
                    <a:prstGeom prst="rect">
                      <a:avLst/>
                    </a:prstGeom>
                    <a:noFill/>
                    <a:ln>
                      <a:noFill/>
                    </a:ln>
                  </pic:spPr>
                </pic:pic>
              </a:graphicData>
            </a:graphic>
          </wp:inline>
        </w:drawing>
      </w:r>
      <w:r>
        <w:rPr>
          <w:rFonts w:ascii="Arial" w:hAnsi="Arial" w:cs="Arial"/>
        </w:rPr>
        <w:drawing>
          <wp:inline distT="0" distB="0" distL="114300" distR="114300">
            <wp:extent cx="5899150" cy="870585"/>
            <wp:effectExtent l="0" t="0" r="13970" b="133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6"/>
                    <a:stretch>
                      <a:fillRect/>
                    </a:stretch>
                  </pic:blipFill>
                  <pic:spPr>
                    <a:xfrm>
                      <a:off x="0" y="0"/>
                      <a:ext cx="5899150" cy="870585"/>
                    </a:xfrm>
                    <a:prstGeom prst="rect">
                      <a:avLst/>
                    </a:prstGeom>
                    <a:noFill/>
                    <a:ln>
                      <a:noFill/>
                    </a:ln>
                  </pic:spPr>
                </pic:pic>
              </a:graphicData>
            </a:graphic>
          </wp:inline>
        </w:drawing>
      </w:r>
    </w:p>
    <w:p>
      <w:pPr>
        <w:rPr>
          <w:rFonts w:ascii="Arial" w:hAnsi="Arial" w:cs="Arial"/>
          <w:b/>
          <w:bCs/>
          <w:sz w:val="24"/>
          <w:szCs w:val="32"/>
        </w:rPr>
      </w:pPr>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Pr>
        <w:rPr>
          <w:rFonts w:ascii="Arial" w:hAnsi="Arial" w:cs="Arial"/>
        </w:rPr>
      </w:pPr>
    </w:p>
    <w:sectPr>
      <w:pgSz w:w="11905" w:h="16838"/>
      <w:pgMar w:top="1134"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mc:AlternateContent>
        <mc:Choice Requires="wps">
          <w:drawing>
            <wp:anchor distT="0" distB="0" distL="114300" distR="114300" simplePos="0" relativeHeight="251658240" behindDoc="0" locked="0" layoutInCell="1" allowOverlap="1">
              <wp:simplePos x="0" y="0"/>
              <wp:positionH relativeFrom="margin">
                <wp:posOffset>2806065</wp:posOffset>
              </wp:positionH>
              <wp:positionV relativeFrom="paragraph">
                <wp:posOffset>635</wp:posOffset>
              </wp:positionV>
              <wp:extent cx="304165" cy="1828800"/>
              <wp:effectExtent l="0" t="0" r="635" b="6350"/>
              <wp:wrapNone/>
              <wp:docPr id="3" name="文本框 3"/>
              <wp:cNvGraphicFramePr/>
              <a:graphic xmlns:a="http://schemas.openxmlformats.org/drawingml/2006/main">
                <a:graphicData uri="http://schemas.microsoft.com/office/word/2010/wordprocessingShape">
                  <wps:wsp>
                    <wps:cNvSpPr txBox="1"/>
                    <wps:spPr>
                      <a:xfrm>
                        <a:off x="0" y="0"/>
                        <a:ext cx="3041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0.95pt;margin-top:0.05pt;height:144pt;width:23.95pt;mso-position-horizontal-relative:margin;z-index:251658240;mso-width-relative:page;mso-height-relative:page;" filled="f" stroked="f" coordsize="21600,21600" o:gfxdata="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Q06e1gAAAAgBAAAPAAAAAAAAAAEAIAAAACIAAABkcnMvZG93bnJldi54bWxQ&#10;SwECFAAUAAAACACHTuJAtIiTBDICAABWBAAADgAAAAAAAAABACAAAAAlAQAAZHJzL2Uyb0RvYy54&#10;bWxQSwUGAAAAAAYABgBZAQAAy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1"/>
      <w:tabs>
        <w:tab w:val="left" w:pos="2988"/>
        <w:tab w:val="clear" w:pos="4153"/>
        <w:tab w:val="clear" w:pos="8306"/>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ascii="Arial" w:hAnsi="Arial"/>
      </w:rPr>
      <w:drawing>
        <wp:inline distT="0" distB="0" distL="0" distR="0">
          <wp:extent cx="5904230" cy="40830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4230" cy="4083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2020年10月监管报告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8F933A"/>
    <w:multiLevelType w:val="singleLevel"/>
    <w:tmpl w:val="E18F933A"/>
    <w:lvl w:ilvl="0" w:tentative="0">
      <w:start w:val="1"/>
      <w:numFmt w:val="decimal"/>
      <w:suff w:val="nothing"/>
      <w:lvlText w:val="%1、"/>
      <w:lvlJc w:val="left"/>
    </w:lvl>
  </w:abstractNum>
  <w:abstractNum w:abstractNumId="1">
    <w:nsid w:val="F7E294E9"/>
    <w:multiLevelType w:val="singleLevel"/>
    <w:tmpl w:val="F7E294E9"/>
    <w:lvl w:ilvl="0" w:tentative="0">
      <w:start w:val="1"/>
      <w:numFmt w:val="decimal"/>
      <w:lvlText w:val="(%1)"/>
      <w:lvlJc w:val="left"/>
      <w:pPr>
        <w:ind w:left="425" w:hanging="425"/>
      </w:pPr>
      <w:rPr>
        <w:rFonts w:hint="default"/>
      </w:rPr>
    </w:lvl>
  </w:abstractNum>
  <w:abstractNum w:abstractNumId="2">
    <w:nsid w:val="28E360B2"/>
    <w:multiLevelType w:val="singleLevel"/>
    <w:tmpl w:val="28E360B2"/>
    <w:lvl w:ilvl="0" w:tentative="0">
      <w:start w:val="1"/>
      <w:numFmt w:val="decimal"/>
      <w:suff w:val="nothing"/>
      <w:lvlText w:val="（%1）"/>
      <w:lvlJc w:val="left"/>
    </w:lvl>
  </w:abstractNum>
  <w:abstractNum w:abstractNumId="3">
    <w:nsid w:val="6B7CB1FF"/>
    <w:multiLevelType w:val="singleLevel"/>
    <w:tmpl w:val="6B7CB1FF"/>
    <w:lvl w:ilvl="0" w:tentative="0">
      <w:start w:val="2"/>
      <w:numFmt w:val="decimal"/>
      <w:suff w:val="nothing"/>
      <w:lvlText w:val="%1、"/>
      <w:lvlJc w:val="left"/>
      <w:pPr>
        <w:ind w:left="807" w:firstLine="0"/>
      </w:pPr>
    </w:lvl>
  </w:abstractNum>
  <w:abstractNum w:abstractNumId="4">
    <w:nsid w:val="7037D5BF"/>
    <w:multiLevelType w:val="singleLevel"/>
    <w:tmpl w:val="7037D5BF"/>
    <w:lvl w:ilvl="0" w:tentative="0">
      <w:start w:val="2"/>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17D"/>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3A"/>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4FF7"/>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8DF"/>
    <w:rsid w:val="000F7E30"/>
    <w:rsid w:val="00100566"/>
    <w:rsid w:val="00100690"/>
    <w:rsid w:val="001018BB"/>
    <w:rsid w:val="00102F26"/>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15EB"/>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170"/>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838"/>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BA1"/>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4262"/>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4DAD"/>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9A4"/>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5D0"/>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57338"/>
    <w:rsid w:val="00661029"/>
    <w:rsid w:val="00661559"/>
    <w:rsid w:val="006615A7"/>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04E"/>
    <w:rsid w:val="006A15C5"/>
    <w:rsid w:val="006A20F3"/>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8FE"/>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6722"/>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6159"/>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534"/>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762"/>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5CC"/>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4D75"/>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5FF0"/>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2764"/>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12A8"/>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595"/>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82A"/>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888"/>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356A"/>
    <w:rsid w:val="00D15877"/>
    <w:rsid w:val="00D15D5F"/>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4EE2"/>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703"/>
    <w:rsid w:val="00DA7DF5"/>
    <w:rsid w:val="00DB1876"/>
    <w:rsid w:val="00DB1A1A"/>
    <w:rsid w:val="00DB1AD8"/>
    <w:rsid w:val="00DB1DC4"/>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5C9"/>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2C21"/>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3CC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3170C7"/>
    <w:rsid w:val="016C5DB9"/>
    <w:rsid w:val="0175574C"/>
    <w:rsid w:val="01782DD9"/>
    <w:rsid w:val="01DB4FEB"/>
    <w:rsid w:val="02991399"/>
    <w:rsid w:val="02CF55CB"/>
    <w:rsid w:val="02D96E9C"/>
    <w:rsid w:val="041E2163"/>
    <w:rsid w:val="04417EB8"/>
    <w:rsid w:val="04980C22"/>
    <w:rsid w:val="04FC2880"/>
    <w:rsid w:val="052D386E"/>
    <w:rsid w:val="05806E29"/>
    <w:rsid w:val="0615112B"/>
    <w:rsid w:val="06240B17"/>
    <w:rsid w:val="062863C9"/>
    <w:rsid w:val="062C546A"/>
    <w:rsid w:val="067D1F18"/>
    <w:rsid w:val="069A6125"/>
    <w:rsid w:val="06B07493"/>
    <w:rsid w:val="07032BC8"/>
    <w:rsid w:val="073E16B5"/>
    <w:rsid w:val="0817766E"/>
    <w:rsid w:val="086E3FA4"/>
    <w:rsid w:val="08E26D94"/>
    <w:rsid w:val="08E8282B"/>
    <w:rsid w:val="09406EB8"/>
    <w:rsid w:val="09787FD3"/>
    <w:rsid w:val="09C2003A"/>
    <w:rsid w:val="0A81732A"/>
    <w:rsid w:val="0AD05FBA"/>
    <w:rsid w:val="0B3C222D"/>
    <w:rsid w:val="0C27353B"/>
    <w:rsid w:val="0CA3372C"/>
    <w:rsid w:val="0CDE09C1"/>
    <w:rsid w:val="0CE622A7"/>
    <w:rsid w:val="0CEE43B0"/>
    <w:rsid w:val="0D6407D8"/>
    <w:rsid w:val="0DDA2C30"/>
    <w:rsid w:val="0DEA1FFE"/>
    <w:rsid w:val="0E320BD4"/>
    <w:rsid w:val="0EDB5967"/>
    <w:rsid w:val="0F043B1F"/>
    <w:rsid w:val="0F4A3D7D"/>
    <w:rsid w:val="0FDA2DA5"/>
    <w:rsid w:val="10115648"/>
    <w:rsid w:val="101A4443"/>
    <w:rsid w:val="104677A9"/>
    <w:rsid w:val="106F6C1F"/>
    <w:rsid w:val="11216537"/>
    <w:rsid w:val="115F795E"/>
    <w:rsid w:val="11C30A5F"/>
    <w:rsid w:val="12403CC3"/>
    <w:rsid w:val="126602EB"/>
    <w:rsid w:val="12F233EC"/>
    <w:rsid w:val="13196194"/>
    <w:rsid w:val="13232C47"/>
    <w:rsid w:val="137A69A0"/>
    <w:rsid w:val="13C226A9"/>
    <w:rsid w:val="13F26917"/>
    <w:rsid w:val="141315DE"/>
    <w:rsid w:val="145843D6"/>
    <w:rsid w:val="14CD6F19"/>
    <w:rsid w:val="154F5CC0"/>
    <w:rsid w:val="15FA5DE0"/>
    <w:rsid w:val="160509C6"/>
    <w:rsid w:val="164360AB"/>
    <w:rsid w:val="168F199E"/>
    <w:rsid w:val="16E121C7"/>
    <w:rsid w:val="17234B3E"/>
    <w:rsid w:val="179761F3"/>
    <w:rsid w:val="184B7500"/>
    <w:rsid w:val="1866540E"/>
    <w:rsid w:val="18B606E4"/>
    <w:rsid w:val="1A665AF4"/>
    <w:rsid w:val="1A775446"/>
    <w:rsid w:val="1AA83D19"/>
    <w:rsid w:val="1AFF48A0"/>
    <w:rsid w:val="1B0F3034"/>
    <w:rsid w:val="1B9C2A32"/>
    <w:rsid w:val="1BCC366E"/>
    <w:rsid w:val="1BD6664F"/>
    <w:rsid w:val="1BE26DA0"/>
    <w:rsid w:val="1CAF7B8A"/>
    <w:rsid w:val="1CD9079B"/>
    <w:rsid w:val="1DA4263B"/>
    <w:rsid w:val="1E5B3C92"/>
    <w:rsid w:val="1ED77C10"/>
    <w:rsid w:val="1F2D462E"/>
    <w:rsid w:val="205E75C9"/>
    <w:rsid w:val="21AF0E24"/>
    <w:rsid w:val="21DF06D5"/>
    <w:rsid w:val="22114E37"/>
    <w:rsid w:val="22BA711F"/>
    <w:rsid w:val="23095F49"/>
    <w:rsid w:val="23550F8C"/>
    <w:rsid w:val="236026AA"/>
    <w:rsid w:val="24171C8A"/>
    <w:rsid w:val="245933AF"/>
    <w:rsid w:val="24F4424C"/>
    <w:rsid w:val="25236084"/>
    <w:rsid w:val="252B5FC2"/>
    <w:rsid w:val="25354DDB"/>
    <w:rsid w:val="254E0A64"/>
    <w:rsid w:val="254F2443"/>
    <w:rsid w:val="261D394C"/>
    <w:rsid w:val="267F6708"/>
    <w:rsid w:val="269027FB"/>
    <w:rsid w:val="2699078F"/>
    <w:rsid w:val="27852689"/>
    <w:rsid w:val="278A7BF4"/>
    <w:rsid w:val="278C09C4"/>
    <w:rsid w:val="27965412"/>
    <w:rsid w:val="27B036DA"/>
    <w:rsid w:val="27CF69F2"/>
    <w:rsid w:val="293F0D0F"/>
    <w:rsid w:val="29BE4201"/>
    <w:rsid w:val="29CD2380"/>
    <w:rsid w:val="29E64B5A"/>
    <w:rsid w:val="2A4916AA"/>
    <w:rsid w:val="2A5F13A7"/>
    <w:rsid w:val="2A683C5C"/>
    <w:rsid w:val="2AF560A3"/>
    <w:rsid w:val="2AF80D31"/>
    <w:rsid w:val="2B2C3506"/>
    <w:rsid w:val="2C1D6847"/>
    <w:rsid w:val="2C2D252B"/>
    <w:rsid w:val="2CFB41EA"/>
    <w:rsid w:val="2D3A453D"/>
    <w:rsid w:val="2D95466D"/>
    <w:rsid w:val="2E1E3D5D"/>
    <w:rsid w:val="2E3038C8"/>
    <w:rsid w:val="2E4C13EA"/>
    <w:rsid w:val="2F1211F2"/>
    <w:rsid w:val="2F7D0C29"/>
    <w:rsid w:val="30E420B7"/>
    <w:rsid w:val="31731E86"/>
    <w:rsid w:val="31781E8C"/>
    <w:rsid w:val="317B3D11"/>
    <w:rsid w:val="31BA39E7"/>
    <w:rsid w:val="32317D65"/>
    <w:rsid w:val="3282558C"/>
    <w:rsid w:val="335A7960"/>
    <w:rsid w:val="33A93C1D"/>
    <w:rsid w:val="33B9042E"/>
    <w:rsid w:val="33D84283"/>
    <w:rsid w:val="34551D54"/>
    <w:rsid w:val="35041505"/>
    <w:rsid w:val="35190580"/>
    <w:rsid w:val="355405FD"/>
    <w:rsid w:val="36106061"/>
    <w:rsid w:val="361D0567"/>
    <w:rsid w:val="369C252F"/>
    <w:rsid w:val="36E6417C"/>
    <w:rsid w:val="37FD7C7A"/>
    <w:rsid w:val="38BB44C3"/>
    <w:rsid w:val="38C36755"/>
    <w:rsid w:val="39346A07"/>
    <w:rsid w:val="39CA1A7E"/>
    <w:rsid w:val="39CB0770"/>
    <w:rsid w:val="39EA7E85"/>
    <w:rsid w:val="3A9A4B54"/>
    <w:rsid w:val="3AE171E7"/>
    <w:rsid w:val="3B37092D"/>
    <w:rsid w:val="3B666714"/>
    <w:rsid w:val="3C674DD9"/>
    <w:rsid w:val="3C880AFC"/>
    <w:rsid w:val="3CC57180"/>
    <w:rsid w:val="3D78431E"/>
    <w:rsid w:val="3E4A5E2D"/>
    <w:rsid w:val="3E4C43B4"/>
    <w:rsid w:val="3E820261"/>
    <w:rsid w:val="3ECF5E1E"/>
    <w:rsid w:val="3F5C58C3"/>
    <w:rsid w:val="3F750840"/>
    <w:rsid w:val="3F8019BC"/>
    <w:rsid w:val="3F8C2B34"/>
    <w:rsid w:val="3FF853F5"/>
    <w:rsid w:val="402D65F0"/>
    <w:rsid w:val="40813BD8"/>
    <w:rsid w:val="408950D8"/>
    <w:rsid w:val="40A765B6"/>
    <w:rsid w:val="4157002E"/>
    <w:rsid w:val="41FC0B2F"/>
    <w:rsid w:val="423E6FAD"/>
    <w:rsid w:val="42CA3365"/>
    <w:rsid w:val="43374FA1"/>
    <w:rsid w:val="43D86912"/>
    <w:rsid w:val="44711BCF"/>
    <w:rsid w:val="453E67B5"/>
    <w:rsid w:val="456253A9"/>
    <w:rsid w:val="45765A14"/>
    <w:rsid w:val="45925657"/>
    <w:rsid w:val="464F0DCF"/>
    <w:rsid w:val="46615537"/>
    <w:rsid w:val="466337E2"/>
    <w:rsid w:val="46A4605B"/>
    <w:rsid w:val="46B2675B"/>
    <w:rsid w:val="46EE61F7"/>
    <w:rsid w:val="473F759D"/>
    <w:rsid w:val="47A14CAA"/>
    <w:rsid w:val="47DE386A"/>
    <w:rsid w:val="480A13E9"/>
    <w:rsid w:val="49051076"/>
    <w:rsid w:val="493D23AD"/>
    <w:rsid w:val="4A601595"/>
    <w:rsid w:val="4AA37417"/>
    <w:rsid w:val="4B6657CC"/>
    <w:rsid w:val="4B8C41F9"/>
    <w:rsid w:val="4BF5793A"/>
    <w:rsid w:val="4C524559"/>
    <w:rsid w:val="4C7F1079"/>
    <w:rsid w:val="4CB907A4"/>
    <w:rsid w:val="4CED2587"/>
    <w:rsid w:val="4D300E54"/>
    <w:rsid w:val="4DA03E00"/>
    <w:rsid w:val="4E135A9E"/>
    <w:rsid w:val="4E4B309B"/>
    <w:rsid w:val="4E951200"/>
    <w:rsid w:val="4F70218E"/>
    <w:rsid w:val="4F86571D"/>
    <w:rsid w:val="4F8B369D"/>
    <w:rsid w:val="50276223"/>
    <w:rsid w:val="513561EC"/>
    <w:rsid w:val="51FE09DF"/>
    <w:rsid w:val="5438070C"/>
    <w:rsid w:val="544042A5"/>
    <w:rsid w:val="555C20B0"/>
    <w:rsid w:val="55BE42C8"/>
    <w:rsid w:val="56E845D2"/>
    <w:rsid w:val="56F9126E"/>
    <w:rsid w:val="570B20FD"/>
    <w:rsid w:val="57580D59"/>
    <w:rsid w:val="57E636D9"/>
    <w:rsid w:val="57ED4D68"/>
    <w:rsid w:val="58947689"/>
    <w:rsid w:val="599E0D91"/>
    <w:rsid w:val="5A45693E"/>
    <w:rsid w:val="5A820290"/>
    <w:rsid w:val="5A8748F2"/>
    <w:rsid w:val="5B1F4A2F"/>
    <w:rsid w:val="5B28242F"/>
    <w:rsid w:val="5B40481E"/>
    <w:rsid w:val="5BE06073"/>
    <w:rsid w:val="5C13385D"/>
    <w:rsid w:val="5C1A30BA"/>
    <w:rsid w:val="5C83620D"/>
    <w:rsid w:val="5D1251CE"/>
    <w:rsid w:val="5DF319F5"/>
    <w:rsid w:val="5E441C23"/>
    <w:rsid w:val="5E89766F"/>
    <w:rsid w:val="5EED6BDB"/>
    <w:rsid w:val="5F26010C"/>
    <w:rsid w:val="5FEB5A87"/>
    <w:rsid w:val="601E2B14"/>
    <w:rsid w:val="60926E0C"/>
    <w:rsid w:val="613D74A8"/>
    <w:rsid w:val="61B62F43"/>
    <w:rsid w:val="63281093"/>
    <w:rsid w:val="638B2C06"/>
    <w:rsid w:val="63CE11F6"/>
    <w:rsid w:val="641C24AD"/>
    <w:rsid w:val="64AF12B4"/>
    <w:rsid w:val="64F91426"/>
    <w:rsid w:val="6551380A"/>
    <w:rsid w:val="655B7BCE"/>
    <w:rsid w:val="65DB5319"/>
    <w:rsid w:val="65DD004A"/>
    <w:rsid w:val="65F67D40"/>
    <w:rsid w:val="66452E90"/>
    <w:rsid w:val="66763764"/>
    <w:rsid w:val="66D80480"/>
    <w:rsid w:val="675D2845"/>
    <w:rsid w:val="681A79B6"/>
    <w:rsid w:val="681F381D"/>
    <w:rsid w:val="68244975"/>
    <w:rsid w:val="68720836"/>
    <w:rsid w:val="6890349D"/>
    <w:rsid w:val="68F63A1C"/>
    <w:rsid w:val="694A7457"/>
    <w:rsid w:val="6AFB70A7"/>
    <w:rsid w:val="6B2A7A8B"/>
    <w:rsid w:val="6B2B7C2F"/>
    <w:rsid w:val="6B7312D6"/>
    <w:rsid w:val="6C67537E"/>
    <w:rsid w:val="6CA37E67"/>
    <w:rsid w:val="6EF02FF3"/>
    <w:rsid w:val="6F34658A"/>
    <w:rsid w:val="70273ED1"/>
    <w:rsid w:val="71183585"/>
    <w:rsid w:val="7183321F"/>
    <w:rsid w:val="71EA57EA"/>
    <w:rsid w:val="72735549"/>
    <w:rsid w:val="728A0A7E"/>
    <w:rsid w:val="72F970D3"/>
    <w:rsid w:val="731004AA"/>
    <w:rsid w:val="73554C4F"/>
    <w:rsid w:val="74276CF9"/>
    <w:rsid w:val="74495AA8"/>
    <w:rsid w:val="7491249D"/>
    <w:rsid w:val="74A10226"/>
    <w:rsid w:val="74AF373F"/>
    <w:rsid w:val="74B82954"/>
    <w:rsid w:val="74D35BC0"/>
    <w:rsid w:val="74E31148"/>
    <w:rsid w:val="75297AA2"/>
    <w:rsid w:val="752C188F"/>
    <w:rsid w:val="7596349D"/>
    <w:rsid w:val="75C01CEA"/>
    <w:rsid w:val="75DF0BB5"/>
    <w:rsid w:val="7617147E"/>
    <w:rsid w:val="764B0E16"/>
    <w:rsid w:val="769F51D5"/>
    <w:rsid w:val="76C2115B"/>
    <w:rsid w:val="77010F03"/>
    <w:rsid w:val="771E06E8"/>
    <w:rsid w:val="77506082"/>
    <w:rsid w:val="77D606BF"/>
    <w:rsid w:val="77D867A4"/>
    <w:rsid w:val="77EA3A4F"/>
    <w:rsid w:val="7820504F"/>
    <w:rsid w:val="786F4988"/>
    <w:rsid w:val="788C2878"/>
    <w:rsid w:val="79C71432"/>
    <w:rsid w:val="7ABE383B"/>
    <w:rsid w:val="7AF440F1"/>
    <w:rsid w:val="7AF6562A"/>
    <w:rsid w:val="7B457EE6"/>
    <w:rsid w:val="7B6404BC"/>
    <w:rsid w:val="7BBB2DAB"/>
    <w:rsid w:val="7C5C41DA"/>
    <w:rsid w:val="7C820FD1"/>
    <w:rsid w:val="7C995CFB"/>
    <w:rsid w:val="7D6A4640"/>
    <w:rsid w:val="7D8734A8"/>
    <w:rsid w:val="7DD12013"/>
    <w:rsid w:val="7E2E6D43"/>
    <w:rsid w:val="7E4563D8"/>
    <w:rsid w:val="7E672F5B"/>
    <w:rsid w:val="7F134748"/>
    <w:rsid w:val="7F14353C"/>
    <w:rsid w:val="7F571FBB"/>
    <w:rsid w:val="7FB13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g-button"/>
    <w:basedOn w:val="20"/>
    <w:qFormat/>
    <w:uiPriority w:val="0"/>
  </w:style>
  <w:style w:type="character" w:customStyle="1" w:styleId="48">
    <w:name w:val="compare"/>
    <w:basedOn w:val="20"/>
    <w:qFormat/>
    <w:uiPriority w:val="0"/>
  </w:style>
  <w:style w:type="character" w:customStyle="1" w:styleId="49">
    <w:name w:val="in"/>
    <w:basedOn w:val="20"/>
    <w:qFormat/>
    <w:uiPriority w:val="0"/>
    <w:rPr>
      <w:color w:val="FFFFFF"/>
      <w:shd w:val="clear" w:color="auto" w:fill="C0BDBA"/>
    </w:rPr>
  </w:style>
  <w:style w:type="character" w:customStyle="1" w:styleId="50">
    <w:name w:val="compare_added"/>
    <w:basedOn w:val="20"/>
    <w:qFormat/>
    <w:uiPriority w:val="0"/>
  </w:style>
  <w:style w:type="character" w:customStyle="1" w:styleId="51">
    <w:name w:val="g-input-selectbox"/>
    <w:basedOn w:val="20"/>
    <w:qFormat/>
    <w:uiPriority w:val="0"/>
  </w:style>
  <w:style w:type="character" w:customStyle="1" w:styleId="52">
    <w:name w:val="g-button-2-2"/>
    <w:basedOn w:val="20"/>
    <w:qFormat/>
    <w:uiPriority w:val="0"/>
  </w:style>
  <w:style w:type="character" w:customStyle="1" w:styleId="53">
    <w:name w:val="on"/>
    <w:basedOn w:val="20"/>
    <w:qFormat/>
    <w:uiPriority w:val="0"/>
    <w:rPr>
      <w:color w:val="FFFFFF"/>
      <w:shd w:val="clear" w:color="auto" w:fill="F17817"/>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3610</Words>
  <Characters>20577</Characters>
  <Lines>171</Lines>
  <Paragraphs>48</Paragraphs>
  <TotalTime>7</TotalTime>
  <ScaleCrop>false</ScaleCrop>
  <LinksUpToDate>false</LinksUpToDate>
  <CharactersWithSpaces>24139</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2020-10-22T03:04:00Z</dcterms:created>
  <dc:creator>walkinnet</dc:creator>
  <cp:lastModifiedBy>三十四度北</cp:lastModifiedBy>
  <cp:lastPrinted>2020-10-23T08:01:00Z</cp:lastPrinted>
  <dcterms:modified xsi:type="dcterms:W3CDTF">2020-11-13T01:39:02Z</dcterms:modified>
  <dc:title>信托计划监管报告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