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Arial Unicode MS" w:hAnsi="Arial Unicode MS" w:eastAsia="仿宋_GB2312"/>
          <w:b/>
          <w:sz w:val="36"/>
          <w:szCs w:val="36"/>
        </w:rPr>
      </w:pPr>
      <w:r>
        <w:rPr>
          <w:rFonts w:hint="eastAsia" w:ascii="Arial Unicode MS" w:hAnsi="Arial Unicode MS" w:eastAsia="仿宋_GB2312"/>
          <w:b/>
          <w:sz w:val="36"/>
          <w:szCs w:val="36"/>
        </w:rPr>
        <w:t>关于丹龙常州请【2018】3</w:t>
      </w:r>
      <w:r>
        <w:rPr>
          <w:rFonts w:hint="eastAsia" w:ascii="Arial Unicode MS" w:hAnsi="Arial Unicode MS" w:eastAsia="仿宋_GB2312"/>
          <w:b/>
          <w:sz w:val="36"/>
          <w:szCs w:val="36"/>
          <w:lang w:val="en-US" w:eastAsia="zh-CN"/>
        </w:rPr>
        <w:t>3</w:t>
      </w:r>
      <w:r>
        <w:rPr>
          <w:rFonts w:hint="eastAsia" w:ascii="Arial Unicode MS" w:hAnsi="Arial Unicode MS" w:eastAsia="仿宋_GB2312"/>
          <w:b/>
          <w:sz w:val="36"/>
          <w:szCs w:val="36"/>
        </w:rPr>
        <w:t>号的情况汇报</w:t>
      </w:r>
    </w:p>
    <w:p>
      <w:pPr>
        <w:spacing w:beforeLines="100" w:line="360" w:lineRule="auto"/>
        <w:rPr>
          <w:rFonts w:ascii="Arial Unicode MS" w:hAnsi="Arial Unicode MS" w:eastAsia="仿宋_GB2312"/>
          <w:sz w:val="28"/>
          <w:szCs w:val="28"/>
        </w:rPr>
      </w:pPr>
      <w:r>
        <w:rPr>
          <w:rFonts w:hint="eastAsia" w:ascii="Arial Unicode MS" w:hAnsi="Arial Unicode MS" w:eastAsia="仿宋_GB2312"/>
          <w:sz w:val="28"/>
          <w:szCs w:val="28"/>
        </w:rPr>
        <w:t>道诚（上海）股权投资基金管理有限公司：</w:t>
      </w:r>
    </w:p>
    <w:p>
      <w:pPr>
        <w:spacing w:line="360" w:lineRule="auto"/>
        <w:ind w:firstLine="560" w:firstLineChars="200"/>
        <w:rPr>
          <w:rFonts w:ascii="Arial Unicode MS" w:hAnsi="Arial Unicode MS" w:eastAsia="仿宋_GB2312"/>
          <w:sz w:val="28"/>
          <w:szCs w:val="28"/>
        </w:rPr>
      </w:pPr>
      <w:r>
        <w:rPr>
          <w:rFonts w:hint="eastAsia" w:ascii="Arial Unicode MS" w:hAnsi="Arial Unicode MS" w:eastAsia="仿宋_GB2312"/>
          <w:sz w:val="28"/>
          <w:szCs w:val="28"/>
        </w:rPr>
        <w:t>丹龙置业常州有限公司（下称“项目公司”）于2018年</w:t>
      </w:r>
      <w:r>
        <w:rPr>
          <w:rFonts w:hint="eastAsia" w:ascii="Arial Unicode MS" w:hAnsi="Arial Unicode MS" w:eastAsia="仿宋_GB2312"/>
          <w:sz w:val="28"/>
          <w:szCs w:val="28"/>
          <w:lang w:val="en-US" w:eastAsia="zh-CN"/>
        </w:rPr>
        <w:t>9</w:t>
      </w:r>
      <w:r>
        <w:rPr>
          <w:rFonts w:hint="eastAsia" w:ascii="Arial Unicode MS" w:hAnsi="Arial Unicode MS" w:eastAsia="仿宋_GB2312"/>
          <w:sz w:val="28"/>
          <w:szCs w:val="28"/>
        </w:rPr>
        <w:t>月1</w:t>
      </w:r>
      <w:r>
        <w:rPr>
          <w:rFonts w:hint="eastAsia" w:ascii="Arial Unicode MS" w:hAnsi="Arial Unicode MS" w:eastAsia="仿宋_GB2312"/>
          <w:sz w:val="28"/>
          <w:szCs w:val="28"/>
          <w:lang w:val="en-US" w:eastAsia="zh-CN"/>
        </w:rPr>
        <w:t>2</w:t>
      </w:r>
      <w:r>
        <w:rPr>
          <w:rFonts w:hint="eastAsia" w:ascii="Arial Unicode MS" w:hAnsi="Arial Unicode MS" w:eastAsia="仿宋_GB2312"/>
          <w:sz w:val="28"/>
          <w:szCs w:val="28"/>
        </w:rPr>
        <w:t>日提交了《关于支付</w:t>
      </w:r>
      <w:r>
        <w:rPr>
          <w:rFonts w:hint="eastAsia" w:ascii="Arial Unicode MS" w:hAnsi="Arial Unicode MS" w:eastAsia="仿宋_GB2312"/>
          <w:sz w:val="28"/>
          <w:szCs w:val="28"/>
          <w:lang w:val="en-US" w:eastAsia="zh-CN"/>
        </w:rPr>
        <w:t>常州江南里项目一期规费的</w:t>
      </w:r>
      <w:r>
        <w:rPr>
          <w:rFonts w:hint="eastAsia" w:ascii="Arial Unicode MS" w:hAnsi="Arial Unicode MS" w:eastAsia="仿宋_GB2312"/>
          <w:sz w:val="28"/>
          <w:szCs w:val="28"/>
        </w:rPr>
        <w:t>申请》（丹龙常州请[2018]3</w:t>
      </w:r>
      <w:r>
        <w:rPr>
          <w:rFonts w:hint="eastAsia" w:ascii="Arial Unicode MS" w:hAnsi="Arial Unicode MS" w:eastAsia="仿宋_GB2312"/>
          <w:sz w:val="28"/>
          <w:szCs w:val="28"/>
          <w:lang w:val="en-US" w:eastAsia="zh-CN"/>
        </w:rPr>
        <w:t>3</w:t>
      </w:r>
      <w:r>
        <w:rPr>
          <w:rFonts w:hint="eastAsia" w:ascii="Arial Unicode MS" w:hAnsi="Arial Unicode MS" w:eastAsia="仿宋_GB2312"/>
          <w:sz w:val="28"/>
          <w:szCs w:val="28"/>
        </w:rPr>
        <w:t>号），支付金额总计</w:t>
      </w:r>
      <w:r>
        <w:rPr>
          <w:rFonts w:hint="eastAsia" w:ascii="Arial Unicode MS" w:hAnsi="Arial Unicode MS" w:eastAsia="仿宋_GB2312"/>
          <w:sz w:val="28"/>
          <w:szCs w:val="28"/>
          <w:lang w:val="en-US" w:eastAsia="zh-CN"/>
        </w:rPr>
        <w:t>9,805</w:t>
      </w:r>
      <w:r>
        <w:rPr>
          <w:rFonts w:hint="eastAsia" w:ascii="Arial Unicode MS" w:hAnsi="Arial Unicode MS" w:eastAsia="仿宋_GB2312"/>
          <w:sz w:val="28"/>
          <w:szCs w:val="28"/>
        </w:rPr>
        <w:t>,</w:t>
      </w:r>
      <w:r>
        <w:rPr>
          <w:rFonts w:hint="eastAsia" w:ascii="Arial Unicode MS" w:hAnsi="Arial Unicode MS" w:eastAsia="仿宋_GB2312"/>
          <w:sz w:val="28"/>
          <w:szCs w:val="28"/>
          <w:lang w:val="en-US" w:eastAsia="zh-CN"/>
        </w:rPr>
        <w:t>835</w:t>
      </w:r>
      <w:r>
        <w:rPr>
          <w:rFonts w:hint="eastAsia" w:ascii="Arial Unicode MS" w:hAnsi="Arial Unicode MS" w:eastAsia="仿宋_GB2312"/>
          <w:sz w:val="28"/>
          <w:szCs w:val="28"/>
        </w:rPr>
        <w:t>.</w:t>
      </w:r>
      <w:r>
        <w:rPr>
          <w:rFonts w:hint="eastAsia" w:ascii="Arial Unicode MS" w:hAnsi="Arial Unicode MS" w:eastAsia="仿宋_GB2312"/>
          <w:sz w:val="28"/>
          <w:szCs w:val="28"/>
          <w:lang w:val="en-US" w:eastAsia="zh-CN"/>
        </w:rPr>
        <w:t>96</w:t>
      </w:r>
      <w:r>
        <w:rPr>
          <w:rFonts w:hint="eastAsia" w:ascii="Arial Unicode MS" w:hAnsi="Arial Unicode MS" w:eastAsia="仿宋_GB2312"/>
          <w:sz w:val="28"/>
          <w:szCs w:val="28"/>
        </w:rPr>
        <w:t>元。</w:t>
      </w:r>
    </w:p>
    <w:p>
      <w:pPr>
        <w:spacing w:beforeLines="100" w:line="360" w:lineRule="auto"/>
        <w:ind w:firstLine="482" w:firstLineChars="200"/>
        <w:jc w:val="center"/>
        <w:rPr>
          <w:rFonts w:ascii="Arial Unicode MS" w:hAnsi="Arial Unicode MS" w:eastAsia="仿宋_GB2312"/>
          <w:b/>
          <w:sz w:val="24"/>
          <w:szCs w:val="24"/>
        </w:rPr>
      </w:pPr>
      <w:r>
        <w:rPr>
          <w:rFonts w:hint="eastAsia" w:ascii="Arial Unicode MS" w:hAnsi="Arial Unicode MS" w:eastAsia="仿宋_GB2312"/>
          <w:b/>
          <w:sz w:val="24"/>
          <w:szCs w:val="24"/>
        </w:rPr>
        <w:t>丹龙置业常州有限公司</w:t>
      </w:r>
      <w:r>
        <w:rPr>
          <w:rFonts w:hint="eastAsia" w:ascii="Arial Unicode MS" w:hAnsi="Arial Unicode MS" w:eastAsia="仿宋_GB2312"/>
          <w:b/>
          <w:sz w:val="24"/>
          <w:szCs w:val="24"/>
          <w:lang w:val="en-US" w:eastAsia="zh-CN"/>
        </w:rPr>
        <w:t>一期规费</w:t>
      </w:r>
      <w:r>
        <w:rPr>
          <w:rFonts w:hint="eastAsia" w:ascii="Arial Unicode MS" w:hAnsi="Arial Unicode MS" w:eastAsia="仿宋_GB2312"/>
          <w:b/>
          <w:sz w:val="24"/>
          <w:szCs w:val="24"/>
        </w:rPr>
        <w:t>费用支付清单明细表</w:t>
      </w:r>
    </w:p>
    <w:tbl>
      <w:tblPr>
        <w:tblStyle w:val="9"/>
        <w:tblW w:w="8437" w:type="dxa"/>
        <w:tblInd w:w="0" w:type="dxa"/>
        <w:tblLayout w:type="fixed"/>
        <w:tblCellMar>
          <w:top w:w="0" w:type="dxa"/>
          <w:left w:w="108" w:type="dxa"/>
          <w:bottom w:w="0" w:type="dxa"/>
          <w:right w:w="108" w:type="dxa"/>
        </w:tblCellMar>
      </w:tblPr>
      <w:tblGrid>
        <w:gridCol w:w="520"/>
        <w:gridCol w:w="1998"/>
        <w:gridCol w:w="4194"/>
        <w:gridCol w:w="1725"/>
      </w:tblGrid>
      <w:tr>
        <w:tblPrEx>
          <w:tblLayout w:type="fixed"/>
          <w:tblCellMar>
            <w:top w:w="0" w:type="dxa"/>
            <w:left w:w="108" w:type="dxa"/>
            <w:bottom w:w="0" w:type="dxa"/>
            <w:right w:w="108" w:type="dxa"/>
          </w:tblCellMar>
        </w:tblPrEx>
        <w:trPr>
          <w:cantSplit/>
          <w:trHeight w:val="540" w:hRule="atLeast"/>
          <w:tblHeader/>
        </w:trPr>
        <w:tc>
          <w:tcPr>
            <w:tcW w:w="520"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jc w:val="center"/>
              <w:rPr>
                <w:rFonts w:ascii="Arial" w:hAnsi="Arial" w:eastAsia="仿宋_GB2312" w:cs="Arial"/>
                <w:b/>
                <w:bCs/>
                <w:color w:val="000000"/>
                <w:kern w:val="0"/>
              </w:rPr>
            </w:pPr>
            <w:r>
              <w:rPr>
                <w:rFonts w:ascii="Arial" w:hAnsi="Arial" w:eastAsia="仿宋_GB2312" w:cs="Arial"/>
                <w:b/>
                <w:bCs/>
                <w:color w:val="000000"/>
                <w:kern w:val="0"/>
              </w:rPr>
              <w:t>序号</w:t>
            </w:r>
          </w:p>
        </w:tc>
        <w:tc>
          <w:tcPr>
            <w:tcW w:w="1998" w:type="dxa"/>
            <w:tcBorders>
              <w:top w:val="single" w:color="auto" w:sz="4" w:space="0"/>
              <w:left w:val="nil"/>
              <w:bottom w:val="single" w:color="auto" w:sz="4" w:space="0"/>
              <w:right w:val="single" w:color="auto" w:sz="4" w:space="0"/>
            </w:tcBorders>
            <w:shd w:val="clear" w:color="000000" w:fill="95B3D7"/>
            <w:vAlign w:val="center"/>
          </w:tcPr>
          <w:p>
            <w:pPr>
              <w:widowControl/>
              <w:jc w:val="center"/>
              <w:rPr>
                <w:rFonts w:hint="eastAsia" w:ascii="Arial" w:hAnsi="Arial" w:eastAsia="仿宋_GB2312" w:cs="Arial"/>
                <w:b/>
                <w:bCs/>
                <w:color w:val="000000"/>
                <w:kern w:val="0"/>
                <w:lang w:val="en-US" w:eastAsia="zh-CN"/>
              </w:rPr>
            </w:pPr>
            <w:r>
              <w:rPr>
                <w:rFonts w:hint="eastAsia" w:ascii="Arial" w:hAnsi="Arial" w:eastAsia="仿宋_GB2312" w:cs="Arial"/>
                <w:b/>
                <w:bCs/>
                <w:color w:val="000000"/>
                <w:kern w:val="0"/>
                <w:lang w:val="en-US" w:eastAsia="zh-CN"/>
              </w:rPr>
              <w:t>费用内容</w:t>
            </w:r>
          </w:p>
        </w:tc>
        <w:tc>
          <w:tcPr>
            <w:tcW w:w="4194" w:type="dxa"/>
            <w:tcBorders>
              <w:top w:val="single" w:color="auto" w:sz="4" w:space="0"/>
              <w:left w:val="nil"/>
              <w:bottom w:val="single" w:color="auto" w:sz="4" w:space="0"/>
              <w:right w:val="single" w:color="auto" w:sz="4" w:space="0"/>
            </w:tcBorders>
            <w:shd w:val="clear" w:color="000000" w:fill="95B3D7"/>
            <w:vAlign w:val="center"/>
          </w:tcPr>
          <w:p>
            <w:pPr>
              <w:widowControl/>
              <w:jc w:val="center"/>
              <w:rPr>
                <w:rFonts w:hint="eastAsia" w:ascii="Arial" w:hAnsi="Arial" w:eastAsia="仿宋_GB2312" w:cs="Arial"/>
                <w:b/>
                <w:bCs/>
                <w:color w:val="000000"/>
                <w:kern w:val="0"/>
                <w:lang w:val="en-US" w:eastAsia="zh-CN"/>
              </w:rPr>
            </w:pPr>
            <w:r>
              <w:rPr>
                <w:rFonts w:hint="eastAsia" w:ascii="Arial" w:hAnsi="Arial" w:eastAsia="仿宋_GB2312" w:cs="Arial"/>
                <w:b/>
                <w:bCs/>
                <w:color w:val="000000"/>
                <w:kern w:val="0"/>
                <w:lang w:val="en-US" w:eastAsia="zh-CN"/>
              </w:rPr>
              <w:t>收费标准</w:t>
            </w:r>
          </w:p>
        </w:tc>
        <w:tc>
          <w:tcPr>
            <w:tcW w:w="1725" w:type="dxa"/>
            <w:tcBorders>
              <w:top w:val="single" w:color="auto" w:sz="4" w:space="0"/>
              <w:left w:val="nil"/>
              <w:bottom w:val="single" w:color="auto" w:sz="4" w:space="0"/>
              <w:right w:val="single" w:color="auto" w:sz="4" w:space="0"/>
            </w:tcBorders>
            <w:shd w:val="clear" w:color="000000" w:fill="95B3D7"/>
            <w:vAlign w:val="center"/>
          </w:tcPr>
          <w:p>
            <w:pPr>
              <w:widowControl/>
              <w:jc w:val="center"/>
              <w:rPr>
                <w:rFonts w:ascii="Arial" w:hAnsi="Arial" w:eastAsia="仿宋_GB2312" w:cs="Arial"/>
                <w:b/>
                <w:bCs/>
                <w:color w:val="000000"/>
                <w:kern w:val="0"/>
              </w:rPr>
            </w:pPr>
            <w:r>
              <w:rPr>
                <w:rFonts w:ascii="Arial" w:hAnsi="Arial" w:eastAsia="仿宋_GB2312" w:cs="Arial"/>
                <w:b/>
                <w:bCs/>
                <w:color w:val="000000"/>
                <w:kern w:val="0"/>
              </w:rPr>
              <w:t>支付金额（元）</w:t>
            </w:r>
          </w:p>
        </w:tc>
      </w:tr>
      <w:tr>
        <w:tblPrEx>
          <w:tblLayout w:type="fixed"/>
          <w:tblCellMar>
            <w:top w:w="0" w:type="dxa"/>
            <w:left w:w="108" w:type="dxa"/>
            <w:bottom w:w="0" w:type="dxa"/>
            <w:right w:w="108" w:type="dxa"/>
          </w:tblCellMar>
        </w:tblPrEx>
        <w:trPr>
          <w:cantSplit/>
          <w:trHeight w:val="270" w:hRule="atLeast"/>
          <w:tblHeader/>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仿宋_GB2312" w:cs="Arial"/>
                <w:color w:val="000000"/>
                <w:kern w:val="0"/>
              </w:rPr>
            </w:pPr>
            <w:r>
              <w:rPr>
                <w:rFonts w:ascii="Arial" w:hAnsi="Arial" w:eastAsia="仿宋_GB2312" w:cs="Arial"/>
                <w:color w:val="000000"/>
                <w:kern w:val="0"/>
              </w:rPr>
              <w:t>1</w:t>
            </w:r>
          </w:p>
        </w:tc>
        <w:tc>
          <w:tcPr>
            <w:tcW w:w="1998"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eastAsia="仿宋_GB2312" w:cs="Arial"/>
                <w:color w:val="000000"/>
                <w:kern w:val="0"/>
                <w:lang w:val="en-US" w:eastAsia="zh-CN"/>
              </w:rPr>
            </w:pPr>
            <w:r>
              <w:rPr>
                <w:rFonts w:hint="eastAsia" w:ascii="Arial" w:hAnsi="Arial" w:eastAsia="仿宋_GB2312" w:cs="Arial"/>
                <w:color w:val="000000"/>
                <w:kern w:val="0"/>
                <w:lang w:val="en-US" w:eastAsia="zh-CN"/>
              </w:rPr>
              <w:t>市政设施配套费</w:t>
            </w:r>
          </w:p>
        </w:tc>
        <w:tc>
          <w:tcPr>
            <w:tcW w:w="4194"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eastAsia="仿宋_GB2312" w:cs="Arial"/>
                <w:color w:val="000000"/>
                <w:kern w:val="0"/>
                <w:lang w:val="en-US" w:eastAsia="zh-CN"/>
              </w:rPr>
            </w:pPr>
            <w:r>
              <w:rPr>
                <w:rFonts w:hint="eastAsia" w:ascii="Arial" w:hAnsi="Arial" w:eastAsia="仿宋_GB2312" w:cs="Arial"/>
                <w:color w:val="000000"/>
                <w:kern w:val="0"/>
                <w:lang w:val="en-US" w:eastAsia="zh-CN"/>
              </w:rPr>
              <w:t>一期建筑面积101489.09㎡（扣除人防面积9550㎡）收费标注105元/㎡</w:t>
            </w:r>
          </w:p>
        </w:tc>
        <w:tc>
          <w:tcPr>
            <w:tcW w:w="1725"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eastAsia="仿宋_GB2312" w:cs="Arial"/>
                <w:color w:val="000000"/>
                <w:kern w:val="0"/>
                <w:lang w:val="en-US" w:eastAsia="zh-CN"/>
              </w:rPr>
            </w:pPr>
            <w:r>
              <w:rPr>
                <w:rFonts w:hint="eastAsia" w:ascii="Arial" w:hAnsi="Arial" w:eastAsia="仿宋_GB2312" w:cs="Arial"/>
                <w:color w:val="000000"/>
                <w:kern w:val="0"/>
                <w:lang w:val="en-US" w:eastAsia="zh-CN"/>
              </w:rPr>
              <w:t>9,653</w:t>
            </w:r>
            <w:r>
              <w:rPr>
                <w:rFonts w:ascii="Arial" w:hAnsi="Arial" w:eastAsia="仿宋_GB2312" w:cs="Arial"/>
                <w:color w:val="000000"/>
                <w:kern w:val="0"/>
              </w:rPr>
              <w:t>,</w:t>
            </w:r>
            <w:r>
              <w:rPr>
                <w:rFonts w:hint="eastAsia" w:ascii="Arial" w:hAnsi="Arial" w:eastAsia="仿宋_GB2312" w:cs="Arial"/>
                <w:color w:val="000000"/>
                <w:kern w:val="0"/>
                <w:lang w:val="en-US" w:eastAsia="zh-CN"/>
              </w:rPr>
              <w:t>602</w:t>
            </w:r>
            <w:r>
              <w:rPr>
                <w:rFonts w:ascii="Arial" w:hAnsi="Arial" w:eastAsia="仿宋_GB2312" w:cs="Arial"/>
                <w:color w:val="000000"/>
                <w:kern w:val="0"/>
              </w:rPr>
              <w:t>.</w:t>
            </w:r>
            <w:r>
              <w:rPr>
                <w:rFonts w:hint="eastAsia" w:ascii="Arial" w:hAnsi="Arial" w:eastAsia="仿宋_GB2312" w:cs="Arial"/>
                <w:color w:val="000000"/>
                <w:kern w:val="0"/>
                <w:lang w:val="en-US" w:eastAsia="zh-CN"/>
              </w:rPr>
              <w:t>35</w:t>
            </w:r>
          </w:p>
        </w:tc>
      </w:tr>
      <w:tr>
        <w:tblPrEx>
          <w:tblLayout w:type="fixed"/>
          <w:tblCellMar>
            <w:top w:w="0" w:type="dxa"/>
            <w:left w:w="108" w:type="dxa"/>
            <w:bottom w:w="0" w:type="dxa"/>
            <w:right w:w="108" w:type="dxa"/>
          </w:tblCellMar>
        </w:tblPrEx>
        <w:trPr>
          <w:cantSplit/>
          <w:trHeight w:val="270" w:hRule="atLeast"/>
          <w:tblHeader/>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Arial" w:hAnsi="Arial" w:eastAsia="仿宋_GB2312" w:cs="Arial"/>
                <w:color w:val="000000"/>
                <w:kern w:val="0"/>
              </w:rPr>
            </w:pPr>
            <w:r>
              <w:rPr>
                <w:rFonts w:ascii="Arial" w:hAnsi="Arial" w:eastAsia="仿宋_GB2312" w:cs="Arial"/>
                <w:color w:val="000000"/>
                <w:kern w:val="0"/>
              </w:rPr>
              <w:t>2</w:t>
            </w:r>
          </w:p>
        </w:tc>
        <w:tc>
          <w:tcPr>
            <w:tcW w:w="1998"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eastAsia="仿宋_GB2312" w:cs="Arial"/>
                <w:color w:val="000000"/>
                <w:kern w:val="0"/>
                <w:lang w:val="en-US" w:eastAsia="zh-CN"/>
              </w:rPr>
            </w:pPr>
            <w:r>
              <w:rPr>
                <w:rFonts w:hint="eastAsia" w:ascii="Arial" w:hAnsi="Arial" w:eastAsia="仿宋_GB2312" w:cs="Arial"/>
                <w:color w:val="000000"/>
                <w:kern w:val="0"/>
                <w:lang w:val="en-US" w:eastAsia="zh-CN"/>
              </w:rPr>
              <w:t>垃圾处理费</w:t>
            </w:r>
          </w:p>
        </w:tc>
        <w:tc>
          <w:tcPr>
            <w:tcW w:w="4194"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eastAsia="仿宋_GB2312" w:cs="Arial"/>
                <w:color w:val="000000"/>
                <w:kern w:val="0"/>
                <w:lang w:val="en-US" w:eastAsia="zh-CN"/>
              </w:rPr>
            </w:pPr>
            <w:r>
              <w:rPr>
                <w:rFonts w:hint="eastAsia" w:ascii="Arial" w:hAnsi="Arial" w:eastAsia="仿宋_GB2312" w:cs="Arial"/>
                <w:color w:val="000000"/>
                <w:kern w:val="0"/>
                <w:lang w:val="en-US" w:eastAsia="zh-CN"/>
              </w:rPr>
              <w:t>一期建筑面积101489.09㎡，收费标准1.5元/㎡</w:t>
            </w:r>
          </w:p>
        </w:tc>
        <w:tc>
          <w:tcPr>
            <w:tcW w:w="1725"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eastAsia="仿宋_GB2312" w:cs="Arial"/>
                <w:color w:val="000000"/>
                <w:kern w:val="0"/>
                <w:lang w:val="en-US" w:eastAsia="zh-CN"/>
              </w:rPr>
            </w:pPr>
            <w:r>
              <w:rPr>
                <w:rFonts w:hint="eastAsia" w:ascii="Arial" w:hAnsi="Arial" w:eastAsia="仿宋_GB2312" w:cs="Arial"/>
                <w:color w:val="000000"/>
                <w:kern w:val="0"/>
                <w:lang w:val="en-US" w:eastAsia="zh-CN"/>
              </w:rPr>
              <w:t>152</w:t>
            </w:r>
            <w:r>
              <w:rPr>
                <w:rFonts w:ascii="Arial" w:hAnsi="Arial" w:eastAsia="仿宋_GB2312" w:cs="Arial"/>
                <w:color w:val="000000"/>
                <w:kern w:val="0"/>
              </w:rPr>
              <w:t>,</w:t>
            </w:r>
            <w:r>
              <w:rPr>
                <w:rFonts w:hint="eastAsia" w:ascii="Arial" w:hAnsi="Arial" w:eastAsia="仿宋_GB2312" w:cs="Arial"/>
                <w:color w:val="000000"/>
                <w:kern w:val="0"/>
                <w:lang w:val="en-US" w:eastAsia="zh-CN"/>
              </w:rPr>
              <w:t>233</w:t>
            </w:r>
            <w:r>
              <w:rPr>
                <w:rFonts w:ascii="Arial" w:hAnsi="Arial" w:eastAsia="仿宋_GB2312" w:cs="Arial"/>
                <w:color w:val="000000"/>
                <w:kern w:val="0"/>
              </w:rPr>
              <w:t>.</w:t>
            </w:r>
            <w:r>
              <w:rPr>
                <w:rFonts w:hint="eastAsia" w:ascii="Arial" w:hAnsi="Arial" w:eastAsia="仿宋_GB2312" w:cs="Arial"/>
                <w:color w:val="000000"/>
                <w:kern w:val="0"/>
                <w:lang w:val="en-US" w:eastAsia="zh-CN"/>
              </w:rPr>
              <w:t>61</w:t>
            </w:r>
          </w:p>
        </w:tc>
      </w:tr>
      <w:tr>
        <w:tblPrEx>
          <w:tblLayout w:type="fixed"/>
          <w:tblCellMar>
            <w:top w:w="0" w:type="dxa"/>
            <w:left w:w="108" w:type="dxa"/>
            <w:bottom w:w="0" w:type="dxa"/>
            <w:right w:w="108" w:type="dxa"/>
          </w:tblCellMar>
        </w:tblPrEx>
        <w:trPr>
          <w:cantSplit/>
          <w:trHeight w:val="507" w:hRule="atLeast"/>
          <w:tblHeader/>
        </w:trPr>
        <w:tc>
          <w:tcPr>
            <w:tcW w:w="6712"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Arial" w:hAnsi="Arial" w:eastAsia="仿宋_GB2312" w:cs="Arial"/>
                <w:b/>
                <w:color w:val="000000"/>
                <w:kern w:val="0"/>
              </w:rPr>
            </w:pPr>
            <w:r>
              <w:rPr>
                <w:rFonts w:ascii="Arial" w:hAnsi="Arial" w:eastAsia="仿宋_GB2312" w:cs="Arial"/>
                <w:b/>
                <w:color w:val="000000"/>
                <w:kern w:val="0"/>
              </w:rPr>
              <w:t>合                  计</w:t>
            </w:r>
          </w:p>
        </w:tc>
        <w:tc>
          <w:tcPr>
            <w:tcW w:w="1725"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eastAsia="仿宋_GB2312" w:cs="Arial"/>
                <w:b/>
                <w:color w:val="000000"/>
                <w:kern w:val="0"/>
                <w:lang w:val="en-US" w:eastAsia="zh-CN"/>
              </w:rPr>
            </w:pPr>
            <w:r>
              <w:rPr>
                <w:rFonts w:hint="eastAsia" w:ascii="Arial" w:hAnsi="Arial" w:eastAsia="仿宋_GB2312" w:cs="Arial"/>
                <w:b/>
                <w:color w:val="000000"/>
                <w:kern w:val="0"/>
                <w:lang w:val="en-US" w:eastAsia="zh-CN"/>
              </w:rPr>
              <w:t>9,805</w:t>
            </w:r>
            <w:r>
              <w:rPr>
                <w:rFonts w:hint="eastAsia" w:ascii="Arial" w:hAnsi="Arial" w:eastAsia="仿宋_GB2312" w:cs="Arial"/>
                <w:b/>
                <w:color w:val="000000"/>
                <w:kern w:val="0"/>
              </w:rPr>
              <w:t>,</w:t>
            </w:r>
            <w:r>
              <w:rPr>
                <w:rFonts w:hint="eastAsia" w:ascii="Arial" w:hAnsi="Arial" w:eastAsia="仿宋_GB2312" w:cs="Arial"/>
                <w:b/>
                <w:color w:val="000000"/>
                <w:kern w:val="0"/>
                <w:lang w:val="en-US" w:eastAsia="zh-CN"/>
              </w:rPr>
              <w:t>835</w:t>
            </w:r>
            <w:r>
              <w:rPr>
                <w:rFonts w:hint="eastAsia" w:ascii="Arial" w:hAnsi="Arial" w:eastAsia="仿宋_GB2312" w:cs="Arial"/>
                <w:b/>
                <w:color w:val="000000"/>
                <w:kern w:val="0"/>
              </w:rPr>
              <w:t>.</w:t>
            </w:r>
            <w:r>
              <w:rPr>
                <w:rFonts w:hint="eastAsia" w:ascii="Arial" w:hAnsi="Arial" w:eastAsia="仿宋_GB2312" w:cs="Arial"/>
                <w:b/>
                <w:color w:val="000000"/>
                <w:kern w:val="0"/>
                <w:lang w:val="en-US" w:eastAsia="zh-CN"/>
              </w:rPr>
              <w:t>96</w:t>
            </w:r>
          </w:p>
        </w:tc>
      </w:tr>
    </w:tbl>
    <w:p>
      <w:pPr>
        <w:spacing w:beforeLines="100" w:line="360" w:lineRule="auto"/>
        <w:ind w:firstLine="560" w:firstLineChars="200"/>
        <w:rPr>
          <w:rFonts w:ascii="Arial Unicode MS" w:hAnsi="Arial Unicode MS" w:eastAsia="仿宋_GB2312"/>
          <w:sz w:val="28"/>
          <w:szCs w:val="28"/>
        </w:rPr>
      </w:pPr>
      <w:r>
        <w:rPr>
          <w:rFonts w:hint="eastAsia" w:ascii="Arial Unicode MS" w:hAnsi="Arial Unicode MS" w:eastAsia="仿宋_GB2312"/>
          <w:sz w:val="28"/>
          <w:szCs w:val="28"/>
          <w:lang w:val="en-US" w:eastAsia="zh-CN"/>
        </w:rPr>
        <w:t>项目公司于2018年9月11日收到由常州西太湖科技产业园规划建设局发送给江苏武进经济开发区财政局的规费缴费通知单。此笔费用是获取《项目一期建设工程规划许可证》的先决条件，其办证前期手续已经办理完毕，缴纳此笔费用后即可获取证件。</w:t>
      </w:r>
      <w:r>
        <w:rPr>
          <w:rFonts w:hint="eastAsia" w:ascii="Arial Unicode MS" w:hAnsi="Arial Unicode MS" w:eastAsia="仿宋_GB2312"/>
          <w:sz w:val="28"/>
          <w:szCs w:val="28"/>
        </w:rPr>
        <w:t>经与项目公司现行制度</w:t>
      </w:r>
      <w:r>
        <w:rPr>
          <w:rFonts w:hint="eastAsia" w:ascii="Arial Unicode MS" w:hAnsi="Arial Unicode MS" w:eastAsia="仿宋_GB2312"/>
          <w:sz w:val="28"/>
          <w:szCs w:val="28"/>
          <w:lang w:eastAsia="zh-CN"/>
        </w:rPr>
        <w:t>、</w:t>
      </w:r>
      <w:r>
        <w:rPr>
          <w:rFonts w:hint="eastAsia" w:ascii="Arial Unicode MS" w:hAnsi="Arial Unicode MS" w:eastAsia="仿宋_GB2312"/>
          <w:sz w:val="28"/>
          <w:szCs w:val="28"/>
        </w:rPr>
        <w:t>支付凭证</w:t>
      </w:r>
      <w:r>
        <w:rPr>
          <w:rFonts w:hint="eastAsia" w:ascii="Arial Unicode MS" w:hAnsi="Arial Unicode MS" w:eastAsia="仿宋_GB2312"/>
          <w:sz w:val="28"/>
          <w:szCs w:val="28"/>
          <w:lang w:val="en-US" w:eastAsia="zh-CN"/>
        </w:rPr>
        <w:t>等</w:t>
      </w:r>
      <w:r>
        <w:rPr>
          <w:rFonts w:hint="eastAsia" w:ascii="Arial Unicode MS" w:hAnsi="Arial Unicode MS" w:eastAsia="仿宋_GB2312"/>
          <w:sz w:val="28"/>
          <w:szCs w:val="28"/>
        </w:rPr>
        <w:t>进行审核，上述费用报销及支付的额度符合相应规定，单据填写及申请流程符合项目公司财务制度。</w:t>
      </w:r>
    </w:p>
    <w:p>
      <w:pPr>
        <w:spacing w:beforeLines="100" w:line="360" w:lineRule="auto"/>
        <w:ind w:firstLine="560" w:firstLineChars="200"/>
        <w:rPr>
          <w:rFonts w:hint="eastAsia" w:ascii="Arial Unicode MS" w:hAnsi="Arial Unicode MS" w:eastAsia="仿宋_GB2312"/>
          <w:sz w:val="28"/>
          <w:szCs w:val="28"/>
          <w:lang w:val="en-US" w:eastAsia="zh-CN"/>
        </w:rPr>
      </w:pPr>
      <w:bookmarkStart w:id="0" w:name="_GoBack"/>
      <w:bookmarkEnd w:id="0"/>
    </w:p>
    <w:p>
      <w:pPr>
        <w:spacing w:line="360" w:lineRule="auto"/>
        <w:ind w:firstLine="3920" w:firstLineChars="1400"/>
        <w:rPr>
          <w:rFonts w:ascii="Arial Unicode MS" w:hAnsi="Arial Unicode MS" w:eastAsia="仿宋_GB2312"/>
          <w:sz w:val="28"/>
          <w:szCs w:val="28"/>
        </w:rPr>
      </w:pPr>
      <w:r>
        <w:rPr>
          <w:rFonts w:hint="eastAsia" w:ascii="Arial Unicode MS" w:hAnsi="Arial Unicode MS" w:eastAsia="仿宋_GB2312"/>
          <w:sz w:val="28"/>
          <w:szCs w:val="28"/>
        </w:rPr>
        <w:t xml:space="preserve"> 北京康正宏基房地产评估有限公司</w:t>
      </w:r>
    </w:p>
    <w:p>
      <w:pPr>
        <w:spacing w:line="360" w:lineRule="auto"/>
        <w:ind w:firstLine="560" w:firstLineChars="200"/>
        <w:rPr>
          <w:rFonts w:ascii="Arial Unicode MS" w:hAnsi="Arial Unicode MS" w:eastAsia="仿宋_GB2312"/>
          <w:sz w:val="24"/>
          <w:szCs w:val="24"/>
        </w:rPr>
      </w:pPr>
      <w:r>
        <w:rPr>
          <w:rFonts w:hint="eastAsia" w:ascii="Arial Unicode MS" w:hAnsi="Arial Unicode MS" w:eastAsia="仿宋_GB2312"/>
          <w:sz w:val="28"/>
          <w:szCs w:val="28"/>
        </w:rPr>
        <w:t xml:space="preserve">                                      2018年</w:t>
      </w:r>
      <w:r>
        <w:rPr>
          <w:rFonts w:hint="eastAsia" w:ascii="Arial Unicode MS" w:hAnsi="Arial Unicode MS" w:eastAsia="仿宋_GB2312"/>
          <w:sz w:val="28"/>
          <w:szCs w:val="28"/>
          <w:lang w:val="en-US" w:eastAsia="zh-CN"/>
        </w:rPr>
        <w:t>10</w:t>
      </w:r>
      <w:r>
        <w:rPr>
          <w:rFonts w:hint="eastAsia" w:ascii="Arial Unicode MS" w:hAnsi="Arial Unicode MS" w:eastAsia="仿宋_GB2312"/>
          <w:sz w:val="28"/>
          <w:szCs w:val="28"/>
        </w:rPr>
        <w:t>月</w:t>
      </w:r>
      <w:r>
        <w:rPr>
          <w:rFonts w:hint="eastAsia" w:ascii="Arial Unicode MS" w:hAnsi="Arial Unicode MS" w:eastAsia="仿宋_GB2312"/>
          <w:sz w:val="28"/>
          <w:szCs w:val="28"/>
          <w:lang w:val="en-US" w:eastAsia="zh-CN"/>
        </w:rPr>
        <w:t>31</w:t>
      </w:r>
      <w:r>
        <w:rPr>
          <w:rFonts w:hint="eastAsia" w:ascii="Arial Unicode MS" w:hAnsi="Arial Unicode MS" w:eastAsia="仿宋_GB2312"/>
          <w:sz w:val="28"/>
          <w:szCs w:val="28"/>
        </w:rPr>
        <w:t>日</w:t>
      </w: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2969029"/>
    </w:sdtPr>
    <w:sdtContent>
      <w:sdt>
        <w:sdtPr>
          <w:id w:val="-1669238322"/>
        </w:sdtPr>
        <w:sdtContent>
          <w:p>
            <w:pPr>
              <w:pStyle w:val="5"/>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6739"/>
    <w:rsid w:val="00003BDD"/>
    <w:rsid w:val="000154EF"/>
    <w:rsid w:val="000263E8"/>
    <w:rsid w:val="00051703"/>
    <w:rsid w:val="00061E62"/>
    <w:rsid w:val="00090FF9"/>
    <w:rsid w:val="000C3FB4"/>
    <w:rsid w:val="000E087C"/>
    <w:rsid w:val="000F1E1D"/>
    <w:rsid w:val="0015381D"/>
    <w:rsid w:val="001A7339"/>
    <w:rsid w:val="001C5071"/>
    <w:rsid w:val="001D2CC6"/>
    <w:rsid w:val="001D3C0D"/>
    <w:rsid w:val="001D41E7"/>
    <w:rsid w:val="001E1443"/>
    <w:rsid w:val="002054A5"/>
    <w:rsid w:val="0021298A"/>
    <w:rsid w:val="00240DC2"/>
    <w:rsid w:val="0025026B"/>
    <w:rsid w:val="002534FF"/>
    <w:rsid w:val="002802C0"/>
    <w:rsid w:val="002862C6"/>
    <w:rsid w:val="002B7AB9"/>
    <w:rsid w:val="002E4A85"/>
    <w:rsid w:val="002E6D38"/>
    <w:rsid w:val="00370BC9"/>
    <w:rsid w:val="003831A6"/>
    <w:rsid w:val="00395A53"/>
    <w:rsid w:val="003A10CE"/>
    <w:rsid w:val="003A1FC4"/>
    <w:rsid w:val="003B463D"/>
    <w:rsid w:val="003D4540"/>
    <w:rsid w:val="003E3188"/>
    <w:rsid w:val="00412334"/>
    <w:rsid w:val="004460BE"/>
    <w:rsid w:val="004B07AF"/>
    <w:rsid w:val="004E6483"/>
    <w:rsid w:val="00507C60"/>
    <w:rsid w:val="00514095"/>
    <w:rsid w:val="005421E2"/>
    <w:rsid w:val="00561D34"/>
    <w:rsid w:val="00582E31"/>
    <w:rsid w:val="00586E5C"/>
    <w:rsid w:val="005B3DC4"/>
    <w:rsid w:val="005D1D04"/>
    <w:rsid w:val="005D3E26"/>
    <w:rsid w:val="005D40AE"/>
    <w:rsid w:val="0060387D"/>
    <w:rsid w:val="00626243"/>
    <w:rsid w:val="00652B88"/>
    <w:rsid w:val="00674F8F"/>
    <w:rsid w:val="0068430D"/>
    <w:rsid w:val="006A1125"/>
    <w:rsid w:val="006B26F7"/>
    <w:rsid w:val="00743B03"/>
    <w:rsid w:val="007667FD"/>
    <w:rsid w:val="00773D08"/>
    <w:rsid w:val="007801F1"/>
    <w:rsid w:val="007A709D"/>
    <w:rsid w:val="007B283E"/>
    <w:rsid w:val="007B7FE6"/>
    <w:rsid w:val="007D30B9"/>
    <w:rsid w:val="007F7578"/>
    <w:rsid w:val="00801403"/>
    <w:rsid w:val="0081531C"/>
    <w:rsid w:val="00815818"/>
    <w:rsid w:val="00824498"/>
    <w:rsid w:val="008438F5"/>
    <w:rsid w:val="00851DA7"/>
    <w:rsid w:val="008578A5"/>
    <w:rsid w:val="008B6966"/>
    <w:rsid w:val="00971FD5"/>
    <w:rsid w:val="009A1B45"/>
    <w:rsid w:val="009C27CB"/>
    <w:rsid w:val="009C5804"/>
    <w:rsid w:val="009D0EF7"/>
    <w:rsid w:val="00A03856"/>
    <w:rsid w:val="00A562EF"/>
    <w:rsid w:val="00A66B2A"/>
    <w:rsid w:val="00A67C1F"/>
    <w:rsid w:val="00AB07AC"/>
    <w:rsid w:val="00AE320C"/>
    <w:rsid w:val="00B431C3"/>
    <w:rsid w:val="00B47B8A"/>
    <w:rsid w:val="00B82F1A"/>
    <w:rsid w:val="00B95C50"/>
    <w:rsid w:val="00BD59A2"/>
    <w:rsid w:val="00BE6076"/>
    <w:rsid w:val="00C0089A"/>
    <w:rsid w:val="00C90196"/>
    <w:rsid w:val="00CC130A"/>
    <w:rsid w:val="00D471CA"/>
    <w:rsid w:val="00D523C8"/>
    <w:rsid w:val="00D665AD"/>
    <w:rsid w:val="00E419AB"/>
    <w:rsid w:val="00E66739"/>
    <w:rsid w:val="00E727B8"/>
    <w:rsid w:val="00E936CA"/>
    <w:rsid w:val="00ED2971"/>
    <w:rsid w:val="00F1040C"/>
    <w:rsid w:val="00F45E94"/>
    <w:rsid w:val="00F66164"/>
    <w:rsid w:val="00F6729D"/>
    <w:rsid w:val="00F67C4C"/>
    <w:rsid w:val="00F72FD3"/>
    <w:rsid w:val="00FB0879"/>
    <w:rsid w:val="00FC34C1"/>
    <w:rsid w:val="00FF339F"/>
    <w:rsid w:val="08A27CF2"/>
    <w:rsid w:val="10AB787A"/>
    <w:rsid w:val="10DF05D7"/>
    <w:rsid w:val="13CD2F16"/>
    <w:rsid w:val="19FD67B3"/>
    <w:rsid w:val="23193C94"/>
    <w:rsid w:val="234A7D72"/>
    <w:rsid w:val="32290E9A"/>
    <w:rsid w:val="325F73B6"/>
    <w:rsid w:val="33BE3E4E"/>
    <w:rsid w:val="39571D58"/>
    <w:rsid w:val="3B32420C"/>
    <w:rsid w:val="40AB21C8"/>
    <w:rsid w:val="40DF14A8"/>
    <w:rsid w:val="454733EB"/>
    <w:rsid w:val="45D44994"/>
    <w:rsid w:val="4C4774C3"/>
    <w:rsid w:val="53600526"/>
    <w:rsid w:val="541808F1"/>
    <w:rsid w:val="5487773F"/>
    <w:rsid w:val="580E3B05"/>
    <w:rsid w:val="641C548F"/>
    <w:rsid w:val="697D6FAD"/>
    <w:rsid w:val="6CE8461C"/>
    <w:rsid w:val="720207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semiHidden/>
    <w:unhideWhenUsed/>
    <w:qFormat/>
    <w:uiPriority w:val="99"/>
    <w:rPr>
      <w:b/>
      <w:bCs/>
    </w:rPr>
  </w:style>
  <w:style w:type="paragraph" w:styleId="3">
    <w:name w:val="annotation text"/>
    <w:basedOn w:val="1"/>
    <w:link w:val="13"/>
    <w:semiHidden/>
    <w:unhideWhenUsed/>
    <w:qFormat/>
    <w:uiPriority w:val="99"/>
    <w:pPr>
      <w:jc w:val="left"/>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10">
    <w:name w:val="页眉 Char"/>
    <w:basedOn w:val="7"/>
    <w:link w:val="6"/>
    <w:qFormat/>
    <w:uiPriority w:val="99"/>
    <w:rPr>
      <w:sz w:val="18"/>
      <w:szCs w:val="18"/>
    </w:rPr>
  </w:style>
  <w:style w:type="character" w:customStyle="1" w:styleId="11">
    <w:name w:val="页脚 Char"/>
    <w:basedOn w:val="7"/>
    <w:link w:val="5"/>
    <w:qFormat/>
    <w:uiPriority w:val="99"/>
    <w:rPr>
      <w:sz w:val="18"/>
      <w:szCs w:val="18"/>
    </w:rPr>
  </w:style>
  <w:style w:type="character" w:customStyle="1" w:styleId="12">
    <w:name w:val="批注框文本 Char"/>
    <w:basedOn w:val="7"/>
    <w:link w:val="4"/>
    <w:semiHidden/>
    <w:qFormat/>
    <w:uiPriority w:val="99"/>
    <w:rPr>
      <w:kern w:val="2"/>
      <w:sz w:val="18"/>
      <w:szCs w:val="18"/>
    </w:rPr>
  </w:style>
  <w:style w:type="character" w:customStyle="1" w:styleId="13">
    <w:name w:val="批注文字 Char"/>
    <w:basedOn w:val="7"/>
    <w:link w:val="3"/>
    <w:semiHidden/>
    <w:qFormat/>
    <w:uiPriority w:val="99"/>
    <w:rPr>
      <w:kern w:val="2"/>
      <w:sz w:val="21"/>
      <w:szCs w:val="22"/>
    </w:rPr>
  </w:style>
  <w:style w:type="character" w:customStyle="1" w:styleId="14">
    <w:name w:val="批注主题 Char"/>
    <w:basedOn w:val="13"/>
    <w:link w:val="2"/>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185</Words>
  <Characters>1055</Characters>
  <Lines>8</Lines>
  <Paragraphs>2</Paragraphs>
  <TotalTime>4</TotalTime>
  <ScaleCrop>false</ScaleCrop>
  <LinksUpToDate>false</LinksUpToDate>
  <CharactersWithSpaces>1238</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2018-03-21T02:48:00Z</dcterms:created>
  <dc:creator>USER</dc:creator>
  <cp:lastModifiedBy>92982</cp:lastModifiedBy>
  <dcterms:modified xsi:type="dcterms:W3CDTF">2018-11-01T07:42:58Z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