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45" w:leftChars="450"/>
        <w:rPr>
          <w:rFonts w:hint="eastAsia" w:ascii="宋体" w:hAnsi="宋体" w:cs="宋体"/>
          <w:b/>
          <w:sz w:val="44"/>
          <w:szCs w:val="44"/>
        </w:rPr>
      </w:pPr>
    </w:p>
    <w:p>
      <w:pPr>
        <w:ind w:left="945" w:leftChars="450"/>
        <w:rPr>
          <w:rFonts w:hint="eastAsia" w:ascii="宋体" w:hAnsi="宋体" w:cs="宋体"/>
          <w:b/>
          <w:sz w:val="44"/>
          <w:szCs w:val="44"/>
        </w:rPr>
      </w:pPr>
    </w:p>
    <w:p>
      <w:pPr>
        <w:ind w:left="945" w:leftChars="450"/>
        <w:rPr>
          <w:rFonts w:hint="eastAsia" w:ascii="宋体" w:hAnsi="宋体" w:cs="宋体"/>
          <w:b/>
          <w:sz w:val="44"/>
          <w:szCs w:val="44"/>
        </w:rPr>
      </w:pPr>
    </w:p>
    <w:p>
      <w:pPr>
        <w:ind w:left="945" w:leftChars="450"/>
        <w:rPr>
          <w:rFonts w:hint="eastAsia" w:ascii="宋体" w:hAnsi="宋体" w:cs="宋体"/>
          <w:b/>
          <w:sz w:val="44"/>
          <w:szCs w:val="44"/>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cs="宋体"/>
          <w:b/>
          <w:sz w:val="36"/>
        </w:rPr>
      </w:pPr>
      <w:r>
        <w:rPr>
          <w:rFonts w:hint="eastAsia" w:ascii="宋体" w:hAnsi="宋体" w:cs="宋体"/>
          <w:b/>
          <w:sz w:val="36"/>
          <w:lang w:val="en-US" w:eastAsia="zh-CN"/>
        </w:rPr>
        <w:t>光信·光坤·鸿佳</w:t>
      </w:r>
      <w:r>
        <w:rPr>
          <w:rFonts w:hint="default" w:ascii="Arial" w:hAnsi="Arial" w:eastAsia="宋体" w:cs="Arial"/>
          <w:b/>
          <w:sz w:val="36"/>
          <w:lang w:val="en-US" w:eastAsia="zh-CN"/>
        </w:rPr>
        <w:t>1</w:t>
      </w:r>
      <w:r>
        <w:rPr>
          <w:rFonts w:hint="eastAsia" w:ascii="宋体" w:hAnsi="宋体" w:cs="宋体"/>
          <w:b/>
          <w:sz w:val="36"/>
          <w:lang w:val="en-US" w:eastAsia="zh-CN"/>
        </w:rPr>
        <w:t>号</w:t>
      </w:r>
      <w:r>
        <w:rPr>
          <w:rFonts w:hint="eastAsia" w:ascii="宋体" w:hAnsi="宋体" w:cs="宋体"/>
          <w:b/>
          <w:sz w:val="36"/>
        </w:rPr>
        <w:t>集合资金信托计划</w:t>
      </w:r>
    </w:p>
    <w:p>
      <w:pPr>
        <w:spacing w:line="480" w:lineRule="auto"/>
        <w:jc w:val="center"/>
        <w:rPr>
          <w:rFonts w:hint="default" w:ascii="宋体" w:hAnsi="宋体" w:eastAsia="宋体" w:cs="宋体"/>
          <w:b/>
          <w:sz w:val="36"/>
          <w:lang w:val="en-US" w:eastAsia="zh-CN"/>
        </w:rPr>
      </w:pPr>
      <w:r>
        <w:rPr>
          <w:rFonts w:hint="default" w:ascii="Arial" w:hAnsi="Arial" w:cs="Arial"/>
          <w:b/>
          <w:sz w:val="36"/>
          <w:lang w:val="en-US" w:eastAsia="zh-CN"/>
        </w:rPr>
        <w:t>202</w:t>
      </w:r>
      <w:r>
        <w:rPr>
          <w:rFonts w:hint="eastAsia" w:ascii="Arial" w:hAnsi="Arial" w:cs="Arial"/>
          <w:b/>
          <w:sz w:val="36"/>
          <w:lang w:val="en-US" w:eastAsia="zh-CN"/>
        </w:rPr>
        <w:t>1年05</w:t>
      </w:r>
      <w:r>
        <w:rPr>
          <w:rFonts w:hint="eastAsia" w:ascii="宋体" w:hAnsi="宋体" w:cs="宋体"/>
          <w:b/>
          <w:sz w:val="36"/>
          <w:lang w:val="en-US" w:eastAsia="zh-CN"/>
        </w:rPr>
        <w:t>月监管报告</w:t>
      </w:r>
    </w:p>
    <w:p>
      <w:pPr>
        <w:spacing w:line="480" w:lineRule="auto"/>
        <w:jc w:val="left"/>
        <w:rPr>
          <w:rFonts w:hint="eastAsia" w:ascii="宋体" w:hAnsi="宋体" w:cs="宋体"/>
          <w:b/>
          <w:sz w:val="24"/>
        </w:rPr>
      </w:pPr>
    </w:p>
    <w:p>
      <w:pPr>
        <w:spacing w:line="480" w:lineRule="auto"/>
        <w:jc w:val="left"/>
        <w:rPr>
          <w:rFonts w:hint="eastAsia" w:ascii="宋体" w:hAnsi="宋体" w:cs="宋体"/>
          <w:b/>
          <w:sz w:val="24"/>
        </w:rPr>
      </w:pPr>
    </w:p>
    <w:p>
      <w:pPr>
        <w:spacing w:line="480" w:lineRule="auto"/>
        <w:jc w:val="left"/>
        <w:rPr>
          <w:rFonts w:hint="eastAsia" w:ascii="宋体" w:hAnsi="宋体" w:cs="宋体"/>
          <w:b/>
          <w:sz w:val="24"/>
        </w:rPr>
      </w:pPr>
    </w:p>
    <w:p>
      <w:pPr>
        <w:spacing w:line="480" w:lineRule="auto"/>
        <w:jc w:val="left"/>
        <w:rPr>
          <w:rFonts w:hint="eastAsia" w:ascii="宋体" w:hAnsi="宋体" w:cs="宋体"/>
          <w:b/>
          <w:sz w:val="24"/>
        </w:rPr>
      </w:pPr>
    </w:p>
    <w:p>
      <w:pPr>
        <w:spacing w:line="480" w:lineRule="auto"/>
        <w:jc w:val="left"/>
        <w:rPr>
          <w:rFonts w:hint="eastAsia" w:ascii="宋体" w:hAnsi="宋体" w:cs="宋体"/>
          <w:b/>
          <w:szCs w:val="28"/>
        </w:rPr>
      </w:pPr>
      <w:r>
        <w:rPr>
          <w:rFonts w:hint="eastAsia" w:ascii="宋体" w:hAnsi="宋体" w:cs="宋体"/>
          <w:b/>
          <w:szCs w:val="28"/>
        </w:rPr>
        <w:t>项目名称：</w:t>
      </w:r>
      <w:r>
        <w:rPr>
          <w:rFonts w:hint="eastAsia" w:ascii="宋体" w:hAnsi="宋体" w:cs="宋体"/>
          <w:b/>
          <w:szCs w:val="28"/>
          <w:lang w:val="en-US" w:eastAsia="zh-CN"/>
        </w:rPr>
        <w:t>光信·光坤·鸿佳</w:t>
      </w:r>
      <w:r>
        <w:rPr>
          <w:rFonts w:hint="default" w:ascii="Arial" w:hAnsi="Arial" w:cs="Arial"/>
          <w:b/>
          <w:szCs w:val="28"/>
          <w:lang w:val="en-US" w:eastAsia="zh-CN"/>
        </w:rPr>
        <w:t>1</w:t>
      </w:r>
      <w:r>
        <w:rPr>
          <w:rFonts w:hint="eastAsia" w:ascii="宋体" w:hAnsi="宋体" w:cs="宋体"/>
          <w:b/>
          <w:szCs w:val="28"/>
          <w:lang w:val="en-US" w:eastAsia="zh-CN"/>
        </w:rPr>
        <w:t>号</w:t>
      </w:r>
      <w:r>
        <w:rPr>
          <w:rFonts w:hint="eastAsia" w:ascii="宋体" w:hAnsi="宋体" w:cs="宋体"/>
          <w:b/>
          <w:szCs w:val="28"/>
        </w:rPr>
        <w:t>集合资金信托计划</w:t>
      </w:r>
    </w:p>
    <w:p>
      <w:pPr>
        <w:spacing w:line="480" w:lineRule="auto"/>
        <w:jc w:val="left"/>
        <w:rPr>
          <w:rFonts w:hint="eastAsia" w:ascii="宋体" w:hAnsi="宋体" w:cs="宋体"/>
          <w:b/>
          <w:szCs w:val="28"/>
          <w:lang w:val="en-US" w:eastAsia="zh-CN"/>
        </w:rPr>
      </w:pPr>
      <w:r>
        <w:rPr>
          <w:rFonts w:hint="eastAsia" w:ascii="宋体" w:hAnsi="宋体" w:cs="宋体"/>
          <w:b/>
          <w:szCs w:val="28"/>
        </w:rPr>
        <w:t>委托方：</w:t>
      </w:r>
      <w:r>
        <w:rPr>
          <w:rFonts w:hint="eastAsia" w:ascii="宋体" w:hAnsi="宋体" w:cs="宋体"/>
          <w:b/>
          <w:szCs w:val="28"/>
          <w:lang w:val="en-US" w:eastAsia="zh-CN"/>
        </w:rPr>
        <w:t>光大兴陇信托有限责任公司</w:t>
      </w:r>
    </w:p>
    <w:p>
      <w:pPr>
        <w:spacing w:line="480" w:lineRule="auto"/>
        <w:jc w:val="left"/>
        <w:rPr>
          <w:rFonts w:hint="eastAsia" w:ascii="宋体" w:hAnsi="宋体" w:cs="宋体"/>
          <w:b/>
          <w:szCs w:val="28"/>
        </w:rPr>
      </w:pPr>
      <w:r>
        <w:rPr>
          <w:rFonts w:hint="eastAsia" w:ascii="宋体" w:hAnsi="宋体" w:cs="宋体"/>
          <w:b/>
          <w:szCs w:val="28"/>
        </w:rPr>
        <w:t>受托方：北京康信君安资产管理有限公司</w:t>
      </w:r>
    </w:p>
    <w:p>
      <w:pPr>
        <w:spacing w:line="480" w:lineRule="auto"/>
        <w:jc w:val="left"/>
        <w:rPr>
          <w:rFonts w:hint="eastAsia" w:ascii="宋体" w:hAnsi="宋体" w:eastAsia="宋体" w:cs="宋体"/>
          <w:b/>
          <w:szCs w:val="28"/>
          <w:lang w:eastAsia="zh-CN"/>
        </w:rPr>
      </w:pPr>
      <w:r>
        <w:rPr>
          <w:rFonts w:hint="eastAsia" w:ascii="宋体" w:hAnsi="宋体" w:cs="宋体"/>
          <w:b/>
          <w:szCs w:val="28"/>
        </w:rPr>
        <w:t>监管人员：</w:t>
      </w:r>
      <w:r>
        <w:rPr>
          <w:rFonts w:hint="eastAsia" w:ascii="宋体" w:hAnsi="宋体" w:cs="宋体"/>
          <w:b/>
          <w:szCs w:val="28"/>
          <w:lang w:val="en-US" w:eastAsia="zh-CN"/>
        </w:rPr>
        <w:t>许叶萍</w:t>
      </w:r>
    </w:p>
    <w:p>
      <w:pPr>
        <w:spacing w:line="480" w:lineRule="auto"/>
        <w:jc w:val="left"/>
        <w:rPr>
          <w:rFonts w:hint="default" w:ascii="宋体" w:hAnsi="宋体" w:eastAsia="宋体" w:cs="宋体"/>
          <w:b/>
          <w:szCs w:val="28"/>
          <w:lang w:val="en-US" w:eastAsia="zh-CN"/>
        </w:rPr>
      </w:pPr>
      <w:r>
        <w:rPr>
          <w:rFonts w:hint="eastAsia" w:ascii="宋体" w:hAnsi="宋体" w:cs="宋体"/>
          <w:b/>
          <w:szCs w:val="28"/>
        </w:rPr>
        <w:t>日期：</w:t>
      </w:r>
      <w:r>
        <w:rPr>
          <w:rFonts w:hint="eastAsia" w:ascii="Arial" w:hAnsi="Arial" w:cs="Arial"/>
          <w:b/>
          <w:szCs w:val="28"/>
          <w:lang w:val="en-US" w:eastAsia="zh-CN"/>
        </w:rPr>
        <w:t>二〇二一年六月二日</w:t>
      </w:r>
    </w:p>
    <w:p>
      <w:pPr>
        <w:spacing w:line="480" w:lineRule="auto"/>
        <w:jc w:val="left"/>
        <w:rPr>
          <w:rFonts w:hint="eastAsia" w:ascii="宋体" w:hAnsi="宋体" w:cs="宋体"/>
          <w:b/>
          <w:szCs w:val="28"/>
        </w:rPr>
      </w:pPr>
    </w:p>
    <w:p>
      <w:pPr>
        <w:pStyle w:val="8"/>
        <w:spacing w:line="480" w:lineRule="auto"/>
        <w:ind w:left="221"/>
        <w:jc w:val="center"/>
        <w:rPr>
          <w:rFonts w:hint="eastAsia" w:ascii="宋体" w:hAnsi="宋体" w:cs="宋体"/>
          <w:b/>
          <w:sz w:val="28"/>
        </w:rPr>
        <w:sectPr>
          <w:headerReference r:id="rId3" w:type="default"/>
          <w:footerReference r:id="rId4" w:type="default"/>
          <w:pgSz w:w="11906" w:h="16838"/>
          <w:pgMar w:top="1843" w:right="1134" w:bottom="1134" w:left="1134" w:header="851" w:footer="851" w:gutter="340"/>
          <w:pgBorders>
            <w:top w:val="none" w:sz="0" w:space="0"/>
            <w:left w:val="none" w:sz="0" w:space="0"/>
            <w:bottom w:val="none" w:sz="0" w:space="0"/>
            <w:right w:val="none" w:sz="0" w:space="0"/>
          </w:pgBorders>
          <w:pgNumType w:start="1"/>
          <w:cols w:space="720" w:num="1"/>
          <w:docGrid w:type="lines" w:linePitch="312" w:charSpace="0"/>
        </w:sectPr>
      </w:pPr>
    </w:p>
    <w:p>
      <w:pPr>
        <w:spacing w:before="0" w:after="0" w:line="360" w:lineRule="auto"/>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目录</w:t>
      </w:r>
    </w:p>
    <w:p>
      <w:pPr>
        <w:pStyle w:val="7"/>
        <w:tabs>
          <w:tab w:val="right" w:leader="dot" w:pos="9298"/>
        </w:tabs>
        <w:spacing w:line="360" w:lineRule="auto"/>
        <w:rPr>
          <w:rFonts w:hint="default" w:ascii="Arial" w:hAnsi="Arial" w:eastAsia="宋体" w:cs="Arial"/>
          <w:sz w:val="21"/>
          <w:szCs w:val="21"/>
        </w:rPr>
      </w:pP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TOC \o "1-1" \h \u </w:instrText>
      </w:r>
      <w:r>
        <w:rPr>
          <w:rFonts w:hint="eastAsia" w:ascii="宋体" w:hAnsi="宋体" w:eastAsia="宋体" w:cs="宋体"/>
          <w:sz w:val="21"/>
          <w:szCs w:val="21"/>
          <w:lang w:val="en-US" w:eastAsia="zh-CN"/>
        </w:rPr>
        <w:fldChar w:fldCharType="separate"/>
      </w: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_Toc20621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1项目基本情况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_Toc20621 </w:instrText>
      </w:r>
      <w:r>
        <w:rPr>
          <w:rFonts w:hint="default" w:ascii="Arial" w:hAnsi="Arial" w:eastAsia="宋体" w:cs="Arial"/>
          <w:sz w:val="21"/>
          <w:szCs w:val="21"/>
        </w:rPr>
        <w:fldChar w:fldCharType="separate"/>
      </w:r>
      <w:r>
        <w:rPr>
          <w:rFonts w:hint="default" w:ascii="Arial" w:hAnsi="Arial" w:eastAsia="宋体" w:cs="Arial"/>
          <w:sz w:val="21"/>
          <w:szCs w:val="21"/>
        </w:rPr>
        <w:t>2</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_Toc31694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2重大事项披露</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_Toc31694 </w:instrText>
      </w:r>
      <w:r>
        <w:rPr>
          <w:rFonts w:hint="default" w:ascii="Arial" w:hAnsi="Arial" w:eastAsia="宋体" w:cs="Arial"/>
          <w:sz w:val="21"/>
          <w:szCs w:val="21"/>
        </w:rPr>
        <w:fldChar w:fldCharType="separate"/>
      </w:r>
      <w:r>
        <w:rPr>
          <w:rFonts w:hint="default" w:ascii="Arial" w:hAnsi="Arial" w:eastAsia="宋体" w:cs="Arial"/>
          <w:sz w:val="21"/>
          <w:szCs w:val="21"/>
        </w:rPr>
        <w:t>3</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_Toc6338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3项目进展情况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_Toc6338 </w:instrText>
      </w:r>
      <w:r>
        <w:rPr>
          <w:rFonts w:hint="default" w:ascii="Arial" w:hAnsi="Arial" w:eastAsia="宋体" w:cs="Arial"/>
          <w:sz w:val="21"/>
          <w:szCs w:val="21"/>
        </w:rPr>
        <w:fldChar w:fldCharType="separate"/>
      </w:r>
      <w:r>
        <w:rPr>
          <w:rFonts w:hint="default" w:ascii="Arial" w:hAnsi="Arial" w:eastAsia="宋体" w:cs="Arial"/>
          <w:sz w:val="21"/>
          <w:szCs w:val="21"/>
        </w:rPr>
        <w:t>3</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_Toc31214 </w:instrText>
      </w:r>
      <w:r>
        <w:rPr>
          <w:rFonts w:hint="default" w:ascii="Arial" w:hAnsi="Arial" w:eastAsia="宋体" w:cs="Arial"/>
          <w:sz w:val="21"/>
          <w:szCs w:val="21"/>
          <w:lang w:val="en-US" w:eastAsia="zh-CN"/>
        </w:rPr>
        <w:fldChar w:fldCharType="separate"/>
      </w:r>
      <w:r>
        <w:rPr>
          <w:rFonts w:hint="default" w:ascii="Arial" w:hAnsi="Arial" w:eastAsia="宋体" w:cs="Arial"/>
          <w:bCs/>
          <w:kern w:val="44"/>
          <w:sz w:val="21"/>
          <w:szCs w:val="21"/>
          <w:lang w:val="en-US" w:eastAsia="zh-CN" w:bidi="ar-SA"/>
        </w:rPr>
        <w:t>3.1项目五证办理情况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_Toc31214 </w:instrText>
      </w:r>
      <w:r>
        <w:rPr>
          <w:rFonts w:hint="default" w:ascii="Arial" w:hAnsi="Arial" w:eastAsia="宋体" w:cs="Arial"/>
          <w:sz w:val="21"/>
          <w:szCs w:val="21"/>
        </w:rPr>
        <w:fldChar w:fldCharType="separate"/>
      </w:r>
      <w:r>
        <w:rPr>
          <w:rFonts w:hint="default" w:ascii="Arial" w:hAnsi="Arial" w:eastAsia="宋体" w:cs="Arial"/>
          <w:sz w:val="21"/>
          <w:szCs w:val="21"/>
        </w:rPr>
        <w:t>3</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_Toc12733 </w:instrText>
      </w:r>
      <w:r>
        <w:rPr>
          <w:rFonts w:hint="default" w:ascii="Arial" w:hAnsi="Arial" w:eastAsia="宋体" w:cs="Arial"/>
          <w:sz w:val="21"/>
          <w:szCs w:val="21"/>
          <w:lang w:val="en-US" w:eastAsia="zh-CN"/>
        </w:rPr>
        <w:fldChar w:fldCharType="separate"/>
      </w:r>
      <w:r>
        <w:rPr>
          <w:rFonts w:hint="default" w:ascii="Arial" w:hAnsi="Arial" w:eastAsia="宋体" w:cs="Arial"/>
          <w:bCs/>
          <w:kern w:val="44"/>
          <w:sz w:val="21"/>
          <w:szCs w:val="21"/>
          <w:lang w:val="en-US" w:eastAsia="zh-CN" w:bidi="ar-SA"/>
        </w:rPr>
        <w:t>3.2项目施工进度情况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_Toc12733 </w:instrText>
      </w:r>
      <w:r>
        <w:rPr>
          <w:rFonts w:hint="default" w:ascii="Arial" w:hAnsi="Arial" w:eastAsia="宋体" w:cs="Arial"/>
          <w:sz w:val="21"/>
          <w:szCs w:val="21"/>
        </w:rPr>
        <w:fldChar w:fldCharType="separate"/>
      </w:r>
      <w:r>
        <w:rPr>
          <w:rFonts w:hint="default" w:ascii="Arial" w:hAnsi="Arial" w:eastAsia="宋体" w:cs="Arial"/>
          <w:sz w:val="21"/>
          <w:szCs w:val="21"/>
        </w:rPr>
        <w:t>4</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_Toc11786 </w:instrText>
      </w:r>
      <w:r>
        <w:rPr>
          <w:rFonts w:hint="default" w:ascii="Arial" w:hAnsi="Arial" w:eastAsia="宋体" w:cs="Arial"/>
          <w:sz w:val="21"/>
          <w:szCs w:val="21"/>
          <w:lang w:val="en-US" w:eastAsia="zh-CN"/>
        </w:rPr>
        <w:fldChar w:fldCharType="separate"/>
      </w:r>
      <w:r>
        <w:rPr>
          <w:rFonts w:hint="default" w:ascii="Arial" w:hAnsi="Arial" w:eastAsia="宋体" w:cs="Arial"/>
          <w:bCs/>
          <w:kern w:val="44"/>
          <w:sz w:val="21"/>
          <w:szCs w:val="21"/>
          <w:lang w:val="en-US" w:eastAsia="zh-CN" w:bidi="ar-SA"/>
        </w:rPr>
        <w:t>3.3项目开发进度节点</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_Toc11786 </w:instrText>
      </w:r>
      <w:r>
        <w:rPr>
          <w:rFonts w:hint="default" w:ascii="Arial" w:hAnsi="Arial" w:eastAsia="宋体" w:cs="Arial"/>
          <w:sz w:val="21"/>
          <w:szCs w:val="21"/>
        </w:rPr>
        <w:fldChar w:fldCharType="separate"/>
      </w:r>
      <w:r>
        <w:rPr>
          <w:rFonts w:hint="default" w:ascii="Arial" w:hAnsi="Arial" w:eastAsia="宋体" w:cs="Arial"/>
          <w:sz w:val="21"/>
          <w:szCs w:val="21"/>
        </w:rPr>
        <w:t>5</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_Toc27874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4印鉴使用情况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_Toc27874 </w:instrText>
      </w:r>
      <w:r>
        <w:rPr>
          <w:rFonts w:hint="default" w:ascii="Arial" w:hAnsi="Arial" w:eastAsia="宋体" w:cs="Arial"/>
          <w:sz w:val="21"/>
          <w:szCs w:val="21"/>
        </w:rPr>
        <w:fldChar w:fldCharType="separate"/>
      </w:r>
      <w:r>
        <w:rPr>
          <w:rFonts w:hint="default" w:ascii="Arial" w:hAnsi="Arial" w:eastAsia="宋体" w:cs="Arial"/>
          <w:sz w:val="21"/>
          <w:szCs w:val="21"/>
        </w:rPr>
        <w:t>6</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_Toc30797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5合同签订情况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_Toc30797 </w:instrText>
      </w:r>
      <w:r>
        <w:rPr>
          <w:rFonts w:hint="default" w:ascii="Arial" w:hAnsi="Arial" w:eastAsia="宋体" w:cs="Arial"/>
          <w:sz w:val="21"/>
          <w:szCs w:val="21"/>
        </w:rPr>
        <w:fldChar w:fldCharType="separate"/>
      </w:r>
      <w:r>
        <w:rPr>
          <w:rFonts w:hint="default" w:ascii="Arial" w:hAnsi="Arial" w:eastAsia="宋体" w:cs="Arial"/>
          <w:sz w:val="21"/>
          <w:szCs w:val="21"/>
        </w:rPr>
        <w:t>11</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_Toc5286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6项目营销情况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_Toc5286 </w:instrText>
      </w:r>
      <w:r>
        <w:rPr>
          <w:rFonts w:hint="default" w:ascii="Arial" w:hAnsi="Arial" w:eastAsia="宋体" w:cs="Arial"/>
          <w:sz w:val="21"/>
          <w:szCs w:val="21"/>
        </w:rPr>
        <w:fldChar w:fldCharType="separate"/>
      </w:r>
      <w:r>
        <w:rPr>
          <w:rFonts w:hint="default" w:ascii="Arial" w:hAnsi="Arial" w:eastAsia="宋体" w:cs="Arial"/>
          <w:sz w:val="21"/>
          <w:szCs w:val="21"/>
        </w:rPr>
        <w:t>14</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_Toc132 </w:instrText>
      </w:r>
      <w:r>
        <w:rPr>
          <w:rFonts w:hint="default" w:ascii="Arial" w:hAnsi="Arial" w:eastAsia="宋体" w:cs="Arial"/>
          <w:sz w:val="21"/>
          <w:szCs w:val="21"/>
          <w:lang w:val="en-US" w:eastAsia="zh-CN"/>
        </w:rPr>
        <w:fldChar w:fldCharType="separate"/>
      </w:r>
      <w:r>
        <w:rPr>
          <w:rFonts w:hint="default" w:ascii="Arial" w:hAnsi="Arial" w:eastAsia="宋体" w:cs="Arial"/>
          <w:bCs/>
          <w:kern w:val="44"/>
          <w:sz w:val="21"/>
          <w:szCs w:val="21"/>
          <w:lang w:val="en-US" w:eastAsia="zh-CN" w:bidi="ar-SA"/>
        </w:rPr>
        <w:t>6.1项目销售情况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_Toc132 </w:instrText>
      </w:r>
      <w:r>
        <w:rPr>
          <w:rFonts w:hint="default" w:ascii="Arial" w:hAnsi="Arial" w:eastAsia="宋体" w:cs="Arial"/>
          <w:sz w:val="21"/>
          <w:szCs w:val="21"/>
        </w:rPr>
        <w:fldChar w:fldCharType="separate"/>
      </w:r>
      <w:r>
        <w:rPr>
          <w:rFonts w:hint="default" w:ascii="Arial" w:hAnsi="Arial" w:eastAsia="宋体" w:cs="Arial"/>
          <w:sz w:val="21"/>
          <w:szCs w:val="21"/>
        </w:rPr>
        <w:t>15</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_Toc17437 </w:instrText>
      </w:r>
      <w:r>
        <w:rPr>
          <w:rFonts w:hint="default" w:ascii="Arial" w:hAnsi="Arial" w:eastAsia="宋体" w:cs="Arial"/>
          <w:sz w:val="21"/>
          <w:szCs w:val="21"/>
          <w:lang w:val="en-US" w:eastAsia="zh-CN"/>
        </w:rPr>
        <w:fldChar w:fldCharType="separate"/>
      </w:r>
      <w:r>
        <w:rPr>
          <w:rFonts w:hint="default" w:ascii="Arial" w:hAnsi="Arial" w:eastAsia="宋体" w:cs="Arial"/>
          <w:bCs/>
          <w:kern w:val="44"/>
          <w:sz w:val="21"/>
          <w:szCs w:val="21"/>
          <w:lang w:val="en-US" w:eastAsia="zh-CN" w:bidi="ar-SA"/>
        </w:rPr>
        <w:t>6.2当地房地产政策</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_Toc17437 </w:instrText>
      </w:r>
      <w:r>
        <w:rPr>
          <w:rFonts w:hint="default" w:ascii="Arial" w:hAnsi="Arial" w:eastAsia="宋体" w:cs="Arial"/>
          <w:sz w:val="21"/>
          <w:szCs w:val="21"/>
        </w:rPr>
        <w:fldChar w:fldCharType="separate"/>
      </w:r>
      <w:r>
        <w:rPr>
          <w:rFonts w:hint="default" w:ascii="Arial" w:hAnsi="Arial" w:eastAsia="宋体" w:cs="Arial"/>
          <w:sz w:val="21"/>
          <w:szCs w:val="21"/>
        </w:rPr>
        <w:t>19</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_Toc17896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6.3周边竞品项目情况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_Toc17896 </w:instrText>
      </w:r>
      <w:r>
        <w:rPr>
          <w:rFonts w:hint="default" w:ascii="Arial" w:hAnsi="Arial" w:eastAsia="宋体" w:cs="Arial"/>
          <w:sz w:val="21"/>
          <w:szCs w:val="21"/>
        </w:rPr>
        <w:fldChar w:fldCharType="separate"/>
      </w:r>
      <w:r>
        <w:rPr>
          <w:rFonts w:hint="default" w:ascii="Arial" w:hAnsi="Arial" w:eastAsia="宋体" w:cs="Arial"/>
          <w:sz w:val="21"/>
          <w:szCs w:val="21"/>
        </w:rPr>
        <w:t>20</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_Toc29745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7资金情况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_Toc29745 </w:instrText>
      </w:r>
      <w:r>
        <w:rPr>
          <w:rFonts w:hint="default" w:ascii="Arial" w:hAnsi="Arial" w:eastAsia="宋体" w:cs="Arial"/>
          <w:sz w:val="21"/>
          <w:szCs w:val="21"/>
        </w:rPr>
        <w:fldChar w:fldCharType="separate"/>
      </w:r>
      <w:r>
        <w:rPr>
          <w:rFonts w:hint="default" w:ascii="Arial" w:hAnsi="Arial" w:eastAsia="宋体" w:cs="Arial"/>
          <w:sz w:val="21"/>
          <w:szCs w:val="21"/>
        </w:rPr>
        <w:t>21</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_Toc16906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7.1资金流出情况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_Toc16906 </w:instrText>
      </w:r>
      <w:r>
        <w:rPr>
          <w:rFonts w:hint="default" w:ascii="Arial" w:hAnsi="Arial" w:eastAsia="宋体" w:cs="Arial"/>
          <w:sz w:val="21"/>
          <w:szCs w:val="21"/>
        </w:rPr>
        <w:fldChar w:fldCharType="separate"/>
      </w:r>
      <w:r>
        <w:rPr>
          <w:rFonts w:hint="default" w:ascii="Arial" w:hAnsi="Arial" w:eastAsia="宋体" w:cs="Arial"/>
          <w:sz w:val="21"/>
          <w:szCs w:val="21"/>
        </w:rPr>
        <w:t>22</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_Toc13138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7.2资金流入情况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_Toc13138 </w:instrText>
      </w:r>
      <w:r>
        <w:rPr>
          <w:rFonts w:hint="default" w:ascii="Arial" w:hAnsi="Arial" w:eastAsia="宋体" w:cs="Arial"/>
          <w:sz w:val="21"/>
          <w:szCs w:val="21"/>
        </w:rPr>
        <w:fldChar w:fldCharType="separate"/>
      </w:r>
      <w:r>
        <w:rPr>
          <w:rFonts w:hint="default" w:ascii="Arial" w:hAnsi="Arial" w:eastAsia="宋体" w:cs="Arial"/>
          <w:sz w:val="21"/>
          <w:szCs w:val="21"/>
        </w:rPr>
        <w:t>24</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_Toc24625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7.3资金结算</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_Toc24625 </w:instrText>
      </w:r>
      <w:r>
        <w:rPr>
          <w:rFonts w:hint="default" w:ascii="Arial" w:hAnsi="Arial" w:eastAsia="宋体" w:cs="Arial"/>
          <w:sz w:val="21"/>
          <w:szCs w:val="21"/>
        </w:rPr>
        <w:fldChar w:fldCharType="separate"/>
      </w:r>
      <w:r>
        <w:rPr>
          <w:rFonts w:hint="default" w:ascii="Arial" w:hAnsi="Arial" w:eastAsia="宋体" w:cs="Arial"/>
          <w:sz w:val="21"/>
          <w:szCs w:val="21"/>
        </w:rPr>
        <w:t>29</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_Toc25565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8月度监管总结</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_Toc25565 </w:instrText>
      </w:r>
      <w:r>
        <w:rPr>
          <w:rFonts w:hint="default" w:ascii="Arial" w:hAnsi="Arial" w:eastAsia="宋体" w:cs="Arial"/>
          <w:sz w:val="21"/>
          <w:szCs w:val="21"/>
        </w:rPr>
        <w:fldChar w:fldCharType="separate"/>
      </w:r>
      <w:r>
        <w:rPr>
          <w:rFonts w:hint="default" w:ascii="Arial" w:hAnsi="Arial" w:eastAsia="宋体" w:cs="Arial"/>
          <w:sz w:val="21"/>
          <w:szCs w:val="21"/>
        </w:rPr>
        <w:t>30</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_Toc21683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9附件</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_Toc21683 </w:instrText>
      </w:r>
      <w:r>
        <w:rPr>
          <w:rFonts w:hint="default" w:ascii="Arial" w:hAnsi="Arial" w:eastAsia="宋体" w:cs="Arial"/>
          <w:sz w:val="21"/>
          <w:szCs w:val="21"/>
        </w:rPr>
        <w:fldChar w:fldCharType="separate"/>
      </w:r>
      <w:r>
        <w:rPr>
          <w:rFonts w:hint="default" w:ascii="Arial" w:hAnsi="Arial" w:eastAsia="宋体" w:cs="Arial"/>
          <w:sz w:val="21"/>
          <w:szCs w:val="21"/>
        </w:rPr>
        <w:t>31</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_Toc32399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附件一：银行明细账</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_Toc32399 </w:instrText>
      </w:r>
      <w:r>
        <w:rPr>
          <w:rFonts w:hint="default" w:ascii="Arial" w:hAnsi="Arial" w:eastAsia="宋体" w:cs="Arial"/>
          <w:sz w:val="21"/>
          <w:szCs w:val="21"/>
        </w:rPr>
        <w:fldChar w:fldCharType="separate"/>
      </w:r>
      <w:r>
        <w:rPr>
          <w:rFonts w:hint="default" w:ascii="Arial" w:hAnsi="Arial" w:eastAsia="宋体" w:cs="Arial"/>
          <w:sz w:val="21"/>
          <w:szCs w:val="21"/>
        </w:rPr>
        <w:t>31</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_Toc31760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附件二：共管资料移交清单</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_Toc31760 </w:instrText>
      </w:r>
      <w:r>
        <w:rPr>
          <w:rFonts w:hint="default" w:ascii="Arial" w:hAnsi="Arial" w:eastAsia="宋体" w:cs="Arial"/>
          <w:sz w:val="21"/>
          <w:szCs w:val="21"/>
        </w:rPr>
        <w:fldChar w:fldCharType="separate"/>
      </w:r>
      <w:r>
        <w:rPr>
          <w:rFonts w:hint="default" w:ascii="Arial" w:hAnsi="Arial" w:eastAsia="宋体" w:cs="Arial"/>
          <w:sz w:val="21"/>
          <w:szCs w:val="21"/>
        </w:rPr>
        <w:t>36</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eastAsia" w:ascii="宋体" w:hAnsi="宋体" w:eastAsia="宋体" w:cs="宋体"/>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_Toc447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附件三：本期用印登记簿影像</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_Toc447 </w:instrText>
      </w:r>
      <w:r>
        <w:rPr>
          <w:rFonts w:hint="default" w:ascii="Arial" w:hAnsi="Arial" w:eastAsia="宋体" w:cs="Arial"/>
          <w:sz w:val="21"/>
          <w:szCs w:val="21"/>
        </w:rPr>
        <w:fldChar w:fldCharType="separate"/>
      </w:r>
      <w:r>
        <w:rPr>
          <w:rFonts w:hint="default" w:ascii="Arial" w:hAnsi="Arial" w:eastAsia="宋体" w:cs="Arial"/>
          <w:sz w:val="21"/>
          <w:szCs w:val="21"/>
        </w:rPr>
        <w:t>38</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spacing w:line="360" w:lineRule="auto"/>
        <w:outlineLvl w:val="9"/>
        <w:rPr>
          <w:rFonts w:hint="default"/>
          <w:lang w:val="en-US" w:eastAsia="zh-CN"/>
        </w:rPr>
      </w:pPr>
      <w:r>
        <w:rPr>
          <w:rFonts w:hint="eastAsia" w:ascii="宋体" w:hAnsi="宋体" w:eastAsia="宋体" w:cs="宋体"/>
          <w:sz w:val="21"/>
          <w:szCs w:val="21"/>
          <w:lang w:val="en-US" w:eastAsia="zh-CN"/>
        </w:rPr>
        <w:fldChar w:fldCharType="end"/>
      </w: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spacing w:line="360" w:lineRule="auto"/>
        <w:jc w:val="left"/>
        <w:rPr>
          <w:rFonts w:hint="eastAsia" w:ascii="宋体" w:hAnsi="宋体" w:cs="宋体"/>
          <w:bCs/>
          <w:kern w:val="44"/>
        </w:rPr>
      </w:pPr>
    </w:p>
    <w:p>
      <w:pPr>
        <w:spacing w:line="360" w:lineRule="auto"/>
        <w:jc w:val="left"/>
        <w:rPr>
          <w:rFonts w:hint="eastAsia" w:ascii="宋体" w:hAnsi="宋体" w:cs="宋体"/>
          <w:bCs/>
          <w:kern w:val="44"/>
        </w:rPr>
      </w:pPr>
      <w:r>
        <w:rPr>
          <w:rFonts w:hint="eastAsia" w:ascii="宋体" w:hAnsi="宋体" w:cs="宋体"/>
          <w:bCs/>
          <w:kern w:val="44"/>
        </w:rPr>
        <w:t>方便阅读之目的，本报告中将部分名称简写为：</w:t>
      </w:r>
    </w:p>
    <w:p>
      <w:pPr>
        <w:spacing w:line="360" w:lineRule="auto"/>
        <w:ind w:firstLine="420" w:firstLineChars="200"/>
        <w:jc w:val="left"/>
        <w:rPr>
          <w:rFonts w:hint="eastAsia" w:ascii="宋体" w:hAnsi="宋体" w:cs="宋体"/>
          <w:bCs/>
          <w:kern w:val="44"/>
        </w:rPr>
      </w:pPr>
      <w:r>
        <w:rPr>
          <w:rFonts w:hint="eastAsia" w:ascii="宋体" w:hAnsi="宋体" w:cs="宋体"/>
          <w:bCs/>
          <w:kern w:val="44"/>
        </w:rPr>
        <w:t>·项目公司：</w:t>
      </w:r>
      <w:r>
        <w:rPr>
          <w:rFonts w:hint="eastAsia" w:ascii="宋体" w:hAnsi="宋体" w:cs="宋体"/>
          <w:bCs/>
          <w:kern w:val="44"/>
          <w:lang w:val="en-US" w:eastAsia="zh-CN"/>
        </w:rPr>
        <w:t>重庆渝煌达实业</w:t>
      </w:r>
      <w:r>
        <w:rPr>
          <w:rFonts w:hint="eastAsia" w:ascii="宋体" w:hAnsi="宋体" w:cs="宋体"/>
          <w:bCs/>
          <w:kern w:val="44"/>
        </w:rPr>
        <w:t>有限公司</w:t>
      </w:r>
    </w:p>
    <w:p>
      <w:pPr>
        <w:spacing w:line="360" w:lineRule="auto"/>
        <w:ind w:firstLine="420" w:firstLineChars="200"/>
        <w:jc w:val="left"/>
        <w:rPr>
          <w:rFonts w:hint="eastAsia" w:ascii="宋体" w:hAnsi="宋体" w:cs="宋体"/>
          <w:bCs/>
          <w:kern w:val="44"/>
        </w:rPr>
      </w:pPr>
      <w:r>
        <w:rPr>
          <w:rFonts w:hint="eastAsia" w:ascii="宋体" w:hAnsi="宋体" w:cs="宋体"/>
          <w:bCs/>
          <w:kern w:val="44"/>
        </w:rPr>
        <w:t>·</w:t>
      </w:r>
      <w:r>
        <w:rPr>
          <w:rFonts w:hint="eastAsia" w:ascii="宋体" w:hAnsi="宋体" w:cs="宋体"/>
          <w:bCs/>
          <w:kern w:val="44"/>
          <w:lang w:val="en-US" w:eastAsia="zh-CN"/>
        </w:rPr>
        <w:t>光大</w:t>
      </w:r>
      <w:r>
        <w:rPr>
          <w:rFonts w:hint="eastAsia" w:ascii="宋体" w:hAnsi="宋体" w:cs="宋体"/>
          <w:bCs/>
          <w:kern w:val="44"/>
        </w:rPr>
        <w:t>信托：</w:t>
      </w:r>
      <w:r>
        <w:rPr>
          <w:rFonts w:hint="eastAsia" w:ascii="宋体" w:hAnsi="宋体" w:cs="宋体"/>
          <w:bCs/>
          <w:kern w:val="44"/>
          <w:lang w:val="en-US" w:eastAsia="zh-CN"/>
        </w:rPr>
        <w:t>光大兴陇信托有限责任</w:t>
      </w:r>
      <w:r>
        <w:rPr>
          <w:rFonts w:hint="eastAsia" w:ascii="宋体" w:hAnsi="宋体" w:cs="宋体"/>
          <w:bCs/>
          <w:kern w:val="44"/>
        </w:rPr>
        <w:t>公司</w:t>
      </w:r>
    </w:p>
    <w:p>
      <w:pPr>
        <w:spacing w:line="360" w:lineRule="auto"/>
        <w:ind w:firstLine="420" w:firstLineChars="200"/>
        <w:jc w:val="left"/>
        <w:rPr>
          <w:rFonts w:hint="eastAsia" w:ascii="宋体" w:hAnsi="宋体" w:cs="宋体"/>
          <w:bCs/>
          <w:kern w:val="44"/>
        </w:rPr>
      </w:pPr>
      <w:r>
        <w:rPr>
          <w:rFonts w:hint="eastAsia" w:ascii="宋体" w:hAnsi="宋体" w:cs="宋体"/>
          <w:bCs/>
          <w:kern w:val="44"/>
        </w:rPr>
        <w:t>·康信</w:t>
      </w:r>
      <w:r>
        <w:rPr>
          <w:rFonts w:hint="eastAsia" w:ascii="宋体" w:hAnsi="宋体" w:cs="宋体"/>
          <w:bCs/>
          <w:kern w:val="44"/>
          <w:lang w:eastAsia="zh-CN"/>
        </w:rPr>
        <w:t>君安</w:t>
      </w:r>
      <w:r>
        <w:rPr>
          <w:rFonts w:hint="eastAsia" w:ascii="宋体" w:hAnsi="宋体" w:cs="宋体"/>
          <w:bCs/>
          <w:kern w:val="44"/>
        </w:rPr>
        <w:t>：北京康信君安资产管理有限公司</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eastAsia" w:ascii="宋体" w:hAnsi="宋体" w:eastAsia="宋体" w:cs="宋体"/>
          <w:sz w:val="24"/>
          <w:szCs w:val="24"/>
          <w:lang w:val="en-US" w:eastAsia="zh-CN"/>
        </w:rPr>
      </w:pPr>
      <w:bookmarkStart w:id="0" w:name="_Toc20621"/>
      <w:r>
        <w:rPr>
          <w:rFonts w:hint="default" w:ascii="Arial" w:hAnsi="Arial" w:eastAsia="宋体" w:cs="Arial"/>
          <w:sz w:val="24"/>
          <w:szCs w:val="24"/>
          <w:lang w:val="en-US" w:eastAsia="zh-CN"/>
        </w:rPr>
        <w:t>1</w:t>
      </w:r>
      <w:r>
        <w:rPr>
          <w:rFonts w:hint="eastAsia" w:ascii="宋体" w:hAnsi="宋体" w:eastAsia="宋体" w:cs="宋体"/>
          <w:sz w:val="24"/>
          <w:szCs w:val="24"/>
          <w:lang w:val="en-US" w:eastAsia="zh-CN"/>
        </w:rPr>
        <w:t>项目基本情况</w:t>
      </w:r>
      <w:bookmarkEnd w:id="0"/>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default" w:ascii="Arial" w:hAnsi="Arial" w:cs="Arial"/>
          <w:bCs/>
          <w:kern w:val="44"/>
          <w:lang w:val="en-US" w:eastAsia="zh-CN"/>
        </w:rPr>
      </w:pPr>
      <w:r>
        <w:rPr>
          <w:rFonts w:hint="default" w:ascii="Arial" w:hAnsi="Arial" w:cs="Arial"/>
          <w:bCs/>
          <w:kern w:val="44"/>
          <w:lang w:val="en-US" w:eastAsia="zh-CN"/>
        </w:rPr>
        <w:t>标的项目为项目公司建设的重庆西永晓岸云起项目，项目位于重庆市沙坪坝区西永板块，交通便利，通达性良好，距离重庆西站12.9KM，重庆北站20.5KM，解放碑23.6KM，距离江北机场31.7KM，南侧靠西永大道，北侧临学成大道，西侧为龙凤溪，东侧为待开发用地，区域地势平坦，便于项目开发建设。项目对面开发项目有朗基水印三生项目、电建泷悦华府项目等，成熟度较高。</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cs="宋体"/>
          <w:bCs/>
          <w:kern w:val="44"/>
          <w:lang w:val="en-US" w:eastAsia="zh-CN"/>
        </w:rPr>
      </w:pPr>
      <w:r>
        <w:rPr>
          <w:rFonts w:hint="default" w:ascii="Arial" w:hAnsi="Arial" w:cs="Arial"/>
          <w:bCs/>
          <w:kern w:val="44"/>
          <w:lang w:val="en-US" w:eastAsia="zh-CN"/>
        </w:rPr>
        <w:t>项目占地面积11.67万平方米，总建筑面积24.53万平方米，容积率为1.5。地上计容面积为17.52万平方米，包括洋房、高层、叠拼和底商等；地下建筑面积7.02万平方米，包括普通地下车库及人防车库。项目将分三宗独立地块分别开发，每宗地详细规划条件在工规证阶段确定。项目规划为高层、洋房、叠墅，户型为刚改及首改为主，再改为辅，三至四房，80-140㎡产品为主</w:t>
      </w:r>
      <w:r>
        <w:rPr>
          <w:rFonts w:hint="eastAsia" w:ascii="宋体" w:hAnsi="宋体" w:cs="宋体"/>
          <w:bCs/>
          <w:kern w:val="44"/>
          <w:lang w:val="en-US" w:eastAsia="zh-CN"/>
        </w:rPr>
        <w:t>。</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cs="宋体"/>
          <w:bCs/>
          <w:kern w:val="44"/>
          <w:lang w:val="en-US" w:eastAsia="zh-CN"/>
        </w:rPr>
      </w:pPr>
      <w:r>
        <w:rPr>
          <w:rFonts w:hint="eastAsia" w:ascii="宋体" w:hAnsi="宋体" w:cs="宋体"/>
          <w:bCs/>
          <w:kern w:val="44"/>
          <w:lang w:val="en-US" w:eastAsia="zh-CN"/>
        </w:rPr>
        <w:t>施工总承包单位：重庆华硕建设有限公司</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Arial" w:hAnsi="Arial" w:cs="Arial"/>
          <w:kern w:val="0"/>
          <w:sz w:val="21"/>
          <w:szCs w:val="21"/>
          <w:lang w:val="en-US" w:eastAsia="zh-CN" w:bidi="ar-SA"/>
        </w:rPr>
      </w:pPr>
      <w:r>
        <w:rPr>
          <w:rFonts w:hint="eastAsia" w:ascii="Arial" w:hAnsi="Arial" w:cs="Arial"/>
          <w:kern w:val="0"/>
          <w:sz w:val="21"/>
          <w:szCs w:val="21"/>
          <w:lang w:val="en-US" w:eastAsia="zh-CN" w:bidi="ar-SA"/>
        </w:rPr>
        <w:t>监理单位：重庆康盛监理咨询有限公司</w:t>
      </w:r>
    </w:p>
    <w:p>
      <w:pPr>
        <w:spacing w:line="360" w:lineRule="auto"/>
        <w:jc w:val="center"/>
        <w:rPr>
          <w:rFonts w:hint="eastAsia" w:ascii="宋体" w:hAnsi="宋体" w:eastAsia="宋体" w:cs="宋体"/>
          <w:b/>
          <w:sz w:val="18"/>
          <w:szCs w:val="18"/>
        </w:rPr>
      </w:pPr>
      <w:r>
        <w:rPr>
          <w:rFonts w:hint="eastAsia" w:ascii="宋体" w:hAnsi="宋体" w:eastAsia="宋体" w:cs="宋体"/>
          <w:b/>
          <w:sz w:val="18"/>
          <w:szCs w:val="18"/>
        </w:rPr>
        <w:drawing>
          <wp:inline distT="0" distB="0" distL="0" distR="0">
            <wp:extent cx="5907405" cy="2468245"/>
            <wp:effectExtent l="0" t="0" r="5715" b="635"/>
            <wp:docPr id="1026" name="图片 69" descr="C:\Users\Kaisa\Desktop\微信图片_20200910115926.png"/>
            <wp:cNvGraphicFramePr/>
            <a:graphic xmlns:a="http://schemas.openxmlformats.org/drawingml/2006/main">
              <a:graphicData uri="http://schemas.openxmlformats.org/drawingml/2006/picture">
                <pic:pic xmlns:pic="http://schemas.openxmlformats.org/drawingml/2006/picture">
                  <pic:nvPicPr>
                    <pic:cNvPr id="1026" name="图片 69" descr="C:\Users\Kaisa\Desktop\微信图片_20200910115926.png"/>
                    <pic:cNvPicPr/>
                  </pic:nvPicPr>
                  <pic:blipFill>
                    <a:blip r:embed="rId8" cstate="print"/>
                    <a:srcRect/>
                    <a:stretch>
                      <a:fillRect/>
                    </a:stretch>
                  </pic:blipFill>
                  <pic:spPr>
                    <a:xfrm>
                      <a:off x="0" y="0"/>
                      <a:ext cx="5907405" cy="2468245"/>
                    </a:xfrm>
                    <a:prstGeom prst="rect">
                      <a:avLst/>
                    </a:prstGeom>
                    <a:ln>
                      <a:noFill/>
                    </a:ln>
                  </pic:spPr>
                </pic:pic>
              </a:graphicData>
            </a:graphic>
          </wp:inline>
        </w:drawing>
      </w:r>
    </w:p>
    <w:p>
      <w:pPr>
        <w:spacing w:line="240" w:lineRule="auto"/>
        <w:jc w:val="center"/>
        <w:rPr>
          <w:rFonts w:hint="eastAsia" w:ascii="宋体" w:hAnsi="宋体" w:cs="宋体"/>
          <w:b/>
          <w:sz w:val="18"/>
          <w:szCs w:val="18"/>
          <w:lang w:val="en-US" w:eastAsia="zh-CN"/>
        </w:rPr>
      </w:pPr>
      <w:r>
        <w:rPr>
          <w:rFonts w:hint="eastAsia" w:ascii="宋体" w:hAnsi="宋体" w:cs="宋体"/>
          <w:b/>
          <w:sz w:val="18"/>
          <w:szCs w:val="18"/>
          <w:lang w:val="en-US" w:eastAsia="zh-CN"/>
        </w:rPr>
        <w:t>项目楼号图</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eastAsia" w:ascii="Arial" w:hAnsi="Arial" w:eastAsia="宋体" w:cs="Arial"/>
          <w:sz w:val="24"/>
          <w:szCs w:val="24"/>
          <w:lang w:val="en-US" w:eastAsia="zh-CN"/>
        </w:rPr>
      </w:pPr>
      <w:bookmarkStart w:id="1" w:name="_Toc31694"/>
      <w:r>
        <w:rPr>
          <w:rFonts w:hint="default" w:ascii="Arial" w:hAnsi="Arial" w:eastAsia="宋体" w:cs="Arial"/>
          <w:sz w:val="24"/>
          <w:szCs w:val="24"/>
          <w:lang w:val="en-US" w:eastAsia="zh-CN"/>
        </w:rPr>
        <w:t>2</w:t>
      </w:r>
      <w:r>
        <w:rPr>
          <w:rFonts w:hint="eastAsia" w:ascii="Arial" w:hAnsi="Arial" w:eastAsia="宋体" w:cs="Arial"/>
          <w:sz w:val="24"/>
          <w:szCs w:val="24"/>
          <w:lang w:val="en-US" w:eastAsia="zh-CN"/>
        </w:rPr>
        <w:t>重大事项披露</w:t>
      </w:r>
      <w:bookmarkEnd w:id="1"/>
    </w:p>
    <w:p>
      <w:pPr>
        <w:numPr>
          <w:ilvl w:val="0"/>
          <w:numId w:val="1"/>
        </w:numPr>
        <w:spacing w:line="480" w:lineRule="auto"/>
        <w:ind w:firstLine="420" w:firstLineChars="200"/>
        <w:contextualSpacing/>
        <w:rPr>
          <w:rFonts w:hint="default" w:ascii="Arial" w:hAnsi="Arial" w:cs="Arial"/>
          <w:bCs/>
          <w:kern w:val="44"/>
          <w:lang w:val="en-US" w:eastAsia="zh-CN"/>
        </w:rPr>
      </w:pPr>
      <w:r>
        <w:rPr>
          <w:rFonts w:hint="eastAsia" w:ascii="Arial" w:hAnsi="Arial" w:cs="Arial"/>
          <w:bCs/>
          <w:kern w:val="44"/>
          <w:lang w:val="en-US" w:eastAsia="zh-CN"/>
        </w:rPr>
        <w:t>项目公司于2021年05月11日新开立兴业银行按揭账户，兴业银行按揭账户网银盾已于2021年05月13日交接，共管资料交接清单详见附件二。</w:t>
      </w:r>
    </w:p>
    <w:p>
      <w:pPr>
        <w:numPr>
          <w:ilvl w:val="0"/>
          <w:numId w:val="1"/>
        </w:numPr>
        <w:spacing w:line="480" w:lineRule="auto"/>
        <w:ind w:firstLine="420" w:firstLineChars="200"/>
        <w:contextualSpacing/>
        <w:rPr>
          <w:rFonts w:hint="eastAsia" w:ascii="Arial" w:hAnsi="Arial" w:cs="Arial"/>
          <w:bCs/>
          <w:kern w:val="44"/>
          <w:lang w:val="en-US" w:eastAsia="zh-CN"/>
        </w:rPr>
      </w:pPr>
      <w:r>
        <w:rPr>
          <w:rFonts w:hint="eastAsia" w:ascii="Arial" w:hAnsi="Arial" w:cs="Arial"/>
          <w:bCs/>
          <w:kern w:val="44"/>
          <w:lang w:val="en-US" w:eastAsia="zh-CN"/>
        </w:rPr>
        <w:t>项目公司晓岸云起2期22#、23#楼预售许可证已于2021年05月28日交接，2期19#楼预售许可证已于2021年05月31日交接，共管资料交接清单详见附件二。</w:t>
      </w:r>
    </w:p>
    <w:p>
      <w:pPr>
        <w:numPr>
          <w:ilvl w:val="0"/>
          <w:numId w:val="1"/>
        </w:numPr>
        <w:spacing w:line="480" w:lineRule="auto"/>
        <w:ind w:firstLine="420" w:firstLineChars="200"/>
        <w:contextualSpacing/>
        <w:rPr>
          <w:rFonts w:hint="eastAsia" w:ascii="Arial" w:hAnsi="Arial" w:cs="Arial"/>
          <w:bCs/>
          <w:kern w:val="44"/>
          <w:lang w:val="en-US" w:eastAsia="zh-CN"/>
        </w:rPr>
      </w:pPr>
      <w:r>
        <w:rPr>
          <w:rFonts w:hint="eastAsia" w:ascii="Arial" w:hAnsi="Arial" w:cs="Arial"/>
          <w:bCs/>
          <w:kern w:val="44"/>
          <w:lang w:val="en-US" w:eastAsia="zh-CN"/>
        </w:rPr>
        <w:t>项目公司晓岸云起2期22#、23#楼于2021年05月29日开盘，可售面积4666.20㎡，总货值约7,523.00万元，2期19#楼于2021年05月31日开盘，可售面积2853.88㎡，总货值约4,509.00万元。</w:t>
      </w:r>
    </w:p>
    <w:p>
      <w:pPr>
        <w:numPr>
          <w:ilvl w:val="0"/>
          <w:numId w:val="1"/>
        </w:numPr>
        <w:spacing w:line="480" w:lineRule="auto"/>
        <w:ind w:firstLine="420" w:firstLineChars="200"/>
        <w:contextualSpacing/>
        <w:rPr>
          <w:rFonts w:hint="default" w:ascii="Arial" w:hAnsi="Arial" w:cs="Arial"/>
          <w:bCs/>
          <w:kern w:val="44"/>
          <w:lang w:val="en-US" w:eastAsia="zh-CN"/>
        </w:rPr>
      </w:pPr>
      <w:r>
        <w:rPr>
          <w:rFonts w:hint="eastAsia" w:ascii="Arial" w:hAnsi="Arial" w:cs="Arial"/>
          <w:bCs/>
          <w:kern w:val="44"/>
          <w:lang w:val="en-US" w:eastAsia="zh-CN"/>
        </w:rPr>
        <w:t>因项目公司晓岸云起3期土石方合同已签订，3期总包合同暂未签订。</w:t>
      </w:r>
    </w:p>
    <w:p>
      <w:pPr>
        <w:numPr>
          <w:ilvl w:val="0"/>
          <w:numId w:val="1"/>
        </w:numPr>
        <w:spacing w:line="480" w:lineRule="auto"/>
        <w:ind w:firstLine="420" w:firstLineChars="200"/>
        <w:contextualSpacing/>
        <w:rPr>
          <w:rFonts w:hint="default" w:ascii="Arial" w:hAnsi="Arial" w:cs="Arial"/>
          <w:bCs/>
          <w:kern w:val="44"/>
          <w:lang w:val="en-US" w:eastAsia="zh-CN"/>
        </w:rPr>
      </w:pPr>
      <w:r>
        <w:rPr>
          <w:rFonts w:hint="eastAsia" w:ascii="Arial" w:hAnsi="Arial" w:cs="Arial"/>
          <w:bCs/>
          <w:kern w:val="44"/>
          <w:lang w:val="en-US" w:eastAsia="zh-CN"/>
        </w:rPr>
        <w:t>项目公司晓岸云起2期与汉口银行合作开发贷，批复3.8亿元，汉口银行已放款3.3亿元，剩余5,000.00万元未放款，截至2021年05月31日，项目公司已存汉口银行还款保证金8,428.00万元。</w:t>
      </w:r>
    </w:p>
    <w:p>
      <w:pPr>
        <w:numPr>
          <w:ilvl w:val="0"/>
          <w:numId w:val="1"/>
        </w:numPr>
        <w:spacing w:line="480" w:lineRule="auto"/>
        <w:ind w:firstLine="420" w:firstLineChars="200"/>
        <w:contextualSpacing/>
        <w:rPr>
          <w:rFonts w:hint="default" w:ascii="Arial" w:hAnsi="Arial" w:cs="Arial"/>
          <w:bCs/>
          <w:kern w:val="44"/>
          <w:lang w:val="en-US" w:eastAsia="zh-CN"/>
        </w:rPr>
      </w:pPr>
      <w:r>
        <w:rPr>
          <w:rFonts w:hint="eastAsia" w:ascii="Arial" w:hAnsi="Arial" w:cs="Arial"/>
          <w:bCs/>
          <w:kern w:val="44"/>
          <w:lang w:val="en-US" w:eastAsia="zh-CN"/>
        </w:rPr>
        <w:t>项目公司计划2021年06月办理晓岸云起1期1#楼，2期15#楼预售许可证。</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eastAsia" w:ascii="Arial" w:hAnsi="Arial" w:eastAsia="宋体" w:cs="Arial"/>
          <w:sz w:val="24"/>
          <w:szCs w:val="24"/>
          <w:lang w:val="en-US" w:eastAsia="zh-CN"/>
        </w:rPr>
      </w:pPr>
      <w:bookmarkStart w:id="2" w:name="_Toc6338"/>
      <w:r>
        <w:rPr>
          <w:rFonts w:hint="eastAsia" w:ascii="Arial" w:hAnsi="Arial" w:eastAsia="宋体" w:cs="Arial"/>
          <w:sz w:val="24"/>
          <w:szCs w:val="24"/>
          <w:lang w:val="en-US" w:eastAsia="zh-CN"/>
        </w:rPr>
        <w:t>3项目进展情况</w:t>
      </w:r>
      <w:bookmarkEnd w:id="2"/>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Arial" w:hAnsi="Arial" w:eastAsia="宋体" w:cs="Arial"/>
          <w:b/>
          <w:bCs/>
          <w:kern w:val="44"/>
          <w:sz w:val="24"/>
          <w:szCs w:val="24"/>
          <w:lang w:val="en-US" w:eastAsia="zh-CN" w:bidi="ar-SA"/>
        </w:rPr>
      </w:pPr>
      <w:bookmarkStart w:id="3" w:name="_Toc31214"/>
      <w:r>
        <w:rPr>
          <w:rFonts w:hint="eastAsia" w:ascii="Arial" w:hAnsi="Arial" w:eastAsia="宋体" w:cs="Arial"/>
          <w:b/>
          <w:bCs/>
          <w:kern w:val="44"/>
          <w:sz w:val="24"/>
          <w:szCs w:val="24"/>
          <w:lang w:val="en-US" w:eastAsia="zh-CN" w:bidi="ar-SA"/>
        </w:rPr>
        <w:t>3.1项目五证办理情况</w:t>
      </w:r>
      <w:bookmarkEnd w:id="3"/>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ind w:firstLine="420" w:firstLineChars="200"/>
        <w:jc w:val="left"/>
        <w:textAlignment w:val="auto"/>
        <w:rPr>
          <w:rFonts w:hint="eastAsia" w:ascii="Arial" w:hAnsi="Arial" w:cs="Arial"/>
          <w:kern w:val="0"/>
          <w:sz w:val="21"/>
          <w:szCs w:val="21"/>
          <w:lang w:val="en-US" w:eastAsia="zh-CN" w:bidi="ar-SA"/>
        </w:rPr>
      </w:pPr>
      <w:r>
        <w:rPr>
          <w:rFonts w:hint="eastAsia" w:ascii="Arial" w:hAnsi="Arial" w:cs="Arial"/>
          <w:kern w:val="0"/>
          <w:sz w:val="21"/>
          <w:szCs w:val="21"/>
          <w:lang w:val="en-US" w:eastAsia="zh-CN" w:bidi="ar-SA"/>
        </w:rPr>
        <w:t>截至2021年05月31日，该项目具体证照办理进度情况如下：</w:t>
      </w:r>
    </w:p>
    <w:p>
      <w:pPr>
        <w:keepNext w:val="0"/>
        <w:keepLines w:val="0"/>
        <w:pageBreakBefore w:val="0"/>
        <w:widowControl w:val="0"/>
        <w:numPr>
          <w:ilvl w:val="0"/>
          <w:numId w:val="0"/>
        </w:numPr>
        <w:kinsoku/>
        <w:wordWrap/>
        <w:overflowPunct/>
        <w:topLinePunct w:val="0"/>
        <w:autoSpaceDE/>
        <w:autoSpaceDN/>
        <w:bidi w:val="0"/>
        <w:adjustRightInd/>
        <w:snapToGrid/>
        <w:spacing w:before="316" w:beforeLines="100" w:line="240" w:lineRule="auto"/>
        <w:jc w:val="center"/>
        <w:textAlignment w:val="auto"/>
        <w:rPr>
          <w:rFonts w:hint="eastAsia" w:ascii="宋体" w:hAnsi="宋体" w:cs="宋体"/>
          <w:b/>
          <w:bCs/>
          <w:kern w:val="44"/>
          <w:sz w:val="24"/>
          <w:szCs w:val="44"/>
        </w:rPr>
      </w:pPr>
      <w:r>
        <w:rPr>
          <w:rFonts w:hint="eastAsia" w:ascii="宋体" w:hAnsi="宋体" w:cs="宋体"/>
          <w:b/>
          <w:bCs/>
          <w:kern w:val="44"/>
          <w:sz w:val="24"/>
          <w:szCs w:val="44"/>
          <w:lang w:val="en-US" w:eastAsia="zh-CN"/>
        </w:rPr>
        <w:t>项目公司</w:t>
      </w:r>
      <w:r>
        <w:rPr>
          <w:rFonts w:hint="eastAsia" w:ascii="宋体" w:hAnsi="宋体" w:eastAsia="宋体" w:cs="宋体"/>
          <w:b/>
          <w:bCs/>
          <w:kern w:val="44"/>
          <w:sz w:val="24"/>
          <w:szCs w:val="44"/>
          <w:lang w:val="en-US" w:eastAsia="zh-CN"/>
        </w:rPr>
        <w:t>证照</w:t>
      </w:r>
      <w:r>
        <w:rPr>
          <w:rFonts w:hint="eastAsia" w:ascii="宋体" w:hAnsi="宋体" w:eastAsia="宋体" w:cs="宋体"/>
          <w:b/>
          <w:bCs/>
          <w:kern w:val="44"/>
          <w:sz w:val="24"/>
          <w:szCs w:val="44"/>
        </w:rPr>
        <w:t>办理进度情况表</w:t>
      </w:r>
    </w:p>
    <w:tbl>
      <w:tblPr>
        <w:tblStyle w:val="9"/>
        <w:tblW w:w="8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1280"/>
        <w:gridCol w:w="1750"/>
        <w:gridCol w:w="1300"/>
        <w:gridCol w:w="4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blHeader/>
          <w:jc w:val="center"/>
        </w:trPr>
        <w:tc>
          <w:tcPr>
            <w:tcW w:w="597" w:type="dxa"/>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280" w:type="dxa"/>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rPr>
            </w:pPr>
            <w:r>
              <w:rPr>
                <w:rFonts w:ascii="Arial" w:hAnsi="Arial" w:cs="Arial"/>
                <w:b/>
                <w:bCs/>
                <w:color w:val="000000"/>
                <w:sz w:val="18"/>
                <w:szCs w:val="18"/>
              </w:rPr>
              <w:t>证件名称</w:t>
            </w:r>
          </w:p>
        </w:tc>
        <w:tc>
          <w:tcPr>
            <w:tcW w:w="1750" w:type="dxa"/>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rPr>
            </w:pPr>
            <w:r>
              <w:rPr>
                <w:rFonts w:ascii="Arial" w:hAnsi="Arial" w:cs="Arial"/>
                <w:b/>
                <w:bCs/>
                <w:color w:val="000000"/>
                <w:sz w:val="18"/>
                <w:szCs w:val="18"/>
              </w:rPr>
              <w:t>取证日期</w:t>
            </w:r>
          </w:p>
        </w:tc>
        <w:tc>
          <w:tcPr>
            <w:tcW w:w="1300" w:type="dxa"/>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rPr>
            </w:pPr>
            <w:r>
              <w:rPr>
                <w:rFonts w:ascii="Arial" w:hAnsi="Arial" w:cs="Arial"/>
                <w:b/>
                <w:bCs/>
                <w:color w:val="000000"/>
                <w:sz w:val="18"/>
                <w:szCs w:val="18"/>
              </w:rPr>
              <w:t>证载面积</w:t>
            </w:r>
          </w:p>
        </w:tc>
        <w:tc>
          <w:tcPr>
            <w:tcW w:w="4040" w:type="dxa"/>
            <w:vAlign w:val="center"/>
          </w:tcPr>
          <w:p>
            <w:pPr>
              <w:keepNext w:val="0"/>
              <w:keepLines w:val="0"/>
              <w:pageBreakBefore w:val="0"/>
              <w:widowControl w:val="0"/>
              <w:kinsoku/>
              <w:wordWrap/>
              <w:overflowPunct/>
              <w:topLinePunct w:val="0"/>
              <w:autoSpaceDE/>
              <w:autoSpaceDN/>
              <w:bidi w:val="0"/>
              <w:adjustRightInd/>
              <w:snapToGrid/>
              <w:jc w:val="center"/>
              <w:rPr>
                <w:rFonts w:ascii="Arial" w:hAnsi="Arial" w:cs="Arial"/>
                <w:b/>
                <w:bCs/>
                <w:color w:val="000000"/>
                <w:sz w:val="18"/>
                <w:szCs w:val="18"/>
              </w:rPr>
            </w:pPr>
            <w:r>
              <w:rPr>
                <w:rFonts w:ascii="Arial" w:hAnsi="Arial" w:cs="Arial"/>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97" w:type="dxa"/>
            <w:vMerge w:val="restart"/>
            <w:vAlign w:val="center"/>
          </w:tcPr>
          <w:p>
            <w:pPr>
              <w:jc w:val="center"/>
              <w:textAlignment w:val="center"/>
              <w:rPr>
                <w:rFonts w:hint="eastAsia" w:ascii="宋体" w:hAnsi="宋体" w:eastAsia="宋体" w:cs="宋体"/>
                <w:b w:val="0"/>
                <w:bCs w:val="0"/>
                <w:color w:val="000000"/>
                <w:sz w:val="18"/>
                <w:szCs w:val="18"/>
                <w:lang w:val="en-US" w:eastAsia="zh-CN"/>
              </w:rPr>
            </w:pPr>
            <w:r>
              <w:rPr>
                <w:rFonts w:hint="default" w:ascii="Arial" w:hAnsi="Arial" w:eastAsia="宋体" w:cs="Arial"/>
                <w:b w:val="0"/>
                <w:bCs w:val="0"/>
                <w:color w:val="000000"/>
                <w:sz w:val="18"/>
                <w:szCs w:val="18"/>
                <w:lang w:val="en-US" w:eastAsia="zh-CN"/>
              </w:rPr>
              <w:t>1</w:t>
            </w:r>
          </w:p>
        </w:tc>
        <w:tc>
          <w:tcPr>
            <w:tcW w:w="1280" w:type="dxa"/>
            <w:vMerge w:val="restart"/>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不动产权证</w:t>
            </w:r>
          </w:p>
        </w:tc>
        <w:tc>
          <w:tcPr>
            <w:tcW w:w="1750" w:type="dxa"/>
            <w:vAlign w:val="center"/>
          </w:tcPr>
          <w:p>
            <w:pPr>
              <w:jc w:val="center"/>
              <w:textAlignment w:val="center"/>
              <w:rPr>
                <w:rFonts w:hint="default" w:ascii="Arial" w:hAnsi="Arial" w:eastAsia="宋体" w:cs="Arial"/>
                <w:color w:val="000000"/>
                <w:sz w:val="18"/>
                <w:szCs w:val="18"/>
              </w:rPr>
            </w:pPr>
            <w:r>
              <w:rPr>
                <w:rFonts w:hint="default" w:ascii="Arial" w:hAnsi="Arial" w:eastAsia="宋体" w:cs="Arial"/>
                <w:color w:val="000000"/>
                <w:sz w:val="18"/>
                <w:szCs w:val="18"/>
              </w:rPr>
              <w:t>2020年</w:t>
            </w:r>
            <w:r>
              <w:rPr>
                <w:rFonts w:hint="default" w:ascii="Arial" w:hAnsi="Arial" w:eastAsia="宋体" w:cs="Arial"/>
                <w:color w:val="000000"/>
                <w:sz w:val="18"/>
                <w:szCs w:val="18"/>
                <w:lang w:val="en-US" w:eastAsia="zh-CN"/>
              </w:rPr>
              <w:t>10</w:t>
            </w:r>
            <w:r>
              <w:rPr>
                <w:rFonts w:hint="default" w:ascii="Arial" w:hAnsi="Arial" w:eastAsia="宋体" w:cs="Arial"/>
                <w:color w:val="000000"/>
                <w:sz w:val="18"/>
                <w:szCs w:val="18"/>
              </w:rPr>
              <w:t>月2</w:t>
            </w:r>
            <w:r>
              <w:rPr>
                <w:rFonts w:hint="default" w:ascii="Arial" w:hAnsi="Arial" w:eastAsia="宋体" w:cs="Arial"/>
                <w:color w:val="000000"/>
                <w:sz w:val="18"/>
                <w:szCs w:val="18"/>
                <w:lang w:val="en-US" w:eastAsia="zh-CN"/>
              </w:rPr>
              <w:t>2</w:t>
            </w:r>
            <w:r>
              <w:rPr>
                <w:rFonts w:hint="default" w:ascii="Arial" w:hAnsi="Arial" w:eastAsia="宋体" w:cs="Arial"/>
                <w:color w:val="000000"/>
                <w:sz w:val="18"/>
                <w:szCs w:val="18"/>
              </w:rPr>
              <w:t>日</w:t>
            </w:r>
          </w:p>
        </w:tc>
        <w:tc>
          <w:tcPr>
            <w:tcW w:w="1300" w:type="dxa"/>
            <w:vAlign w:val="center"/>
          </w:tcPr>
          <w:p>
            <w:pPr>
              <w:jc w:val="center"/>
              <w:textAlignment w:val="center"/>
              <w:rPr>
                <w:rFonts w:hint="default" w:ascii="Arial" w:hAnsi="Arial" w:eastAsia="宋体" w:cs="Arial"/>
                <w:color w:val="000000"/>
                <w:sz w:val="18"/>
                <w:szCs w:val="18"/>
              </w:rPr>
            </w:pPr>
            <w:r>
              <w:rPr>
                <w:rFonts w:hint="default" w:ascii="Arial" w:hAnsi="Arial" w:eastAsia="宋体" w:cs="Arial"/>
                <w:color w:val="000000"/>
                <w:sz w:val="18"/>
                <w:szCs w:val="18"/>
                <w:lang w:val="en-US" w:eastAsia="zh-CN"/>
              </w:rPr>
              <w:t>20835㎡</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渝（2020）沙坪坝区不动产权第001071148</w:t>
            </w:r>
            <w:r>
              <w:rPr>
                <w:rFonts w:hint="default" w:ascii="Arial" w:hAnsi="Arial" w:cs="Arial"/>
                <w:color w:val="000000"/>
                <w:sz w:val="18"/>
                <w:szCs w:val="18"/>
                <w:lang w:val="en-US" w:eastAsia="zh-CN"/>
              </w:rPr>
              <w:t>号</w:t>
            </w:r>
          </w:p>
          <w:p>
            <w:pPr>
              <w:jc w:val="center"/>
              <w:textAlignment w:val="center"/>
              <w:rPr>
                <w:rFonts w:hint="default" w:ascii="Arial" w:hAnsi="Arial" w:eastAsia="宋体" w:cs="Arial"/>
                <w:color w:val="000000"/>
                <w:sz w:val="18"/>
                <w:szCs w:val="18"/>
              </w:rPr>
            </w:pPr>
            <w:r>
              <w:rPr>
                <w:rFonts w:hint="default" w:ascii="Arial" w:hAnsi="Arial" w:eastAsia="宋体" w:cs="Arial"/>
                <w:color w:val="000000"/>
                <w:sz w:val="18"/>
                <w:szCs w:val="18"/>
              </w:rPr>
              <w:t>（</w:t>
            </w:r>
            <w:r>
              <w:rPr>
                <w:rFonts w:hint="default" w:ascii="Arial" w:hAnsi="Arial" w:eastAsia="宋体" w:cs="Arial"/>
                <w:color w:val="000000"/>
                <w:sz w:val="18"/>
                <w:szCs w:val="18"/>
                <w:lang w:val="en-US" w:eastAsia="zh-CN"/>
              </w:rPr>
              <w:t>沙坪坝区西永组团W分区W09-1/04地块</w:t>
            </w:r>
            <w:r>
              <w:rPr>
                <w:rFonts w:hint="default" w:ascii="Arial" w:hAnsi="Arial" w:eastAsia="宋体"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597" w:type="dxa"/>
            <w:vMerge w:val="continue"/>
            <w:vAlign w:val="center"/>
          </w:tcPr>
          <w:p>
            <w:pPr>
              <w:jc w:val="center"/>
              <w:textAlignment w:val="center"/>
              <w:rPr>
                <w:rFonts w:hint="eastAsia" w:ascii="宋体" w:hAnsi="宋体" w:eastAsia="宋体" w:cs="宋体"/>
                <w:b w:val="0"/>
                <w:bCs w:val="0"/>
                <w:color w:val="000000"/>
                <w:sz w:val="18"/>
                <w:szCs w:val="18"/>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2020年10月22日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48179㎡</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渝（2020）沙坪坝区不动产权第001071654号</w:t>
            </w:r>
          </w:p>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（沙坪坝区西永组团W分区W08-3/05地块）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宋体" w:hAnsi="宋体" w:eastAsia="宋体" w:cs="宋体"/>
                <w:b w:val="0"/>
                <w:bCs w:val="0"/>
                <w:color w:val="000000"/>
                <w:sz w:val="18"/>
                <w:szCs w:val="18"/>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2020年10月22日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47759㎡</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渝（2020）沙坪坝区不动产权第001071400号</w:t>
            </w:r>
          </w:p>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（沙坪坝区西永组团W分区W08-4/05地块）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Align w:val="center"/>
          </w:tcPr>
          <w:p>
            <w:pPr>
              <w:jc w:val="center"/>
              <w:textAlignment w:val="center"/>
              <w:rPr>
                <w:rFonts w:hint="eastAsia" w:ascii="Arial" w:hAnsi="Arial" w:eastAsia="宋体" w:cs="Arial"/>
                <w:b w:val="0"/>
                <w:bCs w:val="0"/>
                <w:color w:val="000000"/>
                <w:sz w:val="18"/>
                <w:szCs w:val="18"/>
                <w:lang w:val="en-US" w:eastAsia="zh-CN"/>
              </w:rPr>
            </w:pPr>
            <w:r>
              <w:rPr>
                <w:rFonts w:hint="eastAsia" w:ascii="Arial" w:hAnsi="Arial" w:eastAsia="宋体" w:cs="Arial"/>
                <w:b w:val="0"/>
                <w:bCs w:val="0"/>
                <w:color w:val="000000"/>
                <w:sz w:val="18"/>
                <w:szCs w:val="18"/>
                <w:lang w:val="en-US" w:eastAsia="zh-CN"/>
              </w:rPr>
              <w:t>2</w:t>
            </w:r>
          </w:p>
        </w:tc>
        <w:tc>
          <w:tcPr>
            <w:tcW w:w="1280" w:type="dxa"/>
            <w:vAlign w:val="center"/>
          </w:tcPr>
          <w:p>
            <w:pPr>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建设用地规划许可证</w:t>
            </w:r>
          </w:p>
        </w:tc>
        <w:tc>
          <w:tcPr>
            <w:tcW w:w="1750" w:type="dxa"/>
            <w:vAlign w:val="center"/>
          </w:tcPr>
          <w:p>
            <w:pPr>
              <w:jc w:val="center"/>
              <w:textAlignment w:val="center"/>
              <w:rPr>
                <w:rFonts w:hint="default" w:ascii="Arial" w:hAnsi="Arial" w:eastAsia="宋体" w:cs="Arial"/>
                <w:color w:val="000000"/>
                <w:sz w:val="18"/>
                <w:szCs w:val="18"/>
              </w:rPr>
            </w:pPr>
            <w:r>
              <w:rPr>
                <w:rFonts w:hint="default" w:ascii="Arial" w:hAnsi="Arial" w:eastAsia="宋体" w:cs="Arial"/>
                <w:color w:val="000000"/>
                <w:sz w:val="18"/>
                <w:szCs w:val="18"/>
              </w:rPr>
              <w:t>2020年0</w:t>
            </w:r>
            <w:r>
              <w:rPr>
                <w:rFonts w:hint="default" w:ascii="Arial" w:hAnsi="Arial" w:eastAsia="宋体" w:cs="Arial"/>
                <w:color w:val="000000"/>
                <w:sz w:val="18"/>
                <w:szCs w:val="18"/>
                <w:lang w:val="en-US" w:eastAsia="zh-CN"/>
              </w:rPr>
              <w:t>7</w:t>
            </w:r>
            <w:r>
              <w:rPr>
                <w:rFonts w:hint="default" w:ascii="Arial" w:hAnsi="Arial" w:eastAsia="宋体" w:cs="Arial"/>
                <w:color w:val="000000"/>
                <w:sz w:val="18"/>
                <w:szCs w:val="18"/>
              </w:rPr>
              <w:t>月</w:t>
            </w:r>
            <w:r>
              <w:rPr>
                <w:rFonts w:hint="default" w:ascii="Arial" w:hAnsi="Arial" w:eastAsia="宋体" w:cs="Arial"/>
                <w:color w:val="000000"/>
                <w:sz w:val="18"/>
                <w:szCs w:val="18"/>
                <w:lang w:val="en-US" w:eastAsia="zh-CN"/>
              </w:rPr>
              <w:t>29</w:t>
            </w:r>
            <w:r>
              <w:rPr>
                <w:rFonts w:hint="default" w:ascii="Arial" w:hAnsi="Arial" w:eastAsia="宋体" w:cs="Arial"/>
                <w:color w:val="000000"/>
                <w:sz w:val="18"/>
                <w:szCs w:val="18"/>
              </w:rPr>
              <w:t>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116773㎡</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地字第500106202000019号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97" w:type="dxa"/>
            <w:vMerge w:val="restart"/>
            <w:vAlign w:val="center"/>
          </w:tcPr>
          <w:p>
            <w:pPr>
              <w:jc w:val="center"/>
              <w:textAlignment w:val="center"/>
              <w:rPr>
                <w:rFonts w:hint="eastAsia" w:ascii="Arial" w:hAnsi="Arial" w:eastAsia="宋体" w:cs="Arial"/>
                <w:b w:val="0"/>
                <w:bCs w:val="0"/>
                <w:color w:val="000000"/>
                <w:sz w:val="18"/>
                <w:szCs w:val="18"/>
                <w:lang w:val="en-US" w:eastAsia="zh-CN"/>
              </w:rPr>
            </w:pPr>
            <w:r>
              <w:rPr>
                <w:rFonts w:hint="eastAsia" w:ascii="Arial" w:hAnsi="Arial" w:eastAsia="宋体" w:cs="Arial"/>
                <w:b w:val="0"/>
                <w:bCs w:val="0"/>
                <w:color w:val="000000"/>
                <w:sz w:val="18"/>
                <w:szCs w:val="18"/>
                <w:lang w:val="en-US" w:eastAsia="zh-CN"/>
              </w:rPr>
              <w:t>3</w:t>
            </w:r>
          </w:p>
        </w:tc>
        <w:tc>
          <w:tcPr>
            <w:tcW w:w="1280" w:type="dxa"/>
            <w:vMerge w:val="restart"/>
            <w:vAlign w:val="center"/>
          </w:tcPr>
          <w:p>
            <w:pPr>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建设工程规划许可证</w:t>
            </w:r>
          </w:p>
        </w:tc>
        <w:tc>
          <w:tcPr>
            <w:tcW w:w="175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2020年11月06日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43377㎡</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建字第500106202000094号</w:t>
            </w:r>
          </w:p>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（沙坪坝区西永组团W分区W09-1/04地块佳兆业·晓岸云起一期）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val="0"/>
                <w:bCs w:val="0"/>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2020年11月06日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101581.86㎡</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建字第500106202000093号</w:t>
            </w:r>
          </w:p>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（沙坪坝区西永组团W分区W08-4/05地块佳兆业·晓岸云起二期）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597" w:type="dxa"/>
            <w:vMerge w:val="continue"/>
            <w:vAlign w:val="center"/>
          </w:tcPr>
          <w:p>
            <w:pPr>
              <w:jc w:val="center"/>
              <w:textAlignment w:val="center"/>
              <w:rPr>
                <w:rFonts w:hint="eastAsia" w:ascii="Arial" w:hAnsi="Arial" w:eastAsia="宋体" w:cs="Arial"/>
                <w:b w:val="0"/>
                <w:bCs w:val="0"/>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eastAsia="宋体" w:cs="Arial"/>
                <w:color w:val="000000"/>
                <w:sz w:val="18"/>
                <w:szCs w:val="18"/>
                <w:lang w:val="en-US" w:eastAsia="zh-CN"/>
              </w:rPr>
            </w:pPr>
            <w:r>
              <w:rPr>
                <w:rFonts w:ascii="Arial" w:hAnsi="Arial" w:cs="Arial"/>
                <w:color w:val="000000"/>
                <w:sz w:val="18"/>
                <w:szCs w:val="18"/>
              </w:rPr>
              <w:t>2020年</w:t>
            </w:r>
            <w:r>
              <w:rPr>
                <w:rFonts w:hint="eastAsia" w:ascii="Arial" w:hAnsi="Arial" w:cs="Arial"/>
                <w:color w:val="000000"/>
                <w:sz w:val="18"/>
                <w:szCs w:val="18"/>
                <w:lang w:val="en-US" w:eastAsia="zh-CN"/>
              </w:rPr>
              <w:t>11</w:t>
            </w:r>
            <w:r>
              <w:rPr>
                <w:rFonts w:ascii="Arial" w:hAnsi="Arial" w:cs="Arial"/>
                <w:color w:val="000000"/>
                <w:sz w:val="18"/>
                <w:szCs w:val="18"/>
              </w:rPr>
              <w:t>月0</w:t>
            </w:r>
            <w:r>
              <w:rPr>
                <w:rFonts w:hint="eastAsia" w:ascii="Arial" w:hAnsi="Arial" w:cs="Arial"/>
                <w:color w:val="000000"/>
                <w:sz w:val="18"/>
                <w:szCs w:val="18"/>
                <w:lang w:val="en-US" w:eastAsia="zh-CN"/>
              </w:rPr>
              <w:t>6</w:t>
            </w:r>
            <w:r>
              <w:rPr>
                <w:rFonts w:ascii="Arial" w:hAnsi="Arial" w:cs="Arial"/>
                <w:color w:val="000000"/>
                <w:sz w:val="18"/>
                <w:szCs w:val="18"/>
              </w:rPr>
              <w:t>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100787.84㎡</w:t>
            </w:r>
          </w:p>
        </w:tc>
        <w:tc>
          <w:tcPr>
            <w:tcW w:w="404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建字第500106202000114号</w:t>
            </w:r>
          </w:p>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eastAsia="zh-CN"/>
              </w:rPr>
              <w:t>（</w:t>
            </w:r>
            <w:r>
              <w:rPr>
                <w:rFonts w:hint="eastAsia" w:ascii="Arial" w:hAnsi="Arial" w:cs="Arial"/>
                <w:color w:val="000000"/>
                <w:sz w:val="18"/>
                <w:szCs w:val="18"/>
                <w:lang w:val="en-US" w:eastAsia="zh-CN"/>
              </w:rPr>
              <w:t>沙坪坝区西永组团W分区W</w:t>
            </w:r>
            <w:r>
              <w:rPr>
                <w:rFonts w:hint="eastAsia" w:ascii="Arial" w:hAnsi="Arial" w:cs="Arial"/>
                <w:color w:val="auto"/>
                <w:sz w:val="18"/>
                <w:szCs w:val="18"/>
                <w:lang w:val="en-US" w:eastAsia="zh-CN"/>
              </w:rPr>
              <w:t>08-3/05地</w:t>
            </w:r>
            <w:r>
              <w:rPr>
                <w:rFonts w:hint="eastAsia" w:ascii="Arial" w:hAnsi="Arial" w:cs="Arial"/>
                <w:color w:val="000000"/>
                <w:sz w:val="18"/>
                <w:szCs w:val="18"/>
                <w:lang w:val="en-US" w:eastAsia="zh-CN"/>
              </w:rPr>
              <w:t>块佳兆业·晓岸云起三期</w:t>
            </w:r>
            <w:r>
              <w:rPr>
                <w:rFonts w:hint="eastAsia" w:ascii="Arial" w:hAnsi="Arial" w:cs="Arial"/>
                <w:color w:val="00000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restart"/>
            <w:vAlign w:val="center"/>
          </w:tcPr>
          <w:p>
            <w:pPr>
              <w:jc w:val="center"/>
              <w:textAlignment w:val="center"/>
              <w:rPr>
                <w:rFonts w:hint="eastAsia" w:ascii="Arial" w:hAnsi="Arial" w:eastAsia="宋体" w:cs="Arial"/>
                <w:b w:val="0"/>
                <w:bCs w:val="0"/>
                <w:color w:val="000000"/>
                <w:sz w:val="18"/>
                <w:szCs w:val="18"/>
                <w:lang w:val="en-US" w:eastAsia="zh-CN"/>
              </w:rPr>
            </w:pPr>
            <w:r>
              <w:rPr>
                <w:rFonts w:hint="eastAsia" w:ascii="Arial" w:hAnsi="Arial" w:eastAsia="宋体" w:cs="Arial"/>
                <w:b w:val="0"/>
                <w:bCs w:val="0"/>
                <w:color w:val="000000"/>
                <w:sz w:val="18"/>
                <w:szCs w:val="18"/>
                <w:lang w:val="en-US" w:eastAsia="zh-CN"/>
              </w:rPr>
              <w:t>4</w:t>
            </w:r>
          </w:p>
        </w:tc>
        <w:tc>
          <w:tcPr>
            <w:tcW w:w="1280" w:type="dxa"/>
            <w:vMerge w:val="restart"/>
            <w:vAlign w:val="center"/>
          </w:tcPr>
          <w:p>
            <w:pPr>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施工许可证</w:t>
            </w:r>
          </w:p>
        </w:tc>
        <w:tc>
          <w:tcPr>
            <w:tcW w:w="1750"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Arial" w:hAnsi="Arial" w:cs="Arial"/>
                <w:color w:val="000000"/>
                <w:sz w:val="18"/>
                <w:szCs w:val="18"/>
                <w:lang w:val="en-US" w:eastAsia="zh-CN"/>
              </w:rPr>
              <w:t>2021年01月05日</w:t>
            </w:r>
          </w:p>
        </w:tc>
        <w:tc>
          <w:tcPr>
            <w:tcW w:w="1300" w:type="dxa"/>
            <w:vAlign w:val="center"/>
          </w:tcPr>
          <w:p>
            <w:pPr>
              <w:jc w:val="center"/>
              <w:textAlignment w:val="center"/>
              <w:rPr>
                <w:rFonts w:hint="eastAsia" w:ascii="宋体" w:hAnsi="宋体" w:eastAsia="宋体" w:cs="宋体"/>
                <w:color w:val="000000"/>
                <w:sz w:val="18"/>
                <w:szCs w:val="18"/>
              </w:rPr>
            </w:pPr>
            <w:r>
              <w:rPr>
                <w:rFonts w:hint="eastAsia" w:ascii="Arial" w:hAnsi="Arial" w:cs="Arial"/>
                <w:color w:val="000000"/>
                <w:sz w:val="18"/>
                <w:szCs w:val="18"/>
                <w:lang w:val="en-US" w:eastAsia="zh-CN"/>
              </w:rPr>
              <w:t>43377㎡</w:t>
            </w:r>
          </w:p>
        </w:tc>
        <w:tc>
          <w:tcPr>
            <w:tcW w:w="404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编号：500106202101050101</w:t>
            </w:r>
          </w:p>
          <w:p>
            <w:pPr>
              <w:jc w:val="center"/>
              <w:textAlignment w:val="center"/>
              <w:rPr>
                <w:rFonts w:hint="eastAsia" w:ascii="宋体" w:hAnsi="宋体" w:eastAsia="宋体" w:cs="宋体"/>
                <w:color w:val="000000"/>
                <w:sz w:val="18"/>
                <w:szCs w:val="18"/>
              </w:rPr>
            </w:pPr>
            <w:r>
              <w:rPr>
                <w:rFonts w:hint="eastAsia" w:ascii="Arial" w:hAnsi="Arial" w:cs="Arial"/>
                <w:color w:val="000000"/>
                <w:sz w:val="18"/>
                <w:szCs w:val="18"/>
                <w:lang w:eastAsia="zh-CN"/>
              </w:rPr>
              <w:t>（</w:t>
            </w:r>
            <w:r>
              <w:rPr>
                <w:rFonts w:hint="eastAsia" w:ascii="Arial" w:hAnsi="Arial" w:cs="Arial"/>
                <w:color w:val="000000"/>
                <w:sz w:val="18"/>
                <w:szCs w:val="18"/>
                <w:lang w:val="en-US" w:eastAsia="zh-CN"/>
              </w:rPr>
              <w:t>沙坪坝区西永组团W分区W09-1/04地块佳兆业·晓岸云起一期</w:t>
            </w:r>
            <w:r>
              <w:rPr>
                <w:rFonts w:hint="eastAsia" w:ascii="Arial" w:hAnsi="Arial" w:cs="Arial"/>
                <w:color w:val="00000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597" w:type="dxa"/>
            <w:vMerge w:val="continue"/>
            <w:vAlign w:val="center"/>
          </w:tcPr>
          <w:p>
            <w:pPr>
              <w:jc w:val="center"/>
              <w:textAlignment w:val="center"/>
              <w:rPr>
                <w:rFonts w:hint="eastAsia" w:ascii="Arial" w:hAnsi="Arial" w:eastAsia="宋体" w:cs="Arial"/>
                <w:b w:val="0"/>
                <w:bCs w:val="0"/>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2021年01月08日</w:t>
            </w:r>
          </w:p>
        </w:tc>
        <w:tc>
          <w:tcPr>
            <w:tcW w:w="130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101581.86㎡</w:t>
            </w:r>
          </w:p>
        </w:tc>
        <w:tc>
          <w:tcPr>
            <w:tcW w:w="404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编号：500106202101080101</w:t>
            </w:r>
          </w:p>
          <w:p>
            <w:pPr>
              <w:jc w:val="center"/>
              <w:textAlignment w:val="center"/>
              <w:rPr>
                <w:rFonts w:hint="eastAsia" w:ascii="Arial" w:hAnsi="Arial" w:cs="Arial"/>
                <w:color w:val="000000"/>
                <w:sz w:val="18"/>
                <w:szCs w:val="18"/>
                <w:lang w:eastAsia="zh-CN"/>
              </w:rPr>
            </w:pPr>
            <w:r>
              <w:rPr>
                <w:rFonts w:hint="default" w:ascii="Arial" w:hAnsi="Arial" w:eastAsia="宋体" w:cs="Arial"/>
                <w:color w:val="000000"/>
                <w:sz w:val="18"/>
                <w:szCs w:val="18"/>
                <w:lang w:val="en-US" w:eastAsia="zh-CN"/>
              </w:rPr>
              <w:t>（沙坪坝区西永组团W分区W08-4/05地块佳兆业·晓岸云起二期）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restart"/>
            <w:vAlign w:val="center"/>
          </w:tcPr>
          <w:p>
            <w:pPr>
              <w:jc w:val="center"/>
              <w:textAlignment w:val="center"/>
              <w:rPr>
                <w:rFonts w:hint="default" w:ascii="Arial" w:hAnsi="Arial" w:eastAsia="宋体" w:cs="Arial"/>
                <w:b w:val="0"/>
                <w:bCs w:val="0"/>
                <w:color w:val="000000"/>
                <w:sz w:val="18"/>
                <w:szCs w:val="18"/>
                <w:lang w:val="en-US" w:eastAsia="zh-CN"/>
              </w:rPr>
            </w:pPr>
            <w:r>
              <w:rPr>
                <w:rFonts w:hint="eastAsia" w:ascii="Arial" w:hAnsi="Arial" w:eastAsia="宋体" w:cs="Arial"/>
                <w:b w:val="0"/>
                <w:bCs w:val="0"/>
                <w:color w:val="000000"/>
                <w:sz w:val="18"/>
                <w:szCs w:val="18"/>
                <w:lang w:val="en-US" w:eastAsia="zh-CN" w:bidi="ar"/>
              </w:rPr>
              <w:t>5</w:t>
            </w:r>
          </w:p>
        </w:tc>
        <w:tc>
          <w:tcPr>
            <w:tcW w:w="1280" w:type="dxa"/>
            <w:vMerge w:val="restart"/>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bidi="ar"/>
              </w:rPr>
              <w:t>商品房预售许可证</w:t>
            </w:r>
          </w:p>
        </w:tc>
        <w:tc>
          <w:tcPr>
            <w:tcW w:w="1750" w:type="dxa"/>
            <w:vAlign w:val="center"/>
          </w:tcPr>
          <w:p>
            <w:pPr>
              <w:jc w:val="center"/>
              <w:textAlignment w:val="center"/>
              <w:rPr>
                <w:rFonts w:hint="eastAsia" w:ascii="宋体" w:hAnsi="宋体" w:eastAsia="宋体" w:cs="宋体"/>
                <w:color w:val="000000"/>
                <w:sz w:val="18"/>
                <w:szCs w:val="18"/>
              </w:rPr>
            </w:pPr>
            <w:r>
              <w:rPr>
                <w:rFonts w:hint="eastAsia" w:ascii="Arial" w:hAnsi="Arial" w:cs="Arial"/>
                <w:color w:val="000000"/>
                <w:sz w:val="18"/>
                <w:szCs w:val="18"/>
                <w:lang w:val="en-US" w:eastAsia="zh-CN" w:bidi="ar"/>
              </w:rPr>
              <w:t>2021年01月21日</w:t>
            </w:r>
          </w:p>
        </w:tc>
        <w:tc>
          <w:tcPr>
            <w:tcW w:w="1300" w:type="dxa"/>
            <w:vAlign w:val="center"/>
          </w:tcPr>
          <w:p>
            <w:pPr>
              <w:jc w:val="center"/>
              <w:textAlignment w:val="center"/>
              <w:rPr>
                <w:rFonts w:hint="eastAsia" w:ascii="宋体" w:hAnsi="宋体" w:eastAsia="宋体" w:cs="宋体"/>
                <w:color w:val="000000"/>
                <w:sz w:val="18"/>
                <w:szCs w:val="18"/>
              </w:rPr>
            </w:pPr>
            <w:r>
              <w:rPr>
                <w:rFonts w:hint="eastAsia" w:ascii="Arial" w:hAnsi="Arial" w:cs="Arial"/>
                <w:color w:val="000000"/>
                <w:sz w:val="18"/>
                <w:szCs w:val="18"/>
                <w:lang w:val="en-US" w:eastAsia="zh-CN" w:bidi="ar"/>
              </w:rPr>
              <w:t>13350.52㎡</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渝住建委（2021）预字第（70）号</w:t>
            </w:r>
          </w:p>
          <w:p>
            <w:pPr>
              <w:jc w:val="center"/>
              <w:textAlignment w:val="center"/>
              <w:rPr>
                <w:rFonts w:hint="eastAsia" w:ascii="宋体" w:hAnsi="宋体" w:eastAsia="宋体" w:cs="宋体"/>
                <w:color w:val="000000"/>
                <w:sz w:val="18"/>
                <w:szCs w:val="18"/>
              </w:rPr>
            </w:pPr>
            <w:r>
              <w:rPr>
                <w:rFonts w:hint="eastAsia" w:ascii="Arial" w:hAnsi="Arial" w:cs="Arial"/>
                <w:color w:val="000000"/>
                <w:sz w:val="18"/>
                <w:szCs w:val="18"/>
                <w:lang w:val="en-US" w:eastAsia="zh-CN" w:bidi="ar"/>
              </w:rPr>
              <w:t>（晓岸云起一期3#、6#、7#楼预售证）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bidi="ar"/>
              </w:rPr>
              <w:t>2021年02月25日</w:t>
            </w:r>
          </w:p>
        </w:tc>
        <w:tc>
          <w:tcPr>
            <w:tcW w:w="130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bidi="ar"/>
              </w:rPr>
              <w:t>5717.14㎡</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渝住建委（2021）预字第（179）号</w:t>
            </w:r>
          </w:p>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（晓岸云起一期8#楼预售证）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2021年03月11日</w:t>
            </w:r>
          </w:p>
        </w:tc>
        <w:tc>
          <w:tcPr>
            <w:tcW w:w="1300" w:type="dxa"/>
            <w:vAlign w:val="center"/>
          </w:tcPr>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2077.77㎡</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渝住建委（2021）预字第（227）号</w:t>
            </w:r>
          </w:p>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bidi="ar"/>
              </w:rPr>
              <w:t>（晓岸云起一期4#楼）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bidi="ar"/>
              </w:rPr>
              <w:t>2021年03月30日</w:t>
            </w:r>
          </w:p>
        </w:tc>
        <w:tc>
          <w:tcPr>
            <w:tcW w:w="130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bidi="ar"/>
              </w:rPr>
              <w:t>5716.22㎡</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渝住建委（2021）预字第（377）号</w:t>
            </w:r>
          </w:p>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bidi="ar"/>
              </w:rPr>
              <w:t>（晓岸云起二期12#楼）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bookmarkStart w:id="4" w:name="_Toc535580024"/>
            <w:bookmarkStart w:id="5" w:name="_Toc535508637"/>
            <w:bookmarkStart w:id="6" w:name="_Toc535580092"/>
            <w:bookmarkStart w:id="7" w:name="_Toc27618"/>
            <w:bookmarkStart w:id="8" w:name="_Toc535570751"/>
            <w:bookmarkStart w:id="9" w:name="_Toc37668494"/>
            <w:bookmarkStart w:id="10" w:name="_Toc532281658"/>
            <w:bookmarkStart w:id="11" w:name="_Toc19421"/>
            <w:bookmarkStart w:id="12" w:name="_Toc23200"/>
            <w:bookmarkStart w:id="13" w:name="_Toc19231"/>
            <w:bookmarkStart w:id="14" w:name="_Toc20410"/>
            <w:bookmarkStart w:id="15" w:name="_Toc15976"/>
            <w:bookmarkStart w:id="16" w:name="_Toc9247"/>
            <w:bookmarkStart w:id="17" w:name="_Toc12733"/>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2021年04月13日</w:t>
            </w:r>
          </w:p>
        </w:tc>
        <w:tc>
          <w:tcPr>
            <w:tcW w:w="1300" w:type="dxa"/>
            <w:vAlign w:val="center"/>
          </w:tcPr>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2332.90㎡</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渝住建委（2021）预字第（429）号</w:t>
            </w:r>
          </w:p>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（晓岸云起二期21#楼）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2021年04月23日</w:t>
            </w:r>
          </w:p>
        </w:tc>
        <w:tc>
          <w:tcPr>
            <w:tcW w:w="1300" w:type="dxa"/>
            <w:vAlign w:val="center"/>
          </w:tcPr>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2853.78㎡</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渝住建委（2021）预字第（513）号</w:t>
            </w:r>
          </w:p>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（晓岸云起二期20#楼）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2021年04月28日</w:t>
            </w:r>
          </w:p>
        </w:tc>
        <w:tc>
          <w:tcPr>
            <w:tcW w:w="1300" w:type="dxa"/>
            <w:vAlign w:val="center"/>
          </w:tcPr>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5716.98㎡</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渝住建委（2021）预字第（561）号</w:t>
            </w:r>
          </w:p>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（晓岸云起二期13#楼）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2021年05月28日</w:t>
            </w:r>
          </w:p>
        </w:tc>
        <w:tc>
          <w:tcPr>
            <w:tcW w:w="130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4666.20㎡</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渝住建委（2021）预字第（754）号</w:t>
            </w:r>
          </w:p>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（晓岸云起二期22、23#楼）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2021年05月28日</w:t>
            </w:r>
          </w:p>
        </w:tc>
        <w:tc>
          <w:tcPr>
            <w:tcW w:w="130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2853.88㎡</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渝住建委（2021）预字第（777）号</w:t>
            </w:r>
          </w:p>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（晓岸云起二期19#楼）</w:t>
            </w:r>
          </w:p>
        </w:tc>
      </w:tr>
    </w:tbl>
    <w:p>
      <w:pPr>
        <w:rPr>
          <w:rFonts w:hint="default" w:ascii="Arial" w:hAnsi="Arial" w:eastAsia="宋体" w:cs="Arial"/>
          <w:b/>
          <w:bCs/>
          <w:kern w:val="44"/>
          <w:sz w:val="24"/>
          <w:szCs w:val="24"/>
          <w:lang w:val="en-US" w:eastAsia="zh-CN" w:bidi="ar-SA"/>
        </w:rPr>
      </w:pP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宋体" w:hAnsi="宋体" w:eastAsia="宋体" w:cs="宋体"/>
          <w:b/>
          <w:bCs/>
          <w:sz w:val="24"/>
          <w:szCs w:val="24"/>
        </w:rPr>
      </w:pPr>
      <w:r>
        <w:rPr>
          <w:rFonts w:hint="default" w:ascii="Arial" w:hAnsi="Arial" w:eastAsia="宋体" w:cs="Arial"/>
          <w:b/>
          <w:bCs/>
          <w:kern w:val="44"/>
          <w:sz w:val="24"/>
          <w:szCs w:val="24"/>
          <w:lang w:val="en-US" w:eastAsia="zh-CN" w:bidi="ar-SA"/>
        </w:rPr>
        <w:t>3.2</w:t>
      </w:r>
      <w:bookmarkEnd w:id="4"/>
      <w:bookmarkEnd w:id="5"/>
      <w:bookmarkEnd w:id="6"/>
      <w:bookmarkEnd w:id="7"/>
      <w:bookmarkEnd w:id="8"/>
      <w:bookmarkEnd w:id="9"/>
      <w:bookmarkEnd w:id="10"/>
      <w:r>
        <w:rPr>
          <w:rFonts w:hint="eastAsia" w:ascii="Arial" w:hAnsi="Arial" w:eastAsia="宋体" w:cs="Arial"/>
          <w:b/>
          <w:bCs/>
          <w:kern w:val="44"/>
          <w:sz w:val="24"/>
          <w:szCs w:val="24"/>
          <w:lang w:val="en-US" w:eastAsia="zh-CN" w:bidi="ar-SA"/>
        </w:rPr>
        <w:t>项目施工进度情况</w:t>
      </w:r>
      <w:bookmarkEnd w:id="11"/>
      <w:bookmarkEnd w:id="12"/>
      <w:bookmarkEnd w:id="13"/>
      <w:bookmarkEnd w:id="14"/>
      <w:bookmarkEnd w:id="15"/>
      <w:bookmarkEnd w:id="16"/>
      <w:bookmarkEnd w:id="17"/>
    </w:p>
    <w:p>
      <w:pPr>
        <w:keepNext w:val="0"/>
        <w:keepLines w:val="0"/>
        <w:pageBreakBefore w:val="0"/>
        <w:widowControl w:val="0"/>
        <w:kinsoku/>
        <w:wordWrap/>
        <w:overflowPunct/>
        <w:topLinePunct w:val="0"/>
        <w:autoSpaceDE/>
        <w:autoSpaceDN/>
        <w:bidi w:val="0"/>
        <w:adjustRightInd/>
        <w:snapToGrid/>
        <w:spacing w:before="315" w:beforeLines="100" w:line="240" w:lineRule="auto"/>
        <w:jc w:val="center"/>
        <w:textAlignment w:val="auto"/>
        <w:rPr>
          <w:rStyle w:val="12"/>
          <w:rFonts w:hint="eastAsia" w:ascii="宋体" w:hAnsi="宋体" w:cs="宋体"/>
          <w:b/>
          <w:bCs/>
          <w:color w:val="auto"/>
          <w:sz w:val="24"/>
          <w:szCs w:val="24"/>
        </w:rPr>
      </w:pPr>
      <w:r>
        <w:rPr>
          <w:rFonts w:hint="eastAsia" w:ascii="宋体" w:hAnsi="宋体" w:eastAsia="宋体" w:cs="宋体"/>
          <w:b/>
          <w:bCs/>
          <w:sz w:val="24"/>
          <w:szCs w:val="24"/>
        </w:rPr>
        <w:t>标的项目</w:t>
      </w:r>
      <w:r>
        <w:rPr>
          <w:rFonts w:hint="default" w:ascii="Arial" w:hAnsi="Arial" w:eastAsia="宋体" w:cs="Arial"/>
          <w:b/>
          <w:bCs/>
          <w:sz w:val="24"/>
          <w:szCs w:val="24"/>
        </w:rPr>
        <w:t>202</w:t>
      </w:r>
      <w:r>
        <w:rPr>
          <w:rFonts w:hint="eastAsia" w:ascii="Arial" w:hAnsi="Arial" w:cs="Arial"/>
          <w:b/>
          <w:bCs/>
          <w:sz w:val="24"/>
          <w:szCs w:val="24"/>
          <w:lang w:val="en-US" w:eastAsia="zh-CN"/>
        </w:rPr>
        <w:t>1年05</w:t>
      </w:r>
      <w:r>
        <w:rPr>
          <w:rFonts w:hint="eastAsia" w:ascii="宋体" w:hAnsi="宋体" w:eastAsia="宋体" w:cs="宋体"/>
          <w:b/>
          <w:bCs/>
          <w:sz w:val="24"/>
          <w:szCs w:val="24"/>
        </w:rPr>
        <w:t>月施工进度表</w:t>
      </w:r>
    </w:p>
    <w:tbl>
      <w:tblPr>
        <w:tblStyle w:val="9"/>
        <w:tblW w:w="8836" w:type="dxa"/>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617"/>
        <w:gridCol w:w="734"/>
        <w:gridCol w:w="756"/>
        <w:gridCol w:w="6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blHeader/>
        </w:trPr>
        <w:tc>
          <w:tcPr>
            <w:tcW w:w="417" w:type="dxa"/>
            <w:vAlign w:val="center"/>
          </w:tcPr>
          <w:p>
            <w:pPr>
              <w:widowControl/>
              <w:spacing w:line="240" w:lineRule="auto"/>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序号</w:t>
            </w:r>
          </w:p>
        </w:tc>
        <w:tc>
          <w:tcPr>
            <w:tcW w:w="617" w:type="dxa"/>
            <w:vAlign w:val="center"/>
          </w:tcPr>
          <w:p>
            <w:pPr>
              <w:widowControl/>
              <w:spacing w:line="240" w:lineRule="auto"/>
              <w:jc w:val="center"/>
              <w:textAlignment w:val="center"/>
              <w:rPr>
                <w:rFonts w:hint="eastAsia" w:ascii="宋体" w:hAnsi="宋体" w:eastAsia="宋体" w:cs="宋体"/>
                <w:b/>
                <w:bCs/>
                <w:color w:val="000000"/>
                <w:sz w:val="18"/>
                <w:szCs w:val="18"/>
              </w:rPr>
            </w:pPr>
            <w:r>
              <w:rPr>
                <w:rFonts w:hint="eastAsia" w:ascii="宋体" w:hAnsi="宋体" w:eastAsia="宋体" w:cs="宋体"/>
                <w:b/>
                <w:bCs/>
                <w:color w:val="000000"/>
                <w:sz w:val="18"/>
                <w:szCs w:val="18"/>
              </w:rPr>
              <w:t>工程名称</w:t>
            </w:r>
          </w:p>
        </w:tc>
        <w:tc>
          <w:tcPr>
            <w:tcW w:w="734" w:type="dxa"/>
            <w:vAlign w:val="center"/>
          </w:tcPr>
          <w:p>
            <w:pPr>
              <w:widowControl/>
              <w:spacing w:line="240" w:lineRule="auto"/>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栋号</w:t>
            </w:r>
          </w:p>
        </w:tc>
        <w:tc>
          <w:tcPr>
            <w:tcW w:w="756" w:type="dxa"/>
            <w:vAlign w:val="center"/>
          </w:tcPr>
          <w:p>
            <w:pPr>
              <w:widowControl/>
              <w:spacing w:line="240" w:lineRule="auto"/>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楼层</w:t>
            </w:r>
          </w:p>
        </w:tc>
        <w:tc>
          <w:tcPr>
            <w:tcW w:w="6312" w:type="dxa"/>
            <w:vAlign w:val="center"/>
          </w:tcPr>
          <w:p>
            <w:pPr>
              <w:widowControl/>
              <w:spacing w:line="240" w:lineRule="auto"/>
              <w:jc w:val="center"/>
              <w:textAlignment w:val="center"/>
              <w:rPr>
                <w:rFonts w:hint="eastAsia" w:ascii="宋体" w:hAnsi="宋体" w:eastAsia="宋体" w:cs="宋体"/>
                <w:b/>
                <w:bCs/>
                <w:color w:val="000000"/>
                <w:sz w:val="18"/>
                <w:szCs w:val="18"/>
              </w:rPr>
            </w:pPr>
            <w:r>
              <w:rPr>
                <w:rFonts w:hint="eastAsia" w:ascii="宋体" w:hAnsi="宋体" w:eastAsia="宋体" w:cs="宋体"/>
                <w:b/>
                <w:bCs/>
                <w:color w:val="000000"/>
                <w:sz w:val="18"/>
                <w:szCs w:val="18"/>
              </w:rPr>
              <w:t>本期形象进度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417" w:type="dxa"/>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1</w:t>
            </w:r>
          </w:p>
        </w:tc>
        <w:tc>
          <w:tcPr>
            <w:tcW w:w="617" w:type="dxa"/>
            <w:vMerge w:val="restart"/>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b/>
                <w:bCs/>
                <w:color w:val="000000"/>
                <w:sz w:val="18"/>
                <w:szCs w:val="18"/>
              </w:rPr>
              <w:t>一期</w:t>
            </w:r>
          </w:p>
        </w:tc>
        <w:tc>
          <w:tcPr>
            <w:tcW w:w="734"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结构7层浇筑完成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dxa"/>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2</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3层墙柱钢筋制安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3</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default" w:ascii="宋体" w:hAnsi="宋体" w:eastAsia="宋体" w:cs="宋体"/>
                <w:color w:val="000000"/>
                <w:sz w:val="18"/>
                <w:szCs w:val="18"/>
                <w:lang w:val="en-US" w:eastAsia="zh-CN"/>
              </w:rPr>
            </w:pPr>
            <w:r>
              <w:rPr>
                <w:rFonts w:hint="default" w:ascii="Arial" w:hAnsi="Arial" w:eastAsia="宋体" w:cs="Arial"/>
                <w:color w:val="000000"/>
                <w:sz w:val="18"/>
                <w:szCs w:val="18"/>
                <w:lang w:val="en-US" w:eastAsia="zh-CN"/>
              </w:rPr>
              <w:t>3#</w:t>
            </w:r>
            <w:r>
              <w:rPr>
                <w:rFonts w:hint="eastAsia" w:ascii="宋体" w:hAnsi="宋体" w:eastAsia="宋体" w:cs="宋体"/>
                <w:color w:val="000000"/>
                <w:sz w:val="18"/>
                <w:szCs w:val="18"/>
                <w:lang w:val="en-US" w:eastAsia="zh-CN"/>
              </w:rPr>
              <w:t>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结构封顶完成、8层反坎浇筑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4</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4#楼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 xml:space="preserve">结构封顶完成，屋面防水样板施工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5</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5#楼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挖孔桩浇筑完成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6</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6#楼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 xml:space="preserve">结构封顶完成，2-3层砌体施工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7</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7#楼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 xml:space="preserve">4-5层砌体完成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8</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结构封顶完成，5-6层砌体施工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9</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9#楼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基础地梁开完完成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10</w:t>
            </w:r>
          </w:p>
        </w:tc>
        <w:tc>
          <w:tcPr>
            <w:tcW w:w="617" w:type="dxa"/>
            <w:vMerge w:val="restart"/>
            <w:vAlign w:val="center"/>
          </w:tcPr>
          <w:p>
            <w:pPr>
              <w:widowControl/>
              <w:jc w:val="center"/>
              <w:textAlignment w:val="center"/>
              <w:rPr>
                <w:rFonts w:hint="eastAsia" w:ascii="宋体" w:hAnsi="宋体" w:eastAsia="宋体" w:cs="宋体"/>
                <w:b/>
                <w:bCs/>
                <w:color w:val="000000"/>
                <w:sz w:val="18"/>
                <w:szCs w:val="18"/>
                <w:lang w:val="en-US" w:eastAsia="zh-CN"/>
              </w:rPr>
            </w:pPr>
            <w:r>
              <w:rPr>
                <w:rFonts w:hint="eastAsia" w:ascii="宋体" w:hAnsi="宋体" w:cs="宋体"/>
                <w:b/>
                <w:bCs/>
                <w:color w:val="000000"/>
                <w:sz w:val="18"/>
                <w:szCs w:val="18"/>
                <w:lang w:val="en-US" w:eastAsia="zh-CN"/>
              </w:rPr>
              <w:t>二期</w:t>
            </w: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11#楼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2F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售房部精装、园林完成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11</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12#楼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 xml:space="preserve">结构封顶，4-5砌体施工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12</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13#楼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 xml:space="preserve">结构封顶，1-2层反坎放线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13</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14#楼</w:t>
            </w:r>
          </w:p>
        </w:tc>
        <w:tc>
          <w:tcPr>
            <w:tcW w:w="756" w:type="dxa"/>
            <w:vAlign w:val="top"/>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独立基础完成70%，人孔挖孔桩接桩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14</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15#楼</w:t>
            </w:r>
          </w:p>
        </w:tc>
        <w:tc>
          <w:tcPr>
            <w:tcW w:w="756" w:type="dxa"/>
            <w:vAlign w:val="top"/>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负一层地梁浇筑完成，挡墙防水施工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15</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19</w:t>
            </w:r>
            <w:r>
              <w:rPr>
                <w:rFonts w:hint="eastAsia" w:ascii="Arial" w:hAnsi="Arial" w:eastAsia="宋体" w:cs="Arial"/>
                <w:color w:val="000000"/>
                <w:sz w:val="18"/>
                <w:szCs w:val="18"/>
                <w:lang w:val="en-US" w:eastAsia="zh-CN"/>
              </w:rPr>
              <w:t>#楼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结构封顶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16</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bidi="ar-SA"/>
              </w:rPr>
            </w:pPr>
            <w:r>
              <w:rPr>
                <w:rFonts w:hint="eastAsia" w:ascii="Arial" w:hAnsi="Arial" w:eastAsia="宋体" w:cs="Arial"/>
                <w:color w:val="000000"/>
                <w:sz w:val="18"/>
                <w:szCs w:val="18"/>
                <w:lang w:val="en-US" w:eastAsia="zh-CN"/>
              </w:rPr>
              <w:t>2</w:t>
            </w:r>
            <w:r>
              <w:rPr>
                <w:rFonts w:hint="eastAsia" w:ascii="Arial" w:hAnsi="Arial" w:cs="Arial"/>
                <w:color w:val="000000"/>
                <w:sz w:val="18"/>
                <w:szCs w:val="18"/>
                <w:lang w:val="en-US" w:eastAsia="zh-CN"/>
              </w:rPr>
              <w:t>0</w:t>
            </w:r>
            <w:r>
              <w:rPr>
                <w:rFonts w:hint="eastAsia" w:ascii="Arial" w:hAnsi="Arial" w:eastAsia="宋体" w:cs="Arial"/>
                <w:color w:val="000000"/>
                <w:sz w:val="18"/>
                <w:szCs w:val="18"/>
                <w:lang w:val="en-US" w:eastAsia="zh-CN"/>
              </w:rPr>
              <w:t>#楼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w:t>
            </w:r>
            <w:r>
              <w:rPr>
                <w:rFonts w:hint="default" w:ascii="Arial" w:hAnsi="Arial" w:eastAsia="宋体" w:cs="Arial"/>
                <w:color w:val="000000"/>
                <w:sz w:val="18"/>
                <w:szCs w:val="18"/>
                <w:lang w:val="en-US" w:eastAsia="zh-CN"/>
              </w:rPr>
              <w:t>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结构封顶，一层反坎放线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17</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bidi="ar-SA"/>
              </w:rPr>
            </w:pPr>
            <w:r>
              <w:rPr>
                <w:rFonts w:hint="eastAsia" w:ascii="Arial" w:hAnsi="Arial" w:eastAsia="宋体" w:cs="Arial"/>
                <w:color w:val="000000"/>
                <w:sz w:val="18"/>
                <w:szCs w:val="18"/>
                <w:lang w:val="en-US" w:eastAsia="zh-CN"/>
              </w:rPr>
              <w:t>2</w:t>
            </w:r>
            <w:r>
              <w:rPr>
                <w:rFonts w:hint="eastAsia" w:ascii="Arial" w:hAnsi="Arial" w:cs="Arial"/>
                <w:color w:val="000000"/>
                <w:sz w:val="18"/>
                <w:szCs w:val="18"/>
                <w:lang w:val="en-US" w:eastAsia="zh-CN"/>
              </w:rPr>
              <w:t>1</w:t>
            </w:r>
            <w:r>
              <w:rPr>
                <w:rFonts w:hint="eastAsia" w:ascii="Arial" w:hAnsi="Arial" w:eastAsia="宋体" w:cs="Arial"/>
                <w:color w:val="000000"/>
                <w:sz w:val="18"/>
                <w:szCs w:val="18"/>
                <w:lang w:val="en-US" w:eastAsia="zh-CN"/>
              </w:rPr>
              <w:t>#楼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6F/-1F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 xml:space="preserve">门窗玻璃安装，外装施工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18</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default" w:ascii="Arial" w:hAnsi="Arial" w:eastAsia="宋体" w:cs="Arial"/>
                <w:color w:val="000000"/>
                <w:sz w:val="18"/>
                <w:szCs w:val="18"/>
                <w:lang w:val="en-US" w:eastAsia="zh-CN" w:bidi="ar-SA"/>
              </w:rPr>
            </w:pPr>
            <w:r>
              <w:rPr>
                <w:rFonts w:hint="eastAsia" w:ascii="Arial" w:hAnsi="Arial" w:eastAsia="宋体" w:cs="Arial"/>
                <w:color w:val="000000"/>
                <w:sz w:val="18"/>
                <w:szCs w:val="18"/>
                <w:lang w:val="en-US" w:eastAsia="zh-CN"/>
              </w:rPr>
              <w:t>2</w:t>
            </w:r>
            <w:r>
              <w:rPr>
                <w:rFonts w:hint="eastAsia" w:ascii="Arial" w:hAnsi="Arial" w:cs="Arial"/>
                <w:color w:val="000000"/>
                <w:sz w:val="18"/>
                <w:szCs w:val="18"/>
                <w:lang w:val="en-US" w:eastAsia="zh-CN"/>
              </w:rPr>
              <w:t>2</w:t>
            </w:r>
            <w:r>
              <w:rPr>
                <w:rFonts w:hint="eastAsia" w:ascii="Arial" w:hAnsi="Arial" w:eastAsia="宋体" w:cs="Arial"/>
                <w:color w:val="000000"/>
                <w:sz w:val="18"/>
                <w:szCs w:val="18"/>
                <w:lang w:val="en-US" w:eastAsia="zh-CN"/>
              </w:rPr>
              <w:t>#楼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w:t>
            </w:r>
            <w:r>
              <w:rPr>
                <w:rFonts w:hint="default" w:ascii="Arial" w:hAnsi="Arial" w:eastAsia="宋体" w:cs="Arial"/>
                <w:color w:val="000000"/>
                <w:sz w:val="18"/>
                <w:szCs w:val="18"/>
                <w:lang w:val="en-US" w:eastAsia="zh-CN"/>
              </w:rPr>
              <w:t>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结构封顶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19</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23#楼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6F/-1F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结构封顶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20</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24#楼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6</w:t>
            </w:r>
            <w:r>
              <w:rPr>
                <w:rFonts w:hint="eastAsia" w:ascii="Arial" w:hAnsi="Arial" w:eastAsia="宋体" w:cs="Arial"/>
                <w:color w:val="000000"/>
                <w:sz w:val="18"/>
                <w:szCs w:val="18"/>
                <w:lang w:val="en-US" w:eastAsia="zh-CN"/>
              </w:rPr>
              <w:t>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旋挖桩浇筑完成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21</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29#楼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6</w:t>
            </w:r>
            <w:r>
              <w:rPr>
                <w:rFonts w:hint="eastAsia" w:ascii="Arial" w:hAnsi="Arial" w:eastAsia="宋体" w:cs="Arial"/>
                <w:color w:val="000000"/>
                <w:sz w:val="18"/>
                <w:szCs w:val="18"/>
                <w:lang w:val="en-US" w:eastAsia="zh-CN"/>
              </w:rPr>
              <w:t>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eastAsia="宋体" w:cs="Arial"/>
                <w:color w:val="000000"/>
                <w:sz w:val="18"/>
                <w:szCs w:val="18"/>
                <w:lang w:val="en-US" w:eastAsia="zh-CN" w:bidi="ar"/>
              </w:rPr>
              <w:t>旋挖桩施工</w:t>
            </w:r>
          </w:p>
        </w:tc>
      </w:tr>
    </w:tbl>
    <w:p>
      <w:pPr>
        <w:keepNext w:val="0"/>
        <w:keepLines w:val="0"/>
        <w:pageBreakBefore w:val="0"/>
        <w:widowControl w:val="0"/>
        <w:kinsoku/>
        <w:wordWrap/>
        <w:overflowPunct/>
        <w:topLinePunct w:val="0"/>
        <w:autoSpaceDE/>
        <w:autoSpaceDN/>
        <w:bidi w:val="0"/>
        <w:adjustRightInd/>
        <w:snapToGrid/>
        <w:spacing w:before="316" w:beforeLines="100" w:line="480" w:lineRule="auto"/>
        <w:textAlignment w:val="auto"/>
        <w:rPr>
          <w:rFonts w:hint="eastAsia" w:ascii="宋体" w:hAnsi="宋体" w:eastAsia="宋体" w:cs="宋体"/>
        </w:rPr>
      </w:pPr>
      <w:r>
        <w:rPr>
          <w:rFonts w:hint="eastAsia" w:ascii="宋体" w:hAnsi="宋体" w:eastAsia="宋体" w:cs="宋体"/>
        </w:rPr>
        <w:t>标的项目现场照片（</w:t>
      </w:r>
      <w:r>
        <w:rPr>
          <w:rFonts w:hint="default" w:ascii="Arial" w:hAnsi="Arial" w:eastAsia="宋体" w:cs="Arial"/>
        </w:rPr>
        <w:t>202</w:t>
      </w:r>
      <w:r>
        <w:rPr>
          <w:rFonts w:hint="eastAsia" w:ascii="Arial" w:hAnsi="Arial" w:cs="Arial"/>
          <w:lang w:val="en-US" w:eastAsia="zh-CN"/>
        </w:rPr>
        <w:t>1</w:t>
      </w:r>
      <w:r>
        <w:rPr>
          <w:rFonts w:hint="eastAsia" w:ascii="宋体" w:hAnsi="宋体" w:eastAsia="宋体" w:cs="宋体"/>
        </w:rPr>
        <w:t>年</w:t>
      </w:r>
      <w:r>
        <w:rPr>
          <w:rFonts w:hint="eastAsia" w:ascii="Arial" w:hAnsi="Arial" w:cs="Arial"/>
          <w:lang w:val="en-US" w:eastAsia="zh-CN"/>
        </w:rPr>
        <w:t>05</w:t>
      </w:r>
      <w:r>
        <w:rPr>
          <w:rFonts w:hint="eastAsia" w:ascii="宋体" w:hAnsi="宋体" w:eastAsia="宋体" w:cs="宋体"/>
        </w:rPr>
        <w:t>月</w:t>
      </w:r>
      <w:r>
        <w:rPr>
          <w:rFonts w:hint="eastAsia" w:ascii="Arial" w:hAnsi="Arial" w:cs="Arial"/>
          <w:lang w:val="en-US" w:eastAsia="zh-CN"/>
        </w:rPr>
        <w:t>27</w:t>
      </w:r>
      <w:r>
        <w:rPr>
          <w:rFonts w:hint="eastAsia" w:ascii="宋体" w:hAnsi="宋体" w:eastAsia="宋体" w:cs="宋体"/>
        </w:rPr>
        <w:t>日</w:t>
      </w:r>
      <w:r>
        <w:rPr>
          <w:rFonts w:hint="eastAsia" w:ascii="宋体" w:hAnsi="宋体" w:cs="宋体"/>
          <w:lang w:val="en-US" w:eastAsia="zh-CN"/>
        </w:rPr>
        <w:t>拍摄</w:t>
      </w:r>
      <w:r>
        <w:rPr>
          <w:rFonts w:hint="eastAsia" w:ascii="宋体" w:hAnsi="宋体" w:eastAsia="宋体" w:cs="宋体"/>
        </w:rPr>
        <w:t>）：</w:t>
      </w:r>
    </w:p>
    <w:p>
      <w:pPr>
        <w:ind w:left="2100" w:hanging="2100" w:hangingChars="1000"/>
        <w:jc w:val="both"/>
        <w:rPr>
          <w:rFonts w:hint="default" w:eastAsia="宋体"/>
          <w:lang w:val="en-US" w:eastAsia="zh-CN"/>
        </w:rPr>
      </w:pPr>
      <w:r>
        <w:rPr>
          <w:rFonts w:cs="宋体"/>
        </w:rPr>
        <w:drawing>
          <wp:inline distT="0" distB="0" distL="0" distR="0">
            <wp:extent cx="2736215" cy="2160270"/>
            <wp:effectExtent l="0" t="0" r="6985" b="3810"/>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36215" cy="2160270"/>
                    </a:xfrm>
                    <a:prstGeom prst="rect">
                      <a:avLst/>
                    </a:prstGeom>
                    <a:noFill/>
                    <a:ln>
                      <a:noFill/>
                    </a:ln>
                  </pic:spPr>
                </pic:pic>
              </a:graphicData>
            </a:graphic>
          </wp:inline>
        </w:drawing>
      </w:r>
      <w:r>
        <w:rPr>
          <w:rFonts w:hint="eastAsia"/>
          <w:lang w:val="en-US" w:eastAsia="zh-CN"/>
        </w:rPr>
        <w:t xml:space="preserve">     </w:t>
      </w:r>
      <w:r>
        <w:rPr>
          <w:rFonts w:cs="宋体"/>
        </w:rPr>
        <w:drawing>
          <wp:inline distT="0" distB="0" distL="0" distR="0">
            <wp:extent cx="2736215" cy="2160270"/>
            <wp:effectExtent l="0" t="0" r="6985" b="3810"/>
            <wp:docPr id="25" name="图片 25"/>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736215" cy="2160270"/>
                    </a:xfrm>
                    <a:prstGeom prst="rect">
                      <a:avLst/>
                    </a:prstGeom>
                    <a:noFill/>
                    <a:ln>
                      <a:noFill/>
                    </a:ln>
                  </pic:spPr>
                </pic:pic>
              </a:graphicData>
            </a:graphic>
          </wp:inline>
        </w:drawing>
      </w:r>
    </w:p>
    <w:p>
      <w:pPr>
        <w:ind w:firstLine="1265" w:firstLineChars="700"/>
        <w:jc w:val="both"/>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一</w:t>
      </w:r>
      <w:r>
        <w:rPr>
          <w:rFonts w:hint="eastAsia" w:ascii="宋体" w:hAnsi="宋体" w:eastAsia="宋体" w:cs="宋体"/>
          <w:b/>
          <w:bCs/>
          <w:sz w:val="18"/>
          <w:szCs w:val="18"/>
        </w:rPr>
        <w:t>期</w:t>
      </w:r>
      <w:r>
        <w:rPr>
          <w:rFonts w:hint="eastAsia" w:ascii="宋体" w:hAnsi="宋体" w:eastAsia="宋体" w:cs="宋体"/>
          <w:b/>
          <w:bCs/>
          <w:sz w:val="18"/>
          <w:szCs w:val="18"/>
          <w:lang w:eastAsia="zh-CN"/>
        </w:rPr>
        <w:t>（</w:t>
      </w:r>
      <w:r>
        <w:rPr>
          <w:rFonts w:hint="default" w:ascii="Arial" w:hAnsi="Arial" w:eastAsia="宋体" w:cs="Arial"/>
          <w:b/>
          <w:bCs/>
          <w:sz w:val="18"/>
          <w:szCs w:val="18"/>
          <w:lang w:val="en-US" w:eastAsia="zh-CN"/>
        </w:rPr>
        <w:t>W09-1/04</w:t>
      </w:r>
      <w:r>
        <w:rPr>
          <w:rFonts w:hint="eastAsia" w:ascii="宋体" w:hAnsi="宋体" w:eastAsia="宋体" w:cs="宋体"/>
          <w:b/>
          <w:bCs/>
          <w:sz w:val="18"/>
          <w:szCs w:val="18"/>
          <w:lang w:val="en-US" w:eastAsia="zh-CN"/>
        </w:rPr>
        <w:t>地块）</w:t>
      </w:r>
      <w:r>
        <w:rPr>
          <w:rFonts w:hint="eastAsia" w:ascii="宋体" w:hAnsi="宋体" w:cs="宋体"/>
          <w:b/>
          <w:bCs/>
          <w:sz w:val="18"/>
          <w:szCs w:val="18"/>
          <w:lang w:val="en-US" w:eastAsia="zh-CN"/>
        </w:rPr>
        <w:t xml:space="preserve">                                  </w:t>
      </w:r>
      <w:r>
        <w:rPr>
          <w:rFonts w:hint="eastAsia" w:ascii="宋体" w:hAnsi="宋体" w:eastAsia="宋体" w:cs="宋体"/>
          <w:b/>
          <w:bCs/>
          <w:sz w:val="18"/>
          <w:szCs w:val="18"/>
          <w:lang w:val="en-US" w:eastAsia="zh-CN"/>
        </w:rPr>
        <w:t>二期（</w:t>
      </w:r>
      <w:r>
        <w:rPr>
          <w:rFonts w:hint="default" w:ascii="Arial" w:hAnsi="Arial" w:eastAsia="宋体" w:cs="Arial"/>
          <w:b/>
          <w:bCs/>
          <w:sz w:val="18"/>
          <w:szCs w:val="18"/>
          <w:lang w:val="en-US" w:eastAsia="zh-CN"/>
        </w:rPr>
        <w:t>W08-4/05</w:t>
      </w:r>
      <w:r>
        <w:rPr>
          <w:rFonts w:hint="eastAsia" w:ascii="宋体" w:hAnsi="宋体" w:eastAsia="宋体" w:cs="宋体"/>
          <w:b/>
          <w:bCs/>
          <w:sz w:val="18"/>
          <w:szCs w:val="18"/>
          <w:lang w:val="en-US" w:eastAsia="zh-CN"/>
        </w:rPr>
        <w:t>地块）</w:t>
      </w: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Arial" w:hAnsi="Arial" w:eastAsia="宋体" w:cs="Arial"/>
          <w:b/>
          <w:bCs/>
          <w:kern w:val="44"/>
          <w:sz w:val="24"/>
          <w:szCs w:val="24"/>
          <w:lang w:val="en-US" w:eastAsia="zh-CN" w:bidi="ar-SA"/>
        </w:rPr>
      </w:pPr>
      <w:bookmarkStart w:id="18" w:name="_Toc6513"/>
      <w:bookmarkStart w:id="19" w:name="_Toc14957"/>
      <w:bookmarkStart w:id="20" w:name="_Toc8868"/>
      <w:bookmarkStart w:id="21" w:name="_Toc31176"/>
      <w:bookmarkStart w:id="22" w:name="_Toc23808"/>
      <w:bookmarkStart w:id="23" w:name="_Toc24230"/>
      <w:bookmarkStart w:id="24" w:name="_Toc11786"/>
      <w:r>
        <w:rPr>
          <w:rFonts w:hint="default" w:ascii="Arial" w:hAnsi="Arial" w:eastAsia="宋体" w:cs="Arial"/>
          <w:b/>
          <w:bCs/>
          <w:kern w:val="44"/>
          <w:sz w:val="24"/>
          <w:szCs w:val="24"/>
          <w:lang w:val="en-US" w:eastAsia="zh-CN" w:bidi="ar-SA"/>
        </w:rPr>
        <w:t>3.3</w:t>
      </w:r>
      <w:r>
        <w:rPr>
          <w:rFonts w:hint="eastAsia" w:ascii="Arial" w:hAnsi="Arial" w:eastAsia="宋体" w:cs="Arial"/>
          <w:b/>
          <w:bCs/>
          <w:kern w:val="44"/>
          <w:sz w:val="24"/>
          <w:szCs w:val="24"/>
          <w:lang w:val="en-US" w:eastAsia="zh-CN" w:bidi="ar-SA"/>
        </w:rPr>
        <w:t>项目</w:t>
      </w:r>
      <w:bookmarkEnd w:id="18"/>
      <w:bookmarkEnd w:id="19"/>
      <w:bookmarkEnd w:id="20"/>
      <w:bookmarkEnd w:id="21"/>
      <w:bookmarkEnd w:id="22"/>
      <w:bookmarkEnd w:id="23"/>
      <w:r>
        <w:rPr>
          <w:rFonts w:hint="eastAsia" w:ascii="Arial" w:hAnsi="Arial" w:eastAsia="宋体" w:cs="Arial"/>
          <w:b/>
          <w:bCs/>
          <w:kern w:val="44"/>
          <w:sz w:val="24"/>
          <w:szCs w:val="24"/>
          <w:lang w:val="en-US" w:eastAsia="zh-CN" w:bidi="ar-SA"/>
        </w:rPr>
        <w:t>开发进度节点</w:t>
      </w:r>
      <w:bookmarkEnd w:id="24"/>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1"/>
        <w:rPr>
          <w:rFonts w:hint="eastAsia" w:ascii="宋体" w:hAnsi="宋体" w:eastAsia="宋体" w:cs="宋体"/>
          <w:b/>
          <w:bCs/>
          <w:sz w:val="21"/>
          <w:szCs w:val="21"/>
          <w:lang w:val="en-US" w:eastAsia="zh-CN"/>
        </w:rPr>
      </w:pPr>
      <w:bookmarkStart w:id="25" w:name="_Toc12901"/>
      <w:r>
        <w:rPr>
          <w:rFonts w:hint="eastAsia" w:ascii="宋体" w:hAnsi="宋体" w:eastAsia="宋体" w:cs="宋体"/>
          <w:b/>
          <w:bCs/>
          <w:sz w:val="21"/>
          <w:szCs w:val="21"/>
          <w:lang w:val="en-US" w:eastAsia="zh-CN"/>
        </w:rPr>
        <w:t>项目开发进度时间节点</w:t>
      </w:r>
      <w:bookmarkEnd w:id="25"/>
    </w:p>
    <w:tbl>
      <w:tblPr>
        <w:tblStyle w:val="9"/>
        <w:tblW w:w="9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1275"/>
        <w:gridCol w:w="971"/>
        <w:gridCol w:w="1143"/>
        <w:gridCol w:w="1140"/>
        <w:gridCol w:w="1138"/>
        <w:gridCol w:w="1160"/>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351" w:type="dxa"/>
            <w:gridSpan w:val="2"/>
            <w:vAlign w:val="center"/>
          </w:tcPr>
          <w:p>
            <w:pPr>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运营节点</w:t>
            </w:r>
          </w:p>
        </w:tc>
        <w:tc>
          <w:tcPr>
            <w:tcW w:w="2114" w:type="dxa"/>
            <w:gridSpan w:val="2"/>
            <w:vAlign w:val="center"/>
          </w:tcPr>
          <w:p>
            <w:pPr>
              <w:jc w:val="center"/>
              <w:textAlignment w:val="center"/>
              <w:rPr>
                <w:rFonts w:hint="eastAsia" w:ascii="宋体" w:hAnsi="宋体" w:eastAsia="宋体" w:cs="宋体"/>
                <w:b/>
                <w:bCs/>
                <w:color w:val="000000"/>
                <w:sz w:val="18"/>
                <w:szCs w:val="18"/>
                <w:lang w:eastAsia="zh-CN"/>
              </w:rPr>
            </w:pPr>
            <w:r>
              <w:rPr>
                <w:rFonts w:hint="eastAsia" w:ascii="宋体" w:hAnsi="宋体" w:eastAsia="宋体" w:cs="宋体"/>
                <w:b/>
                <w:bCs/>
                <w:color w:val="000000"/>
                <w:sz w:val="18"/>
                <w:szCs w:val="18"/>
                <w:lang w:val="en-US" w:eastAsia="zh-CN"/>
              </w:rPr>
              <w:t>一期（</w:t>
            </w:r>
            <w:r>
              <w:rPr>
                <w:rFonts w:hint="default" w:ascii="Arial" w:hAnsi="Arial" w:eastAsia="宋体" w:cs="Arial"/>
                <w:b/>
                <w:bCs/>
                <w:color w:val="000000"/>
                <w:sz w:val="18"/>
                <w:szCs w:val="18"/>
                <w:lang w:val="en-US" w:eastAsia="zh-CN"/>
              </w:rPr>
              <w:t>W09-1/04</w:t>
            </w:r>
            <w:r>
              <w:rPr>
                <w:rFonts w:hint="eastAsia" w:ascii="宋体" w:hAnsi="宋体" w:eastAsia="宋体" w:cs="宋体"/>
                <w:b/>
                <w:bCs/>
                <w:color w:val="000000"/>
                <w:sz w:val="18"/>
                <w:szCs w:val="18"/>
                <w:lang w:val="en-US" w:eastAsia="zh-CN"/>
              </w:rPr>
              <w:t>地块）</w:t>
            </w:r>
          </w:p>
        </w:tc>
        <w:tc>
          <w:tcPr>
            <w:tcW w:w="2278" w:type="dxa"/>
            <w:gridSpan w:val="2"/>
            <w:vAlign w:val="center"/>
          </w:tcPr>
          <w:p>
            <w:pPr>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二期（</w:t>
            </w:r>
            <w:r>
              <w:rPr>
                <w:rFonts w:hint="eastAsia" w:ascii="Arial" w:hAnsi="Arial" w:eastAsia="宋体" w:cs="Arial"/>
                <w:b/>
                <w:bCs/>
                <w:color w:val="000000"/>
                <w:sz w:val="18"/>
                <w:szCs w:val="18"/>
                <w:lang w:val="en-US" w:eastAsia="zh-CN"/>
              </w:rPr>
              <w:t>W08-4/05</w:t>
            </w:r>
            <w:r>
              <w:rPr>
                <w:rFonts w:hint="eastAsia" w:ascii="宋体" w:hAnsi="宋体" w:eastAsia="宋体" w:cs="宋体"/>
                <w:b/>
                <w:bCs/>
                <w:color w:val="000000"/>
                <w:sz w:val="18"/>
                <w:szCs w:val="18"/>
                <w:lang w:val="en-US" w:eastAsia="zh-CN"/>
              </w:rPr>
              <w:t>地块）</w:t>
            </w:r>
          </w:p>
        </w:tc>
        <w:tc>
          <w:tcPr>
            <w:tcW w:w="2289" w:type="dxa"/>
            <w:gridSpan w:val="2"/>
            <w:vAlign w:val="center"/>
          </w:tcPr>
          <w:p>
            <w:pPr>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三期（</w:t>
            </w:r>
            <w:r>
              <w:rPr>
                <w:rFonts w:hint="eastAsia" w:ascii="Arial" w:hAnsi="Arial" w:eastAsia="宋体" w:cs="Arial"/>
                <w:b/>
                <w:bCs/>
                <w:color w:val="000000"/>
                <w:sz w:val="18"/>
                <w:szCs w:val="18"/>
                <w:lang w:val="en-US" w:eastAsia="zh-CN"/>
              </w:rPr>
              <w:t>W08-3/05</w:t>
            </w:r>
            <w:r>
              <w:rPr>
                <w:rFonts w:hint="eastAsia" w:ascii="宋体" w:hAnsi="宋体" w:eastAsia="宋体" w:cs="宋体"/>
                <w:b/>
                <w:bCs/>
                <w:color w:val="000000"/>
                <w:sz w:val="18"/>
                <w:szCs w:val="18"/>
                <w:lang w:val="en-US" w:eastAsia="zh-CN"/>
              </w:rPr>
              <w:t>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土地移交</w:t>
            </w:r>
          </w:p>
        </w:tc>
        <w:tc>
          <w:tcPr>
            <w:tcW w:w="2114"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default" w:ascii="Arial" w:hAnsi="Arial" w:eastAsia="宋体" w:cs="Arial"/>
                <w:color w:val="000000"/>
                <w:sz w:val="18"/>
                <w:szCs w:val="18"/>
                <w:lang w:val="en-US" w:eastAsia="zh-CN"/>
              </w:rPr>
              <w:t>2020</w:t>
            </w:r>
            <w:r>
              <w:rPr>
                <w:rFonts w:hint="eastAsia" w:ascii="宋体" w:hAnsi="宋体" w:eastAsia="宋体" w:cs="宋体"/>
                <w:color w:val="000000"/>
                <w:sz w:val="18"/>
                <w:szCs w:val="18"/>
                <w:lang w:val="en-US" w:eastAsia="zh-CN"/>
              </w:rPr>
              <w:t>年</w:t>
            </w:r>
            <w:r>
              <w:rPr>
                <w:rFonts w:hint="default" w:ascii="Arial" w:hAnsi="Arial" w:eastAsia="宋体" w:cs="Arial"/>
                <w:color w:val="000000"/>
                <w:sz w:val="18"/>
                <w:szCs w:val="18"/>
                <w:lang w:val="en-US" w:eastAsia="zh-CN"/>
              </w:rPr>
              <w:t>07</w:t>
            </w:r>
            <w:r>
              <w:rPr>
                <w:rFonts w:hint="eastAsia" w:ascii="宋体" w:hAnsi="宋体" w:eastAsia="宋体" w:cs="宋体"/>
                <w:color w:val="000000"/>
                <w:sz w:val="18"/>
                <w:szCs w:val="18"/>
                <w:lang w:val="en-US" w:eastAsia="zh-CN"/>
              </w:rPr>
              <w:t>月</w:t>
            </w:r>
          </w:p>
        </w:tc>
        <w:tc>
          <w:tcPr>
            <w:tcW w:w="2278" w:type="dxa"/>
            <w:gridSpan w:val="2"/>
            <w:vAlign w:val="center"/>
          </w:tcPr>
          <w:p>
            <w:pPr>
              <w:jc w:val="center"/>
              <w:textAlignment w:val="center"/>
              <w:rPr>
                <w:rFonts w:hint="eastAsia" w:ascii="宋体" w:hAnsi="宋体" w:eastAsia="宋体" w:cs="宋体"/>
                <w:color w:val="000000"/>
                <w:sz w:val="18"/>
                <w:szCs w:val="18"/>
              </w:rPr>
            </w:pPr>
          </w:p>
        </w:tc>
        <w:tc>
          <w:tcPr>
            <w:tcW w:w="2289" w:type="dxa"/>
            <w:gridSpan w:val="2"/>
            <w:vAlign w:val="center"/>
          </w:tcPr>
          <w:p>
            <w:pPr>
              <w:jc w:val="center"/>
              <w:textAlignment w:val="center"/>
              <w:rPr>
                <w:rFonts w:hint="eastAsia" w:ascii="宋体" w:hAnsi="宋体" w:eastAsia="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取得施工证</w:t>
            </w:r>
          </w:p>
        </w:tc>
        <w:tc>
          <w:tcPr>
            <w:tcW w:w="2114"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Arial" w:hAnsi="Arial" w:eastAsia="宋体" w:cs="Arial"/>
                <w:color w:val="000000"/>
                <w:sz w:val="18"/>
                <w:szCs w:val="18"/>
                <w:lang w:val="en-US" w:eastAsia="zh-CN"/>
              </w:rPr>
              <w:t>2021年02月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2021年02月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2021年07月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取得预售证</w:t>
            </w:r>
          </w:p>
        </w:tc>
        <w:tc>
          <w:tcPr>
            <w:tcW w:w="2114"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2021年03月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2021年03月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2021年09月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主体封顶</w:t>
            </w:r>
          </w:p>
        </w:tc>
        <w:tc>
          <w:tcPr>
            <w:tcW w:w="2114"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2021年12月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2021年12月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2022年11月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竣工备案</w:t>
            </w:r>
          </w:p>
        </w:tc>
        <w:tc>
          <w:tcPr>
            <w:tcW w:w="2114"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2022年07月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2022年07月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2023年08月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毛坯/改造交付</w:t>
            </w:r>
          </w:p>
        </w:tc>
        <w:tc>
          <w:tcPr>
            <w:tcW w:w="2114"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2022年08月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2022年08月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2023年09月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工程结算</w:t>
            </w:r>
          </w:p>
        </w:tc>
        <w:tc>
          <w:tcPr>
            <w:tcW w:w="2114"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2024年04月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2024年04月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2024年04月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6"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产品类型</w:t>
            </w:r>
          </w:p>
        </w:tc>
        <w:tc>
          <w:tcPr>
            <w:tcW w:w="1275"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建筑面积</w:t>
            </w:r>
            <w:r>
              <w:rPr>
                <w:rFonts w:hint="eastAsia" w:ascii="宋体" w:hAnsi="宋体" w:cs="宋体"/>
                <w:color w:val="000000"/>
                <w:sz w:val="18"/>
                <w:szCs w:val="18"/>
                <w:lang w:val="en-US" w:eastAsia="zh-CN"/>
              </w:rPr>
              <w:t>(</w:t>
            </w:r>
            <w:r>
              <w:rPr>
                <w:rFonts w:hint="default" w:ascii="Arial" w:hAnsi="Arial" w:eastAsia="宋体" w:cs="Arial"/>
                <w:color w:val="000000"/>
                <w:sz w:val="18"/>
                <w:szCs w:val="18"/>
                <w:lang w:val="en-US" w:eastAsia="zh-CN"/>
              </w:rPr>
              <w:t>㎡</w:t>
            </w:r>
            <w:r>
              <w:rPr>
                <w:rFonts w:hint="eastAsia" w:ascii="宋体" w:hAnsi="宋体" w:eastAsia="宋体" w:cs="宋体"/>
                <w:color w:val="000000"/>
                <w:sz w:val="18"/>
                <w:szCs w:val="18"/>
                <w:lang w:val="en-US" w:eastAsia="zh-CN"/>
              </w:rPr>
              <w:t>）</w:t>
            </w:r>
          </w:p>
        </w:tc>
        <w:tc>
          <w:tcPr>
            <w:tcW w:w="971"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可售面积（㎡）</w:t>
            </w:r>
          </w:p>
        </w:tc>
        <w:tc>
          <w:tcPr>
            <w:tcW w:w="1143"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项目开工</w:t>
            </w:r>
          </w:p>
        </w:tc>
        <w:tc>
          <w:tcPr>
            <w:tcW w:w="1140"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主体开工</w:t>
            </w:r>
          </w:p>
        </w:tc>
        <w:tc>
          <w:tcPr>
            <w:tcW w:w="1138"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开盘</w:t>
            </w:r>
          </w:p>
        </w:tc>
        <w:tc>
          <w:tcPr>
            <w:tcW w:w="1160"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竣工备案</w:t>
            </w:r>
          </w:p>
        </w:tc>
        <w:tc>
          <w:tcPr>
            <w:tcW w:w="1129"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毛坯入伙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6"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洋房（一期暂定）</w:t>
            </w:r>
          </w:p>
        </w:tc>
        <w:tc>
          <w:tcPr>
            <w:tcW w:w="1275" w:type="dxa"/>
            <w:vAlign w:val="center"/>
          </w:tcPr>
          <w:p>
            <w:pPr>
              <w:jc w:val="center"/>
              <w:rPr>
                <w:rFonts w:hint="eastAsia" w:ascii="宋体" w:hAnsi="宋体" w:eastAsia="宋体" w:cs="宋体"/>
                <w:bCs/>
                <w:sz w:val="18"/>
                <w:szCs w:val="18"/>
                <w:lang w:val="en-US" w:eastAsia="zh-CN" w:bidi="ar-SA"/>
              </w:rPr>
            </w:pPr>
            <w:r>
              <w:rPr>
                <w:rFonts w:hint="default" w:ascii="Arial" w:hAnsi="Arial" w:eastAsia="宋体" w:cs="Arial"/>
                <w:bCs/>
                <w:sz w:val="18"/>
                <w:szCs w:val="18"/>
              </w:rPr>
              <w:t>43867.19</w:t>
            </w:r>
          </w:p>
        </w:tc>
        <w:tc>
          <w:tcPr>
            <w:tcW w:w="971"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42284.05</w:t>
            </w:r>
          </w:p>
        </w:tc>
        <w:tc>
          <w:tcPr>
            <w:tcW w:w="1143"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2020/</w:t>
            </w:r>
            <w:r>
              <w:rPr>
                <w:rFonts w:hint="eastAsia" w:ascii="Arial" w:hAnsi="Arial" w:cs="Arial"/>
                <w:bCs/>
                <w:sz w:val="18"/>
                <w:szCs w:val="18"/>
                <w:lang w:val="en-US" w:eastAsia="zh-CN"/>
              </w:rPr>
              <w:t>09</w:t>
            </w:r>
            <w:r>
              <w:rPr>
                <w:rFonts w:hint="eastAsia" w:ascii="Arial" w:hAnsi="Arial" w:eastAsia="宋体" w:cs="Arial"/>
                <w:bCs/>
                <w:sz w:val="18"/>
                <w:szCs w:val="18"/>
              </w:rPr>
              <w:t>/</w:t>
            </w:r>
            <w:r>
              <w:rPr>
                <w:rFonts w:hint="eastAsia" w:ascii="Arial" w:hAnsi="Arial" w:cs="Arial"/>
                <w:bCs/>
                <w:sz w:val="18"/>
                <w:szCs w:val="18"/>
                <w:lang w:val="en-US" w:eastAsia="zh-CN"/>
              </w:rPr>
              <w:t>09</w:t>
            </w:r>
          </w:p>
        </w:tc>
        <w:tc>
          <w:tcPr>
            <w:tcW w:w="114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2020/11/</w:t>
            </w:r>
            <w:r>
              <w:rPr>
                <w:rFonts w:hint="eastAsia" w:ascii="Arial" w:hAnsi="Arial" w:cs="Arial"/>
                <w:bCs/>
                <w:sz w:val="18"/>
                <w:szCs w:val="18"/>
                <w:lang w:val="en-US" w:eastAsia="zh-CN"/>
              </w:rPr>
              <w:t>0</w:t>
            </w:r>
            <w:r>
              <w:rPr>
                <w:rFonts w:hint="eastAsia" w:ascii="Arial" w:hAnsi="Arial" w:eastAsia="宋体" w:cs="Arial"/>
                <w:bCs/>
                <w:sz w:val="18"/>
                <w:szCs w:val="18"/>
              </w:rPr>
              <w:t>3</w:t>
            </w:r>
          </w:p>
        </w:tc>
        <w:tc>
          <w:tcPr>
            <w:tcW w:w="1138"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0</w:t>
            </w:r>
            <w:r>
              <w:rPr>
                <w:rFonts w:hint="eastAsia" w:ascii="Arial" w:hAnsi="Arial" w:eastAsia="宋体" w:cs="Arial"/>
                <w:bCs/>
                <w:sz w:val="18"/>
                <w:szCs w:val="18"/>
              </w:rPr>
              <w:t>1/30</w:t>
            </w:r>
          </w:p>
        </w:tc>
        <w:tc>
          <w:tcPr>
            <w:tcW w:w="116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2022/</w:t>
            </w:r>
            <w:r>
              <w:rPr>
                <w:rFonts w:hint="eastAsia" w:ascii="Arial" w:hAnsi="Arial" w:cs="Arial"/>
                <w:bCs/>
                <w:sz w:val="18"/>
                <w:szCs w:val="18"/>
                <w:lang w:val="en-US" w:eastAsia="zh-CN"/>
              </w:rPr>
              <w:t>07</w:t>
            </w:r>
            <w:r>
              <w:rPr>
                <w:rFonts w:hint="eastAsia" w:ascii="Arial" w:hAnsi="Arial" w:eastAsia="宋体" w:cs="Arial"/>
                <w:bCs/>
                <w:sz w:val="18"/>
                <w:szCs w:val="18"/>
              </w:rPr>
              <w:t>/30</w:t>
            </w:r>
          </w:p>
        </w:tc>
        <w:tc>
          <w:tcPr>
            <w:tcW w:w="1129"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2022/</w:t>
            </w:r>
            <w:r>
              <w:rPr>
                <w:rFonts w:hint="eastAsia" w:ascii="Arial" w:hAnsi="Arial" w:cs="Arial"/>
                <w:bCs/>
                <w:sz w:val="18"/>
                <w:szCs w:val="18"/>
                <w:lang w:val="en-US" w:eastAsia="zh-CN"/>
              </w:rPr>
              <w:t>08</w:t>
            </w:r>
            <w:r>
              <w:rPr>
                <w:rFonts w:hint="eastAsia" w:ascii="Arial" w:hAnsi="Arial" w:eastAsia="宋体" w:cs="Arial"/>
                <w:bCs/>
                <w:sz w:val="18"/>
                <w:szCs w:val="18"/>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076"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洋房/洋墅（二期暂定）</w:t>
            </w:r>
          </w:p>
        </w:tc>
        <w:tc>
          <w:tcPr>
            <w:tcW w:w="1275"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102684.03</w:t>
            </w:r>
          </w:p>
        </w:tc>
        <w:tc>
          <w:tcPr>
            <w:tcW w:w="971" w:type="dxa"/>
            <w:vAlign w:val="center"/>
          </w:tcPr>
          <w:p>
            <w:pPr>
              <w:jc w:val="center"/>
              <w:rPr>
                <w:rFonts w:hint="default" w:ascii="Arial" w:hAnsi="Arial" w:eastAsia="宋体" w:cs="Arial"/>
                <w:bCs/>
                <w:sz w:val="18"/>
                <w:szCs w:val="18"/>
                <w:lang w:val="en-US" w:eastAsia="zh-CN"/>
              </w:rPr>
            </w:pPr>
            <w:r>
              <w:rPr>
                <w:rFonts w:hint="eastAsia" w:ascii="Arial" w:hAnsi="Arial" w:eastAsia="宋体" w:cs="Arial"/>
                <w:bCs/>
                <w:sz w:val="18"/>
                <w:szCs w:val="18"/>
              </w:rPr>
              <w:t>98851</w:t>
            </w:r>
            <w:r>
              <w:rPr>
                <w:rFonts w:hint="eastAsia" w:ascii="Arial" w:hAnsi="Arial" w:cs="Arial"/>
                <w:bCs/>
                <w:sz w:val="18"/>
                <w:szCs w:val="18"/>
                <w:lang w:val="en-US" w:eastAsia="zh-CN"/>
              </w:rPr>
              <w:t>.00</w:t>
            </w:r>
          </w:p>
        </w:tc>
        <w:tc>
          <w:tcPr>
            <w:tcW w:w="1143"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2020/11/12</w:t>
            </w:r>
          </w:p>
        </w:tc>
        <w:tc>
          <w:tcPr>
            <w:tcW w:w="114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03</w:t>
            </w:r>
            <w:r>
              <w:rPr>
                <w:rFonts w:hint="eastAsia" w:ascii="Arial" w:hAnsi="Arial" w:eastAsia="宋体" w:cs="Arial"/>
                <w:bCs/>
                <w:sz w:val="18"/>
                <w:szCs w:val="18"/>
              </w:rPr>
              <w:t>/30</w:t>
            </w:r>
          </w:p>
        </w:tc>
        <w:tc>
          <w:tcPr>
            <w:tcW w:w="1138"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06</w:t>
            </w:r>
            <w:r>
              <w:rPr>
                <w:rFonts w:hint="eastAsia" w:ascii="Arial" w:hAnsi="Arial" w:eastAsia="宋体" w:cs="Arial"/>
                <w:bCs/>
                <w:sz w:val="18"/>
                <w:szCs w:val="18"/>
              </w:rPr>
              <w:t>/29</w:t>
            </w:r>
          </w:p>
        </w:tc>
        <w:tc>
          <w:tcPr>
            <w:tcW w:w="116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2023/</w:t>
            </w:r>
            <w:r>
              <w:rPr>
                <w:rFonts w:hint="eastAsia" w:ascii="Arial" w:hAnsi="Arial" w:cs="Arial"/>
                <w:bCs/>
                <w:sz w:val="18"/>
                <w:szCs w:val="18"/>
                <w:lang w:val="en-US" w:eastAsia="zh-CN"/>
              </w:rPr>
              <w:t>05</w:t>
            </w:r>
            <w:r>
              <w:rPr>
                <w:rFonts w:hint="eastAsia" w:ascii="Arial" w:hAnsi="Arial" w:eastAsia="宋体" w:cs="Arial"/>
                <w:bCs/>
                <w:sz w:val="18"/>
                <w:szCs w:val="18"/>
              </w:rPr>
              <w:t>/14</w:t>
            </w:r>
          </w:p>
        </w:tc>
        <w:tc>
          <w:tcPr>
            <w:tcW w:w="1129"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2023/</w:t>
            </w:r>
            <w:r>
              <w:rPr>
                <w:rFonts w:hint="eastAsia" w:ascii="Arial" w:hAnsi="Arial" w:cs="Arial"/>
                <w:bCs/>
                <w:sz w:val="18"/>
                <w:szCs w:val="18"/>
                <w:lang w:val="en-US" w:eastAsia="zh-CN"/>
              </w:rPr>
              <w:t>06</w:t>
            </w:r>
            <w:r>
              <w:rPr>
                <w:rFonts w:hint="eastAsia" w:ascii="Arial" w:hAnsi="Arial" w:eastAsia="宋体" w:cs="Arial"/>
                <w:bCs/>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6"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洋房（三期暂定）</w:t>
            </w:r>
          </w:p>
        </w:tc>
        <w:tc>
          <w:tcPr>
            <w:tcW w:w="1275" w:type="dxa"/>
            <w:vAlign w:val="center"/>
          </w:tcPr>
          <w:p>
            <w:pPr>
              <w:jc w:val="center"/>
              <w:rPr>
                <w:rFonts w:hint="default" w:ascii="Arial" w:hAnsi="Arial" w:eastAsia="宋体" w:cs="Arial"/>
                <w:bCs/>
                <w:sz w:val="18"/>
                <w:szCs w:val="18"/>
                <w:lang w:val="en-US" w:eastAsia="zh-CN"/>
              </w:rPr>
            </w:pPr>
            <w:r>
              <w:rPr>
                <w:rFonts w:hint="eastAsia" w:ascii="Arial" w:hAnsi="Arial" w:eastAsia="宋体" w:cs="Arial"/>
                <w:bCs/>
                <w:sz w:val="18"/>
                <w:szCs w:val="18"/>
              </w:rPr>
              <w:t>101288</w:t>
            </w:r>
            <w:r>
              <w:rPr>
                <w:rFonts w:hint="eastAsia" w:ascii="Arial" w:hAnsi="Arial" w:cs="Arial"/>
                <w:bCs/>
                <w:sz w:val="18"/>
                <w:szCs w:val="18"/>
                <w:lang w:val="en-US" w:eastAsia="zh-CN"/>
              </w:rPr>
              <w:t>.00</w:t>
            </w:r>
          </w:p>
        </w:tc>
        <w:tc>
          <w:tcPr>
            <w:tcW w:w="971" w:type="dxa"/>
            <w:vAlign w:val="center"/>
          </w:tcPr>
          <w:p>
            <w:pPr>
              <w:jc w:val="center"/>
              <w:rPr>
                <w:rFonts w:hint="default" w:ascii="Arial" w:hAnsi="Arial" w:eastAsia="宋体" w:cs="Arial"/>
                <w:bCs/>
                <w:sz w:val="18"/>
                <w:szCs w:val="18"/>
                <w:lang w:val="en-US" w:eastAsia="zh-CN"/>
              </w:rPr>
            </w:pPr>
            <w:r>
              <w:rPr>
                <w:rFonts w:hint="eastAsia" w:ascii="Arial" w:hAnsi="Arial" w:eastAsia="宋体" w:cs="Arial"/>
                <w:bCs/>
                <w:sz w:val="18"/>
                <w:szCs w:val="18"/>
              </w:rPr>
              <w:t>96738</w:t>
            </w:r>
            <w:r>
              <w:rPr>
                <w:rFonts w:hint="eastAsia" w:ascii="Arial" w:hAnsi="Arial" w:cs="Arial"/>
                <w:bCs/>
                <w:sz w:val="18"/>
                <w:szCs w:val="18"/>
                <w:lang w:val="en-US" w:eastAsia="zh-CN"/>
              </w:rPr>
              <w:t>.00</w:t>
            </w:r>
          </w:p>
        </w:tc>
        <w:tc>
          <w:tcPr>
            <w:tcW w:w="1143"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10</w:t>
            </w:r>
            <w:r>
              <w:rPr>
                <w:rFonts w:hint="eastAsia" w:ascii="Arial" w:hAnsi="Arial" w:eastAsia="宋体" w:cs="Arial"/>
                <w:bCs/>
                <w:sz w:val="18"/>
                <w:szCs w:val="18"/>
              </w:rPr>
              <w:t>/23</w:t>
            </w:r>
          </w:p>
        </w:tc>
        <w:tc>
          <w:tcPr>
            <w:tcW w:w="114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w:t>
            </w:r>
            <w:r>
              <w:rPr>
                <w:rFonts w:hint="eastAsia" w:ascii="Arial" w:hAnsi="Arial" w:cs="Arial"/>
                <w:bCs/>
                <w:sz w:val="18"/>
                <w:szCs w:val="18"/>
                <w:lang w:val="en-US" w:eastAsia="zh-CN"/>
              </w:rPr>
              <w:t>2</w:t>
            </w:r>
            <w:r>
              <w:rPr>
                <w:rFonts w:hint="eastAsia" w:ascii="Arial" w:hAnsi="Arial" w:eastAsia="宋体" w:cs="Arial"/>
                <w:bCs/>
                <w:sz w:val="18"/>
                <w:szCs w:val="18"/>
              </w:rPr>
              <w:t>/</w:t>
            </w:r>
            <w:r>
              <w:rPr>
                <w:rFonts w:hint="eastAsia" w:ascii="Arial" w:hAnsi="Arial" w:cs="Arial"/>
                <w:bCs/>
                <w:sz w:val="18"/>
                <w:szCs w:val="18"/>
                <w:lang w:val="en-US" w:eastAsia="zh-CN"/>
              </w:rPr>
              <w:t>0</w:t>
            </w:r>
            <w:r>
              <w:rPr>
                <w:rFonts w:hint="eastAsia" w:ascii="Arial" w:hAnsi="Arial" w:eastAsia="宋体" w:cs="Arial"/>
                <w:bCs/>
                <w:sz w:val="18"/>
                <w:szCs w:val="18"/>
              </w:rPr>
              <w:t>2/11</w:t>
            </w:r>
          </w:p>
        </w:tc>
        <w:tc>
          <w:tcPr>
            <w:tcW w:w="1138"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2022/</w:t>
            </w:r>
            <w:r>
              <w:rPr>
                <w:rFonts w:hint="eastAsia" w:ascii="Arial" w:hAnsi="Arial" w:cs="Arial"/>
                <w:bCs/>
                <w:sz w:val="18"/>
                <w:szCs w:val="18"/>
                <w:lang w:val="en-US" w:eastAsia="zh-CN"/>
              </w:rPr>
              <w:t>04</w:t>
            </w:r>
            <w:r>
              <w:rPr>
                <w:rFonts w:hint="eastAsia" w:ascii="Arial" w:hAnsi="Arial" w:eastAsia="宋体" w:cs="Arial"/>
                <w:bCs/>
                <w:sz w:val="18"/>
                <w:szCs w:val="18"/>
              </w:rPr>
              <w:t>/28</w:t>
            </w:r>
          </w:p>
        </w:tc>
        <w:tc>
          <w:tcPr>
            <w:tcW w:w="116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w:t>
            </w:r>
            <w:r>
              <w:rPr>
                <w:rFonts w:hint="eastAsia" w:ascii="Arial" w:hAnsi="Arial" w:cs="Arial"/>
                <w:bCs/>
                <w:sz w:val="18"/>
                <w:szCs w:val="18"/>
                <w:lang w:val="en-US" w:eastAsia="zh-CN"/>
              </w:rPr>
              <w:t>4/0</w:t>
            </w:r>
            <w:r>
              <w:rPr>
                <w:rFonts w:hint="eastAsia" w:ascii="Arial" w:hAnsi="Arial" w:eastAsia="宋体" w:cs="Arial"/>
                <w:bCs/>
                <w:sz w:val="18"/>
                <w:szCs w:val="18"/>
              </w:rPr>
              <w:t>2/13</w:t>
            </w:r>
          </w:p>
        </w:tc>
        <w:tc>
          <w:tcPr>
            <w:tcW w:w="1129"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2024/</w:t>
            </w:r>
            <w:r>
              <w:rPr>
                <w:rFonts w:hint="eastAsia" w:ascii="Arial" w:hAnsi="Arial" w:cs="Arial"/>
                <w:bCs/>
                <w:sz w:val="18"/>
                <w:szCs w:val="18"/>
                <w:lang w:val="en-US" w:eastAsia="zh-CN"/>
              </w:rPr>
              <w:t>03</w:t>
            </w:r>
            <w:r>
              <w:rPr>
                <w:rFonts w:hint="eastAsia" w:ascii="Arial" w:hAnsi="Arial" w:eastAsia="宋体" w:cs="Arial"/>
                <w:bCs/>
                <w:sz w:val="18"/>
                <w:szCs w:val="18"/>
              </w:rPr>
              <w:t>/14</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26" w:name="_Toc8154"/>
      <w:bookmarkStart w:id="27" w:name="_Toc27874"/>
      <w:r>
        <w:rPr>
          <w:rFonts w:hint="default" w:ascii="Arial" w:hAnsi="Arial" w:eastAsia="宋体" w:cs="Arial"/>
          <w:sz w:val="24"/>
          <w:szCs w:val="24"/>
          <w:lang w:val="en-US" w:eastAsia="zh-CN"/>
        </w:rPr>
        <w:t>4</w:t>
      </w:r>
      <w:r>
        <w:rPr>
          <w:rFonts w:hint="eastAsia" w:ascii="宋体" w:hAnsi="宋体" w:eastAsia="宋体" w:cs="宋体"/>
          <w:sz w:val="24"/>
          <w:szCs w:val="24"/>
          <w:lang w:val="en-US" w:eastAsia="zh-CN"/>
        </w:rPr>
        <w:t>印鉴使用情况</w:t>
      </w:r>
      <w:bookmarkEnd w:id="26"/>
      <w:bookmarkEnd w:id="27"/>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ascii="Arial" w:hAnsi="Arial" w:cs="Arial"/>
          <w:b/>
          <w:bCs/>
          <w:sz w:val="24"/>
          <w:szCs w:val="24"/>
        </w:rPr>
      </w:pPr>
      <w:r>
        <w:rPr>
          <w:rFonts w:hint="eastAsia" w:ascii="宋体" w:hAnsi="宋体" w:cs="宋体"/>
          <w:bCs/>
          <w:kern w:val="44"/>
        </w:rPr>
        <w:t>对于印章的使用，项目公司人员按照监管协议规定，履行印章使用流程，填写印章使用登记表，康</w:t>
      </w:r>
      <w:r>
        <w:rPr>
          <w:rFonts w:hint="eastAsia" w:ascii="宋体" w:hAnsi="宋体" w:cs="宋体"/>
          <w:bCs/>
          <w:kern w:val="44"/>
          <w:lang w:eastAsia="zh-CN"/>
        </w:rPr>
        <w:t>信君安</w:t>
      </w:r>
      <w:r>
        <w:rPr>
          <w:rFonts w:hint="eastAsia" w:ascii="宋体" w:hAnsi="宋体" w:cs="宋体"/>
          <w:bCs/>
          <w:kern w:val="44"/>
        </w:rPr>
        <w:t>监管人员了解用印事由，重大事项</w:t>
      </w:r>
      <w:r>
        <w:rPr>
          <w:rFonts w:hint="eastAsia" w:ascii="宋体" w:hAnsi="宋体" w:cs="宋体"/>
          <w:bCs/>
          <w:kern w:val="44"/>
          <w:lang w:val="en-US" w:eastAsia="zh-CN"/>
        </w:rPr>
        <w:t>由康信君安公司审核后</w:t>
      </w:r>
      <w:r>
        <w:rPr>
          <w:rFonts w:hint="eastAsia" w:ascii="宋体" w:hAnsi="宋体" w:cs="宋体"/>
          <w:bCs/>
          <w:kern w:val="44"/>
        </w:rPr>
        <w:t>通过邮件等方式向</w:t>
      </w:r>
      <w:r>
        <w:rPr>
          <w:rFonts w:hint="eastAsia" w:ascii="宋体" w:hAnsi="宋体" w:cs="宋体"/>
          <w:bCs/>
          <w:kern w:val="44"/>
          <w:lang w:val="en-US" w:eastAsia="zh-CN"/>
        </w:rPr>
        <w:t>光大</w:t>
      </w:r>
      <w:r>
        <w:rPr>
          <w:rFonts w:hint="eastAsia" w:ascii="宋体" w:hAnsi="宋体" w:cs="宋体"/>
          <w:bCs/>
          <w:kern w:val="44"/>
        </w:rPr>
        <w:t>信托有关人员提交用印申请，待</w:t>
      </w:r>
      <w:r>
        <w:rPr>
          <w:rFonts w:hint="eastAsia" w:ascii="宋体" w:hAnsi="宋体" w:cs="宋体"/>
          <w:bCs/>
          <w:kern w:val="44"/>
          <w:lang w:val="en-US" w:eastAsia="zh-CN"/>
        </w:rPr>
        <w:t>光大</w:t>
      </w:r>
      <w:r>
        <w:rPr>
          <w:rFonts w:hint="eastAsia" w:ascii="宋体" w:hAnsi="宋体" w:cs="宋体"/>
          <w:bCs/>
          <w:kern w:val="44"/>
        </w:rPr>
        <w:t>信托有关人员批复后方给予盖章。使用情况详见下表</w:t>
      </w:r>
      <w:r>
        <w:rPr>
          <w:rFonts w:hint="eastAsia" w:ascii="宋体" w:hAnsi="宋体" w:cs="宋体"/>
          <w:bCs/>
          <w:kern w:val="44"/>
          <w:lang w:eastAsia="zh-CN"/>
        </w:rPr>
        <w:t>：</w:t>
      </w:r>
    </w:p>
    <w:p>
      <w:pPr>
        <w:keepNext w:val="0"/>
        <w:keepLines w:val="0"/>
        <w:pageBreakBefore w:val="0"/>
        <w:widowControl w:val="0"/>
        <w:kinsoku/>
        <w:wordWrap/>
        <w:overflowPunct/>
        <w:topLinePunct w:val="0"/>
        <w:autoSpaceDE/>
        <w:autoSpaceDN/>
        <w:bidi w:val="0"/>
        <w:adjustRightInd/>
        <w:snapToGrid/>
        <w:spacing w:before="316" w:beforeLines="100" w:line="240" w:lineRule="auto"/>
        <w:jc w:val="center"/>
        <w:textAlignment w:val="auto"/>
        <w:rPr>
          <w:rFonts w:ascii="Arial" w:hAnsi="Arial" w:cs="Arial"/>
          <w:b/>
          <w:bCs/>
          <w:sz w:val="24"/>
          <w:szCs w:val="24"/>
        </w:rPr>
      </w:pPr>
      <w:r>
        <w:rPr>
          <w:rFonts w:ascii="Arial" w:hAnsi="Arial" w:cs="Arial"/>
          <w:b/>
          <w:bCs/>
          <w:sz w:val="24"/>
          <w:szCs w:val="24"/>
        </w:rPr>
        <w:t>本期印章使用统计表</w:t>
      </w:r>
    </w:p>
    <w:tbl>
      <w:tblPr>
        <w:tblStyle w:val="9"/>
        <w:tblW w:w="9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931"/>
        <w:gridCol w:w="776"/>
        <w:gridCol w:w="1532"/>
        <w:gridCol w:w="4528"/>
        <w:gridCol w:w="800"/>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Header/>
          <w:jc w:val="center"/>
        </w:trPr>
        <w:tc>
          <w:tcPr>
            <w:tcW w:w="931" w:type="dxa"/>
            <w:vAlign w:val="center"/>
          </w:tcPr>
          <w:p>
            <w:pPr>
              <w:jc w:val="center"/>
              <w:rPr>
                <w:rFonts w:hint="eastAsia" w:ascii="宋体" w:hAnsi="宋体" w:eastAsia="宋体" w:cs="宋体"/>
                <w:b/>
                <w:bCs/>
                <w:color w:val="000000"/>
                <w:sz w:val="18"/>
                <w:szCs w:val="18"/>
              </w:rPr>
            </w:pPr>
            <w:r>
              <w:rPr>
                <w:rFonts w:hint="eastAsia" w:ascii="宋体" w:hAnsi="宋体" w:eastAsia="宋体" w:cs="宋体"/>
                <w:b/>
                <w:bCs/>
                <w:sz w:val="18"/>
                <w:szCs w:val="18"/>
              </w:rPr>
              <w:t>日期</w:t>
            </w:r>
          </w:p>
        </w:tc>
        <w:tc>
          <w:tcPr>
            <w:tcW w:w="776" w:type="dxa"/>
            <w:vAlign w:val="center"/>
          </w:tcPr>
          <w:p>
            <w:pPr>
              <w:jc w:val="center"/>
              <w:rPr>
                <w:rFonts w:hint="eastAsia" w:ascii="宋体" w:hAnsi="宋体" w:eastAsia="宋体" w:cs="宋体"/>
                <w:b/>
                <w:bCs/>
                <w:color w:val="000000"/>
                <w:sz w:val="18"/>
                <w:szCs w:val="18"/>
              </w:rPr>
            </w:pPr>
            <w:r>
              <w:rPr>
                <w:rFonts w:hint="eastAsia" w:ascii="宋体" w:hAnsi="宋体" w:eastAsia="宋体" w:cs="宋体"/>
                <w:b/>
                <w:bCs/>
                <w:sz w:val="18"/>
                <w:szCs w:val="18"/>
              </w:rPr>
              <w:t>印鉴名称</w:t>
            </w:r>
          </w:p>
        </w:tc>
        <w:tc>
          <w:tcPr>
            <w:tcW w:w="1532" w:type="dxa"/>
            <w:vAlign w:val="center"/>
          </w:tcPr>
          <w:p>
            <w:pPr>
              <w:jc w:val="center"/>
              <w:rPr>
                <w:rFonts w:hint="eastAsia" w:ascii="宋体" w:hAnsi="宋体" w:eastAsia="宋体" w:cs="宋体"/>
                <w:b/>
                <w:bCs/>
                <w:color w:val="000000"/>
                <w:sz w:val="18"/>
                <w:szCs w:val="18"/>
              </w:rPr>
            </w:pPr>
            <w:r>
              <w:rPr>
                <w:rFonts w:hint="eastAsia" w:ascii="宋体" w:hAnsi="宋体" w:eastAsia="宋体" w:cs="宋体"/>
                <w:b/>
                <w:bCs/>
                <w:sz w:val="18"/>
                <w:szCs w:val="18"/>
              </w:rPr>
              <w:t>用印事由</w:t>
            </w:r>
          </w:p>
        </w:tc>
        <w:tc>
          <w:tcPr>
            <w:tcW w:w="4528" w:type="dxa"/>
            <w:vAlign w:val="center"/>
          </w:tcPr>
          <w:p>
            <w:pPr>
              <w:jc w:val="center"/>
              <w:rPr>
                <w:rFonts w:hint="eastAsia" w:ascii="宋体" w:hAnsi="宋体" w:eastAsia="宋体" w:cs="宋体"/>
                <w:b/>
                <w:bCs/>
                <w:color w:val="000000"/>
                <w:sz w:val="18"/>
                <w:szCs w:val="18"/>
              </w:rPr>
            </w:pPr>
            <w:r>
              <w:rPr>
                <w:rFonts w:hint="eastAsia" w:ascii="宋体" w:hAnsi="宋体" w:eastAsia="宋体" w:cs="宋体"/>
                <w:b/>
                <w:bCs/>
                <w:sz w:val="18"/>
                <w:szCs w:val="18"/>
              </w:rPr>
              <w:t>用印材料及份数</w:t>
            </w:r>
          </w:p>
        </w:tc>
        <w:tc>
          <w:tcPr>
            <w:tcW w:w="800" w:type="dxa"/>
            <w:vAlign w:val="center"/>
          </w:tcPr>
          <w:p>
            <w:pPr>
              <w:jc w:val="center"/>
              <w:rPr>
                <w:rFonts w:hint="eastAsia" w:ascii="宋体" w:hAnsi="宋体" w:eastAsia="宋体" w:cs="宋体"/>
                <w:b/>
                <w:bCs/>
                <w:sz w:val="18"/>
                <w:szCs w:val="18"/>
                <w:lang w:eastAsia="zh-CN"/>
              </w:rPr>
            </w:pPr>
            <w:r>
              <w:rPr>
                <w:rFonts w:hint="eastAsia" w:ascii="宋体" w:hAnsi="宋体" w:eastAsia="宋体" w:cs="宋体"/>
                <w:b/>
                <w:bCs/>
                <w:sz w:val="18"/>
                <w:szCs w:val="18"/>
              </w:rPr>
              <w:t>经办</w:t>
            </w:r>
            <w:r>
              <w:rPr>
                <w:rFonts w:hint="eastAsia" w:ascii="宋体" w:hAnsi="宋体" w:cs="宋体"/>
                <w:b/>
                <w:bCs/>
                <w:sz w:val="18"/>
                <w:szCs w:val="18"/>
                <w:lang w:val="en-US" w:eastAsia="zh-CN"/>
              </w:rPr>
              <w:t>人</w:t>
            </w:r>
          </w:p>
        </w:tc>
        <w:tc>
          <w:tcPr>
            <w:tcW w:w="756" w:type="dxa"/>
            <w:vAlign w:val="center"/>
          </w:tcPr>
          <w:p>
            <w:pPr>
              <w:jc w:val="center"/>
              <w:rPr>
                <w:rFonts w:hint="eastAsia" w:ascii="宋体" w:hAnsi="宋体" w:eastAsia="宋体" w:cs="宋体"/>
                <w:b/>
                <w:bCs/>
                <w:sz w:val="18"/>
                <w:szCs w:val="18"/>
                <w:lang w:eastAsia="zh-CN"/>
              </w:rPr>
            </w:pPr>
            <w:r>
              <w:rPr>
                <w:rFonts w:hint="eastAsia" w:ascii="宋体" w:hAnsi="宋体" w:eastAsia="宋体" w:cs="宋体"/>
                <w:b/>
                <w:bCs/>
                <w:sz w:val="18"/>
                <w:szCs w:val="18"/>
              </w:rPr>
              <w:t>经办</w:t>
            </w:r>
            <w:r>
              <w:rPr>
                <w:rFonts w:hint="eastAsia" w:ascii="宋体" w:hAnsi="宋体" w:cs="宋体"/>
                <w:b/>
                <w:bCs/>
                <w:sz w:val="18"/>
                <w:szCs w:val="18"/>
                <w:lang w:val="en-US" w:eastAsia="zh-CN"/>
              </w:rPr>
              <w:t>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31"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2021/05/07</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关于500份销售收据用印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销售收据（20*25份）</w:t>
            </w:r>
          </w:p>
        </w:tc>
        <w:tc>
          <w:tcPr>
            <w:tcW w:w="800"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周莉</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31"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2021/05/07</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合同章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51套网签合同用印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商品房买卖合同（一户一次性付款51*5份，商贷51*6份、公积金51*7份）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重庆市不动产登记申请书（51*2份）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商品房权属登记授权委托书（51*2份）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增量房交易契税和印花税税务代理协议（51*3份）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41"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2021/05/07</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合同章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2套补充协议用印</w:t>
            </w:r>
          </w:p>
        </w:tc>
        <w:tc>
          <w:tcPr>
            <w:tcW w:w="4528" w:type="dxa"/>
            <w:vAlign w:val="center"/>
          </w:tcPr>
          <w:p>
            <w:pPr>
              <w:widowControl/>
              <w:jc w:val="left"/>
              <w:rPr>
                <w:rFonts w:hint="default" w:ascii="Arial" w:hAnsi="Arial" w:cs="Arial"/>
                <w:bCs/>
                <w:sz w:val="18"/>
                <w:szCs w:val="18"/>
                <w:lang w:val="en-US" w:eastAsia="zh-CN"/>
              </w:rPr>
            </w:pPr>
            <w:r>
              <w:rPr>
                <w:rFonts w:hint="eastAsia" w:ascii="Arial" w:hAnsi="Arial" w:cs="Arial"/>
                <w:bCs/>
                <w:sz w:val="18"/>
                <w:szCs w:val="18"/>
                <w:lang w:val="en-US" w:eastAsia="zh-CN"/>
              </w:rPr>
              <w:t>补充协议（增加首付款）-曾云生、雷春华（7份）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补充协议（增加首付款）-秦亚（4份）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8"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2021/05/07</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40套个人住房借款合同/按揭贷款合同用印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个人购房借款/担保合同-汉口银行（21*5份）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个人购房/购车借款及担保合同-邮政银行（3*5份）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个人住房（商业用房）借款合同-建设银行（16*4份）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张雪梅</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9"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2021/05/07</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20套住房公积金贷款合同用印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重庆市住房公积金个人住房贷款借款抵押合同-建行（20*4份）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张雪梅</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8"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2021/05/08</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一份合同用印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重庆佳兆业晓岸云起项目室内装饰（方案及施工图）设计合同（5份）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李灵艳</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06"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2021/05/08</w:t>
            </w:r>
          </w:p>
        </w:tc>
        <w:tc>
          <w:tcPr>
            <w:tcW w:w="776"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向恒丰银行提交晓岸云起3期开发贷补充资料用印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2020年度佳兆业集团（深圳）有限公司信用评级报告、佳兆业集团（深圳）有限公司章程、深圳泓信联合会计事务所（普通合伙）验资报告、重庆公司晓岸云起项目全景策划会汇报材料、法人代表证明书-薛军、李海鸣、营业执照等（以上各1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赵国志</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2021/05/08</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财务章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1份汉口银行结算委托书用印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汉口银行单位结算业务委托书（1份）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崔海燕</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55" w:hRule="atLeast"/>
          <w:jc w:val="center"/>
        </w:trPr>
        <w:tc>
          <w:tcPr>
            <w:tcW w:w="931"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2021/05/10</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办理晓岸云起2期19、22、23号楼解押相关资料用印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解押申请（1份）、抵押变更登记协议（2份）、不动产登记申请表（2份）、解押示意图（19、22、23号楼）（4份）、营业执照（1份）、不动产登记授权委托书（1份）、经办人身份证-赵国志（1份）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李灵艳</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53"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2021/05/10</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1份电梯监督检验现场检验时间约请表（晓岸云起21#DT1）的用印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电梯监督检验现场检验时间约请表（晓岸云起21#DT1）（2份）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朱静</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工程部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7"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2021/05/10</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一份委托施工合同书用印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零星工程委托施工合同书（4份）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朱静</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工程部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47" w:hRule="atLeast"/>
          <w:jc w:val="center"/>
        </w:trPr>
        <w:tc>
          <w:tcPr>
            <w:tcW w:w="931"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2021/05/11</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合同章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3套网签合同用印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商品房买卖合同（一户一次性付款3*5份，商贷3*6份、公积金3*7份）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重庆市不动产登记申请书（3*2份）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商品房权属登记授权委托书（3*2份）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增量房交易契税和印花税税务代理协议（3*3份）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5" w:hRule="atLeast"/>
          <w:jc w:val="center"/>
        </w:trPr>
        <w:tc>
          <w:tcPr>
            <w:tcW w:w="931"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2021/05/11</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合同章</w:t>
            </w:r>
          </w:p>
        </w:tc>
        <w:tc>
          <w:tcPr>
            <w:tcW w:w="1532"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1套补充协议用印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补充协议（增加首付款）-余志云（4份）</w:t>
            </w:r>
          </w:p>
        </w:tc>
        <w:tc>
          <w:tcPr>
            <w:tcW w:w="800"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宋显伟</w:t>
            </w:r>
          </w:p>
        </w:tc>
        <w:tc>
          <w:tcPr>
            <w:tcW w:w="756"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3"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2021/05/11</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开立兴业银行按揭账户用印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营业执照、章程、基本存款账户信息、法人身份证、经办人身份证、预留印鉴人身份证、财务负责人身份证、受益人身份证复印件、兴业银行非自然人客户受益所有人信息登记表、情况说明（开户）、单位银行结算账户服务总协议、兴业银行企业金融电子渠道服务申请（变更）表、企业金融电子渠道服务协议、兴业银行开立单位银行结算账户申请书-四联、核实记录、兴业银行预留签章卡-两联、说明（预留印鉴）等（以上各1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莫燕翔</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9" w:hRule="atLeast"/>
          <w:jc w:val="center"/>
        </w:trPr>
        <w:tc>
          <w:tcPr>
            <w:tcW w:w="931"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2021/05/12</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一份合同用印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重庆佳兆业晓岸云起项目12月房天下媒体投放合同（5份）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鲁进</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2021/05/12</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一份合同用印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重庆佳兆业晓岸云起二期项目超前钻合同（5份）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徐侥</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2021/05/12</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1份三方协议补充协议用印</w:t>
            </w:r>
          </w:p>
        </w:tc>
        <w:tc>
          <w:tcPr>
            <w:tcW w:w="4528" w:type="dxa"/>
            <w:vAlign w:val="center"/>
          </w:tcPr>
          <w:p>
            <w:pPr>
              <w:widowControl/>
              <w:jc w:val="left"/>
              <w:rPr>
                <w:rFonts w:hint="default" w:ascii="Arial" w:hAnsi="Arial" w:cs="Arial"/>
                <w:bCs/>
                <w:sz w:val="18"/>
                <w:szCs w:val="18"/>
                <w:lang w:val="en-US" w:eastAsia="zh-CN"/>
              </w:rPr>
            </w:pPr>
            <w:r>
              <w:rPr>
                <w:rFonts w:hint="eastAsia" w:ascii="Arial" w:hAnsi="Arial" w:cs="Arial"/>
                <w:bCs/>
                <w:sz w:val="18"/>
                <w:szCs w:val="18"/>
                <w:lang w:val="en-US" w:eastAsia="zh-CN"/>
              </w:rPr>
              <w:t>三方协议书（弘金）补充协议（二）（6份）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徐侥</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18"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2021/05/12</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关于办理晓岸云起1#、22#、23#楼预售许可证相关资料用印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项目公司相关基础资料（不动产权证书-1期2期、建设工程规划许可证及经济指标计算书-1期2期、施工许可证-1期2期、土地出让合同及变更协议、晓岸云起总平图-1期2期、开发资质、营业执照、法人身份证等）、授权委托书、经办人身份证-李航、重庆市前期物业服务合同备案证明、关于佳兆业·晓岸云起小区门牌号的情况说明、无抵押情况说明、重庆市商品房销售公开承诺书、重庆市商品房预售（许可）登记申请审批表-1#、22#、23#楼、重庆市商品住房项目预售备案价格说明表-1#、22#、23#楼、重庆市商品房预售许可工程现场勘查申请表-1#、22#、23#楼、重庆市商品房项目预售方案-1#、22#、23#楼、重庆市商品房预售资金监管协议书-1#、22#、23#楼、至房交所晓岸云起项目开盘方案-1#、22#、23#楼（以上各4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李航</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6"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2021/05/12</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关于办理国有建设用地使用权出让合同（工程规划许可环节）修订资料用印</w:t>
            </w:r>
          </w:p>
        </w:tc>
        <w:tc>
          <w:tcPr>
            <w:tcW w:w="4528" w:type="dxa"/>
            <w:vAlign w:val="center"/>
          </w:tcPr>
          <w:p>
            <w:pPr>
              <w:widowControl/>
              <w:jc w:val="left"/>
              <w:rPr>
                <w:rFonts w:hint="default" w:ascii="Arial" w:hAnsi="Arial" w:cs="Arial"/>
                <w:bCs/>
                <w:sz w:val="18"/>
                <w:szCs w:val="18"/>
                <w:lang w:val="en-US" w:eastAsia="zh-CN"/>
              </w:rPr>
            </w:pPr>
            <w:r>
              <w:rPr>
                <w:rFonts w:hint="eastAsia" w:ascii="Arial" w:hAnsi="Arial" w:cs="Arial"/>
                <w:bCs/>
                <w:sz w:val="18"/>
                <w:szCs w:val="18"/>
                <w:lang w:val="en-US" w:eastAsia="zh-CN"/>
              </w:rPr>
              <w:t>项目公司关于“佳兆业·晓岸云起”建设项目土地出让合同修订的申请、各用途变化情况表、授权委托书、经办人身份证-李航、营业执照、法人身份证、重庆非税收入统一票据（土地出让金、土地成本、契税等）、国有建设用地使用权成交确认书及批复、国有建设用地使用权拟出让方案表、交地备忘录、不动产权证书（土地证）-1期2期3期、建设工程规划许可证及经济指标计算书-1期2期3期、用地规划许可证、施工许可证-1期2期、总平图-晓岸云起1期2期3期、投资备案证、土地出让合同及变更协议等（以上各2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李航</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8"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2021/05/12</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3套住房公积金贷款合同用印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重庆市住房公积金个人住房贷款借款抵押合同-建行（3*4份）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张雪梅</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9" w:hRule="atLeast"/>
          <w:jc w:val="center"/>
        </w:trPr>
        <w:tc>
          <w:tcPr>
            <w:tcW w:w="931"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2021/05/13</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1份服务合同用印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重庆《无忧工作网》服务合同（2份）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杨锐城</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综合部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31"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2021/05/13</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合同章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1份补充协议用印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补充协议（增加首付款）-龚卓伦（5份）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2021/05/14</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财务章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1份汉口银行结算委托书用印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汉口银行单位结算业务委托书（02709154）（1份）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崔海燕</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03"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2021/05/14</w:t>
            </w:r>
          </w:p>
        </w:tc>
        <w:tc>
          <w:tcPr>
            <w:tcW w:w="776"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合同章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2套网签合同用印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商品房买卖合同（一户一次性付款2*5份，商贷2*6份、公积金2*7份）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重庆市不动产登记申请书（2*2份）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商品房权属登记授权委托书 （2*2份）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增量房交易契税和印花税税务代理协议（2*3份）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向念</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4"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2021/05/17</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1份情况说明用印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情况说明（1份）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崔海燕</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2021/05/18</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关于引进民生银行作为按揭银行相关资料的用印</w:t>
            </w:r>
          </w:p>
        </w:tc>
        <w:tc>
          <w:tcPr>
            <w:tcW w:w="4528" w:type="dxa"/>
            <w:vAlign w:val="center"/>
          </w:tcPr>
          <w:p>
            <w:pPr>
              <w:widowControl/>
              <w:jc w:val="left"/>
              <w:rPr>
                <w:rFonts w:hint="eastAsia" w:ascii="Arial" w:hAnsi="Arial" w:eastAsia="宋体" w:cs="Arial"/>
                <w:bCs/>
                <w:sz w:val="18"/>
                <w:szCs w:val="18"/>
                <w:lang w:val="en-US" w:eastAsia="zh-CN"/>
              </w:rPr>
            </w:pPr>
            <w:r>
              <w:rPr>
                <w:rFonts w:hint="eastAsia" w:ascii="Arial" w:hAnsi="Arial" w:cs="Arial"/>
                <w:bCs/>
                <w:sz w:val="18"/>
                <w:szCs w:val="18"/>
                <w:lang w:val="en-US" w:eastAsia="zh-CN"/>
              </w:rPr>
              <w:t>业务申请表、股东会决议、法人授权委托书营业执照正副本、企业信用信息查询使用授权书、公司章程、资质证书、不动产权证书-1期2期3期、建设用地规划许可证、建筑工程规划许可证-1期2期3期、建筑工程施工许可证-1期2期、土地出让合同及变更协议、投资备案证、财务报表、出让金收据、总平图及现场照片、预售许可证-1期（367、4、8号楼）2期（12、13、20、21号楼）等</w:t>
            </w:r>
            <w:r>
              <w:rPr>
                <w:rFonts w:hint="eastAsia" w:ascii="Arial" w:hAnsi="Arial" w:cs="Arial"/>
                <w:bCs/>
                <w:sz w:val="18"/>
                <w:szCs w:val="18"/>
                <w:lang w:eastAsia="zh-CN"/>
              </w:rPr>
              <w:t>（</w:t>
            </w:r>
            <w:r>
              <w:rPr>
                <w:rFonts w:hint="eastAsia" w:ascii="Arial" w:hAnsi="Arial" w:cs="Arial"/>
                <w:bCs/>
                <w:sz w:val="18"/>
                <w:szCs w:val="18"/>
                <w:lang w:val="en-US" w:eastAsia="zh-CN"/>
              </w:rPr>
              <w:t>以上各2份</w:t>
            </w:r>
            <w:r>
              <w:rPr>
                <w:rFonts w:hint="eastAsia" w:ascii="Arial" w:hAnsi="Arial" w:cs="Arial"/>
                <w:bCs/>
                <w:sz w:val="18"/>
                <w:szCs w:val="18"/>
                <w:lang w:eastAsia="zh-CN"/>
              </w:rPr>
              <w:t>）</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张雪梅</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2021/05/18</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晓岸云起1期2期数字化试点申请表用印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重庆市工程项目数字化试点申请表（佳兆业•晓岸云起一期（1-9#楼及车库））（6份）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重庆市工程项目数字化试点申请表（佳兆业•晓岸云起二期（10-29#楼及车库））（6份）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朱静</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工程部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2021/05/18</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合同章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3套网签合同用印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商品房买卖合同（一户一次性付款3*5份，商贷3*6份、公积金3*7份）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重庆市不动产登记申请书（3*2份）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商品房权属登记授权委托书（3*2份）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增量房交易契税和印花税税务代理协议（3*3份）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53"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2021/05/18</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1套个人住房借款合同/按揭贷款合同用印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个人住房（商业用房）借款合同-建设银行（1*4份）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张雪梅</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931"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2021/05/19</w:t>
            </w:r>
          </w:p>
        </w:tc>
        <w:tc>
          <w:tcPr>
            <w:tcW w:w="776"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建设银行大渡口支行变更山东高速印鉴用印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营业执照正副本、基本存款账户信息、授权书、法人身份证、经办人身份证、张立杰身份证复印件、原印鉴卡遗失声明、中国建设银行人民币单位银行结算账户预留印鉴变更申请书-两联、建设银行一般业务申请书-两联、中国建设银行印鉴卡片-三联（以上各1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崔海燕</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2021/05/20</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tc>
        <w:tc>
          <w:tcPr>
            <w:tcW w:w="1532"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1份洽谈记录用印</w:t>
            </w:r>
          </w:p>
        </w:tc>
        <w:tc>
          <w:tcPr>
            <w:tcW w:w="4528" w:type="dxa"/>
            <w:vAlign w:val="center"/>
          </w:tcPr>
          <w:p>
            <w:pPr>
              <w:widowControl/>
              <w:jc w:val="left"/>
              <w:rPr>
                <w:rFonts w:hint="default" w:ascii="Arial" w:hAnsi="Arial" w:cs="Arial"/>
                <w:bCs/>
                <w:sz w:val="18"/>
                <w:szCs w:val="18"/>
                <w:lang w:val="en-US" w:eastAsia="zh-CN"/>
              </w:rPr>
            </w:pPr>
            <w:r>
              <w:rPr>
                <w:rFonts w:hint="eastAsia" w:ascii="Arial" w:hAnsi="Arial" w:cs="Arial"/>
                <w:bCs/>
                <w:sz w:val="18"/>
                <w:szCs w:val="18"/>
                <w:lang w:val="en-US" w:eastAsia="zh-CN"/>
              </w:rPr>
              <w:t>洽谈记录（2份）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刘虹</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4"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2021/05/20</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财务章</w:t>
            </w:r>
          </w:p>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盘活光大银行预售资金343万元相关资料的用印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中国光大银行现金管理虚账户转账业务申请表（2份）、中国光大银行结算业务申请书（3份）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莫燕翔</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2021/05/21</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2601汉口银行转账支票用印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汉口银行转账支票（02990426、02990427、02990428、02990429）（4份）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赵国志</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9"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2021/05/21</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一份前程无忧客户公司关系证明用印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公司关系证明（1份）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杨锐城</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综合部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99"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2021/05/21</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公积金新开户及网上数字证书申办用印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市住房公积金管理中心单位开户申请表（1份）、单位变更清册（2份）、重庆市住房公积金网上缴存业务服务协议（2份）、住房公积金网上缴存业务申请表（2份）、营业执照（2份）、法人身份证（2份）、经办人身份证复印件-罗灿（2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罗灿</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综合部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67"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2021/05/21</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关于办理晓岸云起19#、22#、23#楼预售许可证相关补充资料用印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市商品房预售（许可）登记申请审批表（19号楼）、重庆市商品房预售（许可）登记申请审批表（22、23号楼）、无抵押情况说明（19号楼）、无抵押情况说明（22、23号楼）、重庆佳兆业晓岸云起22、23号楼开盘方案、重庆佳兆业晓岸云起19号楼开盘方案（以上各1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重庆市商品住房项目预售备案价格说明表（2份）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李航</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5"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2021/05/25</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一份合同用印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重庆佳兆业晓岸云起二期、三期项目勘察工程合同（5份）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徐侥</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2"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2021/05/25</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一份合同用印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重庆佳兆业晓岸云起三期土石方工程施工合同（5份）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徐侥</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3"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2021/05/25</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办理晓岸云起2期19、22、23号楼解押补充资料用印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营业执照副本、不动产登记授权委托书（各1份）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赵国志</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58"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2021/05/26</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30套个人住房借款合同/按揭贷款合同用印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个人购房/购车借款及担保合同-邮政银行（5*5份）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个人住房（商业用房）借款合同-建设银行（25*4份）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张雪梅</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2021/05/27</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一份物业管理升级服务协议用印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2021年晓岸云起项目前期案场物业管理升级服务协议书（5份）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李道东</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刘虹</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2021/05/27</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法人章</w:t>
            </w:r>
          </w:p>
        </w:tc>
        <w:tc>
          <w:tcPr>
            <w:tcW w:w="1532"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一份补充协议用印</w:t>
            </w:r>
          </w:p>
        </w:tc>
        <w:tc>
          <w:tcPr>
            <w:tcW w:w="4528" w:type="dxa"/>
            <w:vAlign w:val="center"/>
          </w:tcPr>
          <w:p>
            <w:pPr>
              <w:widowControl/>
              <w:jc w:val="left"/>
              <w:rPr>
                <w:rFonts w:hint="default" w:ascii="Arial" w:hAnsi="Arial" w:cs="Arial"/>
                <w:bCs/>
                <w:sz w:val="18"/>
                <w:szCs w:val="18"/>
                <w:lang w:val="en-US" w:eastAsia="zh-CN"/>
              </w:rPr>
            </w:pPr>
            <w:r>
              <w:rPr>
                <w:rFonts w:hint="eastAsia" w:ascii="Arial" w:hAnsi="Arial" w:cs="Arial"/>
                <w:bCs/>
                <w:sz w:val="18"/>
                <w:szCs w:val="18"/>
                <w:lang w:val="en-US" w:eastAsia="zh-CN"/>
              </w:rPr>
              <w:t>补充协议（按揭转一次性）-邓江华（5份）</w:t>
            </w:r>
          </w:p>
        </w:tc>
        <w:tc>
          <w:tcPr>
            <w:tcW w:w="800"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宋显伟</w:t>
            </w:r>
          </w:p>
        </w:tc>
        <w:tc>
          <w:tcPr>
            <w:tcW w:w="756"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2021/05/28</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项目公司关于重庆蔡家94亩项目向光大信托申请7.09亿元信托贷款相关资料用印</w:t>
            </w:r>
          </w:p>
        </w:tc>
        <w:tc>
          <w:tcPr>
            <w:tcW w:w="4528" w:type="dxa"/>
            <w:vAlign w:val="center"/>
          </w:tcPr>
          <w:p>
            <w:pPr>
              <w:widowControl/>
              <w:jc w:val="left"/>
              <w:rPr>
                <w:rFonts w:hint="default" w:ascii="Arial" w:hAnsi="Arial" w:cs="Arial"/>
                <w:bCs/>
                <w:sz w:val="18"/>
                <w:szCs w:val="18"/>
                <w:lang w:val="en-US" w:eastAsia="zh-CN"/>
              </w:rPr>
            </w:pPr>
            <w:r>
              <w:rPr>
                <w:rFonts w:hint="eastAsia" w:ascii="Arial" w:hAnsi="Arial" w:cs="Arial"/>
                <w:bCs/>
                <w:sz w:val="18"/>
                <w:szCs w:val="18"/>
                <w:lang w:val="en-US" w:eastAsia="zh-CN"/>
              </w:rPr>
              <w:t>相关交易文件之补充协议（8份）、股东会决议（抵押人重庆渝煌达）（2份）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赵国志</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2021/05/28</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2份汉口银行结算委托书用印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汉口银行单位结算业务委托书（02709157、02709158）（2份）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崔海燕</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2021/05/28</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开立22、23号楼子账户及子账户关联POS机用印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营业执照正副本（2份）、法人身份证（2份）、预售许可证（2期22、23#楼）（3份）、重庆市商品房预售资金监管协议书（1份）、经办人身份证（崔海燕、刘垣灵）（1份）、法人授权委托书（1份）、汉口银行企业网银（标准版）服务补充/维护申请表（1份）、汉口银行现金管理系统银财通功能申请表（1份）、中国建设银行房地产开发预售资金监管代理签约账户确认书（3份）、中国建设银行对公客户授权委托书（1份）、中国建设银行监管账户开户确认表-两联（1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崔海燕</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刘垣灵</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2021/05/31</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合同章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关于400份佳兆业·晓岸云起认购协议用印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佳兆业·晓岸云起商品房认购协议-一式三联（400份）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程雪康</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2021/05/31</w:t>
            </w:r>
          </w:p>
        </w:tc>
        <w:tc>
          <w:tcPr>
            <w:tcW w:w="776"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开立19号楼子账户用印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营业执照（1份）、法人身份证（2份）、经办人身份证复印件（1份）晓岸云起2期19号楼预售许可证（2份）、重庆市商品房预售资金监管协议书-19号楼（1份）、法人授权委托书（1份）、汉口银行企业网银（标准版）服务补充/维护申请表（1份）、汉口银行现金管理系统银财通功能申请表（1份）、中国建设银行房地产开发预售资金监管代理签约账户确认书（3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莫燕翔</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财务部</w:t>
            </w:r>
          </w:p>
        </w:tc>
      </w:tr>
    </w:tbl>
    <w:p>
      <w:pPr>
        <w:keepNext w:val="0"/>
        <w:keepLines w:val="0"/>
        <w:pageBreakBefore w:val="0"/>
        <w:widowControl w:val="0"/>
        <w:kinsoku/>
        <w:wordWrap/>
        <w:overflowPunct/>
        <w:topLinePunct w:val="0"/>
        <w:autoSpaceDE/>
        <w:autoSpaceDN/>
        <w:bidi w:val="0"/>
        <w:adjustRightInd/>
        <w:snapToGrid/>
        <w:spacing w:before="312" w:beforeLines="100"/>
        <w:jc w:val="center"/>
        <w:textAlignment w:val="auto"/>
        <w:rPr>
          <w:rFonts w:hint="eastAsia" w:ascii="Arial" w:hAnsi="Arial" w:cs="Arial"/>
          <w:b/>
          <w:bCs/>
          <w:sz w:val="24"/>
          <w:szCs w:val="24"/>
        </w:rPr>
      </w:pPr>
      <w:bookmarkStart w:id="28" w:name="_Toc5771"/>
      <w:r>
        <w:rPr>
          <w:rFonts w:hint="eastAsia" w:ascii="Arial" w:hAnsi="Arial" w:cs="Arial"/>
          <w:b/>
          <w:bCs/>
          <w:sz w:val="24"/>
          <w:szCs w:val="24"/>
        </w:rPr>
        <w:t>印章证照外出使用情况表</w:t>
      </w:r>
      <w:bookmarkEnd w:id="28"/>
    </w:p>
    <w:tbl>
      <w:tblPr>
        <w:tblStyle w:val="9"/>
        <w:tblW w:w="9348" w:type="dxa"/>
        <w:tblInd w:w="1" w:type="dxa"/>
        <w:tblLayout w:type="fixed"/>
        <w:tblCellMar>
          <w:top w:w="15" w:type="dxa"/>
          <w:left w:w="15" w:type="dxa"/>
          <w:bottom w:w="15" w:type="dxa"/>
          <w:right w:w="15" w:type="dxa"/>
        </w:tblCellMar>
      </w:tblPr>
      <w:tblGrid>
        <w:gridCol w:w="972"/>
        <w:gridCol w:w="2655"/>
        <w:gridCol w:w="2421"/>
        <w:gridCol w:w="1908"/>
        <w:gridCol w:w="636"/>
        <w:gridCol w:w="756"/>
      </w:tblGrid>
      <w:tr>
        <w:tblPrEx>
          <w:tblCellMar>
            <w:top w:w="15" w:type="dxa"/>
            <w:left w:w="15" w:type="dxa"/>
            <w:bottom w:w="15" w:type="dxa"/>
            <w:right w:w="15" w:type="dxa"/>
          </w:tblCellMar>
        </w:tblPrEx>
        <w:trPr>
          <w:trHeight w:val="302" w:hRule="atLeast"/>
          <w:tblHeader/>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外出日期</w:t>
            </w:r>
          </w:p>
        </w:tc>
        <w:tc>
          <w:tcPr>
            <w:tcW w:w="26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事由</w:t>
            </w:r>
          </w:p>
        </w:tc>
        <w:tc>
          <w:tcPr>
            <w:tcW w:w="24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印鉴证照名称</w:t>
            </w:r>
          </w:p>
        </w:tc>
        <w:tc>
          <w:tcPr>
            <w:tcW w:w="19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外出机构</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经办人</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部门</w:t>
            </w:r>
          </w:p>
        </w:tc>
      </w:tr>
      <w:tr>
        <w:tblPrEx>
          <w:tblCellMar>
            <w:top w:w="15" w:type="dxa"/>
            <w:left w:w="15" w:type="dxa"/>
            <w:bottom w:w="15" w:type="dxa"/>
            <w:right w:w="15" w:type="dxa"/>
          </w:tblCellMar>
        </w:tblPrEx>
        <w:trPr>
          <w:trHeight w:val="299"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2021/05/11</w:t>
            </w:r>
          </w:p>
        </w:tc>
        <w:tc>
          <w:tcPr>
            <w:tcW w:w="26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因项目公司按揭回款已引入兴业银行，现前去办理开立兴业银行按揭账户事宜</w:t>
            </w:r>
          </w:p>
        </w:tc>
        <w:tc>
          <w:tcPr>
            <w:tcW w:w="24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重庆渝煌达实业有限公司公章、法人章、财务章、营业执照正副本</w:t>
            </w:r>
          </w:p>
        </w:tc>
        <w:tc>
          <w:tcPr>
            <w:tcW w:w="190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兴业银行重庆解放碑支行营业厅</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莫燕翔</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CellMar>
            <w:top w:w="15" w:type="dxa"/>
            <w:left w:w="15" w:type="dxa"/>
            <w:bottom w:w="15" w:type="dxa"/>
            <w:right w:w="15" w:type="dxa"/>
          </w:tblCellMar>
        </w:tblPrEx>
        <w:trPr>
          <w:trHeight w:val="630"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2021/05/19</w:t>
            </w:r>
          </w:p>
        </w:tc>
        <w:tc>
          <w:tcPr>
            <w:tcW w:w="26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项目公司建设银行大渡口支行变更山东高速印鉴事宜</w:t>
            </w:r>
          </w:p>
        </w:tc>
        <w:tc>
          <w:tcPr>
            <w:tcW w:w="24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重庆渝煌达实业有限公司公章、法人章、财务章、营业执照正副本</w:t>
            </w:r>
          </w:p>
        </w:tc>
        <w:tc>
          <w:tcPr>
            <w:tcW w:w="190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中国建设银行重庆大渡口支行</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崔海燕</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CellMar>
            <w:top w:w="15" w:type="dxa"/>
            <w:left w:w="15" w:type="dxa"/>
            <w:bottom w:w="15" w:type="dxa"/>
            <w:right w:w="15" w:type="dxa"/>
          </w:tblCellMar>
        </w:tblPrEx>
        <w:trPr>
          <w:trHeight w:val="630"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2021/05/25</w:t>
            </w:r>
          </w:p>
        </w:tc>
        <w:tc>
          <w:tcPr>
            <w:tcW w:w="26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办理晓岸云起2期22、23号楼预售许可证</w:t>
            </w:r>
          </w:p>
        </w:tc>
        <w:tc>
          <w:tcPr>
            <w:tcW w:w="24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重庆渝煌达实业有限公司营业执照副本、不动产权证书（晓岸云起2期），建设工程规划许可证、经济指标书、总平图（晓岸云起2期）</w:t>
            </w:r>
          </w:p>
        </w:tc>
        <w:tc>
          <w:tcPr>
            <w:tcW w:w="190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沙区登记中心及重庆市住房和城乡建设委员会</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李航</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r>
      <w:tr>
        <w:tblPrEx>
          <w:tblCellMar>
            <w:top w:w="15" w:type="dxa"/>
            <w:left w:w="15" w:type="dxa"/>
            <w:bottom w:w="15" w:type="dxa"/>
            <w:right w:w="15" w:type="dxa"/>
          </w:tblCellMar>
        </w:tblPrEx>
        <w:trPr>
          <w:trHeight w:val="630"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2021/05/26</w:t>
            </w:r>
          </w:p>
        </w:tc>
        <w:tc>
          <w:tcPr>
            <w:tcW w:w="26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因光大银行客户经理变更，8996光大预售资金监管账户预留印鉴中“唐翔”需变更为“刘舒”印鉴</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；变更山东高速方预留印鉴</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（因财务不知晓法人新办了身份证，故未用印，未变更）</w:t>
            </w:r>
          </w:p>
        </w:tc>
        <w:tc>
          <w:tcPr>
            <w:tcW w:w="24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重庆渝煌达实业有限公司公章、法人章、财务章、营业执照正副本</w:t>
            </w:r>
          </w:p>
        </w:tc>
        <w:tc>
          <w:tcPr>
            <w:tcW w:w="190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中国光大银行重庆分行沙坪坝支行</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莫燕翔</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CellMar>
            <w:top w:w="15" w:type="dxa"/>
            <w:left w:w="15" w:type="dxa"/>
            <w:bottom w:w="15" w:type="dxa"/>
            <w:right w:w="15" w:type="dxa"/>
          </w:tblCellMar>
        </w:tblPrEx>
        <w:trPr>
          <w:trHeight w:val="1410"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2021/05/28</w:t>
            </w:r>
          </w:p>
        </w:tc>
        <w:tc>
          <w:tcPr>
            <w:tcW w:w="26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办理晓岸云起2期19号楼预售许可证</w:t>
            </w:r>
          </w:p>
        </w:tc>
        <w:tc>
          <w:tcPr>
            <w:tcW w:w="24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重庆渝煌达实业有限公司营业执照副本、不动产权证书（晓岸云起2期），建设工程规划许可证、经济指标书、总平图（晓岸云起2期）</w:t>
            </w:r>
          </w:p>
        </w:tc>
        <w:tc>
          <w:tcPr>
            <w:tcW w:w="190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重庆市住房和城乡建设委员会</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李航</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r>
      <w:tr>
        <w:tblPrEx>
          <w:tblCellMar>
            <w:top w:w="15" w:type="dxa"/>
            <w:left w:w="15" w:type="dxa"/>
            <w:bottom w:w="15" w:type="dxa"/>
            <w:right w:w="15" w:type="dxa"/>
          </w:tblCellMar>
        </w:tblPrEx>
        <w:trPr>
          <w:trHeight w:val="266"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2021/05/28</w:t>
            </w:r>
          </w:p>
        </w:tc>
        <w:tc>
          <w:tcPr>
            <w:tcW w:w="26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开立2期22、23号楼预售监管子账户；并在建行办理POS机关联22、23号楼子账户</w:t>
            </w:r>
          </w:p>
        </w:tc>
        <w:tc>
          <w:tcPr>
            <w:tcW w:w="24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重庆渝煌达实业有限公司公章、法人章、财务章、营业执照正副本、晓岸云起2期22、23号楼预售许可证</w:t>
            </w:r>
          </w:p>
        </w:tc>
        <w:tc>
          <w:tcPr>
            <w:tcW w:w="190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汉口银行重庆分行、建设银行大渡口支行</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崔海燕</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刘垣灵</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CellMar>
            <w:top w:w="15" w:type="dxa"/>
            <w:left w:w="15" w:type="dxa"/>
            <w:bottom w:w="15" w:type="dxa"/>
            <w:right w:w="15" w:type="dxa"/>
          </w:tblCellMar>
        </w:tblPrEx>
        <w:trPr>
          <w:trHeight w:val="630"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2021/05/28</w:t>
            </w:r>
          </w:p>
        </w:tc>
        <w:tc>
          <w:tcPr>
            <w:tcW w:w="26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用于办理开通晓岸云起2期22、23号楼网签业务</w:t>
            </w:r>
          </w:p>
        </w:tc>
        <w:tc>
          <w:tcPr>
            <w:tcW w:w="24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重庆渝煌达实业有限公司不动产权证书（晓岸云起2期），建设工程规划许可证、经济指标书、总平图（晓岸云起2期）、晓岸云起2期22、23号楼预售许可证</w:t>
            </w:r>
          </w:p>
        </w:tc>
        <w:tc>
          <w:tcPr>
            <w:tcW w:w="190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不动产登记中心（沙坪坝区三峡广场）</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CellMar>
            <w:top w:w="15" w:type="dxa"/>
            <w:left w:w="15" w:type="dxa"/>
            <w:bottom w:w="15" w:type="dxa"/>
            <w:right w:w="15" w:type="dxa"/>
          </w:tblCellMar>
        </w:tblPrEx>
        <w:trPr>
          <w:trHeight w:val="550"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2021/05/31</w:t>
            </w:r>
          </w:p>
        </w:tc>
        <w:tc>
          <w:tcPr>
            <w:tcW w:w="265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开立2期19号楼预售监管账户子账户业务</w:t>
            </w:r>
          </w:p>
        </w:tc>
        <w:tc>
          <w:tcPr>
            <w:tcW w:w="24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重庆渝煌达实业有限公司公章、财务章、法人章，营业执照正副本</w:t>
            </w:r>
          </w:p>
        </w:tc>
        <w:tc>
          <w:tcPr>
            <w:tcW w:w="190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汉口银行重庆分行</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莫燕翔</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29" w:name="_Toc30797"/>
      <w:bookmarkStart w:id="30" w:name="_Toc25379"/>
      <w:r>
        <w:rPr>
          <w:rFonts w:hint="default" w:ascii="Arial" w:hAnsi="Arial" w:eastAsia="宋体" w:cs="Arial"/>
          <w:sz w:val="24"/>
          <w:szCs w:val="24"/>
          <w:lang w:val="en-US" w:eastAsia="zh-CN"/>
        </w:rPr>
        <w:t>5</w:t>
      </w:r>
      <w:r>
        <w:rPr>
          <w:rFonts w:hint="eastAsia" w:ascii="宋体" w:hAnsi="宋体" w:eastAsia="宋体" w:cs="宋体"/>
          <w:sz w:val="24"/>
          <w:szCs w:val="24"/>
          <w:lang w:val="en-US" w:eastAsia="zh-CN"/>
        </w:rPr>
        <w:t>合同签订情况</w:t>
      </w:r>
      <w:bookmarkEnd w:id="29"/>
      <w:bookmarkEnd w:id="30"/>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bCs/>
          <w:kern w:val="44"/>
        </w:rPr>
      </w:pPr>
      <w:r>
        <w:rPr>
          <w:rFonts w:hint="default" w:ascii="Arial" w:hAnsi="Arial" w:eastAsia="宋体" w:cs="Arial"/>
          <w:bCs/>
          <w:kern w:val="44"/>
        </w:rPr>
        <w:t>202</w:t>
      </w:r>
      <w:r>
        <w:rPr>
          <w:rFonts w:hint="eastAsia" w:ascii="Arial" w:hAnsi="Arial" w:cs="Arial"/>
          <w:bCs/>
          <w:kern w:val="44"/>
          <w:lang w:val="en-US" w:eastAsia="zh-CN"/>
        </w:rPr>
        <w:t>1</w:t>
      </w:r>
      <w:r>
        <w:rPr>
          <w:rFonts w:hint="eastAsia" w:ascii="宋体" w:hAnsi="宋体" w:eastAsia="宋体" w:cs="宋体"/>
          <w:bCs/>
          <w:kern w:val="44"/>
        </w:rPr>
        <w:t>年</w:t>
      </w:r>
      <w:r>
        <w:rPr>
          <w:rFonts w:hint="eastAsia" w:ascii="Arial" w:hAnsi="Arial" w:cs="Arial"/>
          <w:bCs/>
          <w:kern w:val="44"/>
          <w:lang w:val="en-US" w:eastAsia="zh-CN"/>
        </w:rPr>
        <w:t>05</w:t>
      </w:r>
      <w:r>
        <w:rPr>
          <w:rFonts w:hint="eastAsia" w:ascii="Arial" w:hAnsi="Arial" w:eastAsia="宋体" w:cs="Arial"/>
          <w:bCs/>
          <w:kern w:val="44"/>
        </w:rPr>
        <w:t>月</w:t>
      </w:r>
      <w:r>
        <w:rPr>
          <w:rFonts w:hint="eastAsia" w:ascii="Arial" w:hAnsi="Arial" w:cs="Arial"/>
          <w:bCs/>
          <w:kern w:val="44"/>
          <w:lang w:val="en-US" w:eastAsia="zh-CN"/>
        </w:rPr>
        <w:t>01</w:t>
      </w:r>
      <w:r>
        <w:rPr>
          <w:rFonts w:hint="eastAsia" w:ascii="Arial" w:hAnsi="Arial" w:eastAsia="宋体" w:cs="Arial"/>
          <w:bCs/>
          <w:kern w:val="44"/>
        </w:rPr>
        <w:t>日至202</w:t>
      </w:r>
      <w:r>
        <w:rPr>
          <w:rFonts w:hint="eastAsia" w:ascii="Arial" w:hAnsi="Arial" w:cs="Arial"/>
          <w:bCs/>
          <w:kern w:val="44"/>
          <w:lang w:val="en-US" w:eastAsia="zh-CN"/>
        </w:rPr>
        <w:t>1</w:t>
      </w:r>
      <w:r>
        <w:rPr>
          <w:rFonts w:hint="eastAsia" w:ascii="Arial" w:hAnsi="Arial" w:eastAsia="宋体" w:cs="Arial"/>
          <w:bCs/>
          <w:kern w:val="44"/>
        </w:rPr>
        <w:t>年</w:t>
      </w:r>
      <w:r>
        <w:rPr>
          <w:rFonts w:hint="eastAsia" w:ascii="Arial" w:hAnsi="Arial" w:cs="Arial"/>
          <w:bCs/>
          <w:kern w:val="44"/>
          <w:lang w:val="en-US" w:eastAsia="zh-CN"/>
        </w:rPr>
        <w:t>05</w:t>
      </w:r>
      <w:r>
        <w:rPr>
          <w:rFonts w:hint="eastAsia" w:ascii="Arial" w:hAnsi="Arial" w:eastAsia="宋体" w:cs="Arial"/>
          <w:bCs/>
          <w:kern w:val="44"/>
        </w:rPr>
        <w:t>月</w:t>
      </w:r>
      <w:r>
        <w:rPr>
          <w:rFonts w:hint="eastAsia" w:ascii="Arial" w:hAnsi="Arial" w:cs="Arial"/>
          <w:bCs/>
          <w:kern w:val="44"/>
          <w:lang w:val="en-US" w:eastAsia="zh-CN"/>
        </w:rPr>
        <w:t>31</w:t>
      </w:r>
      <w:r>
        <w:rPr>
          <w:rFonts w:hint="eastAsia" w:ascii="Arial" w:hAnsi="Arial" w:eastAsia="宋体" w:cs="Arial"/>
          <w:bCs/>
          <w:kern w:val="44"/>
        </w:rPr>
        <w:t>日期</w:t>
      </w:r>
      <w:r>
        <w:rPr>
          <w:rFonts w:hint="eastAsia" w:ascii="宋体" w:hAnsi="宋体" w:eastAsia="宋体" w:cs="宋体"/>
          <w:bCs/>
          <w:kern w:val="44"/>
        </w:rPr>
        <w:t>间，项目公司共签订合同</w:t>
      </w:r>
      <w:r>
        <w:rPr>
          <w:rFonts w:hint="eastAsia" w:ascii="Arial" w:hAnsi="Arial" w:cs="Arial"/>
          <w:bCs/>
          <w:kern w:val="44"/>
          <w:lang w:val="en-US" w:eastAsia="zh-CN"/>
        </w:rPr>
        <w:t>10</w:t>
      </w:r>
      <w:r>
        <w:rPr>
          <w:rFonts w:hint="eastAsia" w:ascii="宋体" w:hAnsi="宋体" w:eastAsia="宋体" w:cs="宋体"/>
          <w:bCs/>
          <w:kern w:val="44"/>
        </w:rPr>
        <w:t>份。</w:t>
      </w:r>
    </w:p>
    <w:p>
      <w:pPr>
        <w:keepNext w:val="0"/>
        <w:keepLines w:val="0"/>
        <w:pageBreakBefore w:val="0"/>
        <w:widowControl w:val="0"/>
        <w:kinsoku/>
        <w:wordWrap/>
        <w:overflowPunct/>
        <w:topLinePunct w:val="0"/>
        <w:autoSpaceDE/>
        <w:autoSpaceDN/>
        <w:bidi w:val="0"/>
        <w:adjustRightInd/>
        <w:snapToGrid/>
        <w:spacing w:before="315" w:beforeLines="100" w:line="240" w:lineRule="auto"/>
        <w:ind w:firstLine="0" w:firstLineChars="0"/>
        <w:jc w:val="center"/>
        <w:textAlignment w:val="auto"/>
        <w:outlineLvl w:val="1"/>
        <w:rPr>
          <w:rFonts w:hint="eastAsia" w:ascii="宋体" w:hAnsi="宋体" w:eastAsia="宋体" w:cs="宋体"/>
        </w:rPr>
      </w:pPr>
      <w:bookmarkStart w:id="31" w:name="_Toc14527"/>
      <w:r>
        <w:rPr>
          <w:rFonts w:hint="default" w:ascii="Arial" w:hAnsi="Arial" w:eastAsia="宋体" w:cs="Arial"/>
          <w:b/>
          <w:bCs/>
          <w:sz w:val="24"/>
          <w:szCs w:val="32"/>
        </w:rPr>
        <w:t>202</w:t>
      </w:r>
      <w:r>
        <w:rPr>
          <w:rFonts w:hint="eastAsia" w:ascii="Arial" w:hAnsi="Arial" w:cs="Arial"/>
          <w:b/>
          <w:bCs/>
          <w:sz w:val="24"/>
          <w:szCs w:val="32"/>
          <w:lang w:val="en-US" w:eastAsia="zh-CN"/>
        </w:rPr>
        <w:t>1</w:t>
      </w:r>
      <w:r>
        <w:rPr>
          <w:rFonts w:hint="eastAsia" w:ascii="宋体" w:hAnsi="宋体" w:eastAsia="宋体" w:cs="宋体"/>
          <w:b/>
          <w:bCs/>
          <w:sz w:val="24"/>
          <w:szCs w:val="32"/>
        </w:rPr>
        <w:t>年</w:t>
      </w:r>
      <w:r>
        <w:rPr>
          <w:rFonts w:hint="eastAsia" w:ascii="Arial" w:hAnsi="Arial" w:cs="Arial"/>
          <w:b/>
          <w:bCs/>
          <w:sz w:val="24"/>
          <w:szCs w:val="32"/>
          <w:lang w:val="en-US" w:eastAsia="zh-CN"/>
        </w:rPr>
        <w:t>05月合</w:t>
      </w:r>
      <w:r>
        <w:rPr>
          <w:rFonts w:hint="eastAsia" w:ascii="宋体" w:hAnsi="宋体" w:eastAsia="宋体" w:cs="宋体"/>
          <w:b/>
          <w:bCs/>
          <w:sz w:val="24"/>
          <w:szCs w:val="32"/>
        </w:rPr>
        <w:t>同签订情况</w:t>
      </w:r>
      <w:bookmarkEnd w:id="31"/>
    </w:p>
    <w:tbl>
      <w:tblPr>
        <w:tblStyle w:val="9"/>
        <w:tblW w:w="496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7"/>
        <w:gridCol w:w="969"/>
        <w:gridCol w:w="1337"/>
        <w:gridCol w:w="1124"/>
        <w:gridCol w:w="4231"/>
        <w:gridCol w:w="11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blHeader/>
          <w:jc w:val="center"/>
        </w:trPr>
        <w:tc>
          <w:tcPr>
            <w:tcW w:w="225" w:type="pct"/>
            <w:tcBorders>
              <w:tl2br w:val="nil"/>
              <w:tr2bl w:val="nil"/>
            </w:tcBorders>
            <w:shd w:val="clear" w:color="auto" w:fill="auto"/>
            <w:tcMar>
              <w:top w:w="15" w:type="dxa"/>
              <w:left w:w="15" w:type="dxa"/>
              <w:right w:w="15" w:type="dxa"/>
            </w:tcMar>
            <w:vAlign w:val="center"/>
          </w:tcPr>
          <w:p>
            <w:pPr>
              <w:widowControl/>
              <w:spacing w:line="240" w:lineRule="exact"/>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序号</w:t>
            </w:r>
          </w:p>
        </w:tc>
        <w:tc>
          <w:tcPr>
            <w:tcW w:w="522" w:type="pct"/>
            <w:tcBorders>
              <w:tl2br w:val="nil"/>
              <w:tr2bl w:val="nil"/>
            </w:tcBorders>
            <w:shd w:val="clear" w:color="auto" w:fill="auto"/>
            <w:tcMar>
              <w:top w:w="15" w:type="dxa"/>
              <w:left w:w="15" w:type="dxa"/>
              <w:right w:w="15" w:type="dxa"/>
            </w:tcMar>
            <w:vAlign w:val="center"/>
          </w:tcPr>
          <w:p>
            <w:pPr>
              <w:widowControl/>
              <w:spacing w:line="240" w:lineRule="exact"/>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用印日期</w:t>
            </w:r>
          </w:p>
        </w:tc>
        <w:tc>
          <w:tcPr>
            <w:tcW w:w="721"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对方单位</w:t>
            </w:r>
          </w:p>
        </w:tc>
        <w:tc>
          <w:tcPr>
            <w:tcW w:w="606"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合同名称</w:t>
            </w:r>
          </w:p>
        </w:tc>
        <w:tc>
          <w:tcPr>
            <w:tcW w:w="2283"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合同主要内容</w:t>
            </w:r>
          </w:p>
        </w:tc>
        <w:tc>
          <w:tcPr>
            <w:tcW w:w="640"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right"/>
              <w:textAlignment w:val="center"/>
              <w:rPr>
                <w:rFonts w:hint="default" w:ascii="宋体" w:hAnsi="宋体" w:eastAsia="宋体" w:cs="宋体"/>
                <w:b/>
                <w:bCs/>
                <w:color w:val="000000"/>
                <w:kern w:val="0"/>
                <w:sz w:val="18"/>
                <w:szCs w:val="18"/>
                <w:lang w:val="en-US" w:eastAsia="zh-CN"/>
              </w:rPr>
            </w:pPr>
            <w:r>
              <w:rPr>
                <w:rFonts w:hint="eastAsia" w:ascii="宋体" w:hAnsi="宋体" w:cs="宋体"/>
                <w:b/>
                <w:bCs/>
                <w:color w:val="000000"/>
                <w:kern w:val="0"/>
                <w:sz w:val="18"/>
                <w:szCs w:val="18"/>
                <w:lang w:val="en-US" w:eastAsia="zh-CN"/>
              </w:rPr>
              <w:t xml:space="preserve">  合同金额（元）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lang w:val="en-US" w:eastAsia="zh-CN"/>
              </w:rPr>
              <w:t>1</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2021/05/08</w:t>
            </w:r>
          </w:p>
        </w:tc>
        <w:tc>
          <w:tcPr>
            <w:tcW w:w="721"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成都九度装饰设计有限公司</w:t>
            </w:r>
          </w:p>
        </w:tc>
        <w:tc>
          <w:tcPr>
            <w:tcW w:w="606"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重庆佳兆业晓岸云起项目室内装饰（方案及施工图）设计合同</w:t>
            </w:r>
          </w:p>
        </w:tc>
        <w:tc>
          <w:tcPr>
            <w:tcW w:w="2283" w:type="pct"/>
            <w:tcBorders>
              <w:tl2br w:val="nil"/>
              <w:tr2bl w:val="nil"/>
            </w:tcBorders>
            <w:shd w:val="clear" w:color="auto" w:fill="auto"/>
            <w:tcMar>
              <w:top w:w="15" w:type="dxa"/>
              <w:left w:w="15" w:type="dxa"/>
              <w:right w:w="15" w:type="dxa"/>
            </w:tcMar>
            <w:vAlign w:val="center"/>
          </w:tcPr>
          <w:p>
            <w:pPr>
              <w:widowControl/>
              <w:jc w:val="left"/>
              <w:rPr>
                <w:rFonts w:hint="default" w:ascii="Arial" w:hAnsi="Arial" w:cs="Arial"/>
                <w:bCs/>
                <w:sz w:val="18"/>
                <w:szCs w:val="18"/>
                <w:lang w:val="en-US" w:eastAsia="zh-CN"/>
              </w:rPr>
            </w:pPr>
            <w:r>
              <w:rPr>
                <w:rFonts w:hint="eastAsia" w:ascii="Arial" w:hAnsi="Arial" w:cs="Arial"/>
                <w:bCs/>
                <w:sz w:val="18"/>
                <w:szCs w:val="18"/>
                <w:lang w:val="en-US" w:eastAsia="zh-CN"/>
              </w:rPr>
              <w:t>1、合同内容：晓岸云起项目装饰（方案及施工图）设计；</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2、合同暂定总价为：39,600.00元；</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3、付款方式：</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概念设计阶段费用：完成概念设计成果经项目公司书面确认在收到等额正式发票后45个日历天内支付合同总额20%；</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方案设计阶段费用：提交方案设计阶段文件经项目公司书面确认且收到等额正式发票之日起45个日历天内支付合同总额40%；</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扩初及施工图阶段费用：提交扩初及施工图设计文件经项目公司书面确认且收到等额正式；发票之日起45个日历天内支付合同总额30%</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施工期配合阶段费用：本项目工程竣工验收合格后，双方办理设计费结算，结算完成后45个日历天内支付剩余10%。</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000000"/>
                <w:sz w:val="22"/>
                <w:szCs w:val="22"/>
                <w:u w:val="none"/>
                <w:lang w:val="en-US" w:eastAsia="zh-CN" w:bidi="ar-SA"/>
              </w:rPr>
            </w:pPr>
            <w:r>
              <w:rPr>
                <w:rFonts w:hint="eastAsia" w:ascii="Arial" w:hAnsi="Arial" w:cs="Arial"/>
                <w:bCs/>
                <w:sz w:val="18"/>
                <w:szCs w:val="18"/>
                <w:lang w:val="en-US" w:eastAsia="zh-CN"/>
              </w:rPr>
              <w:t>39,600.00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2</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2021/05/10</w:t>
            </w:r>
          </w:p>
        </w:tc>
        <w:tc>
          <w:tcPr>
            <w:tcW w:w="721"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重庆紫东建设工程（集团）有限公司</w:t>
            </w:r>
          </w:p>
        </w:tc>
        <w:tc>
          <w:tcPr>
            <w:tcW w:w="606"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零星工程委托施工合同书</w:t>
            </w:r>
          </w:p>
        </w:tc>
        <w:tc>
          <w:tcPr>
            <w:tcW w:w="2283" w:type="pct"/>
            <w:tcBorders>
              <w:tl2br w:val="nil"/>
              <w:tr2bl w:val="nil"/>
            </w:tcBorders>
            <w:shd w:val="clear" w:color="auto" w:fill="auto"/>
            <w:tcMar>
              <w:top w:w="15" w:type="dxa"/>
              <w:left w:w="15" w:type="dxa"/>
              <w:right w:w="15" w:type="dxa"/>
            </w:tcMar>
            <w:vAlign w:val="center"/>
          </w:tcPr>
          <w:p>
            <w:pPr>
              <w:widowControl/>
              <w:jc w:val="left"/>
              <w:rPr>
                <w:rFonts w:hint="default" w:ascii="Arial" w:hAnsi="Arial" w:cs="Arial"/>
                <w:bCs/>
                <w:sz w:val="18"/>
                <w:szCs w:val="18"/>
                <w:lang w:val="en-US" w:eastAsia="zh-CN"/>
              </w:rPr>
            </w:pPr>
            <w:r>
              <w:rPr>
                <w:rFonts w:hint="eastAsia" w:ascii="Arial" w:hAnsi="Arial" w:cs="Arial"/>
                <w:bCs/>
                <w:sz w:val="18"/>
                <w:szCs w:val="18"/>
                <w:lang w:val="en-US" w:eastAsia="zh-CN"/>
              </w:rPr>
              <w:t>1、工程名称：重庆佳兆业西永晓岸云起项目土石方工程项目地块内自来水管迁改；</w:t>
            </w:r>
          </w:p>
          <w:p>
            <w:pPr>
              <w:widowControl/>
              <w:jc w:val="left"/>
              <w:rPr>
                <w:rFonts w:hint="default" w:ascii="Arial" w:hAnsi="Arial" w:cs="Arial"/>
                <w:bCs/>
                <w:sz w:val="18"/>
                <w:szCs w:val="18"/>
                <w:lang w:val="en-US" w:eastAsia="zh-CN"/>
              </w:rPr>
            </w:pPr>
            <w:r>
              <w:rPr>
                <w:rFonts w:hint="eastAsia" w:ascii="Arial" w:hAnsi="Arial" w:cs="Arial"/>
                <w:bCs/>
                <w:sz w:val="18"/>
                <w:szCs w:val="18"/>
                <w:lang w:val="en-US" w:eastAsia="zh-CN"/>
              </w:rPr>
              <w:t>2、包干总价：99,761.75元；</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3、工期：2020年9月30日-2020年10月30日；</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4、付款方式：工程完工经验收合格后，紫东建设开具合法、有效增值税专用发票，凭借提供的完整、合法、等额发票及全套付款资料一次性付清。</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iCs w:val="0"/>
                <w:color w:val="000000"/>
                <w:sz w:val="22"/>
                <w:szCs w:val="22"/>
                <w:u w:val="none"/>
                <w:lang w:val="en-US" w:eastAsia="zh-CN" w:bidi="ar-SA"/>
              </w:rPr>
            </w:pPr>
            <w:r>
              <w:rPr>
                <w:rFonts w:hint="eastAsia" w:ascii="Arial" w:hAnsi="Arial" w:cs="Arial"/>
                <w:bCs/>
                <w:sz w:val="18"/>
                <w:szCs w:val="18"/>
                <w:lang w:val="en-US" w:eastAsia="zh-CN"/>
              </w:rPr>
              <w:t xml:space="preserve">99,761.75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3</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2021/05/12</w:t>
            </w:r>
          </w:p>
        </w:tc>
        <w:tc>
          <w:tcPr>
            <w:tcW w:w="721"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北京搜房科技发展有限公司重庆分公司</w:t>
            </w:r>
          </w:p>
        </w:tc>
        <w:tc>
          <w:tcPr>
            <w:tcW w:w="606"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重庆佳兆业晓岸云起项目12月房天下媒体投放合同</w:t>
            </w:r>
          </w:p>
        </w:tc>
        <w:tc>
          <w:tcPr>
            <w:tcW w:w="2283"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渝煌达委托北京搜房科技开展重庆佳兆业晓岸云起项目12月房天下媒体投放事宜。</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60,000.00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4</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2021/05/12</w:t>
            </w:r>
          </w:p>
        </w:tc>
        <w:tc>
          <w:tcPr>
            <w:tcW w:w="721"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甲方：重庆渝煌达实业有限公司（开发商）</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乙方：重庆弘金电力工程有限公司（施工方）</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丙方：重庆琨洲润置业发展有限公司（抵款房屋开发商）</w:t>
            </w:r>
          </w:p>
        </w:tc>
        <w:tc>
          <w:tcPr>
            <w:tcW w:w="606"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三方协议书（弘金）补充协议（二）</w:t>
            </w:r>
          </w:p>
        </w:tc>
        <w:tc>
          <w:tcPr>
            <w:tcW w:w="2283"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甲乙丙三方2020年12月16日签订了抵房合同《三方协议书（弘金）》（合同编号：CQ-YBS-GCHT-2020-30）抵款房屋为2套，（简称“原合同”），后签订三方协议书（弘金）补充协议（一），抵款房屋变更为1套。现三方协商同意弘金电力不执行三方协议书（弘金）补充协议（一），抵房事宜继续按原合同（抵款金额：1,643,138.00元）执行，特签订本补充协议。</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抵款金额：1,643,138.00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5</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2021/05/12</w:t>
            </w:r>
          </w:p>
        </w:tc>
        <w:tc>
          <w:tcPr>
            <w:tcW w:w="721"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中国建筑西南勘察设计研究院有限公司</w:t>
            </w:r>
          </w:p>
        </w:tc>
        <w:tc>
          <w:tcPr>
            <w:tcW w:w="606"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重庆佳兆业晓岸云起二期项目超前钻合同</w:t>
            </w:r>
          </w:p>
        </w:tc>
        <w:tc>
          <w:tcPr>
            <w:tcW w:w="2283"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1、工程规模：超前钻范围为重庆佳兆业晓岸云起二期11#、20#、21#、22#、23#楼超前钻工程；</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2、工期为30 个日历天，实际开工日期以甲方项目部书面开工令为准；</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3、工程勘察费含税暂定总额为：125,607.07元；</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勘察费支付：对方单位按合同约定及要求每完成一个项目的勘察测绘等所有工作，经项目公司验收合格及结算后，提供由审查机构审查后的正式合格报告，项目公司在28个日历天内支付本次项目勘察测绘的工程款项。</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125,607.07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6</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2021/05/13</w:t>
            </w:r>
          </w:p>
        </w:tc>
        <w:tc>
          <w:tcPr>
            <w:tcW w:w="721"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前锦网络信息技术（上海）有限公司重庆分公司</w:t>
            </w:r>
          </w:p>
        </w:tc>
        <w:tc>
          <w:tcPr>
            <w:tcW w:w="606"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重庆《无忧工作网》服务合同</w:t>
            </w:r>
          </w:p>
        </w:tc>
        <w:tc>
          <w:tcPr>
            <w:tcW w:w="2283"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1、服务有效期：自服务开通之日起12个月；</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2、费用：5,580.00元；</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3、内容：职位发布200个，简历下载600份；A区大Button4周+B区Button4周+知名企业2周，智能邀约2次+HI聊数100个。</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5,580.00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7</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2021/05/21</w:t>
            </w:r>
          </w:p>
        </w:tc>
        <w:tc>
          <w:tcPr>
            <w:tcW w:w="721"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重庆宇胜投资咨询有限公司</w:t>
            </w:r>
          </w:p>
        </w:tc>
        <w:tc>
          <w:tcPr>
            <w:tcW w:w="606"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“家庭消费贷”项目合作协议书</w:t>
            </w:r>
          </w:p>
        </w:tc>
        <w:tc>
          <w:tcPr>
            <w:tcW w:w="2283"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双方自愿就已购买渝煌达所开发晓岸云起项目房屋的客户（以下称“渝煌达业主”）合作推广家庭消费贷款产品，渝煌达向宇胜投资推荐有家庭消费需求的业主，宇胜向渝煌达业主提供资料审查、审批协作、贷后协作等信息咨询服务，并向渝煌达业主推荐合格贷款人促进业主获取贷款。</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服务费收取标准：</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1、借款期限12个月（先息季本），服务费计算标准：借款金额*服务费率（11%）；</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2、借款期限24个月（先息季本），服务费计算标准：借款金额*服务费率（18%）</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（备注：借款金额以借款人签署的借款合同为准。服务费由渝煌达固定承担12个月，服务费率11%，超出部分由借款人自行补充差价）。</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服务费支付方式：</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1、每个自然月为一个结算周期；</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2、在贷款发放前，渝煌达业主以个人账户形式单笔向宇胜支付服务费，宇胜在确认服务费后，由宇胜指定贷款人进行贷款发放；</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协议有效期：自本协议签订之日起至2021年12月31日。</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iCs w:val="0"/>
                <w:color w:val="000000"/>
                <w:sz w:val="22"/>
                <w:szCs w:val="22"/>
                <w:u w:val="none"/>
                <w:lang w:val="en-US" w:eastAsia="zh-CN" w:bidi="ar-SA"/>
              </w:rPr>
            </w:pPr>
            <w:r>
              <w:rPr>
                <w:rFonts w:hint="eastAsia" w:ascii="Arial" w:hAnsi="Arial" w:cs="Arial"/>
                <w:bCs/>
                <w:sz w:val="18"/>
                <w:szCs w:val="18"/>
                <w:lang w:val="en-US" w:eastAsia="zh-CN"/>
              </w:rPr>
              <w:t>服务费：项目公司固定承担12个月，服务费率11%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8</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2021/05/25</w:t>
            </w:r>
          </w:p>
        </w:tc>
        <w:tc>
          <w:tcPr>
            <w:tcW w:w="721"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重庆北江岩土工程勘察设计有限公司</w:t>
            </w:r>
          </w:p>
        </w:tc>
        <w:tc>
          <w:tcPr>
            <w:tcW w:w="606"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重庆佳兆业晓岸云起二期、三期项目勘察工程合同</w:t>
            </w:r>
          </w:p>
        </w:tc>
        <w:tc>
          <w:tcPr>
            <w:tcW w:w="2283"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1、工程名称：重庆佳兆业晓岸云起二期、三期项目勘察工程；</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2、工期为：20个日历天，实际开工日期以书面开工令为准；</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3、合同含税暂定总额为：558,579.85元；</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勘察费支付：北江岩土工程勘察公司每完成一个项目的勘察测绘等所有工作，并交付勘察测绘成果，验收合格及结算后，提供由审查机构审查后的正式合格报告，项目公司在28个日历天内支付本次项目勘察测绘的工程款项。</w:t>
            </w:r>
          </w:p>
        </w:tc>
        <w:tc>
          <w:tcPr>
            <w:tcW w:w="640" w:type="pct"/>
            <w:tcBorders>
              <w:tl2br w:val="nil"/>
              <w:tr2bl w:val="nil"/>
            </w:tcBorders>
            <w:shd w:val="clear" w:color="auto" w:fill="auto"/>
            <w:tcMar>
              <w:top w:w="15" w:type="dxa"/>
              <w:left w:w="15" w:type="dxa"/>
              <w:right w:w="15" w:type="dxa"/>
            </w:tcMar>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558,579.85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9</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2021/05/25</w:t>
            </w:r>
          </w:p>
        </w:tc>
        <w:tc>
          <w:tcPr>
            <w:tcW w:w="721"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重庆城鹏建筑有限公司</w:t>
            </w:r>
          </w:p>
        </w:tc>
        <w:tc>
          <w:tcPr>
            <w:tcW w:w="606"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重庆佳兆业晓岸云起三期土石方工程施工合同</w:t>
            </w:r>
          </w:p>
        </w:tc>
        <w:tc>
          <w:tcPr>
            <w:tcW w:w="2283"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1、工程名称：重庆佳兆业晓岸云起三期土石方工程；</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2、工期：进场时间以通知为准，工程工期45日历天；</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3、承包方式：本合同附件图纸及清单综合单价包干；</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4、合同价款：4,798,076.95元，暂定含税总价；</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5、付款要求：</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①无预付款；②甲方凭乙方的付款申请支付当月已完工工程量总价的70%；③全部土石方挖运（或回填）工程完工验收合格后，废料废渣清运完毕并经甲方、监理验收通过，甲方凭乙方的付款申请于45日内支付至合同已完工程总价的85%；④本工程验收合格办理完结算后，土石方部分支付至对应结算总价的100%，支护部分支付至对应结算总价的95%，留结算总价的5%作为本工程的保修金。待2年保修期满后支付至结算总价的100%（保修金不计利息）。</w:t>
            </w:r>
          </w:p>
        </w:tc>
        <w:tc>
          <w:tcPr>
            <w:tcW w:w="640" w:type="pct"/>
            <w:tcBorders>
              <w:tl2br w:val="nil"/>
              <w:tr2bl w:val="nil"/>
            </w:tcBorders>
            <w:shd w:val="clear" w:color="auto" w:fill="auto"/>
            <w:tcMar>
              <w:top w:w="15" w:type="dxa"/>
              <w:left w:w="15" w:type="dxa"/>
              <w:right w:w="15" w:type="dxa"/>
            </w:tcMar>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4,798,076.95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10</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2021/05/27</w:t>
            </w:r>
          </w:p>
        </w:tc>
        <w:tc>
          <w:tcPr>
            <w:tcW w:w="721"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2021年晓岸云起项目前期案场物业管理升级服务协议书</w:t>
            </w:r>
          </w:p>
        </w:tc>
        <w:tc>
          <w:tcPr>
            <w:tcW w:w="606"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重庆市佳兆业物业管理有限公司</w:t>
            </w:r>
          </w:p>
        </w:tc>
        <w:tc>
          <w:tcPr>
            <w:tcW w:w="2283"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1、升级服务范围：晓岸云起项目的销售展示区域，通过增加人力及物资配置等，对前期案场物业管理服务进行品质优化升级；</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2、协议期限：自2021年4月1日起至2021年12月3日止，合同期满经双方协商可再行续签；</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3、合同暂定含税总价：1,070,600元，2021年4-6月合同总价43,4600元(含税)，2021年7-12月合同总价636,000元(含税)；</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4、岗位清单共计：9人（服务升级新增人员）；</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5、付款方式：人工成本/月物料费用及管理酬金、税金按月结算支付，4-6月合计144866.66元/月(含税)，7-12月合计106000元/月(含税)。</w:t>
            </w:r>
          </w:p>
        </w:tc>
        <w:tc>
          <w:tcPr>
            <w:tcW w:w="640" w:type="pct"/>
            <w:tcBorders>
              <w:tl2br w:val="nil"/>
              <w:tr2bl w:val="nil"/>
            </w:tcBorders>
            <w:shd w:val="clear" w:color="auto" w:fill="auto"/>
            <w:tcMar>
              <w:top w:w="15" w:type="dxa"/>
              <w:left w:w="15" w:type="dxa"/>
              <w:right w:w="15" w:type="dxa"/>
            </w:tcMar>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1,070,600.00 </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32" w:name="_Toc27950"/>
      <w:bookmarkStart w:id="33" w:name="_Toc535580028"/>
      <w:bookmarkStart w:id="34" w:name="_Toc535570755"/>
      <w:bookmarkStart w:id="35" w:name="_Toc535580096"/>
      <w:bookmarkStart w:id="36" w:name="_Toc5286"/>
      <w:bookmarkStart w:id="37" w:name="_Toc535508641"/>
      <w:bookmarkStart w:id="38" w:name="_Toc411430359"/>
      <w:bookmarkStart w:id="39" w:name="_Toc373309851"/>
      <w:r>
        <w:rPr>
          <w:rFonts w:hint="default" w:ascii="Arial" w:hAnsi="Arial" w:eastAsia="宋体" w:cs="Arial"/>
          <w:sz w:val="24"/>
          <w:szCs w:val="24"/>
          <w:lang w:val="en-US" w:eastAsia="zh-CN"/>
        </w:rPr>
        <w:t>6</w:t>
      </w:r>
      <w:r>
        <w:rPr>
          <w:rFonts w:hint="eastAsia" w:ascii="宋体" w:hAnsi="宋体" w:eastAsia="宋体" w:cs="宋体"/>
          <w:sz w:val="24"/>
          <w:szCs w:val="24"/>
          <w:lang w:val="en-US" w:eastAsia="zh-CN"/>
        </w:rPr>
        <w:t>项目</w:t>
      </w:r>
      <w:r>
        <w:rPr>
          <w:rFonts w:hint="eastAsia" w:ascii="宋体" w:hAnsi="宋体" w:cs="宋体"/>
          <w:sz w:val="24"/>
          <w:szCs w:val="24"/>
          <w:lang w:val="en-US" w:eastAsia="zh-CN"/>
        </w:rPr>
        <w:t>营销</w:t>
      </w:r>
      <w:r>
        <w:rPr>
          <w:rFonts w:hint="eastAsia" w:ascii="宋体" w:hAnsi="宋体" w:eastAsia="宋体" w:cs="宋体"/>
          <w:sz w:val="24"/>
          <w:szCs w:val="24"/>
          <w:lang w:val="en-US" w:eastAsia="zh-CN"/>
        </w:rPr>
        <w:t>情况</w:t>
      </w:r>
      <w:bookmarkEnd w:id="32"/>
      <w:bookmarkEnd w:id="33"/>
      <w:bookmarkEnd w:id="34"/>
      <w:bookmarkEnd w:id="35"/>
      <w:bookmarkEnd w:id="36"/>
      <w:bookmarkEnd w:id="37"/>
    </w:p>
    <w:p>
      <w:pPr>
        <w:keepNext w:val="0"/>
        <w:keepLines w:val="0"/>
        <w:pageBreakBefore w:val="0"/>
        <w:widowControl w:val="0"/>
        <w:kinsoku/>
        <w:wordWrap/>
        <w:overflowPunct/>
        <w:topLinePunct w:val="0"/>
        <w:autoSpaceDE/>
        <w:autoSpaceDN/>
        <w:bidi w:val="0"/>
        <w:adjustRightInd/>
        <w:snapToGrid/>
        <w:spacing w:before="315" w:beforeLines="100" w:line="240" w:lineRule="auto"/>
        <w:ind w:firstLine="0" w:firstLineChars="0"/>
        <w:jc w:val="center"/>
        <w:textAlignment w:val="auto"/>
        <w:outlineLvl w:val="1"/>
        <w:rPr>
          <w:rFonts w:hint="eastAsia" w:ascii="Arial" w:hAnsi="Arial" w:eastAsia="宋体" w:cs="Arial"/>
          <w:b/>
          <w:bCs/>
          <w:sz w:val="24"/>
          <w:szCs w:val="32"/>
          <w:lang w:val="en-US" w:eastAsia="zh-CN"/>
        </w:rPr>
      </w:pPr>
      <w:r>
        <w:rPr>
          <w:rFonts w:hint="eastAsia" w:ascii="Arial" w:hAnsi="Arial" w:eastAsia="宋体" w:cs="Arial"/>
          <w:b/>
          <w:bCs/>
          <w:sz w:val="24"/>
          <w:szCs w:val="32"/>
          <w:lang w:val="en-US" w:eastAsia="zh-CN"/>
        </w:rPr>
        <w:t>项目公司</w:t>
      </w:r>
      <w:r>
        <w:rPr>
          <w:rFonts w:hint="eastAsia" w:ascii="Arial" w:hAnsi="Arial" w:cs="Arial"/>
          <w:b/>
          <w:bCs/>
          <w:sz w:val="24"/>
          <w:szCs w:val="32"/>
          <w:lang w:val="en-US" w:eastAsia="zh-CN"/>
        </w:rPr>
        <w:t>晓岸云起</w:t>
      </w:r>
      <w:r>
        <w:rPr>
          <w:rFonts w:hint="eastAsia" w:ascii="Arial" w:hAnsi="Arial" w:eastAsia="宋体" w:cs="Arial"/>
          <w:b/>
          <w:bCs/>
          <w:sz w:val="24"/>
          <w:szCs w:val="32"/>
          <w:lang w:val="en-US" w:eastAsia="zh-CN"/>
        </w:rPr>
        <w:t>开盘情况表</w:t>
      </w:r>
    </w:p>
    <w:tbl>
      <w:tblPr>
        <w:tblStyle w:val="10"/>
        <w:tblW w:w="0" w:type="auto"/>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1382"/>
        <w:gridCol w:w="1789"/>
        <w:gridCol w:w="1396"/>
        <w:gridCol w:w="1648"/>
        <w:gridCol w:w="1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476"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项目名称</w:t>
            </w:r>
          </w:p>
        </w:tc>
        <w:tc>
          <w:tcPr>
            <w:tcW w:w="1382"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楼栋号</w:t>
            </w:r>
          </w:p>
        </w:tc>
        <w:tc>
          <w:tcPr>
            <w:tcW w:w="1789"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开盘日期</w:t>
            </w:r>
          </w:p>
        </w:tc>
        <w:tc>
          <w:tcPr>
            <w:tcW w:w="1396"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可售房源/套</w:t>
            </w:r>
          </w:p>
        </w:tc>
        <w:tc>
          <w:tcPr>
            <w:tcW w:w="1648"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建筑面积/㎡</w:t>
            </w:r>
          </w:p>
        </w:tc>
        <w:tc>
          <w:tcPr>
            <w:tcW w:w="1582"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总货值约/万元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Merge w:val="restart"/>
          </w:tcPr>
          <w:p>
            <w:pPr>
              <w:jc w:val="center"/>
              <w:textAlignment w:val="center"/>
              <w:rPr>
                <w:rFonts w:hint="eastAsia" w:ascii="宋体" w:hAnsi="宋体" w:eastAsia="宋体" w:cs="宋体"/>
                <w:color w:val="000000"/>
                <w:sz w:val="18"/>
                <w:szCs w:val="18"/>
                <w:lang w:val="en-US" w:eastAsia="zh-CN"/>
              </w:rPr>
            </w:pPr>
          </w:p>
          <w:p>
            <w:pPr>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晓岸云起一期</w:t>
            </w:r>
          </w:p>
        </w:tc>
        <w:tc>
          <w:tcPr>
            <w:tcW w:w="1382"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3#、6#、7#楼</w:t>
            </w:r>
          </w:p>
        </w:tc>
        <w:tc>
          <w:tcPr>
            <w:tcW w:w="1789"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2021年1月30日</w:t>
            </w:r>
          </w:p>
        </w:tc>
        <w:tc>
          <w:tcPr>
            <w:tcW w:w="1396"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140</w:t>
            </w:r>
          </w:p>
        </w:tc>
        <w:tc>
          <w:tcPr>
            <w:tcW w:w="1648"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13350.52</w:t>
            </w:r>
          </w:p>
        </w:tc>
        <w:tc>
          <w:tcPr>
            <w:tcW w:w="1582" w:type="dxa"/>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18,713</w:t>
            </w:r>
            <w:r>
              <w:rPr>
                <w:rFonts w:hint="default" w:ascii="Arial" w:hAnsi="Arial" w:cs="Arial"/>
                <w:b w:val="0"/>
                <w:bCs/>
                <w:sz w:val="18"/>
                <w:szCs w:val="18"/>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Merge w:val="continue"/>
          </w:tcPr>
          <w:p>
            <w:pPr>
              <w:jc w:val="center"/>
              <w:textAlignment w:val="center"/>
              <w:rPr>
                <w:rFonts w:hint="eastAsia" w:ascii="宋体" w:hAnsi="宋体" w:eastAsia="宋体" w:cs="宋体"/>
                <w:color w:val="000000"/>
                <w:sz w:val="18"/>
                <w:szCs w:val="18"/>
                <w:lang w:val="en-US" w:eastAsia="zh-CN"/>
              </w:rPr>
            </w:pPr>
          </w:p>
        </w:tc>
        <w:tc>
          <w:tcPr>
            <w:tcW w:w="1382"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8#楼</w:t>
            </w:r>
          </w:p>
        </w:tc>
        <w:tc>
          <w:tcPr>
            <w:tcW w:w="1789"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2021年2月27日</w:t>
            </w:r>
          </w:p>
        </w:tc>
        <w:tc>
          <w:tcPr>
            <w:tcW w:w="1396"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64</w:t>
            </w:r>
          </w:p>
        </w:tc>
        <w:tc>
          <w:tcPr>
            <w:tcW w:w="1648"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5717.14</w:t>
            </w:r>
          </w:p>
        </w:tc>
        <w:tc>
          <w:tcPr>
            <w:tcW w:w="1582" w:type="dxa"/>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8,014</w:t>
            </w:r>
            <w:r>
              <w:rPr>
                <w:rFonts w:hint="default" w:ascii="Arial" w:hAnsi="Arial" w:cs="Arial"/>
                <w:b w:val="0"/>
                <w:bCs/>
                <w:sz w:val="18"/>
                <w:szCs w:val="18"/>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Merge w:val="continue"/>
          </w:tcPr>
          <w:p>
            <w:pPr>
              <w:jc w:val="center"/>
              <w:textAlignment w:val="center"/>
              <w:rPr>
                <w:rFonts w:hint="eastAsia" w:ascii="宋体" w:hAnsi="宋体" w:eastAsia="宋体" w:cs="宋体"/>
                <w:color w:val="000000"/>
                <w:sz w:val="18"/>
                <w:szCs w:val="18"/>
                <w:lang w:val="en-US" w:eastAsia="zh-CN"/>
              </w:rPr>
            </w:pPr>
          </w:p>
        </w:tc>
        <w:tc>
          <w:tcPr>
            <w:tcW w:w="1382"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4#楼</w:t>
            </w:r>
          </w:p>
        </w:tc>
        <w:tc>
          <w:tcPr>
            <w:tcW w:w="1789"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2021年3月12日</w:t>
            </w:r>
          </w:p>
        </w:tc>
        <w:tc>
          <w:tcPr>
            <w:tcW w:w="1396"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w:t>
            </w:r>
          </w:p>
        </w:tc>
        <w:tc>
          <w:tcPr>
            <w:tcW w:w="1648"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2077.77</w:t>
            </w:r>
          </w:p>
        </w:tc>
        <w:tc>
          <w:tcPr>
            <w:tcW w:w="1582" w:type="dxa"/>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2,955</w:t>
            </w:r>
            <w:r>
              <w:rPr>
                <w:rFonts w:hint="default" w:ascii="Arial" w:hAnsi="Arial" w:cs="Arial"/>
                <w:b w:val="0"/>
                <w:bCs/>
                <w:sz w:val="18"/>
                <w:szCs w:val="18"/>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76" w:type="dxa"/>
            <w:vMerge w:val="restart"/>
            <w:vAlign w:val="center"/>
          </w:tcPr>
          <w:p>
            <w:pPr>
              <w:jc w:val="center"/>
              <w:textAlignment w:val="center"/>
              <w:rPr>
                <w:rFonts w:hint="eastAsia" w:ascii="宋体" w:hAnsi="宋体" w:eastAsia="宋体" w:cs="宋体"/>
                <w:color w:val="000000"/>
                <w:sz w:val="18"/>
                <w:szCs w:val="18"/>
                <w:lang w:val="en-US" w:eastAsia="zh-CN" w:bidi="ar"/>
              </w:rPr>
            </w:pPr>
          </w:p>
          <w:p>
            <w:pPr>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bidi="ar"/>
              </w:rPr>
              <w:t>晓岸云起</w:t>
            </w:r>
            <w:r>
              <w:rPr>
                <w:rFonts w:hint="eastAsia" w:ascii="宋体" w:hAnsi="宋体" w:cs="宋体"/>
                <w:color w:val="000000"/>
                <w:sz w:val="18"/>
                <w:szCs w:val="18"/>
                <w:lang w:val="en-US" w:eastAsia="zh-CN" w:bidi="ar"/>
              </w:rPr>
              <w:t>二</w:t>
            </w:r>
            <w:r>
              <w:rPr>
                <w:rFonts w:hint="eastAsia" w:ascii="宋体" w:hAnsi="宋体" w:eastAsia="宋体" w:cs="宋体"/>
                <w:color w:val="000000"/>
                <w:sz w:val="18"/>
                <w:szCs w:val="18"/>
                <w:lang w:val="en-US" w:eastAsia="zh-CN" w:bidi="ar"/>
              </w:rPr>
              <w:t>期</w:t>
            </w:r>
          </w:p>
        </w:tc>
        <w:tc>
          <w:tcPr>
            <w:tcW w:w="1382" w:type="dxa"/>
            <w:vAlign w:val="top"/>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12#楼</w:t>
            </w:r>
          </w:p>
        </w:tc>
        <w:tc>
          <w:tcPr>
            <w:tcW w:w="1789" w:type="dxa"/>
            <w:vAlign w:val="top"/>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2021年03月31日</w:t>
            </w:r>
          </w:p>
        </w:tc>
        <w:tc>
          <w:tcPr>
            <w:tcW w:w="1396" w:type="dxa"/>
            <w:vAlign w:val="top"/>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64</w:t>
            </w:r>
          </w:p>
        </w:tc>
        <w:tc>
          <w:tcPr>
            <w:tcW w:w="1648" w:type="dxa"/>
            <w:vAlign w:val="top"/>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5716.22</w:t>
            </w:r>
          </w:p>
        </w:tc>
        <w:tc>
          <w:tcPr>
            <w:tcW w:w="1582" w:type="dxa"/>
            <w:vAlign w:val="top"/>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8,003.00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rPr>
            </w:pPr>
          </w:p>
        </w:tc>
        <w:tc>
          <w:tcPr>
            <w:tcW w:w="1382" w:type="dxa"/>
            <w:vAlign w:val="top"/>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21#楼</w:t>
            </w:r>
          </w:p>
        </w:tc>
        <w:tc>
          <w:tcPr>
            <w:tcW w:w="1789" w:type="dxa"/>
            <w:vAlign w:val="top"/>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2021年04月16日</w:t>
            </w:r>
          </w:p>
        </w:tc>
        <w:tc>
          <w:tcPr>
            <w:tcW w:w="1396" w:type="dxa"/>
            <w:vAlign w:val="top"/>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18</w:t>
            </w:r>
          </w:p>
        </w:tc>
        <w:tc>
          <w:tcPr>
            <w:tcW w:w="1648" w:type="dxa"/>
            <w:vAlign w:val="top"/>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2332.90</w:t>
            </w:r>
          </w:p>
        </w:tc>
        <w:tc>
          <w:tcPr>
            <w:tcW w:w="1582" w:type="dxa"/>
            <w:vAlign w:val="top"/>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3,656.00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rPr>
            </w:pPr>
          </w:p>
        </w:tc>
        <w:tc>
          <w:tcPr>
            <w:tcW w:w="1382" w:type="dxa"/>
            <w:vAlign w:val="top"/>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20#楼</w:t>
            </w:r>
          </w:p>
        </w:tc>
        <w:tc>
          <w:tcPr>
            <w:tcW w:w="1789"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2021年04月25日</w:t>
            </w:r>
          </w:p>
        </w:tc>
        <w:tc>
          <w:tcPr>
            <w:tcW w:w="1396"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22</w:t>
            </w:r>
          </w:p>
        </w:tc>
        <w:tc>
          <w:tcPr>
            <w:tcW w:w="1648"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2853.78 </w:t>
            </w:r>
          </w:p>
        </w:tc>
        <w:tc>
          <w:tcPr>
            <w:tcW w:w="1582"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4,331.00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rPr>
            </w:pPr>
          </w:p>
        </w:tc>
        <w:tc>
          <w:tcPr>
            <w:tcW w:w="1382" w:type="dxa"/>
            <w:vAlign w:val="top"/>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13#楼</w:t>
            </w:r>
          </w:p>
        </w:tc>
        <w:tc>
          <w:tcPr>
            <w:tcW w:w="1789"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2021年04月29日</w:t>
            </w:r>
          </w:p>
        </w:tc>
        <w:tc>
          <w:tcPr>
            <w:tcW w:w="1396"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64</w:t>
            </w:r>
          </w:p>
        </w:tc>
        <w:tc>
          <w:tcPr>
            <w:tcW w:w="1648"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5716.98 </w:t>
            </w:r>
          </w:p>
        </w:tc>
        <w:tc>
          <w:tcPr>
            <w:tcW w:w="1582"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8,214.00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rPr>
            </w:pPr>
          </w:p>
        </w:tc>
        <w:tc>
          <w:tcPr>
            <w:tcW w:w="1382"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22#、23#楼</w:t>
            </w:r>
          </w:p>
        </w:tc>
        <w:tc>
          <w:tcPr>
            <w:tcW w:w="1789"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2021年5月29日</w:t>
            </w:r>
          </w:p>
        </w:tc>
        <w:tc>
          <w:tcPr>
            <w:tcW w:w="1396"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36</w:t>
            </w:r>
          </w:p>
        </w:tc>
        <w:tc>
          <w:tcPr>
            <w:tcW w:w="1648"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4666.20 </w:t>
            </w:r>
          </w:p>
        </w:tc>
        <w:tc>
          <w:tcPr>
            <w:tcW w:w="1582"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7523.00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rPr>
            </w:pPr>
          </w:p>
        </w:tc>
        <w:tc>
          <w:tcPr>
            <w:tcW w:w="1382"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19#楼</w:t>
            </w:r>
          </w:p>
        </w:tc>
        <w:tc>
          <w:tcPr>
            <w:tcW w:w="1789"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2021年5月31日</w:t>
            </w:r>
          </w:p>
        </w:tc>
        <w:tc>
          <w:tcPr>
            <w:tcW w:w="1396"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22</w:t>
            </w:r>
          </w:p>
        </w:tc>
        <w:tc>
          <w:tcPr>
            <w:tcW w:w="1648"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2853.88 </w:t>
            </w:r>
          </w:p>
        </w:tc>
        <w:tc>
          <w:tcPr>
            <w:tcW w:w="1582"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4509.00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4647" w:type="dxa"/>
            <w:gridSpan w:val="3"/>
            <w:vAlign w:val="center"/>
          </w:tcPr>
          <w:p>
            <w:pPr>
              <w:widowControl/>
              <w:jc w:val="center"/>
              <w:rPr>
                <w:rFonts w:hint="eastAsia" w:ascii="Arial" w:hAnsi="Arial" w:cs="Arial"/>
                <w:b w:val="0"/>
                <w:bCs/>
                <w:sz w:val="18"/>
                <w:szCs w:val="18"/>
                <w:lang w:val="en-US" w:eastAsia="zh-CN"/>
              </w:rPr>
            </w:pPr>
            <w:r>
              <w:rPr>
                <w:rFonts w:hint="eastAsia" w:ascii="Arial" w:hAnsi="Arial" w:cs="Arial"/>
                <w:b/>
                <w:bCs w:val="0"/>
                <w:sz w:val="18"/>
                <w:szCs w:val="18"/>
                <w:lang w:val="en-US" w:eastAsia="zh-CN"/>
              </w:rPr>
              <w:t>合计</w:t>
            </w:r>
          </w:p>
        </w:tc>
        <w:tc>
          <w:tcPr>
            <w:tcW w:w="1396" w:type="dxa"/>
            <w:vAlign w:val="center"/>
          </w:tcPr>
          <w:p>
            <w:pPr>
              <w:widowControl/>
              <w:jc w:val="center"/>
              <w:rPr>
                <w:rFonts w:hint="default" w:ascii="Arial" w:hAnsi="Arial" w:cs="Arial"/>
                <w:b w:val="0"/>
                <w:bCs/>
                <w:sz w:val="18"/>
                <w:szCs w:val="18"/>
                <w:lang w:val="en-US" w:eastAsia="zh-CN"/>
              </w:rPr>
            </w:pPr>
            <w:r>
              <w:rPr>
                <w:rFonts w:hint="eastAsia" w:ascii="Arial" w:hAnsi="Arial" w:cs="Arial"/>
                <w:b/>
                <w:bCs w:val="0"/>
                <w:sz w:val="18"/>
                <w:szCs w:val="18"/>
                <w:lang w:val="en-US" w:eastAsia="zh-CN"/>
              </w:rPr>
              <w:t>450</w:t>
            </w:r>
          </w:p>
        </w:tc>
        <w:tc>
          <w:tcPr>
            <w:tcW w:w="1648" w:type="dxa"/>
            <w:vAlign w:val="center"/>
          </w:tcPr>
          <w:p>
            <w:pPr>
              <w:widowControl/>
              <w:jc w:val="center"/>
              <w:rPr>
                <w:rFonts w:hint="default" w:ascii="Arial" w:hAnsi="Arial" w:cs="Arial"/>
                <w:b w:val="0"/>
                <w:bCs/>
                <w:sz w:val="18"/>
                <w:szCs w:val="18"/>
                <w:lang w:val="en-US" w:eastAsia="zh-CN"/>
              </w:rPr>
            </w:pPr>
            <w:r>
              <w:rPr>
                <w:rFonts w:hint="eastAsia" w:ascii="Arial" w:hAnsi="Arial" w:cs="Arial"/>
                <w:b/>
                <w:bCs w:val="0"/>
                <w:sz w:val="18"/>
                <w:szCs w:val="18"/>
                <w:lang w:val="en-US" w:eastAsia="zh-CN"/>
              </w:rPr>
              <w:t>45285.39</w:t>
            </w:r>
          </w:p>
        </w:tc>
        <w:tc>
          <w:tcPr>
            <w:tcW w:w="1582" w:type="dxa"/>
            <w:vAlign w:val="center"/>
          </w:tcPr>
          <w:p>
            <w:pPr>
              <w:widowControl/>
              <w:jc w:val="right"/>
              <w:rPr>
                <w:rFonts w:hint="eastAsia" w:ascii="Arial" w:hAnsi="Arial" w:cs="Arial"/>
                <w:b w:val="0"/>
                <w:bCs/>
                <w:sz w:val="18"/>
                <w:szCs w:val="18"/>
                <w:lang w:val="en-US" w:eastAsia="zh-CN"/>
              </w:rPr>
            </w:pPr>
            <w:r>
              <w:rPr>
                <w:rFonts w:hint="eastAsia" w:ascii="Arial" w:hAnsi="Arial" w:cs="Arial"/>
                <w:b/>
                <w:bCs w:val="0"/>
                <w:sz w:val="18"/>
                <w:szCs w:val="18"/>
                <w:lang w:val="en-US" w:eastAsia="zh-CN"/>
              </w:rPr>
              <w:t>65,918.00</w:t>
            </w:r>
          </w:p>
        </w:tc>
      </w:tr>
    </w:tbl>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lang w:val="en-US" w:eastAsia="zh-CN"/>
        </w:rPr>
      </w:pPr>
      <w:bookmarkStart w:id="40" w:name="_Toc132"/>
      <w:r>
        <w:rPr>
          <w:rFonts w:hint="default" w:ascii="Arial" w:hAnsi="Arial" w:eastAsia="宋体" w:cs="Arial"/>
          <w:b/>
          <w:bCs/>
          <w:kern w:val="44"/>
          <w:sz w:val="24"/>
          <w:szCs w:val="24"/>
          <w:lang w:val="en-US" w:eastAsia="zh-CN" w:bidi="ar-SA"/>
        </w:rPr>
        <w:t>6.1</w:t>
      </w:r>
      <w:r>
        <w:rPr>
          <w:rFonts w:hint="eastAsia" w:ascii="Arial" w:hAnsi="Arial" w:eastAsia="宋体" w:cs="Arial"/>
          <w:b/>
          <w:bCs/>
          <w:kern w:val="44"/>
          <w:sz w:val="24"/>
          <w:szCs w:val="24"/>
          <w:lang w:val="en-US" w:eastAsia="zh-CN" w:bidi="ar-SA"/>
        </w:rPr>
        <w:t>项目销售情况</w:t>
      </w:r>
      <w:bookmarkEnd w:id="40"/>
    </w:p>
    <w:p>
      <w:pPr>
        <w:numPr>
          <w:ilvl w:val="0"/>
          <w:numId w:val="0"/>
        </w:numPr>
        <w:spacing w:line="480" w:lineRule="auto"/>
        <w:ind w:firstLine="420" w:firstLineChars="200"/>
        <w:rPr>
          <w:rFonts w:hint="eastAsia" w:ascii="Arial" w:hAnsi="Arial" w:cs="Arial"/>
          <w:lang w:val="en-US" w:eastAsia="zh-CN"/>
        </w:rPr>
      </w:pPr>
      <w:r>
        <w:rPr>
          <w:rFonts w:hint="eastAsia" w:ascii="Arial" w:hAnsi="Arial" w:cs="Arial"/>
          <w:lang w:val="en-US" w:eastAsia="zh-CN"/>
        </w:rPr>
        <w:t>2021年01月30日（开盘）至2021年05月31日，晓岸云起项目共网签423套，网签总额600,352,514.00元,2021年04月网签总额为476,686,985.00元，2021年05月</w:t>
      </w:r>
      <w:r>
        <w:rPr>
          <w:rFonts w:hint="default" w:ascii="Arial" w:hAnsi="Arial" w:cs="Arial"/>
          <w:lang w:val="en-US" w:eastAsia="zh-CN"/>
        </w:rPr>
        <w:t>网签总额123,700,205.00元</w:t>
      </w:r>
      <w:r>
        <w:rPr>
          <w:rFonts w:hint="eastAsia" w:ascii="Arial" w:hAnsi="Arial" w:cs="Arial"/>
          <w:lang w:val="en-US" w:eastAsia="zh-CN"/>
        </w:rPr>
        <w:t>，（因03月份网签数据中的一个客户之前房款折扣100%，金额：1,163,628.00元；后提交数据中房款折扣97.02%，金额1,128,952.00元，故04月数据和05月数据相加有出入。</w:t>
      </w:r>
    </w:p>
    <w:p>
      <w:pPr>
        <w:numPr>
          <w:ilvl w:val="0"/>
          <w:numId w:val="0"/>
        </w:numPr>
        <w:spacing w:line="480" w:lineRule="auto"/>
        <w:ind w:firstLine="420" w:firstLineChars="200"/>
        <w:rPr>
          <w:rFonts w:hint="default" w:ascii="Arial" w:hAnsi="Arial" w:eastAsia="宋体" w:cs="Arial"/>
          <w:bCs/>
          <w:kern w:val="44"/>
          <w:lang w:val="en-US" w:eastAsia="zh-CN"/>
        </w:rPr>
      </w:pPr>
      <w:r>
        <w:rPr>
          <w:rFonts w:hint="default" w:ascii="Arial" w:hAnsi="Arial" w:cs="Arial"/>
          <w:lang w:val="en-US" w:eastAsia="zh-CN"/>
        </w:rPr>
        <w:t>2021年05月份网签62套，网签面积7803.32㎡，网签总额123,700,205.00元</w:t>
      </w:r>
      <w:r>
        <w:rPr>
          <w:rFonts w:hint="eastAsia" w:ascii="Arial" w:hAnsi="Arial" w:cs="Arial"/>
          <w:lang w:val="en-US" w:eastAsia="zh-CN"/>
        </w:rPr>
        <w:t>）</w:t>
      </w:r>
      <w:r>
        <w:rPr>
          <w:rFonts w:hint="eastAsia"/>
          <w:lang w:val="en-US" w:eastAsia="zh-CN"/>
        </w:rPr>
        <w:t>。</w:t>
      </w:r>
      <w:bookmarkStart w:id="72" w:name="_GoBack"/>
      <w:bookmarkEnd w:id="72"/>
    </w:p>
    <w:p>
      <w:pPr>
        <w:keepNext w:val="0"/>
        <w:keepLines w:val="0"/>
        <w:pageBreakBefore w:val="0"/>
        <w:widowControl w:val="0"/>
        <w:kinsoku/>
        <w:wordWrap/>
        <w:overflowPunct/>
        <w:topLinePunct w:val="0"/>
        <w:autoSpaceDE/>
        <w:autoSpaceDN/>
        <w:bidi w:val="0"/>
        <w:adjustRightInd/>
        <w:snapToGrid/>
        <w:spacing w:before="315" w:beforeLines="100" w:line="240" w:lineRule="auto"/>
        <w:ind w:firstLine="0" w:firstLineChars="0"/>
        <w:jc w:val="center"/>
        <w:textAlignment w:val="auto"/>
        <w:outlineLvl w:val="1"/>
        <w:rPr>
          <w:rFonts w:hint="eastAsia" w:ascii="Arial" w:hAnsi="Arial" w:eastAsia="宋体" w:cs="Arial"/>
          <w:b/>
          <w:bCs/>
          <w:sz w:val="24"/>
          <w:szCs w:val="32"/>
          <w:lang w:val="en-US" w:eastAsia="zh-CN"/>
        </w:rPr>
      </w:pPr>
      <w:r>
        <w:rPr>
          <w:rFonts w:hint="eastAsia" w:ascii="Arial" w:hAnsi="Arial" w:eastAsia="宋体" w:cs="Arial"/>
          <w:b/>
          <w:bCs/>
          <w:sz w:val="24"/>
          <w:szCs w:val="32"/>
          <w:lang w:val="en-US" w:eastAsia="zh-CN"/>
        </w:rPr>
        <w:t>本期</w:t>
      </w:r>
      <w:r>
        <w:rPr>
          <w:rFonts w:hint="eastAsia" w:ascii="Arial" w:hAnsi="Arial" w:eastAsia="宋体" w:cs="Arial"/>
          <w:b/>
          <w:bCs/>
          <w:sz w:val="24"/>
          <w:szCs w:val="32"/>
        </w:rPr>
        <w:t>住宅销售情况</w:t>
      </w:r>
      <w:r>
        <w:rPr>
          <w:rFonts w:hint="eastAsia" w:ascii="Arial" w:hAnsi="Arial" w:eastAsia="宋体" w:cs="Arial"/>
          <w:b/>
          <w:bCs/>
          <w:sz w:val="24"/>
          <w:szCs w:val="32"/>
          <w:lang w:val="en-US" w:eastAsia="zh-CN"/>
        </w:rPr>
        <w:t>表</w:t>
      </w:r>
    </w:p>
    <w:tbl>
      <w:tblPr>
        <w:tblStyle w:val="10"/>
        <w:tblW w:w="0" w:type="auto"/>
        <w:tblInd w:w="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950"/>
        <w:gridCol w:w="1662"/>
        <w:gridCol w:w="1018"/>
        <w:gridCol w:w="1226"/>
        <w:gridCol w:w="1534"/>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blHeader/>
        </w:trPr>
        <w:tc>
          <w:tcPr>
            <w:tcW w:w="1117"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日期</w:t>
            </w:r>
          </w:p>
        </w:tc>
        <w:tc>
          <w:tcPr>
            <w:tcW w:w="950"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bidi="ar-SA"/>
              </w:rPr>
              <w:t>认购套数（套）</w:t>
            </w:r>
          </w:p>
        </w:tc>
        <w:tc>
          <w:tcPr>
            <w:tcW w:w="1662"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认购总额/元</w:t>
            </w:r>
          </w:p>
        </w:tc>
        <w:tc>
          <w:tcPr>
            <w:tcW w:w="1018"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网签套数/套</w:t>
            </w:r>
          </w:p>
        </w:tc>
        <w:tc>
          <w:tcPr>
            <w:tcW w:w="1226"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网签面积/㎡</w:t>
            </w:r>
          </w:p>
        </w:tc>
        <w:tc>
          <w:tcPr>
            <w:tcW w:w="1534"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网签总额/元</w:t>
            </w:r>
          </w:p>
        </w:tc>
        <w:tc>
          <w:tcPr>
            <w:tcW w:w="1720"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销售回款总额/元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2021/05/01</w:t>
            </w:r>
          </w:p>
        </w:tc>
        <w:tc>
          <w:tcPr>
            <w:tcW w:w="950" w:type="dxa"/>
            <w:vAlign w:val="center"/>
          </w:tcPr>
          <w:p>
            <w:pPr>
              <w:keepNext w:val="0"/>
              <w:keepLines w:val="0"/>
              <w:widowControl/>
              <w:suppressLineNumbers w:val="0"/>
              <w:jc w:val="center"/>
              <w:textAlignment w:val="auto"/>
              <w:rPr>
                <w:rFonts w:hint="default" w:ascii="Arial" w:hAnsi="Arial" w:eastAsia="宋体" w:cs="Arial"/>
                <w:b w:val="0"/>
                <w:bCs/>
                <w:sz w:val="18"/>
                <w:szCs w:val="18"/>
                <w:lang w:val="en-US" w:eastAsia="zh-CN" w:bidi="ar-SA"/>
              </w:rPr>
            </w:pPr>
            <w:r>
              <w:rPr>
                <w:rFonts w:hint="eastAsia" w:ascii="Arial" w:hAnsi="Arial" w:eastAsia="宋体" w:cs="Arial"/>
                <w:bCs/>
                <w:i w:val="0"/>
                <w:iCs w:val="0"/>
                <w:kern w:val="0"/>
                <w:sz w:val="18"/>
                <w:szCs w:val="18"/>
                <w:u w:val="none"/>
                <w:lang w:val="en-US" w:eastAsia="zh-CN" w:bidi="ar"/>
              </w:rPr>
              <w:t>1</w:t>
            </w:r>
          </w:p>
        </w:tc>
        <w:tc>
          <w:tcPr>
            <w:tcW w:w="1662" w:type="dxa"/>
            <w:vAlign w:val="center"/>
          </w:tcPr>
          <w:p>
            <w:pPr>
              <w:keepNext w:val="0"/>
              <w:keepLines w:val="0"/>
              <w:widowControl/>
              <w:suppressLineNumbers w:val="0"/>
              <w:jc w:val="right"/>
              <w:textAlignment w:val="auto"/>
              <w:rPr>
                <w:rFonts w:hint="default" w:ascii="Arial" w:hAnsi="Arial" w:eastAsia="宋体" w:cs="Arial"/>
                <w:b w:val="0"/>
                <w:bCs/>
                <w:sz w:val="18"/>
                <w:szCs w:val="18"/>
                <w:lang w:val="en-US" w:eastAsia="zh-CN" w:bidi="ar-SA"/>
              </w:rPr>
            </w:pPr>
            <w:r>
              <w:rPr>
                <w:rFonts w:hint="eastAsia" w:ascii="Arial" w:hAnsi="Arial" w:eastAsia="宋体" w:cs="Arial"/>
                <w:bCs/>
                <w:i w:val="0"/>
                <w:iCs w:val="0"/>
                <w:kern w:val="0"/>
                <w:sz w:val="18"/>
                <w:szCs w:val="18"/>
                <w:u w:val="none"/>
                <w:lang w:val="en-US" w:eastAsia="zh-CN" w:bidi="ar"/>
              </w:rPr>
              <w:t xml:space="preserve">2,143,335.00 </w:t>
            </w:r>
          </w:p>
        </w:tc>
        <w:tc>
          <w:tcPr>
            <w:tcW w:w="1018" w:type="dxa"/>
            <w:vAlign w:val="center"/>
          </w:tcPr>
          <w:p>
            <w:pPr>
              <w:keepNext w:val="0"/>
              <w:keepLines w:val="0"/>
              <w:widowControl/>
              <w:suppressLineNumbers w:val="0"/>
              <w:jc w:val="center"/>
              <w:textAlignment w:val="auto"/>
              <w:rPr>
                <w:rFonts w:hint="default" w:ascii="Arial" w:hAnsi="Arial" w:eastAsia="宋体" w:cs="Arial"/>
                <w:b w:val="0"/>
                <w:bCs/>
                <w:sz w:val="18"/>
                <w:szCs w:val="18"/>
                <w:lang w:val="en-US" w:eastAsia="zh-CN" w:bidi="ar-SA"/>
              </w:rPr>
            </w:pPr>
            <w:r>
              <w:rPr>
                <w:rFonts w:hint="eastAsia" w:ascii="Arial" w:hAnsi="Arial" w:eastAsia="宋体" w:cs="Arial"/>
                <w:bCs/>
                <w:i w:val="0"/>
                <w:iCs w:val="0"/>
                <w:kern w:val="0"/>
                <w:sz w:val="18"/>
                <w:szCs w:val="18"/>
                <w:u w:val="none"/>
                <w:lang w:val="en-US" w:eastAsia="zh-CN" w:bidi="ar"/>
              </w:rPr>
              <w:t>4</w:t>
            </w:r>
          </w:p>
        </w:tc>
        <w:tc>
          <w:tcPr>
            <w:tcW w:w="1226" w:type="dxa"/>
            <w:vAlign w:val="center"/>
          </w:tcPr>
          <w:p>
            <w:pPr>
              <w:keepNext w:val="0"/>
              <w:keepLines w:val="0"/>
              <w:widowControl/>
              <w:suppressLineNumbers w:val="0"/>
              <w:jc w:val="center"/>
              <w:textAlignment w:val="auto"/>
              <w:rPr>
                <w:rFonts w:hint="default" w:ascii="Arial" w:hAnsi="Arial" w:eastAsia="宋体" w:cs="Arial"/>
                <w:b w:val="0"/>
                <w:bCs/>
                <w:sz w:val="18"/>
                <w:szCs w:val="18"/>
                <w:lang w:val="en-US" w:eastAsia="zh-CN" w:bidi="ar-SA"/>
              </w:rPr>
            </w:pPr>
            <w:r>
              <w:rPr>
                <w:rFonts w:hint="eastAsia" w:ascii="Arial" w:hAnsi="Arial" w:eastAsia="宋体" w:cs="Arial"/>
                <w:bCs/>
                <w:i w:val="0"/>
                <w:iCs w:val="0"/>
                <w:kern w:val="0"/>
                <w:sz w:val="18"/>
                <w:szCs w:val="18"/>
                <w:u w:val="none"/>
                <w:lang w:val="en-US" w:eastAsia="zh-CN" w:bidi="ar"/>
              </w:rPr>
              <w:t xml:space="preserve">517.48 </w:t>
            </w:r>
          </w:p>
        </w:tc>
        <w:tc>
          <w:tcPr>
            <w:tcW w:w="1534" w:type="dxa"/>
            <w:vAlign w:val="center"/>
          </w:tcPr>
          <w:p>
            <w:pPr>
              <w:keepNext w:val="0"/>
              <w:keepLines w:val="0"/>
              <w:widowControl/>
              <w:suppressLineNumbers w:val="0"/>
              <w:jc w:val="right"/>
              <w:textAlignment w:val="auto"/>
              <w:rPr>
                <w:rFonts w:hint="default" w:ascii="Arial" w:hAnsi="Arial" w:eastAsia="宋体" w:cs="Arial"/>
                <w:b w:val="0"/>
                <w:bCs/>
                <w:sz w:val="18"/>
                <w:szCs w:val="18"/>
                <w:lang w:val="en-US" w:eastAsia="zh-CN" w:bidi="ar-SA"/>
              </w:rPr>
            </w:pPr>
            <w:r>
              <w:rPr>
                <w:rFonts w:hint="eastAsia" w:ascii="Arial" w:hAnsi="Arial" w:eastAsia="宋体" w:cs="Arial"/>
                <w:bCs/>
                <w:i w:val="0"/>
                <w:iCs w:val="0"/>
                <w:kern w:val="0"/>
                <w:sz w:val="18"/>
                <w:szCs w:val="18"/>
                <w:u w:val="none"/>
                <w:lang w:val="en-US" w:eastAsia="zh-CN" w:bidi="ar"/>
              </w:rPr>
              <w:t xml:space="preserve">7,957,487.00 </w:t>
            </w:r>
          </w:p>
        </w:tc>
        <w:tc>
          <w:tcPr>
            <w:tcW w:w="1720" w:type="dxa"/>
            <w:vAlign w:val="center"/>
          </w:tcPr>
          <w:p>
            <w:pPr>
              <w:keepNext w:val="0"/>
              <w:keepLines w:val="0"/>
              <w:widowControl/>
              <w:suppressLineNumbers w:val="0"/>
              <w:jc w:val="right"/>
              <w:textAlignment w:val="auto"/>
              <w:rPr>
                <w:rFonts w:hint="default" w:ascii="Arial" w:hAnsi="Arial" w:eastAsia="宋体" w:cs="Arial"/>
                <w:b w:val="0"/>
                <w:bCs/>
                <w:sz w:val="18"/>
                <w:szCs w:val="18"/>
                <w:lang w:val="en-US" w:eastAsia="zh-CN" w:bidi="ar-SA"/>
              </w:rPr>
            </w:pPr>
            <w:r>
              <w:rPr>
                <w:rFonts w:hint="eastAsia" w:ascii="Arial" w:hAnsi="Arial" w:eastAsia="宋体" w:cs="Arial"/>
                <w:bCs/>
                <w:i w:val="0"/>
                <w:iCs w:val="0"/>
                <w:kern w:val="0"/>
                <w:sz w:val="18"/>
                <w:szCs w:val="18"/>
                <w:u w:val="none"/>
                <w:lang w:val="en-US" w:eastAsia="zh-CN" w:bidi="ar"/>
              </w:rPr>
              <w:t xml:space="preserve">3,950,487.00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2021/05/02</w:t>
            </w:r>
          </w:p>
        </w:tc>
        <w:tc>
          <w:tcPr>
            <w:tcW w:w="950" w:type="dxa"/>
            <w:vAlign w:val="center"/>
          </w:tcPr>
          <w:p>
            <w:pPr>
              <w:keepNext w:val="0"/>
              <w:keepLines w:val="0"/>
              <w:widowControl/>
              <w:suppressLineNumbers w:val="0"/>
              <w:jc w:val="center"/>
              <w:textAlignment w:val="auto"/>
              <w:rPr>
                <w:rFonts w:hint="default" w:ascii="Arial" w:hAnsi="Arial" w:eastAsia="宋体" w:cs="Arial"/>
                <w:b w:val="0"/>
                <w:bCs/>
                <w:sz w:val="18"/>
                <w:szCs w:val="18"/>
                <w:lang w:val="en-US" w:eastAsia="zh-CN" w:bidi="ar-SA"/>
              </w:rPr>
            </w:pPr>
            <w:r>
              <w:rPr>
                <w:rFonts w:hint="eastAsia" w:ascii="Arial" w:hAnsi="Arial" w:eastAsia="宋体" w:cs="Arial"/>
                <w:bCs/>
                <w:i w:val="0"/>
                <w:iCs w:val="0"/>
                <w:kern w:val="0"/>
                <w:sz w:val="18"/>
                <w:szCs w:val="18"/>
                <w:u w:val="none"/>
                <w:lang w:val="en-US" w:eastAsia="zh-CN" w:bidi="ar"/>
              </w:rPr>
              <w:t>2</w:t>
            </w:r>
          </w:p>
        </w:tc>
        <w:tc>
          <w:tcPr>
            <w:tcW w:w="1662" w:type="dxa"/>
            <w:vAlign w:val="center"/>
          </w:tcPr>
          <w:p>
            <w:pPr>
              <w:keepNext w:val="0"/>
              <w:keepLines w:val="0"/>
              <w:widowControl/>
              <w:suppressLineNumbers w:val="0"/>
              <w:jc w:val="right"/>
              <w:textAlignment w:val="auto"/>
              <w:rPr>
                <w:rFonts w:hint="default" w:ascii="Arial" w:hAnsi="Arial" w:eastAsia="宋体" w:cs="Arial"/>
                <w:b w:val="0"/>
                <w:bCs/>
                <w:sz w:val="18"/>
                <w:szCs w:val="18"/>
                <w:lang w:val="en-US" w:eastAsia="zh-CN" w:bidi="ar-SA"/>
              </w:rPr>
            </w:pPr>
            <w:r>
              <w:rPr>
                <w:rFonts w:hint="eastAsia" w:ascii="Arial" w:hAnsi="Arial" w:eastAsia="宋体" w:cs="Arial"/>
                <w:bCs/>
                <w:i w:val="0"/>
                <w:iCs w:val="0"/>
                <w:kern w:val="0"/>
                <w:sz w:val="18"/>
                <w:szCs w:val="18"/>
                <w:u w:val="none"/>
                <w:lang w:val="en-US" w:eastAsia="zh-CN" w:bidi="ar"/>
              </w:rPr>
              <w:t xml:space="preserve">3,965,315.00 </w:t>
            </w:r>
          </w:p>
        </w:tc>
        <w:tc>
          <w:tcPr>
            <w:tcW w:w="1018" w:type="dxa"/>
            <w:vAlign w:val="center"/>
          </w:tcPr>
          <w:p>
            <w:pPr>
              <w:keepNext w:val="0"/>
              <w:keepLines w:val="0"/>
              <w:widowControl/>
              <w:suppressLineNumbers w:val="0"/>
              <w:jc w:val="center"/>
              <w:textAlignment w:val="auto"/>
              <w:rPr>
                <w:rFonts w:hint="default" w:ascii="Arial" w:hAnsi="Arial" w:eastAsia="宋体" w:cs="Arial"/>
                <w:b w:val="0"/>
                <w:bCs/>
                <w:sz w:val="18"/>
                <w:szCs w:val="18"/>
                <w:lang w:val="en-US" w:eastAsia="zh-CN" w:bidi="ar-SA"/>
              </w:rPr>
            </w:pPr>
            <w:r>
              <w:rPr>
                <w:rFonts w:hint="eastAsia" w:ascii="Arial" w:hAnsi="Arial" w:eastAsia="宋体" w:cs="Arial"/>
                <w:bCs/>
                <w:i w:val="0"/>
                <w:iCs w:val="0"/>
                <w:kern w:val="0"/>
                <w:sz w:val="18"/>
                <w:szCs w:val="18"/>
                <w:u w:val="none"/>
                <w:lang w:val="en-US" w:eastAsia="zh-CN" w:bidi="ar"/>
              </w:rPr>
              <w:t>2</w:t>
            </w:r>
          </w:p>
        </w:tc>
        <w:tc>
          <w:tcPr>
            <w:tcW w:w="1226" w:type="dxa"/>
            <w:vAlign w:val="center"/>
          </w:tcPr>
          <w:p>
            <w:pPr>
              <w:keepNext w:val="0"/>
              <w:keepLines w:val="0"/>
              <w:widowControl/>
              <w:suppressLineNumbers w:val="0"/>
              <w:jc w:val="center"/>
              <w:textAlignment w:val="auto"/>
              <w:rPr>
                <w:rFonts w:hint="default" w:ascii="Arial" w:hAnsi="Arial" w:eastAsia="宋体" w:cs="Arial"/>
                <w:b w:val="0"/>
                <w:bCs/>
                <w:sz w:val="18"/>
                <w:szCs w:val="18"/>
                <w:lang w:val="en-US" w:eastAsia="zh-CN" w:bidi="ar-SA"/>
              </w:rPr>
            </w:pPr>
            <w:r>
              <w:rPr>
                <w:rFonts w:hint="eastAsia" w:ascii="Arial" w:hAnsi="Arial" w:eastAsia="宋体" w:cs="Arial"/>
                <w:bCs/>
                <w:i w:val="0"/>
                <w:iCs w:val="0"/>
                <w:kern w:val="0"/>
                <w:sz w:val="18"/>
                <w:szCs w:val="18"/>
                <w:u w:val="none"/>
                <w:lang w:val="en-US" w:eastAsia="zh-CN" w:bidi="ar"/>
              </w:rPr>
              <w:t xml:space="preserve">219.61 </w:t>
            </w:r>
          </w:p>
        </w:tc>
        <w:tc>
          <w:tcPr>
            <w:tcW w:w="1534" w:type="dxa"/>
            <w:vAlign w:val="center"/>
          </w:tcPr>
          <w:p>
            <w:pPr>
              <w:keepNext w:val="0"/>
              <w:keepLines w:val="0"/>
              <w:widowControl/>
              <w:suppressLineNumbers w:val="0"/>
              <w:jc w:val="right"/>
              <w:textAlignment w:val="auto"/>
              <w:rPr>
                <w:rFonts w:hint="default" w:ascii="Arial" w:hAnsi="Arial" w:eastAsia="宋体" w:cs="Arial"/>
                <w:b w:val="0"/>
                <w:bCs/>
                <w:sz w:val="18"/>
                <w:szCs w:val="18"/>
                <w:lang w:val="en-US" w:eastAsia="zh-CN" w:bidi="ar-SA"/>
              </w:rPr>
            </w:pPr>
            <w:r>
              <w:rPr>
                <w:rFonts w:hint="eastAsia" w:ascii="Arial" w:hAnsi="Arial" w:eastAsia="宋体" w:cs="Arial"/>
                <w:bCs/>
                <w:i w:val="0"/>
                <w:iCs w:val="0"/>
                <w:kern w:val="0"/>
                <w:sz w:val="18"/>
                <w:szCs w:val="18"/>
                <w:u w:val="none"/>
                <w:lang w:val="en-US" w:eastAsia="zh-CN" w:bidi="ar"/>
              </w:rPr>
              <w:t xml:space="preserve">3,076,664.00 </w:t>
            </w:r>
          </w:p>
        </w:tc>
        <w:tc>
          <w:tcPr>
            <w:tcW w:w="1720" w:type="dxa"/>
            <w:vAlign w:val="center"/>
          </w:tcPr>
          <w:p>
            <w:pPr>
              <w:keepNext w:val="0"/>
              <w:keepLines w:val="0"/>
              <w:widowControl/>
              <w:suppressLineNumbers w:val="0"/>
              <w:jc w:val="right"/>
              <w:textAlignment w:val="auto"/>
              <w:rPr>
                <w:rFonts w:hint="default" w:ascii="Arial" w:hAnsi="Arial" w:eastAsia="宋体" w:cs="Arial"/>
                <w:b w:val="0"/>
                <w:bCs/>
                <w:sz w:val="18"/>
                <w:szCs w:val="18"/>
                <w:lang w:val="en-US" w:eastAsia="zh-CN" w:bidi="ar-SA"/>
              </w:rPr>
            </w:pPr>
            <w:r>
              <w:rPr>
                <w:rFonts w:hint="eastAsia" w:ascii="Arial" w:hAnsi="Arial" w:eastAsia="宋体" w:cs="Arial"/>
                <w:bCs/>
                <w:i w:val="0"/>
                <w:iCs w:val="0"/>
                <w:kern w:val="0"/>
                <w:sz w:val="18"/>
                <w:szCs w:val="18"/>
                <w:u w:val="none"/>
                <w:lang w:val="en-US" w:eastAsia="zh-CN" w:bidi="ar"/>
              </w:rPr>
              <w:t xml:space="preserve">622,664.00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2021/05/04</w:t>
            </w:r>
          </w:p>
        </w:tc>
        <w:tc>
          <w:tcPr>
            <w:tcW w:w="950" w:type="dxa"/>
            <w:vAlign w:val="center"/>
          </w:tcPr>
          <w:p>
            <w:pPr>
              <w:keepNext w:val="0"/>
              <w:keepLines w:val="0"/>
              <w:widowControl/>
              <w:suppressLineNumbers w:val="0"/>
              <w:jc w:val="center"/>
              <w:textAlignment w:val="auto"/>
              <w:rPr>
                <w:rFonts w:hint="default" w:ascii="Arial" w:hAnsi="Arial" w:eastAsia="宋体" w:cs="Arial"/>
                <w:b w:val="0"/>
                <w:bCs/>
                <w:sz w:val="18"/>
                <w:szCs w:val="18"/>
                <w:lang w:val="en-US" w:eastAsia="zh-CN" w:bidi="ar-SA"/>
              </w:rPr>
            </w:pPr>
            <w:r>
              <w:rPr>
                <w:rFonts w:hint="eastAsia" w:ascii="Arial" w:hAnsi="Arial" w:eastAsia="宋体" w:cs="Arial"/>
                <w:bCs/>
                <w:i w:val="0"/>
                <w:iCs w:val="0"/>
                <w:kern w:val="0"/>
                <w:sz w:val="18"/>
                <w:szCs w:val="18"/>
                <w:u w:val="none"/>
                <w:lang w:val="en-US" w:eastAsia="zh-CN" w:bidi="ar"/>
              </w:rPr>
              <w:t>2</w:t>
            </w:r>
          </w:p>
        </w:tc>
        <w:tc>
          <w:tcPr>
            <w:tcW w:w="1662" w:type="dxa"/>
            <w:vAlign w:val="center"/>
          </w:tcPr>
          <w:p>
            <w:pPr>
              <w:keepNext w:val="0"/>
              <w:keepLines w:val="0"/>
              <w:widowControl/>
              <w:suppressLineNumbers w:val="0"/>
              <w:jc w:val="right"/>
              <w:textAlignment w:val="auto"/>
              <w:rPr>
                <w:rFonts w:hint="default" w:ascii="Arial" w:hAnsi="Arial" w:eastAsia="宋体" w:cs="Arial"/>
                <w:b w:val="0"/>
                <w:bCs/>
                <w:sz w:val="18"/>
                <w:szCs w:val="18"/>
                <w:lang w:val="en-US" w:eastAsia="zh-CN" w:bidi="ar-SA"/>
              </w:rPr>
            </w:pPr>
            <w:r>
              <w:rPr>
                <w:rFonts w:hint="eastAsia" w:ascii="Arial" w:hAnsi="Arial" w:eastAsia="宋体" w:cs="Arial"/>
                <w:bCs/>
                <w:i w:val="0"/>
                <w:iCs w:val="0"/>
                <w:kern w:val="0"/>
                <w:sz w:val="18"/>
                <w:szCs w:val="18"/>
                <w:u w:val="none"/>
                <w:lang w:val="en-US" w:eastAsia="zh-CN" w:bidi="ar"/>
              </w:rPr>
              <w:t xml:space="preserve">2,959,370.00 </w:t>
            </w:r>
          </w:p>
        </w:tc>
        <w:tc>
          <w:tcPr>
            <w:tcW w:w="1018" w:type="dxa"/>
            <w:vAlign w:val="center"/>
          </w:tcPr>
          <w:p>
            <w:pPr>
              <w:keepNext w:val="0"/>
              <w:keepLines w:val="0"/>
              <w:widowControl/>
              <w:suppressLineNumbers w:val="0"/>
              <w:jc w:val="center"/>
              <w:textAlignment w:val="auto"/>
              <w:rPr>
                <w:rFonts w:hint="default" w:ascii="Arial" w:hAnsi="Arial" w:eastAsia="宋体" w:cs="Arial"/>
                <w:b w:val="0"/>
                <w:bCs/>
                <w:sz w:val="18"/>
                <w:szCs w:val="18"/>
                <w:lang w:val="en-US" w:eastAsia="zh-CN" w:bidi="ar-SA"/>
              </w:rPr>
            </w:pPr>
            <w:r>
              <w:rPr>
                <w:rFonts w:hint="eastAsia" w:ascii="Arial" w:hAnsi="Arial" w:eastAsia="宋体" w:cs="Arial"/>
                <w:bCs/>
                <w:i w:val="0"/>
                <w:iCs w:val="0"/>
                <w:kern w:val="0"/>
                <w:sz w:val="18"/>
                <w:szCs w:val="18"/>
                <w:u w:val="none"/>
                <w:lang w:val="en-US" w:eastAsia="zh-CN" w:bidi="ar"/>
              </w:rPr>
              <w:t>3</w:t>
            </w:r>
          </w:p>
        </w:tc>
        <w:tc>
          <w:tcPr>
            <w:tcW w:w="1226" w:type="dxa"/>
            <w:vAlign w:val="center"/>
          </w:tcPr>
          <w:p>
            <w:pPr>
              <w:keepNext w:val="0"/>
              <w:keepLines w:val="0"/>
              <w:widowControl/>
              <w:suppressLineNumbers w:val="0"/>
              <w:jc w:val="center"/>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334.66 </w:t>
            </w:r>
          </w:p>
        </w:tc>
        <w:tc>
          <w:tcPr>
            <w:tcW w:w="1534" w:type="dxa"/>
            <w:vAlign w:val="center"/>
          </w:tcPr>
          <w:p>
            <w:pPr>
              <w:keepNext w:val="0"/>
              <w:keepLines w:val="0"/>
              <w:widowControl/>
              <w:suppressLineNumbers w:val="0"/>
              <w:jc w:val="right"/>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4,988,528.00 </w:t>
            </w:r>
          </w:p>
        </w:tc>
        <w:tc>
          <w:tcPr>
            <w:tcW w:w="1720" w:type="dxa"/>
            <w:vAlign w:val="center"/>
          </w:tcPr>
          <w:p>
            <w:pPr>
              <w:keepNext w:val="0"/>
              <w:keepLines w:val="0"/>
              <w:widowControl/>
              <w:suppressLineNumbers w:val="0"/>
              <w:jc w:val="right"/>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2,347,528.00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2021/05/05</w:t>
            </w:r>
          </w:p>
        </w:tc>
        <w:tc>
          <w:tcPr>
            <w:tcW w:w="950" w:type="dxa"/>
            <w:vAlign w:val="center"/>
          </w:tcPr>
          <w:p>
            <w:pPr>
              <w:keepNext w:val="0"/>
              <w:keepLines w:val="0"/>
              <w:widowControl/>
              <w:suppressLineNumbers w:val="0"/>
              <w:jc w:val="center"/>
              <w:textAlignment w:val="auto"/>
              <w:rPr>
                <w:rFonts w:hint="default" w:ascii="Arial" w:hAnsi="Arial" w:eastAsia="宋体" w:cs="Arial"/>
                <w:b w:val="0"/>
                <w:bCs/>
                <w:sz w:val="18"/>
                <w:szCs w:val="18"/>
                <w:lang w:val="en-US" w:eastAsia="zh-CN" w:bidi="ar-SA"/>
              </w:rPr>
            </w:pPr>
            <w:r>
              <w:rPr>
                <w:rFonts w:hint="eastAsia" w:ascii="Arial" w:hAnsi="Arial" w:eastAsia="宋体" w:cs="Arial"/>
                <w:bCs/>
                <w:i w:val="0"/>
                <w:iCs w:val="0"/>
                <w:kern w:val="0"/>
                <w:sz w:val="18"/>
                <w:szCs w:val="18"/>
                <w:u w:val="none"/>
                <w:lang w:val="en-US" w:eastAsia="zh-CN" w:bidi="ar"/>
              </w:rPr>
              <w:t>1</w:t>
            </w:r>
          </w:p>
        </w:tc>
        <w:tc>
          <w:tcPr>
            <w:tcW w:w="1662" w:type="dxa"/>
            <w:vAlign w:val="center"/>
          </w:tcPr>
          <w:p>
            <w:pPr>
              <w:keepNext w:val="0"/>
              <w:keepLines w:val="0"/>
              <w:widowControl/>
              <w:suppressLineNumbers w:val="0"/>
              <w:jc w:val="right"/>
              <w:textAlignment w:val="auto"/>
              <w:rPr>
                <w:rFonts w:hint="default" w:ascii="Arial" w:hAnsi="Arial" w:eastAsia="宋体" w:cs="Arial"/>
                <w:b w:val="0"/>
                <w:bCs/>
                <w:sz w:val="18"/>
                <w:szCs w:val="18"/>
                <w:lang w:val="en-US" w:eastAsia="zh-CN" w:bidi="ar-SA"/>
              </w:rPr>
            </w:pPr>
            <w:r>
              <w:rPr>
                <w:rFonts w:hint="eastAsia" w:ascii="Arial" w:hAnsi="Arial" w:eastAsia="宋体" w:cs="Arial"/>
                <w:bCs/>
                <w:i w:val="0"/>
                <w:iCs w:val="0"/>
                <w:kern w:val="0"/>
                <w:sz w:val="18"/>
                <w:szCs w:val="18"/>
                <w:u w:val="none"/>
                <w:lang w:val="en-US" w:eastAsia="zh-CN" w:bidi="ar"/>
              </w:rPr>
              <w:t xml:space="preserve">2,131,048.00 </w:t>
            </w:r>
          </w:p>
        </w:tc>
        <w:tc>
          <w:tcPr>
            <w:tcW w:w="1018" w:type="dxa"/>
            <w:vAlign w:val="center"/>
          </w:tcPr>
          <w:p>
            <w:pPr>
              <w:keepNext w:val="0"/>
              <w:keepLines w:val="0"/>
              <w:widowControl/>
              <w:suppressLineNumbers w:val="0"/>
              <w:jc w:val="center"/>
              <w:textAlignment w:val="auto"/>
              <w:rPr>
                <w:rFonts w:hint="default" w:ascii="Arial" w:hAnsi="Arial" w:eastAsia="宋体" w:cs="Arial"/>
                <w:b w:val="0"/>
                <w:bCs/>
                <w:sz w:val="18"/>
                <w:szCs w:val="18"/>
                <w:lang w:val="en-US" w:eastAsia="zh-CN" w:bidi="ar-SA"/>
              </w:rPr>
            </w:pPr>
            <w:r>
              <w:rPr>
                <w:rFonts w:hint="eastAsia" w:ascii="Arial" w:hAnsi="Arial" w:eastAsia="宋体" w:cs="Arial"/>
                <w:bCs/>
                <w:i w:val="0"/>
                <w:iCs w:val="0"/>
                <w:kern w:val="0"/>
                <w:sz w:val="18"/>
                <w:szCs w:val="18"/>
                <w:u w:val="none"/>
                <w:lang w:val="en-US" w:eastAsia="zh-CN" w:bidi="ar"/>
              </w:rPr>
              <w:t>1</w:t>
            </w:r>
          </w:p>
        </w:tc>
        <w:tc>
          <w:tcPr>
            <w:tcW w:w="1226" w:type="dxa"/>
            <w:vAlign w:val="center"/>
          </w:tcPr>
          <w:p>
            <w:pPr>
              <w:keepNext w:val="0"/>
              <w:keepLines w:val="0"/>
              <w:widowControl/>
              <w:suppressLineNumbers w:val="0"/>
              <w:jc w:val="center"/>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139.64 </w:t>
            </w:r>
          </w:p>
        </w:tc>
        <w:tc>
          <w:tcPr>
            <w:tcW w:w="1534" w:type="dxa"/>
            <w:vAlign w:val="center"/>
          </w:tcPr>
          <w:p>
            <w:pPr>
              <w:keepNext w:val="0"/>
              <w:keepLines w:val="0"/>
              <w:widowControl/>
              <w:suppressLineNumbers w:val="0"/>
              <w:jc w:val="right"/>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2,143,335.00 </w:t>
            </w:r>
          </w:p>
        </w:tc>
        <w:tc>
          <w:tcPr>
            <w:tcW w:w="1720" w:type="dxa"/>
            <w:vAlign w:val="center"/>
          </w:tcPr>
          <w:p>
            <w:pPr>
              <w:keepNext w:val="0"/>
              <w:keepLines w:val="0"/>
              <w:widowControl/>
              <w:suppressLineNumbers w:val="0"/>
              <w:jc w:val="right"/>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1,073,335.00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2021/05/06</w:t>
            </w:r>
          </w:p>
        </w:tc>
        <w:tc>
          <w:tcPr>
            <w:tcW w:w="950" w:type="dxa"/>
            <w:vAlign w:val="center"/>
          </w:tcPr>
          <w:p>
            <w:pPr>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0</w:t>
            </w:r>
          </w:p>
        </w:tc>
        <w:tc>
          <w:tcPr>
            <w:tcW w:w="1662" w:type="dxa"/>
            <w:vAlign w:val="center"/>
          </w:tcPr>
          <w:p>
            <w:pPr>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bidi="ar-SA"/>
              </w:rPr>
              <w:t>0.00</w:t>
            </w:r>
          </w:p>
        </w:tc>
        <w:tc>
          <w:tcPr>
            <w:tcW w:w="1018" w:type="dxa"/>
            <w:vAlign w:val="center"/>
          </w:tcPr>
          <w:p>
            <w:pPr>
              <w:keepNext w:val="0"/>
              <w:keepLines w:val="0"/>
              <w:widowControl/>
              <w:suppressLineNumbers w:val="0"/>
              <w:jc w:val="center"/>
              <w:textAlignment w:val="auto"/>
              <w:rPr>
                <w:rFonts w:hint="default" w:ascii="Arial" w:hAnsi="Arial" w:eastAsia="宋体" w:cs="Arial"/>
                <w:b w:val="0"/>
                <w:bCs/>
                <w:sz w:val="18"/>
                <w:szCs w:val="18"/>
                <w:lang w:val="en-US" w:eastAsia="zh-CN" w:bidi="ar-SA"/>
              </w:rPr>
            </w:pPr>
            <w:r>
              <w:rPr>
                <w:rFonts w:hint="eastAsia" w:ascii="Arial" w:hAnsi="Arial" w:eastAsia="宋体" w:cs="Arial"/>
                <w:bCs/>
                <w:i w:val="0"/>
                <w:iCs w:val="0"/>
                <w:kern w:val="0"/>
                <w:sz w:val="18"/>
                <w:szCs w:val="18"/>
                <w:u w:val="none"/>
                <w:lang w:val="en-US" w:eastAsia="zh-CN" w:bidi="ar"/>
              </w:rPr>
              <w:t>2</w:t>
            </w:r>
          </w:p>
        </w:tc>
        <w:tc>
          <w:tcPr>
            <w:tcW w:w="1226" w:type="dxa"/>
            <w:vAlign w:val="center"/>
          </w:tcPr>
          <w:p>
            <w:pPr>
              <w:keepNext w:val="0"/>
              <w:keepLines w:val="0"/>
              <w:widowControl/>
              <w:suppressLineNumbers w:val="0"/>
              <w:jc w:val="center"/>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268.38 </w:t>
            </w:r>
          </w:p>
        </w:tc>
        <w:tc>
          <w:tcPr>
            <w:tcW w:w="1534" w:type="dxa"/>
            <w:vAlign w:val="center"/>
          </w:tcPr>
          <w:p>
            <w:pPr>
              <w:keepNext w:val="0"/>
              <w:keepLines w:val="0"/>
              <w:widowControl/>
              <w:suppressLineNumbers w:val="0"/>
              <w:jc w:val="right"/>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3,965,315.00 </w:t>
            </w:r>
          </w:p>
        </w:tc>
        <w:tc>
          <w:tcPr>
            <w:tcW w:w="1720" w:type="dxa"/>
            <w:vAlign w:val="center"/>
          </w:tcPr>
          <w:p>
            <w:pPr>
              <w:keepNext w:val="0"/>
              <w:keepLines w:val="0"/>
              <w:widowControl/>
              <w:suppressLineNumbers w:val="0"/>
              <w:jc w:val="right"/>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1,588,315.00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2021/05/07</w:t>
            </w:r>
          </w:p>
        </w:tc>
        <w:tc>
          <w:tcPr>
            <w:tcW w:w="950" w:type="dxa"/>
            <w:vAlign w:val="center"/>
          </w:tcPr>
          <w:p>
            <w:pPr>
              <w:keepNext w:val="0"/>
              <w:keepLines w:val="0"/>
              <w:widowControl/>
              <w:suppressLineNumbers w:val="0"/>
              <w:jc w:val="center"/>
              <w:textAlignment w:val="auto"/>
              <w:rPr>
                <w:rFonts w:hint="default" w:ascii="Arial" w:hAnsi="Arial" w:eastAsia="宋体" w:cs="Arial"/>
                <w:b w:val="0"/>
                <w:bCs/>
                <w:sz w:val="18"/>
                <w:szCs w:val="18"/>
                <w:lang w:val="en-US" w:eastAsia="zh-CN" w:bidi="ar-SA"/>
              </w:rPr>
            </w:pPr>
            <w:r>
              <w:rPr>
                <w:rFonts w:hint="eastAsia" w:ascii="Arial" w:hAnsi="Arial" w:eastAsia="宋体" w:cs="Arial"/>
                <w:bCs/>
                <w:i w:val="0"/>
                <w:iCs w:val="0"/>
                <w:kern w:val="0"/>
                <w:sz w:val="18"/>
                <w:szCs w:val="18"/>
                <w:u w:val="none"/>
                <w:lang w:val="en-US" w:eastAsia="zh-CN" w:bidi="ar"/>
              </w:rPr>
              <w:t>1</w:t>
            </w:r>
          </w:p>
        </w:tc>
        <w:tc>
          <w:tcPr>
            <w:tcW w:w="1662" w:type="dxa"/>
            <w:vAlign w:val="center"/>
          </w:tcPr>
          <w:p>
            <w:pPr>
              <w:keepNext w:val="0"/>
              <w:keepLines w:val="0"/>
              <w:widowControl/>
              <w:suppressLineNumbers w:val="0"/>
              <w:jc w:val="right"/>
              <w:textAlignment w:val="auto"/>
              <w:rPr>
                <w:rFonts w:hint="default" w:ascii="Arial" w:hAnsi="Arial" w:eastAsia="宋体" w:cs="Arial"/>
                <w:b w:val="0"/>
                <w:bCs/>
                <w:sz w:val="18"/>
                <w:szCs w:val="18"/>
                <w:lang w:val="en-US" w:eastAsia="zh-CN" w:bidi="ar-SA"/>
              </w:rPr>
            </w:pPr>
            <w:r>
              <w:rPr>
                <w:rFonts w:hint="eastAsia" w:ascii="Arial" w:hAnsi="Arial" w:eastAsia="宋体" w:cs="Arial"/>
                <w:bCs/>
                <w:i w:val="0"/>
                <w:iCs w:val="0"/>
                <w:kern w:val="0"/>
                <w:sz w:val="18"/>
                <w:szCs w:val="18"/>
                <w:u w:val="none"/>
                <w:lang w:val="en-US" w:eastAsia="zh-CN" w:bidi="ar"/>
              </w:rPr>
              <w:t xml:space="preserve">1,974,369.00 </w:t>
            </w:r>
          </w:p>
        </w:tc>
        <w:tc>
          <w:tcPr>
            <w:tcW w:w="1018" w:type="dxa"/>
            <w:vAlign w:val="center"/>
          </w:tcPr>
          <w:p>
            <w:pPr>
              <w:keepNext w:val="0"/>
              <w:keepLines w:val="0"/>
              <w:widowControl/>
              <w:suppressLineNumbers w:val="0"/>
              <w:jc w:val="center"/>
              <w:textAlignment w:val="auto"/>
              <w:rPr>
                <w:rFonts w:hint="default" w:ascii="Arial" w:hAnsi="Arial" w:eastAsia="宋体" w:cs="Arial"/>
                <w:b w:val="0"/>
                <w:bCs/>
                <w:sz w:val="18"/>
                <w:szCs w:val="18"/>
                <w:lang w:val="en-US" w:eastAsia="zh-CN" w:bidi="ar-SA"/>
              </w:rPr>
            </w:pPr>
            <w:r>
              <w:rPr>
                <w:rFonts w:hint="eastAsia" w:ascii="Arial" w:hAnsi="Arial" w:eastAsia="宋体" w:cs="Arial"/>
                <w:bCs/>
                <w:i w:val="0"/>
                <w:iCs w:val="0"/>
                <w:kern w:val="0"/>
                <w:sz w:val="18"/>
                <w:szCs w:val="18"/>
                <w:u w:val="none"/>
                <w:lang w:val="en-US" w:eastAsia="zh-CN" w:bidi="ar"/>
              </w:rPr>
              <w:t>0</w:t>
            </w:r>
          </w:p>
        </w:tc>
        <w:tc>
          <w:tcPr>
            <w:tcW w:w="1226" w:type="dxa"/>
            <w:vAlign w:val="center"/>
          </w:tcPr>
          <w:p>
            <w:pPr>
              <w:keepNext w:val="0"/>
              <w:keepLines w:val="0"/>
              <w:widowControl/>
              <w:suppressLineNumbers w:val="0"/>
              <w:jc w:val="center"/>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0</w:t>
            </w:r>
          </w:p>
        </w:tc>
        <w:tc>
          <w:tcPr>
            <w:tcW w:w="1534" w:type="dxa"/>
            <w:vAlign w:val="center"/>
          </w:tcPr>
          <w:p>
            <w:pPr>
              <w:keepNext w:val="0"/>
              <w:keepLines w:val="0"/>
              <w:widowControl/>
              <w:suppressLineNumbers w:val="0"/>
              <w:jc w:val="right"/>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0.00</w:t>
            </w:r>
          </w:p>
        </w:tc>
        <w:tc>
          <w:tcPr>
            <w:tcW w:w="1720" w:type="dxa"/>
            <w:vAlign w:val="center"/>
          </w:tcPr>
          <w:p>
            <w:pPr>
              <w:keepNext w:val="0"/>
              <w:keepLines w:val="0"/>
              <w:widowControl/>
              <w:suppressLineNumbers w:val="0"/>
              <w:jc w:val="right"/>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2021/05/08</w:t>
            </w:r>
          </w:p>
        </w:tc>
        <w:tc>
          <w:tcPr>
            <w:tcW w:w="950" w:type="dxa"/>
            <w:vAlign w:val="center"/>
          </w:tcPr>
          <w:p>
            <w:pPr>
              <w:keepNext w:val="0"/>
              <w:keepLines w:val="0"/>
              <w:widowControl/>
              <w:suppressLineNumbers w:val="0"/>
              <w:jc w:val="center"/>
              <w:textAlignment w:val="auto"/>
              <w:rPr>
                <w:rFonts w:hint="default" w:ascii="Arial" w:hAnsi="Arial" w:eastAsia="宋体" w:cs="Arial"/>
                <w:bCs/>
                <w:i w:val="0"/>
                <w:iCs w:val="0"/>
                <w:kern w:val="0"/>
                <w:sz w:val="18"/>
                <w:szCs w:val="18"/>
                <w:u w:val="none"/>
                <w:lang w:val="en-US" w:eastAsia="zh-CN" w:bidi="ar"/>
              </w:rPr>
            </w:pPr>
            <w:r>
              <w:rPr>
                <w:rFonts w:hint="eastAsia" w:ascii="Arial" w:hAnsi="Arial" w:cs="Arial"/>
                <w:bCs/>
                <w:i w:val="0"/>
                <w:iCs w:val="0"/>
                <w:kern w:val="0"/>
                <w:sz w:val="18"/>
                <w:szCs w:val="18"/>
                <w:u w:val="none"/>
                <w:lang w:val="en-US" w:eastAsia="zh-CN" w:bidi="ar"/>
              </w:rPr>
              <w:t>0</w:t>
            </w:r>
          </w:p>
        </w:tc>
        <w:tc>
          <w:tcPr>
            <w:tcW w:w="1662" w:type="dxa"/>
            <w:vAlign w:val="center"/>
          </w:tcPr>
          <w:p>
            <w:pPr>
              <w:keepNext w:val="0"/>
              <w:keepLines w:val="0"/>
              <w:widowControl/>
              <w:suppressLineNumbers w:val="0"/>
              <w:jc w:val="right"/>
              <w:textAlignment w:val="auto"/>
              <w:rPr>
                <w:rFonts w:hint="default" w:ascii="Arial" w:hAnsi="Arial" w:eastAsia="宋体" w:cs="Arial"/>
                <w:bCs/>
                <w:i w:val="0"/>
                <w:iCs w:val="0"/>
                <w:kern w:val="0"/>
                <w:sz w:val="18"/>
                <w:szCs w:val="18"/>
                <w:u w:val="none"/>
                <w:lang w:val="en-US" w:eastAsia="zh-CN" w:bidi="ar"/>
              </w:rPr>
            </w:pPr>
            <w:r>
              <w:rPr>
                <w:rFonts w:hint="eastAsia" w:ascii="Arial" w:hAnsi="Arial" w:cs="Arial"/>
                <w:bCs/>
                <w:i w:val="0"/>
                <w:iCs w:val="0"/>
                <w:kern w:val="0"/>
                <w:sz w:val="18"/>
                <w:szCs w:val="18"/>
                <w:u w:val="none"/>
                <w:lang w:val="en-US" w:eastAsia="zh-CN" w:bidi="ar"/>
              </w:rPr>
              <w:t>0.00</w:t>
            </w:r>
          </w:p>
        </w:tc>
        <w:tc>
          <w:tcPr>
            <w:tcW w:w="1018" w:type="dxa"/>
            <w:vAlign w:val="center"/>
          </w:tcPr>
          <w:p>
            <w:pPr>
              <w:keepNext w:val="0"/>
              <w:keepLines w:val="0"/>
              <w:widowControl/>
              <w:suppressLineNumbers w:val="0"/>
              <w:jc w:val="center"/>
              <w:textAlignment w:val="center"/>
              <w:rPr>
                <w:rFonts w:hint="default" w:ascii="Arial" w:hAnsi="Arial" w:eastAsia="宋体" w:cs="Arial"/>
                <w:bCs/>
                <w:i w:val="0"/>
                <w:iCs w:val="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226" w:type="dxa"/>
            <w:vAlign w:val="center"/>
          </w:tcPr>
          <w:p>
            <w:pPr>
              <w:keepNext w:val="0"/>
              <w:keepLines w:val="0"/>
              <w:widowControl/>
              <w:suppressLineNumbers w:val="0"/>
              <w:jc w:val="center"/>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321.63 </w:t>
            </w:r>
          </w:p>
        </w:tc>
        <w:tc>
          <w:tcPr>
            <w:tcW w:w="1534" w:type="dxa"/>
            <w:vAlign w:val="center"/>
          </w:tcPr>
          <w:p>
            <w:pPr>
              <w:keepNext w:val="0"/>
              <w:keepLines w:val="0"/>
              <w:widowControl/>
              <w:suppressLineNumbers w:val="0"/>
              <w:jc w:val="right"/>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5,090,418.00 </w:t>
            </w:r>
          </w:p>
        </w:tc>
        <w:tc>
          <w:tcPr>
            <w:tcW w:w="1720" w:type="dxa"/>
            <w:vAlign w:val="center"/>
          </w:tcPr>
          <w:p>
            <w:pPr>
              <w:keepNext w:val="0"/>
              <w:keepLines w:val="0"/>
              <w:widowControl/>
              <w:suppressLineNumbers w:val="0"/>
              <w:jc w:val="right"/>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2,488,418.00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2021/05/09</w:t>
            </w:r>
          </w:p>
        </w:tc>
        <w:tc>
          <w:tcPr>
            <w:tcW w:w="950" w:type="dxa"/>
            <w:vAlign w:val="center"/>
          </w:tcPr>
          <w:p>
            <w:pPr>
              <w:keepNext w:val="0"/>
              <w:keepLines w:val="0"/>
              <w:widowControl/>
              <w:suppressLineNumbers w:val="0"/>
              <w:jc w:val="center"/>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0</w:t>
            </w:r>
          </w:p>
        </w:tc>
        <w:tc>
          <w:tcPr>
            <w:tcW w:w="1662" w:type="dxa"/>
            <w:vAlign w:val="center"/>
          </w:tcPr>
          <w:p>
            <w:pPr>
              <w:keepNext w:val="0"/>
              <w:keepLines w:val="0"/>
              <w:widowControl/>
              <w:suppressLineNumbers w:val="0"/>
              <w:jc w:val="right"/>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0.00 </w:t>
            </w:r>
          </w:p>
        </w:tc>
        <w:tc>
          <w:tcPr>
            <w:tcW w:w="1018" w:type="dxa"/>
            <w:vAlign w:val="center"/>
          </w:tcPr>
          <w:p>
            <w:pPr>
              <w:keepNext w:val="0"/>
              <w:keepLines w:val="0"/>
              <w:widowControl/>
              <w:suppressLineNumbers w:val="0"/>
              <w:jc w:val="center"/>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1</w:t>
            </w:r>
          </w:p>
        </w:tc>
        <w:tc>
          <w:tcPr>
            <w:tcW w:w="1226" w:type="dxa"/>
            <w:vAlign w:val="center"/>
          </w:tcPr>
          <w:p>
            <w:pPr>
              <w:keepNext w:val="0"/>
              <w:keepLines w:val="0"/>
              <w:widowControl/>
              <w:suppressLineNumbers w:val="0"/>
              <w:jc w:val="center"/>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135.24 </w:t>
            </w:r>
          </w:p>
        </w:tc>
        <w:tc>
          <w:tcPr>
            <w:tcW w:w="1534" w:type="dxa"/>
            <w:vAlign w:val="center"/>
          </w:tcPr>
          <w:p>
            <w:pPr>
              <w:keepNext w:val="0"/>
              <w:keepLines w:val="0"/>
              <w:widowControl/>
              <w:suppressLineNumbers w:val="0"/>
              <w:jc w:val="right"/>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1,974,369.00 </w:t>
            </w:r>
          </w:p>
        </w:tc>
        <w:tc>
          <w:tcPr>
            <w:tcW w:w="1720" w:type="dxa"/>
            <w:vAlign w:val="center"/>
          </w:tcPr>
          <w:p>
            <w:pPr>
              <w:keepNext w:val="0"/>
              <w:keepLines w:val="0"/>
              <w:widowControl/>
              <w:suppressLineNumbers w:val="0"/>
              <w:jc w:val="right"/>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594,369.00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2021/05/11</w:t>
            </w:r>
          </w:p>
        </w:tc>
        <w:tc>
          <w:tcPr>
            <w:tcW w:w="950" w:type="dxa"/>
            <w:vAlign w:val="center"/>
          </w:tcPr>
          <w:p>
            <w:pPr>
              <w:keepNext w:val="0"/>
              <w:keepLines w:val="0"/>
              <w:widowControl/>
              <w:suppressLineNumbers w:val="0"/>
              <w:jc w:val="center"/>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1</w:t>
            </w:r>
          </w:p>
        </w:tc>
        <w:tc>
          <w:tcPr>
            <w:tcW w:w="1662" w:type="dxa"/>
            <w:vAlign w:val="center"/>
          </w:tcPr>
          <w:p>
            <w:pPr>
              <w:keepNext w:val="0"/>
              <w:keepLines w:val="0"/>
              <w:widowControl/>
              <w:suppressLineNumbers w:val="0"/>
              <w:jc w:val="right"/>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1,600,985.00 </w:t>
            </w:r>
          </w:p>
        </w:tc>
        <w:tc>
          <w:tcPr>
            <w:tcW w:w="1018" w:type="dxa"/>
            <w:vAlign w:val="center"/>
          </w:tcPr>
          <w:p>
            <w:pPr>
              <w:keepNext w:val="0"/>
              <w:keepLines w:val="0"/>
              <w:widowControl/>
              <w:suppressLineNumbers w:val="0"/>
              <w:jc w:val="center"/>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0</w:t>
            </w:r>
          </w:p>
        </w:tc>
        <w:tc>
          <w:tcPr>
            <w:tcW w:w="1226" w:type="dxa"/>
            <w:vAlign w:val="center"/>
          </w:tcPr>
          <w:p>
            <w:pPr>
              <w:keepNext w:val="0"/>
              <w:keepLines w:val="0"/>
              <w:widowControl/>
              <w:suppressLineNumbers w:val="0"/>
              <w:jc w:val="center"/>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0.00 </w:t>
            </w:r>
          </w:p>
        </w:tc>
        <w:tc>
          <w:tcPr>
            <w:tcW w:w="1534" w:type="dxa"/>
            <w:vAlign w:val="center"/>
          </w:tcPr>
          <w:p>
            <w:pPr>
              <w:keepNext w:val="0"/>
              <w:keepLines w:val="0"/>
              <w:widowControl/>
              <w:suppressLineNumbers w:val="0"/>
              <w:jc w:val="right"/>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0.00 </w:t>
            </w:r>
          </w:p>
        </w:tc>
        <w:tc>
          <w:tcPr>
            <w:tcW w:w="1720" w:type="dxa"/>
            <w:vAlign w:val="center"/>
          </w:tcPr>
          <w:p>
            <w:pPr>
              <w:keepNext w:val="0"/>
              <w:keepLines w:val="0"/>
              <w:widowControl/>
              <w:suppressLineNumbers w:val="0"/>
              <w:jc w:val="right"/>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2021/05/13</w:t>
            </w:r>
          </w:p>
        </w:tc>
        <w:tc>
          <w:tcPr>
            <w:tcW w:w="950" w:type="dxa"/>
            <w:vAlign w:val="center"/>
          </w:tcPr>
          <w:p>
            <w:pPr>
              <w:keepNext w:val="0"/>
              <w:keepLines w:val="0"/>
              <w:widowControl/>
              <w:suppressLineNumbers w:val="0"/>
              <w:jc w:val="center"/>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1</w:t>
            </w:r>
          </w:p>
        </w:tc>
        <w:tc>
          <w:tcPr>
            <w:tcW w:w="1662" w:type="dxa"/>
            <w:vAlign w:val="center"/>
          </w:tcPr>
          <w:p>
            <w:pPr>
              <w:keepNext w:val="0"/>
              <w:keepLines w:val="0"/>
              <w:widowControl/>
              <w:suppressLineNumbers w:val="0"/>
              <w:jc w:val="right"/>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1,830,795.00 </w:t>
            </w:r>
          </w:p>
        </w:tc>
        <w:tc>
          <w:tcPr>
            <w:tcW w:w="1018" w:type="dxa"/>
            <w:vAlign w:val="center"/>
          </w:tcPr>
          <w:p>
            <w:pPr>
              <w:keepNext w:val="0"/>
              <w:keepLines w:val="0"/>
              <w:widowControl/>
              <w:suppressLineNumbers w:val="0"/>
              <w:jc w:val="center"/>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2</w:t>
            </w:r>
          </w:p>
        </w:tc>
        <w:tc>
          <w:tcPr>
            <w:tcW w:w="1226" w:type="dxa"/>
            <w:vAlign w:val="center"/>
          </w:tcPr>
          <w:p>
            <w:pPr>
              <w:keepNext w:val="0"/>
              <w:keepLines w:val="0"/>
              <w:widowControl/>
              <w:suppressLineNumbers w:val="0"/>
              <w:jc w:val="center"/>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211.00 </w:t>
            </w:r>
          </w:p>
        </w:tc>
        <w:tc>
          <w:tcPr>
            <w:tcW w:w="1534" w:type="dxa"/>
            <w:vAlign w:val="center"/>
          </w:tcPr>
          <w:p>
            <w:pPr>
              <w:keepNext w:val="0"/>
              <w:keepLines w:val="0"/>
              <w:widowControl/>
              <w:suppressLineNumbers w:val="0"/>
              <w:jc w:val="right"/>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3,101,318.00 </w:t>
            </w:r>
          </w:p>
        </w:tc>
        <w:tc>
          <w:tcPr>
            <w:tcW w:w="1720" w:type="dxa"/>
            <w:vAlign w:val="center"/>
          </w:tcPr>
          <w:p>
            <w:pPr>
              <w:keepNext w:val="0"/>
              <w:keepLines w:val="0"/>
              <w:widowControl/>
              <w:suppressLineNumbers w:val="0"/>
              <w:jc w:val="right"/>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811,318.00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2021/05/14</w:t>
            </w:r>
          </w:p>
        </w:tc>
        <w:tc>
          <w:tcPr>
            <w:tcW w:w="950" w:type="dxa"/>
            <w:vAlign w:val="center"/>
          </w:tcPr>
          <w:p>
            <w:pPr>
              <w:keepNext w:val="0"/>
              <w:keepLines w:val="0"/>
              <w:widowControl/>
              <w:suppressLineNumbers w:val="0"/>
              <w:jc w:val="center"/>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1</w:t>
            </w:r>
          </w:p>
        </w:tc>
        <w:tc>
          <w:tcPr>
            <w:tcW w:w="1662" w:type="dxa"/>
            <w:vAlign w:val="center"/>
          </w:tcPr>
          <w:p>
            <w:pPr>
              <w:keepNext w:val="0"/>
              <w:keepLines w:val="0"/>
              <w:widowControl/>
              <w:suppressLineNumbers w:val="0"/>
              <w:jc w:val="right"/>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2,143,335.00 </w:t>
            </w:r>
          </w:p>
        </w:tc>
        <w:tc>
          <w:tcPr>
            <w:tcW w:w="1018" w:type="dxa"/>
            <w:vAlign w:val="center"/>
          </w:tcPr>
          <w:p>
            <w:pPr>
              <w:keepNext w:val="0"/>
              <w:keepLines w:val="0"/>
              <w:widowControl/>
              <w:suppressLineNumbers w:val="0"/>
              <w:jc w:val="center"/>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1</w:t>
            </w:r>
          </w:p>
        </w:tc>
        <w:tc>
          <w:tcPr>
            <w:tcW w:w="1226" w:type="dxa"/>
            <w:vAlign w:val="center"/>
          </w:tcPr>
          <w:p>
            <w:pPr>
              <w:keepNext w:val="0"/>
              <w:keepLines w:val="0"/>
              <w:widowControl/>
              <w:suppressLineNumbers w:val="0"/>
              <w:jc w:val="center"/>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139.64 </w:t>
            </w:r>
          </w:p>
        </w:tc>
        <w:tc>
          <w:tcPr>
            <w:tcW w:w="1534" w:type="dxa"/>
            <w:vAlign w:val="center"/>
          </w:tcPr>
          <w:p>
            <w:pPr>
              <w:keepNext w:val="0"/>
              <w:keepLines w:val="0"/>
              <w:widowControl/>
              <w:suppressLineNumbers w:val="0"/>
              <w:jc w:val="right"/>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2,143,335.00 </w:t>
            </w:r>
          </w:p>
        </w:tc>
        <w:tc>
          <w:tcPr>
            <w:tcW w:w="1720" w:type="dxa"/>
            <w:vAlign w:val="center"/>
          </w:tcPr>
          <w:p>
            <w:pPr>
              <w:keepNext w:val="0"/>
              <w:keepLines w:val="0"/>
              <w:widowControl/>
              <w:suppressLineNumbers w:val="0"/>
              <w:jc w:val="right"/>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2,143,335.00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2021/05/15</w:t>
            </w:r>
          </w:p>
        </w:tc>
        <w:tc>
          <w:tcPr>
            <w:tcW w:w="950" w:type="dxa"/>
            <w:vAlign w:val="center"/>
          </w:tcPr>
          <w:p>
            <w:pPr>
              <w:keepNext w:val="0"/>
              <w:keepLines w:val="0"/>
              <w:widowControl/>
              <w:suppressLineNumbers w:val="0"/>
              <w:jc w:val="center"/>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0</w:t>
            </w:r>
          </w:p>
        </w:tc>
        <w:tc>
          <w:tcPr>
            <w:tcW w:w="1662" w:type="dxa"/>
            <w:vAlign w:val="center"/>
          </w:tcPr>
          <w:p>
            <w:pPr>
              <w:keepNext w:val="0"/>
              <w:keepLines w:val="0"/>
              <w:widowControl/>
              <w:suppressLineNumbers w:val="0"/>
              <w:jc w:val="right"/>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0.00 </w:t>
            </w:r>
          </w:p>
        </w:tc>
        <w:tc>
          <w:tcPr>
            <w:tcW w:w="1018" w:type="dxa"/>
            <w:vAlign w:val="center"/>
          </w:tcPr>
          <w:p>
            <w:pPr>
              <w:keepNext w:val="0"/>
              <w:keepLines w:val="0"/>
              <w:widowControl/>
              <w:suppressLineNumbers w:val="0"/>
              <w:jc w:val="center"/>
              <w:textAlignment w:val="auto"/>
              <w:rPr>
                <w:rFonts w:hint="default" w:ascii="Arial" w:hAnsi="Arial" w:eastAsia="宋体" w:cs="Arial"/>
                <w:bCs/>
                <w:i w:val="0"/>
                <w:iCs w:val="0"/>
                <w:kern w:val="0"/>
                <w:sz w:val="18"/>
                <w:szCs w:val="18"/>
                <w:u w:val="none"/>
                <w:lang w:val="en-US" w:eastAsia="zh-CN" w:bidi="ar"/>
              </w:rPr>
            </w:pPr>
            <w:r>
              <w:rPr>
                <w:rFonts w:hint="eastAsia" w:ascii="Arial" w:hAnsi="Arial" w:cs="Arial"/>
                <w:bCs/>
                <w:i w:val="0"/>
                <w:iCs w:val="0"/>
                <w:kern w:val="0"/>
                <w:sz w:val="18"/>
                <w:szCs w:val="18"/>
                <w:u w:val="none"/>
                <w:lang w:val="en-US" w:eastAsia="zh-CN" w:bidi="ar"/>
              </w:rPr>
              <w:t>2</w:t>
            </w:r>
          </w:p>
        </w:tc>
        <w:tc>
          <w:tcPr>
            <w:tcW w:w="1226" w:type="dxa"/>
            <w:vAlign w:val="center"/>
          </w:tcPr>
          <w:p>
            <w:pPr>
              <w:keepNext w:val="0"/>
              <w:keepLines w:val="0"/>
              <w:widowControl/>
              <w:suppressLineNumbers w:val="0"/>
              <w:jc w:val="center"/>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192.94 </w:t>
            </w:r>
          </w:p>
        </w:tc>
        <w:tc>
          <w:tcPr>
            <w:tcW w:w="1534" w:type="dxa"/>
            <w:vAlign w:val="center"/>
          </w:tcPr>
          <w:p>
            <w:pPr>
              <w:keepNext w:val="0"/>
              <w:keepLines w:val="0"/>
              <w:widowControl/>
              <w:suppressLineNumbers w:val="0"/>
              <w:jc w:val="right"/>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3,024,923.00 </w:t>
            </w:r>
          </w:p>
        </w:tc>
        <w:tc>
          <w:tcPr>
            <w:tcW w:w="1720" w:type="dxa"/>
            <w:vAlign w:val="center"/>
          </w:tcPr>
          <w:p>
            <w:pPr>
              <w:keepNext w:val="0"/>
              <w:keepLines w:val="0"/>
              <w:widowControl/>
              <w:suppressLineNumbers w:val="0"/>
              <w:jc w:val="right"/>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1,378,923.00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2021/05/28</w:t>
            </w:r>
          </w:p>
        </w:tc>
        <w:tc>
          <w:tcPr>
            <w:tcW w:w="950" w:type="dxa"/>
            <w:vAlign w:val="center"/>
          </w:tcPr>
          <w:p>
            <w:pPr>
              <w:keepNext w:val="0"/>
              <w:keepLines w:val="0"/>
              <w:widowControl/>
              <w:suppressLineNumbers w:val="0"/>
              <w:jc w:val="center"/>
              <w:textAlignment w:val="auto"/>
              <w:rPr>
                <w:rFonts w:hint="default" w:ascii="Arial" w:hAnsi="Arial" w:eastAsia="宋体" w:cs="Arial"/>
                <w:bCs/>
                <w:i w:val="0"/>
                <w:iCs w:val="0"/>
                <w:kern w:val="0"/>
                <w:sz w:val="18"/>
                <w:szCs w:val="18"/>
                <w:u w:val="none"/>
                <w:lang w:val="en-US" w:eastAsia="zh-CN" w:bidi="ar"/>
              </w:rPr>
            </w:pPr>
            <w:r>
              <w:rPr>
                <w:rFonts w:hint="eastAsia" w:ascii="Arial" w:hAnsi="Arial" w:cs="Arial"/>
                <w:bCs/>
                <w:i w:val="0"/>
                <w:iCs w:val="0"/>
                <w:kern w:val="0"/>
                <w:sz w:val="18"/>
                <w:szCs w:val="18"/>
                <w:u w:val="none"/>
                <w:lang w:val="en-US" w:eastAsia="zh-CN" w:bidi="ar"/>
              </w:rPr>
              <w:t>17</w:t>
            </w:r>
          </w:p>
        </w:tc>
        <w:tc>
          <w:tcPr>
            <w:tcW w:w="1662" w:type="dxa"/>
            <w:vAlign w:val="center"/>
          </w:tcPr>
          <w:p>
            <w:pPr>
              <w:keepNext w:val="0"/>
              <w:keepLines w:val="0"/>
              <w:widowControl/>
              <w:suppressLineNumbers w:val="0"/>
              <w:jc w:val="right"/>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35,710,084.00 </w:t>
            </w:r>
          </w:p>
        </w:tc>
        <w:tc>
          <w:tcPr>
            <w:tcW w:w="1018" w:type="dxa"/>
            <w:vAlign w:val="center"/>
          </w:tcPr>
          <w:p>
            <w:pPr>
              <w:keepNext w:val="0"/>
              <w:keepLines w:val="0"/>
              <w:widowControl/>
              <w:suppressLineNumbers w:val="0"/>
              <w:jc w:val="center"/>
              <w:textAlignment w:val="auto"/>
              <w:rPr>
                <w:rFonts w:hint="default" w:ascii="Arial" w:hAnsi="Arial" w:eastAsia="宋体" w:cs="Arial"/>
                <w:bCs/>
                <w:i w:val="0"/>
                <w:iCs w:val="0"/>
                <w:kern w:val="0"/>
                <w:sz w:val="18"/>
                <w:szCs w:val="18"/>
                <w:u w:val="none"/>
                <w:lang w:val="en-US" w:eastAsia="zh-CN" w:bidi="ar"/>
              </w:rPr>
            </w:pPr>
            <w:r>
              <w:rPr>
                <w:rFonts w:hint="eastAsia" w:ascii="Arial" w:hAnsi="Arial" w:cs="Arial"/>
                <w:bCs/>
                <w:i w:val="0"/>
                <w:iCs w:val="0"/>
                <w:kern w:val="0"/>
                <w:sz w:val="18"/>
                <w:szCs w:val="18"/>
                <w:u w:val="none"/>
                <w:lang w:val="en-US" w:eastAsia="zh-CN" w:bidi="ar"/>
              </w:rPr>
              <w:t>2</w:t>
            </w:r>
          </w:p>
        </w:tc>
        <w:tc>
          <w:tcPr>
            <w:tcW w:w="1226" w:type="dxa"/>
            <w:vAlign w:val="center"/>
          </w:tcPr>
          <w:p>
            <w:pPr>
              <w:keepNext w:val="0"/>
              <w:keepLines w:val="0"/>
              <w:widowControl/>
              <w:suppressLineNumbers w:val="0"/>
              <w:jc w:val="center"/>
              <w:textAlignment w:val="center"/>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286.36</w:t>
            </w:r>
            <w:r>
              <w:rPr>
                <w:rFonts w:hint="eastAsia" w:ascii="宋体" w:hAnsi="宋体" w:eastAsia="宋体" w:cs="宋体"/>
                <w:i w:val="0"/>
                <w:iCs w:val="0"/>
                <w:color w:val="000000"/>
                <w:kern w:val="0"/>
                <w:sz w:val="22"/>
                <w:szCs w:val="22"/>
                <w:u w:val="none"/>
                <w:lang w:val="en-US" w:eastAsia="zh-CN" w:bidi="ar"/>
              </w:rPr>
              <w:t xml:space="preserve"> </w:t>
            </w:r>
          </w:p>
        </w:tc>
        <w:tc>
          <w:tcPr>
            <w:tcW w:w="1534" w:type="dxa"/>
            <w:vAlign w:val="center"/>
          </w:tcPr>
          <w:p>
            <w:pPr>
              <w:keepNext w:val="0"/>
              <w:keepLines w:val="0"/>
              <w:widowControl/>
              <w:suppressLineNumbers w:val="0"/>
              <w:jc w:val="right"/>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4,603,291.00 </w:t>
            </w:r>
          </w:p>
        </w:tc>
        <w:tc>
          <w:tcPr>
            <w:tcW w:w="1720" w:type="dxa"/>
            <w:vAlign w:val="center"/>
          </w:tcPr>
          <w:p>
            <w:pPr>
              <w:keepNext w:val="0"/>
              <w:keepLines w:val="0"/>
              <w:widowControl/>
              <w:suppressLineNumbers w:val="0"/>
              <w:jc w:val="right"/>
              <w:textAlignment w:val="auto"/>
              <w:rPr>
                <w:rFonts w:hint="default" w:ascii="Arial" w:hAnsi="Arial" w:eastAsia="宋体" w:cs="Arial"/>
                <w:bCs/>
                <w:i w:val="0"/>
                <w:iCs w:val="0"/>
                <w:kern w:val="0"/>
                <w:sz w:val="18"/>
                <w:szCs w:val="18"/>
                <w:u w:val="none"/>
                <w:lang w:val="en-US" w:eastAsia="zh-CN" w:bidi="ar"/>
              </w:rPr>
            </w:pPr>
            <w:r>
              <w:rPr>
                <w:rFonts w:hint="eastAsia" w:ascii="Arial" w:hAnsi="Arial" w:eastAsia="宋体" w:cs="Arial"/>
                <w:bCs/>
                <w:i w:val="0"/>
                <w:iCs w:val="0"/>
                <w:kern w:val="0"/>
                <w:sz w:val="18"/>
                <w:szCs w:val="18"/>
                <w:u w:val="none"/>
                <w:lang w:val="en-US" w:eastAsia="zh-CN" w:bidi="ar"/>
              </w:rPr>
              <w:t xml:space="preserve">2,129,291.00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2021/05/29</w:t>
            </w:r>
          </w:p>
        </w:tc>
        <w:tc>
          <w:tcPr>
            <w:tcW w:w="950" w:type="dxa"/>
            <w:vAlign w:val="center"/>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17</w:t>
            </w:r>
          </w:p>
        </w:tc>
        <w:tc>
          <w:tcPr>
            <w:tcW w:w="1662" w:type="dxa"/>
            <w:vAlign w:val="center"/>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 xml:space="preserve">35,293,808.00 </w:t>
            </w:r>
          </w:p>
        </w:tc>
        <w:tc>
          <w:tcPr>
            <w:tcW w:w="1018" w:type="dxa"/>
            <w:vAlign w:val="center"/>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w:t>
            </w:r>
          </w:p>
        </w:tc>
        <w:tc>
          <w:tcPr>
            <w:tcW w:w="1226" w:type="dxa"/>
            <w:vAlign w:val="center"/>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 xml:space="preserve">255.63 </w:t>
            </w:r>
          </w:p>
        </w:tc>
        <w:tc>
          <w:tcPr>
            <w:tcW w:w="1534" w:type="dxa"/>
            <w:vAlign w:val="center"/>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 xml:space="preserve">4,036,922.00 </w:t>
            </w:r>
          </w:p>
        </w:tc>
        <w:tc>
          <w:tcPr>
            <w:tcW w:w="1720" w:type="dxa"/>
            <w:vAlign w:val="center"/>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 xml:space="preserve">1,417,922.00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2021/05/30</w:t>
            </w:r>
          </w:p>
        </w:tc>
        <w:tc>
          <w:tcPr>
            <w:tcW w:w="950" w:type="dxa"/>
            <w:vAlign w:val="center"/>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10</w:t>
            </w:r>
          </w:p>
        </w:tc>
        <w:tc>
          <w:tcPr>
            <w:tcW w:w="1662" w:type="dxa"/>
            <w:vAlign w:val="center"/>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 xml:space="preserve">20,796,489.00 </w:t>
            </w:r>
          </w:p>
        </w:tc>
        <w:tc>
          <w:tcPr>
            <w:tcW w:w="1018" w:type="dxa"/>
            <w:vAlign w:val="center"/>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7</w:t>
            </w:r>
          </w:p>
        </w:tc>
        <w:tc>
          <w:tcPr>
            <w:tcW w:w="1226" w:type="dxa"/>
            <w:vAlign w:val="center"/>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 xml:space="preserve">868.54 </w:t>
            </w:r>
          </w:p>
        </w:tc>
        <w:tc>
          <w:tcPr>
            <w:tcW w:w="1534" w:type="dxa"/>
            <w:vAlign w:val="center"/>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 xml:space="preserve">14,809,626.00 </w:t>
            </w:r>
          </w:p>
        </w:tc>
        <w:tc>
          <w:tcPr>
            <w:tcW w:w="1720" w:type="dxa"/>
            <w:vAlign w:val="center"/>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 xml:space="preserve">8,979,626.00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2021/05/31</w:t>
            </w:r>
          </w:p>
        </w:tc>
        <w:tc>
          <w:tcPr>
            <w:tcW w:w="950" w:type="dxa"/>
            <w:vAlign w:val="center"/>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w:t>
            </w:r>
          </w:p>
        </w:tc>
        <w:tc>
          <w:tcPr>
            <w:tcW w:w="1662" w:type="dxa"/>
            <w:vAlign w:val="center"/>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 xml:space="preserve">4,397,826.00 </w:t>
            </w:r>
          </w:p>
        </w:tc>
        <w:tc>
          <w:tcPr>
            <w:tcW w:w="1018" w:type="dxa"/>
            <w:vAlign w:val="center"/>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30</w:t>
            </w:r>
          </w:p>
        </w:tc>
        <w:tc>
          <w:tcPr>
            <w:tcW w:w="1226" w:type="dxa"/>
            <w:vAlign w:val="center"/>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 xml:space="preserve">3912.57 </w:t>
            </w:r>
          </w:p>
        </w:tc>
        <w:tc>
          <w:tcPr>
            <w:tcW w:w="1534" w:type="dxa"/>
            <w:vAlign w:val="center"/>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 xml:space="preserve">62,784,674.00 </w:t>
            </w:r>
          </w:p>
        </w:tc>
        <w:tc>
          <w:tcPr>
            <w:tcW w:w="1720" w:type="dxa"/>
            <w:vAlign w:val="center"/>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 xml:space="preserve">26,207,975.00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117" w:type="dxa"/>
            <w:vAlign w:val="center"/>
          </w:tcPr>
          <w:p>
            <w:pPr>
              <w:widowControl/>
              <w:jc w:val="center"/>
              <w:rPr>
                <w:rFonts w:hint="default" w:ascii="Arial" w:hAnsi="Arial" w:cs="Arial"/>
                <w:b/>
                <w:bCs w:val="0"/>
                <w:sz w:val="18"/>
                <w:szCs w:val="18"/>
                <w:lang w:val="en-US" w:eastAsia="zh-CN"/>
              </w:rPr>
            </w:pPr>
            <w:r>
              <w:rPr>
                <w:rFonts w:hint="default" w:ascii="Arial" w:hAnsi="Arial" w:cs="Arial"/>
                <w:b/>
                <w:bCs w:val="0"/>
                <w:sz w:val="18"/>
                <w:szCs w:val="18"/>
                <w:lang w:val="en-US" w:eastAsia="zh-CN"/>
              </w:rPr>
              <w:t>合计</w:t>
            </w:r>
          </w:p>
        </w:tc>
        <w:tc>
          <w:tcPr>
            <w:tcW w:w="950" w:type="dxa"/>
            <w:vAlign w:val="center"/>
          </w:tcPr>
          <w:p>
            <w:pPr>
              <w:widowControl/>
              <w:jc w:val="center"/>
              <w:rPr>
                <w:rFonts w:hint="default" w:ascii="Arial" w:hAnsi="Arial" w:cs="Arial"/>
                <w:b/>
                <w:bCs w:val="0"/>
                <w:sz w:val="18"/>
                <w:szCs w:val="18"/>
                <w:lang w:val="en-US" w:eastAsia="zh-CN" w:bidi="ar-SA"/>
              </w:rPr>
            </w:pPr>
            <w:r>
              <w:rPr>
                <w:rFonts w:hint="eastAsia" w:ascii="Arial" w:hAnsi="Arial" w:cs="Arial"/>
                <w:b/>
                <w:bCs w:val="0"/>
                <w:sz w:val="18"/>
                <w:szCs w:val="18"/>
                <w:lang w:val="en-US" w:eastAsia="zh-CN" w:bidi="ar-SA"/>
              </w:rPr>
              <w:t>56</w:t>
            </w:r>
          </w:p>
        </w:tc>
        <w:tc>
          <w:tcPr>
            <w:tcW w:w="1662" w:type="dxa"/>
            <w:vAlign w:val="center"/>
          </w:tcPr>
          <w:p>
            <w:pPr>
              <w:widowControl/>
              <w:jc w:val="right"/>
              <w:rPr>
                <w:rFonts w:hint="default" w:ascii="Arial" w:hAnsi="Arial" w:cs="Arial"/>
                <w:b/>
                <w:bCs w:val="0"/>
                <w:sz w:val="18"/>
                <w:szCs w:val="18"/>
                <w:lang w:val="en-US" w:eastAsia="zh-CN" w:bidi="ar-SA"/>
              </w:rPr>
            </w:pPr>
            <w:r>
              <w:rPr>
                <w:rFonts w:hint="eastAsia" w:ascii="Arial" w:hAnsi="Arial" w:cs="Arial"/>
                <w:b/>
                <w:bCs w:val="0"/>
                <w:sz w:val="18"/>
                <w:szCs w:val="18"/>
                <w:lang w:val="en-US" w:eastAsia="zh-CN" w:bidi="ar-SA"/>
              </w:rPr>
              <w:t>114</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946</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759.00</w:t>
            </w:r>
          </w:p>
        </w:tc>
        <w:tc>
          <w:tcPr>
            <w:tcW w:w="1018" w:type="dxa"/>
            <w:vAlign w:val="center"/>
          </w:tcPr>
          <w:p>
            <w:pPr>
              <w:widowControl/>
              <w:jc w:val="center"/>
              <w:rPr>
                <w:rFonts w:hint="default" w:ascii="Arial" w:hAnsi="Arial" w:cs="Arial"/>
                <w:b/>
                <w:bCs w:val="0"/>
                <w:sz w:val="18"/>
                <w:szCs w:val="18"/>
                <w:lang w:val="en-US" w:eastAsia="zh-CN" w:bidi="ar-SA"/>
              </w:rPr>
            </w:pPr>
            <w:r>
              <w:rPr>
                <w:rFonts w:hint="eastAsia" w:ascii="Arial" w:hAnsi="Arial" w:cs="Arial"/>
                <w:b/>
                <w:bCs w:val="0"/>
                <w:sz w:val="18"/>
                <w:szCs w:val="18"/>
                <w:lang w:val="en-US" w:eastAsia="zh-CN" w:bidi="ar-SA"/>
              </w:rPr>
              <w:t>62</w:t>
            </w:r>
          </w:p>
        </w:tc>
        <w:tc>
          <w:tcPr>
            <w:tcW w:w="1226" w:type="dxa"/>
            <w:vAlign w:val="center"/>
          </w:tcPr>
          <w:p>
            <w:pPr>
              <w:keepNext w:val="0"/>
              <w:keepLines w:val="0"/>
              <w:widowControl/>
              <w:suppressLineNumbers w:val="0"/>
              <w:jc w:val="center"/>
              <w:textAlignment w:val="center"/>
              <w:rPr>
                <w:rFonts w:hint="default" w:ascii="Arial" w:hAnsi="Arial" w:cs="Arial"/>
                <w:b/>
                <w:bCs w:val="0"/>
                <w:sz w:val="18"/>
                <w:szCs w:val="18"/>
                <w:lang w:val="en-US" w:eastAsia="zh-CN"/>
              </w:rPr>
            </w:pPr>
            <w:r>
              <w:rPr>
                <w:rFonts w:hint="eastAsia" w:ascii="Arial" w:hAnsi="Arial" w:cs="Arial"/>
                <w:b/>
                <w:bCs w:val="0"/>
                <w:sz w:val="18"/>
                <w:szCs w:val="18"/>
                <w:lang w:val="en-US" w:eastAsia="zh-CN"/>
              </w:rPr>
              <w:t>7803.32</w:t>
            </w:r>
          </w:p>
        </w:tc>
        <w:tc>
          <w:tcPr>
            <w:tcW w:w="1534" w:type="dxa"/>
            <w:vAlign w:val="center"/>
          </w:tcPr>
          <w:p>
            <w:pPr>
              <w:keepNext w:val="0"/>
              <w:keepLines w:val="0"/>
              <w:widowControl/>
              <w:suppressLineNumbers w:val="0"/>
              <w:jc w:val="right"/>
              <w:textAlignment w:val="center"/>
              <w:rPr>
                <w:rFonts w:hint="default" w:ascii="Arial" w:hAnsi="Arial" w:cs="Arial"/>
                <w:b/>
                <w:bCs w:val="0"/>
                <w:sz w:val="18"/>
                <w:szCs w:val="18"/>
                <w:lang w:val="en-US" w:eastAsia="zh-CN"/>
              </w:rPr>
            </w:pPr>
            <w:r>
              <w:rPr>
                <w:rFonts w:hint="eastAsia" w:ascii="Arial" w:hAnsi="Arial" w:cs="Arial"/>
                <w:b/>
                <w:bCs w:val="0"/>
                <w:sz w:val="18"/>
                <w:szCs w:val="18"/>
                <w:lang w:val="en-US" w:eastAsia="zh-CN"/>
              </w:rPr>
              <w:t>123</w:t>
            </w:r>
            <w:r>
              <w:rPr>
                <w:rFonts w:hint="default" w:ascii="Arial" w:hAnsi="Arial" w:cs="Arial"/>
                <w:b/>
                <w:bCs w:val="0"/>
                <w:sz w:val="18"/>
                <w:szCs w:val="18"/>
                <w:lang w:val="en-US" w:eastAsia="zh-CN"/>
              </w:rPr>
              <w:t>,</w:t>
            </w:r>
            <w:r>
              <w:rPr>
                <w:rFonts w:hint="eastAsia" w:ascii="Arial" w:hAnsi="Arial" w:cs="Arial"/>
                <w:b/>
                <w:bCs w:val="0"/>
                <w:sz w:val="18"/>
                <w:szCs w:val="18"/>
                <w:lang w:val="en-US" w:eastAsia="zh-CN"/>
              </w:rPr>
              <w:t>700</w:t>
            </w:r>
            <w:r>
              <w:rPr>
                <w:rFonts w:hint="default" w:ascii="Arial" w:hAnsi="Arial" w:cs="Arial"/>
                <w:b/>
                <w:bCs w:val="0"/>
                <w:sz w:val="18"/>
                <w:szCs w:val="18"/>
                <w:lang w:val="en-US" w:eastAsia="zh-CN"/>
              </w:rPr>
              <w:t>,</w:t>
            </w:r>
            <w:r>
              <w:rPr>
                <w:rFonts w:hint="eastAsia" w:ascii="Arial" w:hAnsi="Arial" w:cs="Arial"/>
                <w:b/>
                <w:bCs w:val="0"/>
                <w:sz w:val="18"/>
                <w:szCs w:val="18"/>
                <w:lang w:val="en-US" w:eastAsia="zh-CN"/>
              </w:rPr>
              <w:t>205.00</w:t>
            </w:r>
          </w:p>
        </w:tc>
        <w:tc>
          <w:tcPr>
            <w:tcW w:w="1720" w:type="dxa"/>
            <w:vAlign w:val="center"/>
          </w:tcPr>
          <w:p>
            <w:pPr>
              <w:widowControl/>
              <w:jc w:val="right"/>
              <w:rPr>
                <w:rFonts w:hint="default" w:ascii="Arial" w:hAnsi="Arial" w:cs="Arial"/>
                <w:b/>
                <w:bCs w:val="0"/>
                <w:sz w:val="18"/>
                <w:szCs w:val="18"/>
                <w:lang w:val="en-US" w:eastAsia="zh-CN" w:bidi="ar-SA"/>
              </w:rPr>
            </w:pPr>
            <w:r>
              <w:rPr>
                <w:rFonts w:hint="eastAsia" w:ascii="Arial" w:hAnsi="Arial" w:cs="Arial"/>
                <w:b/>
                <w:bCs w:val="0"/>
                <w:sz w:val="18"/>
                <w:szCs w:val="18"/>
                <w:lang w:val="en-US" w:eastAsia="zh-CN" w:bidi="ar-SA"/>
              </w:rPr>
              <w:t>55</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733</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506.00</w:t>
            </w:r>
          </w:p>
        </w:tc>
      </w:tr>
    </w:tbl>
    <w:p>
      <w:pPr>
        <w:keepNext w:val="0"/>
        <w:keepLines w:val="0"/>
        <w:pageBreakBefore w:val="0"/>
        <w:widowControl w:val="0"/>
        <w:kinsoku/>
        <w:wordWrap/>
        <w:overflowPunct/>
        <w:topLinePunct w:val="0"/>
        <w:autoSpaceDE/>
        <w:autoSpaceDN/>
        <w:bidi w:val="0"/>
        <w:adjustRightInd/>
        <w:snapToGrid/>
        <w:spacing w:before="316" w:beforeLines="100" w:line="240" w:lineRule="auto"/>
        <w:ind w:firstLine="0" w:firstLineChars="0"/>
        <w:jc w:val="center"/>
        <w:textAlignment w:val="auto"/>
        <w:outlineLvl w:val="1"/>
        <w:rPr>
          <w:rFonts w:hint="eastAsia" w:ascii="Arial" w:hAnsi="Arial" w:eastAsia="宋体" w:cs="Arial"/>
          <w:b/>
          <w:bCs/>
          <w:sz w:val="24"/>
          <w:szCs w:val="32"/>
          <w:lang w:val="en-US" w:eastAsia="zh-CN"/>
        </w:rPr>
      </w:pPr>
      <w:r>
        <w:rPr>
          <w:rFonts w:hint="eastAsia" w:ascii="Arial" w:hAnsi="Arial" w:eastAsia="宋体" w:cs="Arial"/>
          <w:b/>
          <w:bCs/>
          <w:sz w:val="24"/>
          <w:szCs w:val="32"/>
          <w:lang w:val="en-US" w:eastAsia="zh-CN"/>
        </w:rPr>
        <w:t>本期销售资金流入明细表</w:t>
      </w:r>
    </w:p>
    <w:tbl>
      <w:tblPr>
        <w:tblStyle w:val="9"/>
        <w:tblW w:w="9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98"/>
        <w:gridCol w:w="1667"/>
        <w:gridCol w:w="1791"/>
        <w:gridCol w:w="2934"/>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2" w:hRule="atLeast"/>
          <w:tblHeader/>
          <w:jc w:val="center"/>
        </w:trPr>
        <w:tc>
          <w:tcPr>
            <w:tcW w:w="1098" w:type="dxa"/>
            <w:vAlign w:val="center"/>
          </w:tcPr>
          <w:p>
            <w:pPr>
              <w:widowControl/>
              <w:jc w:val="center"/>
              <w:textAlignment w:val="center"/>
              <w:rPr>
                <w:rFonts w:hint="default" w:ascii="Arial" w:hAnsi="Arial" w:cs="Arial"/>
                <w:b/>
                <w:sz w:val="18"/>
                <w:szCs w:val="18"/>
              </w:rPr>
            </w:pPr>
            <w:r>
              <w:rPr>
                <w:rFonts w:hint="default" w:ascii="Arial" w:hAnsi="Arial" w:cs="Arial"/>
                <w:b/>
                <w:sz w:val="18"/>
                <w:szCs w:val="18"/>
              </w:rPr>
              <w:t>收款日期</w:t>
            </w:r>
          </w:p>
        </w:tc>
        <w:tc>
          <w:tcPr>
            <w:tcW w:w="1667" w:type="dxa"/>
            <w:vAlign w:val="center"/>
          </w:tcPr>
          <w:p>
            <w:pPr>
              <w:widowControl/>
              <w:jc w:val="center"/>
              <w:textAlignment w:val="center"/>
              <w:rPr>
                <w:rFonts w:hint="default" w:ascii="Arial" w:hAnsi="Arial" w:cs="Arial"/>
                <w:b/>
                <w:sz w:val="18"/>
                <w:szCs w:val="18"/>
              </w:rPr>
            </w:pPr>
            <w:r>
              <w:rPr>
                <w:rFonts w:hint="default" w:ascii="Arial" w:hAnsi="Arial" w:cs="Arial"/>
                <w:b/>
                <w:sz w:val="18"/>
                <w:szCs w:val="18"/>
              </w:rPr>
              <w:t>资金用途</w:t>
            </w:r>
          </w:p>
        </w:tc>
        <w:tc>
          <w:tcPr>
            <w:tcW w:w="1791" w:type="dxa"/>
            <w:vAlign w:val="center"/>
          </w:tcPr>
          <w:p>
            <w:pPr>
              <w:widowControl/>
              <w:jc w:val="center"/>
              <w:textAlignment w:val="center"/>
              <w:rPr>
                <w:rFonts w:hint="default" w:ascii="Arial" w:hAnsi="Arial" w:cs="Arial"/>
                <w:b/>
                <w:sz w:val="18"/>
                <w:szCs w:val="18"/>
              </w:rPr>
            </w:pPr>
            <w:r>
              <w:rPr>
                <w:rFonts w:hint="default" w:ascii="Arial" w:hAnsi="Arial" w:cs="Arial"/>
                <w:b/>
                <w:sz w:val="18"/>
                <w:szCs w:val="18"/>
              </w:rPr>
              <w:t>金额（元）</w:t>
            </w:r>
          </w:p>
        </w:tc>
        <w:tc>
          <w:tcPr>
            <w:tcW w:w="2934" w:type="dxa"/>
            <w:vAlign w:val="center"/>
          </w:tcPr>
          <w:p>
            <w:pPr>
              <w:widowControl/>
              <w:jc w:val="center"/>
              <w:textAlignment w:val="center"/>
              <w:rPr>
                <w:rFonts w:hint="default" w:ascii="Arial" w:hAnsi="Arial" w:cs="Arial"/>
                <w:b/>
                <w:sz w:val="18"/>
                <w:szCs w:val="18"/>
              </w:rPr>
            </w:pPr>
            <w:r>
              <w:rPr>
                <w:rFonts w:hint="default" w:ascii="Arial" w:hAnsi="Arial" w:cs="Arial"/>
                <w:b/>
                <w:sz w:val="18"/>
                <w:szCs w:val="18"/>
              </w:rPr>
              <w:t>付款方</w:t>
            </w:r>
          </w:p>
        </w:tc>
        <w:tc>
          <w:tcPr>
            <w:tcW w:w="1732" w:type="dxa"/>
            <w:vAlign w:val="center"/>
          </w:tcPr>
          <w:p>
            <w:pPr>
              <w:widowControl/>
              <w:jc w:val="center"/>
              <w:textAlignment w:val="center"/>
              <w:rPr>
                <w:rFonts w:hint="default" w:ascii="Arial" w:hAnsi="Arial" w:cs="Arial"/>
                <w:b/>
                <w:sz w:val="18"/>
                <w:szCs w:val="18"/>
              </w:rPr>
            </w:pPr>
            <w:r>
              <w:rPr>
                <w:rFonts w:hint="default" w:ascii="Arial" w:hAnsi="Arial" w:cs="Arial"/>
                <w:b/>
                <w:sz w:val="18"/>
                <w:szCs w:val="18"/>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2021/05/02</w:t>
            </w:r>
          </w:p>
        </w:tc>
        <w:tc>
          <w:tcPr>
            <w:tcW w:w="1667"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791" w:type="dxa"/>
            <w:vAlign w:val="center"/>
          </w:tcPr>
          <w:p>
            <w:pPr>
              <w:widowControl/>
              <w:jc w:val="right"/>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400,000.00 </w:t>
            </w:r>
          </w:p>
        </w:tc>
        <w:tc>
          <w:tcPr>
            <w:tcW w:w="2934"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刘闽楠</w:t>
            </w:r>
          </w:p>
        </w:tc>
        <w:tc>
          <w:tcPr>
            <w:tcW w:w="1732"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2021/05/02</w:t>
            </w:r>
          </w:p>
        </w:tc>
        <w:tc>
          <w:tcPr>
            <w:tcW w:w="1667"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791" w:type="dxa"/>
            <w:vAlign w:val="center"/>
          </w:tcPr>
          <w:p>
            <w:pPr>
              <w:widowControl/>
              <w:jc w:val="right"/>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1,472,000.00</w:t>
            </w:r>
          </w:p>
        </w:tc>
        <w:tc>
          <w:tcPr>
            <w:tcW w:w="2934"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易银</w:t>
            </w:r>
          </w:p>
        </w:tc>
        <w:tc>
          <w:tcPr>
            <w:tcW w:w="1732"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7"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2021/05/02</w:t>
            </w:r>
          </w:p>
        </w:tc>
        <w:tc>
          <w:tcPr>
            <w:tcW w:w="1667"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791" w:type="dxa"/>
            <w:vAlign w:val="center"/>
          </w:tcPr>
          <w:p>
            <w:pPr>
              <w:widowControl/>
              <w:jc w:val="right"/>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1,032,000.00</w:t>
            </w:r>
          </w:p>
        </w:tc>
        <w:tc>
          <w:tcPr>
            <w:tcW w:w="2934"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张万敏</w:t>
            </w:r>
          </w:p>
        </w:tc>
        <w:tc>
          <w:tcPr>
            <w:tcW w:w="1732"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4"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2021/05/06</w:t>
            </w:r>
          </w:p>
        </w:tc>
        <w:tc>
          <w:tcPr>
            <w:tcW w:w="1667"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销售回款</w:t>
            </w:r>
          </w:p>
        </w:tc>
        <w:tc>
          <w:tcPr>
            <w:tcW w:w="1791" w:type="dxa"/>
            <w:vAlign w:val="center"/>
          </w:tcPr>
          <w:p>
            <w:pPr>
              <w:widowControl/>
              <w:jc w:val="right"/>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12,628,956.00</w:t>
            </w:r>
          </w:p>
        </w:tc>
        <w:tc>
          <w:tcPr>
            <w:tcW w:w="2934"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代理汉口银行预售商品房监管资金待清算账户</w:t>
            </w:r>
          </w:p>
        </w:tc>
        <w:tc>
          <w:tcPr>
            <w:tcW w:w="1732"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7"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2021/05/06</w:t>
            </w:r>
          </w:p>
        </w:tc>
        <w:tc>
          <w:tcPr>
            <w:tcW w:w="1667"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销售回款</w:t>
            </w:r>
          </w:p>
        </w:tc>
        <w:tc>
          <w:tcPr>
            <w:tcW w:w="1791" w:type="dxa"/>
            <w:vAlign w:val="center"/>
          </w:tcPr>
          <w:p>
            <w:pPr>
              <w:widowControl/>
              <w:jc w:val="right"/>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4,548,299.00</w:t>
            </w:r>
          </w:p>
        </w:tc>
        <w:tc>
          <w:tcPr>
            <w:tcW w:w="2934"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代理汉口银行预售商品房监管资金待清算账户</w:t>
            </w:r>
          </w:p>
        </w:tc>
        <w:tc>
          <w:tcPr>
            <w:tcW w:w="1732"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4"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2021/05/06</w:t>
            </w:r>
          </w:p>
        </w:tc>
        <w:tc>
          <w:tcPr>
            <w:tcW w:w="1667"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销售回款</w:t>
            </w:r>
          </w:p>
        </w:tc>
        <w:tc>
          <w:tcPr>
            <w:tcW w:w="1791" w:type="dxa"/>
            <w:vAlign w:val="center"/>
          </w:tcPr>
          <w:p>
            <w:pPr>
              <w:widowControl/>
              <w:jc w:val="right"/>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367,952.00</w:t>
            </w:r>
          </w:p>
        </w:tc>
        <w:tc>
          <w:tcPr>
            <w:tcW w:w="2934"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代理汉口银行预售商品房监管资金待清算账户</w:t>
            </w:r>
          </w:p>
        </w:tc>
        <w:tc>
          <w:tcPr>
            <w:tcW w:w="1732"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2021/05/06</w:t>
            </w:r>
          </w:p>
        </w:tc>
        <w:tc>
          <w:tcPr>
            <w:tcW w:w="1667"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销售回款</w:t>
            </w:r>
          </w:p>
        </w:tc>
        <w:tc>
          <w:tcPr>
            <w:tcW w:w="1791" w:type="dxa"/>
            <w:vAlign w:val="center"/>
          </w:tcPr>
          <w:p>
            <w:pPr>
              <w:widowControl/>
              <w:jc w:val="right"/>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312,121.00</w:t>
            </w:r>
          </w:p>
        </w:tc>
        <w:tc>
          <w:tcPr>
            <w:tcW w:w="2934"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重庆渝煌达实业有限公司</w:t>
            </w:r>
          </w:p>
        </w:tc>
        <w:tc>
          <w:tcPr>
            <w:tcW w:w="1732"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2021/05/06</w:t>
            </w:r>
          </w:p>
        </w:tc>
        <w:tc>
          <w:tcPr>
            <w:tcW w:w="1667"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客户打款（预约金）</w:t>
            </w:r>
          </w:p>
        </w:tc>
        <w:tc>
          <w:tcPr>
            <w:tcW w:w="1791" w:type="dxa"/>
            <w:vAlign w:val="center"/>
          </w:tcPr>
          <w:p>
            <w:pPr>
              <w:widowControl/>
              <w:jc w:val="right"/>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954,386.23</w:t>
            </w:r>
          </w:p>
        </w:tc>
        <w:tc>
          <w:tcPr>
            <w:tcW w:w="2934"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广州合利宝支付科技有限公司备付金</w:t>
            </w:r>
          </w:p>
        </w:tc>
        <w:tc>
          <w:tcPr>
            <w:tcW w:w="1732"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2021/05/07</w:t>
            </w:r>
          </w:p>
        </w:tc>
        <w:tc>
          <w:tcPr>
            <w:tcW w:w="1667"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客户打款（预约金）</w:t>
            </w:r>
          </w:p>
        </w:tc>
        <w:tc>
          <w:tcPr>
            <w:tcW w:w="1791" w:type="dxa"/>
            <w:vAlign w:val="center"/>
          </w:tcPr>
          <w:p>
            <w:pPr>
              <w:widowControl/>
              <w:jc w:val="right"/>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146,720.80</w:t>
            </w:r>
          </w:p>
        </w:tc>
        <w:tc>
          <w:tcPr>
            <w:tcW w:w="2934"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广州合利宝支付科技有限公司备付金</w:t>
            </w:r>
          </w:p>
        </w:tc>
        <w:tc>
          <w:tcPr>
            <w:tcW w:w="1732"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2021/05/07</w:t>
            </w:r>
          </w:p>
        </w:tc>
        <w:tc>
          <w:tcPr>
            <w:tcW w:w="1667"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销售回款</w:t>
            </w:r>
          </w:p>
        </w:tc>
        <w:tc>
          <w:tcPr>
            <w:tcW w:w="1791" w:type="dxa"/>
            <w:vAlign w:val="center"/>
          </w:tcPr>
          <w:p>
            <w:pPr>
              <w:widowControl/>
              <w:jc w:val="right"/>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32,980.00</w:t>
            </w:r>
          </w:p>
        </w:tc>
        <w:tc>
          <w:tcPr>
            <w:tcW w:w="2934"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重庆渝煌达实业有限公司</w:t>
            </w:r>
          </w:p>
        </w:tc>
        <w:tc>
          <w:tcPr>
            <w:tcW w:w="1732"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2021/05/07</w:t>
            </w:r>
          </w:p>
        </w:tc>
        <w:tc>
          <w:tcPr>
            <w:tcW w:w="1667"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销售回款</w:t>
            </w:r>
          </w:p>
        </w:tc>
        <w:tc>
          <w:tcPr>
            <w:tcW w:w="1791" w:type="dxa"/>
            <w:vAlign w:val="center"/>
          </w:tcPr>
          <w:p>
            <w:pPr>
              <w:widowControl/>
              <w:jc w:val="right"/>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2,297,859.00</w:t>
            </w:r>
          </w:p>
        </w:tc>
        <w:tc>
          <w:tcPr>
            <w:tcW w:w="2934"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代理汉口银行预售商品房监管资金待清算账户</w:t>
            </w:r>
          </w:p>
        </w:tc>
        <w:tc>
          <w:tcPr>
            <w:tcW w:w="1732"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2021/05/07</w:t>
            </w:r>
          </w:p>
        </w:tc>
        <w:tc>
          <w:tcPr>
            <w:tcW w:w="1667"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销售回款</w:t>
            </w:r>
          </w:p>
        </w:tc>
        <w:tc>
          <w:tcPr>
            <w:tcW w:w="1791" w:type="dxa"/>
            <w:vAlign w:val="center"/>
          </w:tcPr>
          <w:p>
            <w:pPr>
              <w:widowControl/>
              <w:jc w:val="right"/>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2,371,194.00</w:t>
            </w:r>
          </w:p>
        </w:tc>
        <w:tc>
          <w:tcPr>
            <w:tcW w:w="2934"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代理汉口银行预售商品房监管资金待清算账户</w:t>
            </w:r>
          </w:p>
        </w:tc>
        <w:tc>
          <w:tcPr>
            <w:tcW w:w="1732"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1"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2021/05/07</w:t>
            </w:r>
          </w:p>
        </w:tc>
        <w:tc>
          <w:tcPr>
            <w:tcW w:w="1667"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销售回款</w:t>
            </w:r>
          </w:p>
        </w:tc>
        <w:tc>
          <w:tcPr>
            <w:tcW w:w="1791" w:type="dxa"/>
            <w:vAlign w:val="center"/>
          </w:tcPr>
          <w:p>
            <w:pPr>
              <w:widowControl/>
              <w:jc w:val="right"/>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15,653,146.00</w:t>
            </w:r>
          </w:p>
        </w:tc>
        <w:tc>
          <w:tcPr>
            <w:tcW w:w="2934"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代理汉口银行预售商品房监管资金待清算账户</w:t>
            </w:r>
          </w:p>
        </w:tc>
        <w:tc>
          <w:tcPr>
            <w:tcW w:w="1732"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5"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2021/05/07</w:t>
            </w:r>
          </w:p>
        </w:tc>
        <w:tc>
          <w:tcPr>
            <w:tcW w:w="1667"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销售回款</w:t>
            </w:r>
          </w:p>
        </w:tc>
        <w:tc>
          <w:tcPr>
            <w:tcW w:w="1791" w:type="dxa"/>
            <w:vAlign w:val="center"/>
          </w:tcPr>
          <w:p>
            <w:pPr>
              <w:widowControl/>
              <w:jc w:val="right"/>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1,497,362.00</w:t>
            </w:r>
          </w:p>
        </w:tc>
        <w:tc>
          <w:tcPr>
            <w:tcW w:w="2934"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代理汉口银行预售商品房监管资金待清算账户</w:t>
            </w:r>
          </w:p>
        </w:tc>
        <w:tc>
          <w:tcPr>
            <w:tcW w:w="1732"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1"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2021/05/07</w:t>
            </w:r>
          </w:p>
        </w:tc>
        <w:tc>
          <w:tcPr>
            <w:tcW w:w="1667"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销售回款</w:t>
            </w:r>
          </w:p>
        </w:tc>
        <w:tc>
          <w:tcPr>
            <w:tcW w:w="1791" w:type="dxa"/>
            <w:vAlign w:val="center"/>
          </w:tcPr>
          <w:p>
            <w:pPr>
              <w:widowControl/>
              <w:jc w:val="right"/>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149,960.00</w:t>
            </w:r>
          </w:p>
        </w:tc>
        <w:tc>
          <w:tcPr>
            <w:tcW w:w="2934"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代理汉口银行预售商品房监管资金待清算账户</w:t>
            </w:r>
          </w:p>
        </w:tc>
        <w:tc>
          <w:tcPr>
            <w:tcW w:w="1732"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2021/05/07</w:t>
            </w:r>
          </w:p>
        </w:tc>
        <w:tc>
          <w:tcPr>
            <w:tcW w:w="1667"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销售回款</w:t>
            </w:r>
          </w:p>
        </w:tc>
        <w:tc>
          <w:tcPr>
            <w:tcW w:w="1791" w:type="dxa"/>
            <w:vAlign w:val="center"/>
          </w:tcPr>
          <w:p>
            <w:pPr>
              <w:widowControl/>
              <w:jc w:val="right"/>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399,940.00</w:t>
            </w:r>
          </w:p>
        </w:tc>
        <w:tc>
          <w:tcPr>
            <w:tcW w:w="2934"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代理汉口银行预售商品房监管资金待清算账户</w:t>
            </w:r>
          </w:p>
        </w:tc>
        <w:tc>
          <w:tcPr>
            <w:tcW w:w="1732"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2021/05/07</w:t>
            </w:r>
          </w:p>
        </w:tc>
        <w:tc>
          <w:tcPr>
            <w:tcW w:w="1667"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销售回款</w:t>
            </w:r>
          </w:p>
        </w:tc>
        <w:tc>
          <w:tcPr>
            <w:tcW w:w="1791" w:type="dxa"/>
            <w:vAlign w:val="center"/>
          </w:tcPr>
          <w:p>
            <w:pPr>
              <w:widowControl/>
              <w:jc w:val="right"/>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49,940.00</w:t>
            </w:r>
          </w:p>
        </w:tc>
        <w:tc>
          <w:tcPr>
            <w:tcW w:w="2934"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代理汉口银行预售商品房监管资金待清算账户</w:t>
            </w:r>
          </w:p>
        </w:tc>
        <w:tc>
          <w:tcPr>
            <w:tcW w:w="1732"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1"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2021/05/08</w:t>
            </w:r>
          </w:p>
        </w:tc>
        <w:tc>
          <w:tcPr>
            <w:tcW w:w="1667"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791" w:type="dxa"/>
            <w:vAlign w:val="center"/>
          </w:tcPr>
          <w:p>
            <w:pPr>
              <w:widowControl/>
              <w:jc w:val="right"/>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711,000.00</w:t>
            </w:r>
          </w:p>
        </w:tc>
        <w:tc>
          <w:tcPr>
            <w:tcW w:w="2934"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个人贷款划转专户（借款人侯俊）</w:t>
            </w:r>
          </w:p>
        </w:tc>
        <w:tc>
          <w:tcPr>
            <w:tcW w:w="1732"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2021/05/08</w:t>
            </w:r>
          </w:p>
        </w:tc>
        <w:tc>
          <w:tcPr>
            <w:tcW w:w="1667"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791" w:type="dxa"/>
            <w:vAlign w:val="center"/>
          </w:tcPr>
          <w:p>
            <w:pPr>
              <w:widowControl/>
              <w:jc w:val="right"/>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400,000.00</w:t>
            </w:r>
          </w:p>
        </w:tc>
        <w:tc>
          <w:tcPr>
            <w:tcW w:w="2934"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个人贷款划转专户（借款人龙美君）</w:t>
            </w:r>
          </w:p>
        </w:tc>
        <w:tc>
          <w:tcPr>
            <w:tcW w:w="1732"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2021/05/08</w:t>
            </w:r>
          </w:p>
        </w:tc>
        <w:tc>
          <w:tcPr>
            <w:tcW w:w="1667"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791" w:type="dxa"/>
            <w:vAlign w:val="center"/>
          </w:tcPr>
          <w:p>
            <w:pPr>
              <w:widowControl/>
              <w:jc w:val="right"/>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760,000.00</w:t>
            </w:r>
          </w:p>
        </w:tc>
        <w:tc>
          <w:tcPr>
            <w:tcW w:w="2934"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个人贷款划转专户（借款人范晓英）</w:t>
            </w:r>
          </w:p>
        </w:tc>
        <w:tc>
          <w:tcPr>
            <w:tcW w:w="1732"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2021/05/08</w:t>
            </w:r>
          </w:p>
        </w:tc>
        <w:tc>
          <w:tcPr>
            <w:tcW w:w="1667"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销售回款</w:t>
            </w:r>
          </w:p>
        </w:tc>
        <w:tc>
          <w:tcPr>
            <w:tcW w:w="1791" w:type="dxa"/>
            <w:vAlign w:val="center"/>
          </w:tcPr>
          <w:p>
            <w:pPr>
              <w:widowControl/>
              <w:jc w:val="right"/>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1,438,275.00 </w:t>
            </w:r>
          </w:p>
        </w:tc>
        <w:tc>
          <w:tcPr>
            <w:tcW w:w="2934"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代理汉口银行预售商品房监管资金待清算账户</w:t>
            </w:r>
          </w:p>
        </w:tc>
        <w:tc>
          <w:tcPr>
            <w:tcW w:w="1732"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2021/05/08</w:t>
            </w:r>
          </w:p>
        </w:tc>
        <w:tc>
          <w:tcPr>
            <w:tcW w:w="1667"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销售回款</w:t>
            </w:r>
          </w:p>
        </w:tc>
        <w:tc>
          <w:tcPr>
            <w:tcW w:w="1791" w:type="dxa"/>
            <w:vAlign w:val="center"/>
          </w:tcPr>
          <w:p>
            <w:pPr>
              <w:widowControl/>
              <w:jc w:val="right"/>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924,329.00 </w:t>
            </w:r>
          </w:p>
        </w:tc>
        <w:tc>
          <w:tcPr>
            <w:tcW w:w="2934"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代理汉口银行预售商品房监管资金待清算账户</w:t>
            </w:r>
          </w:p>
        </w:tc>
        <w:tc>
          <w:tcPr>
            <w:tcW w:w="1732"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7"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2021/05/10</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105,279.66 </w:t>
            </w:r>
          </w:p>
        </w:tc>
        <w:tc>
          <w:tcPr>
            <w:tcW w:w="2934"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7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2021/05/11</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19,980.00 </w:t>
            </w:r>
          </w:p>
        </w:tc>
        <w:tc>
          <w:tcPr>
            <w:tcW w:w="2934"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7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2021/05/11</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1,950,988.00 </w:t>
            </w:r>
          </w:p>
        </w:tc>
        <w:tc>
          <w:tcPr>
            <w:tcW w:w="2934"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7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6"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2021/05/11</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987,330.00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7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2021/05/11</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1,092,000.00 </w:t>
            </w:r>
          </w:p>
        </w:tc>
        <w:tc>
          <w:tcPr>
            <w:tcW w:w="2934"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（发放贷款620079000000125）</w:t>
            </w:r>
          </w:p>
        </w:tc>
        <w:tc>
          <w:tcPr>
            <w:tcW w:w="17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2021/05/11</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770,000.00 </w:t>
            </w:r>
          </w:p>
        </w:tc>
        <w:tc>
          <w:tcPr>
            <w:tcW w:w="2934"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（发放贷款620079000000127）</w:t>
            </w:r>
          </w:p>
        </w:tc>
        <w:tc>
          <w:tcPr>
            <w:tcW w:w="17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2021/05/11</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800,000.00 </w:t>
            </w:r>
          </w:p>
        </w:tc>
        <w:tc>
          <w:tcPr>
            <w:tcW w:w="2934"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（发放贷款620079000000128）</w:t>
            </w:r>
          </w:p>
        </w:tc>
        <w:tc>
          <w:tcPr>
            <w:tcW w:w="17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2021/05/11</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1,100,000.00 </w:t>
            </w:r>
          </w:p>
        </w:tc>
        <w:tc>
          <w:tcPr>
            <w:tcW w:w="2934"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（发放贷款620079000000129）</w:t>
            </w:r>
          </w:p>
        </w:tc>
        <w:tc>
          <w:tcPr>
            <w:tcW w:w="17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2021/05/11</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900,000.00 </w:t>
            </w:r>
          </w:p>
        </w:tc>
        <w:tc>
          <w:tcPr>
            <w:tcW w:w="2934"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（发放贷款620079000000130）</w:t>
            </w:r>
          </w:p>
        </w:tc>
        <w:tc>
          <w:tcPr>
            <w:tcW w:w="17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2021/05/11</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813,000.00 </w:t>
            </w:r>
          </w:p>
        </w:tc>
        <w:tc>
          <w:tcPr>
            <w:tcW w:w="2934"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（发放贷款620079000000131）</w:t>
            </w:r>
          </w:p>
        </w:tc>
        <w:tc>
          <w:tcPr>
            <w:tcW w:w="17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2021/05/11</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932,000.00 </w:t>
            </w:r>
          </w:p>
        </w:tc>
        <w:tc>
          <w:tcPr>
            <w:tcW w:w="2934"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（发放贷款620079000000132）</w:t>
            </w:r>
          </w:p>
        </w:tc>
        <w:tc>
          <w:tcPr>
            <w:tcW w:w="17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2021/05/11</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808,000.00 </w:t>
            </w:r>
          </w:p>
        </w:tc>
        <w:tc>
          <w:tcPr>
            <w:tcW w:w="2934"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（发放贷款620079000000133）</w:t>
            </w:r>
          </w:p>
        </w:tc>
        <w:tc>
          <w:tcPr>
            <w:tcW w:w="17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2021/05/11</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958,000.00 </w:t>
            </w:r>
          </w:p>
        </w:tc>
        <w:tc>
          <w:tcPr>
            <w:tcW w:w="2934"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个贷系统平账专户（弓继均）</w:t>
            </w:r>
          </w:p>
        </w:tc>
        <w:tc>
          <w:tcPr>
            <w:tcW w:w="17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2021/05/13</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974,000.00 </w:t>
            </w:r>
          </w:p>
        </w:tc>
        <w:tc>
          <w:tcPr>
            <w:tcW w:w="2934"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杨宏亮</w:t>
            </w:r>
          </w:p>
        </w:tc>
        <w:tc>
          <w:tcPr>
            <w:tcW w:w="17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2021/05/13</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530,000.00 </w:t>
            </w:r>
          </w:p>
        </w:tc>
        <w:tc>
          <w:tcPr>
            <w:tcW w:w="2934"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个贷系统平账专户（吴利梅）</w:t>
            </w:r>
          </w:p>
        </w:tc>
        <w:tc>
          <w:tcPr>
            <w:tcW w:w="17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2021/05/14</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2934"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公积金贷款发放过渡户（吴利梅）</w:t>
            </w:r>
          </w:p>
        </w:tc>
        <w:tc>
          <w:tcPr>
            <w:tcW w:w="17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2021/05/14</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635,000.00 </w:t>
            </w:r>
          </w:p>
        </w:tc>
        <w:tc>
          <w:tcPr>
            <w:tcW w:w="2934"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个贷系统平账专户（陈旭博）</w:t>
            </w:r>
          </w:p>
        </w:tc>
        <w:tc>
          <w:tcPr>
            <w:tcW w:w="17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2021/05/14</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584,000.00 </w:t>
            </w:r>
          </w:p>
        </w:tc>
        <w:tc>
          <w:tcPr>
            <w:tcW w:w="2934"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个贷系统平账专户（何海波）</w:t>
            </w:r>
          </w:p>
        </w:tc>
        <w:tc>
          <w:tcPr>
            <w:tcW w:w="17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2021/05/14</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242,000.00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个贷系统平账专户（沈伟）</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2021/05/14</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584,000.00 </w:t>
            </w:r>
          </w:p>
        </w:tc>
        <w:tc>
          <w:tcPr>
            <w:tcW w:w="2934"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个贷系统平账专户（高林炎）</w:t>
            </w:r>
          </w:p>
        </w:tc>
        <w:tc>
          <w:tcPr>
            <w:tcW w:w="17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2021/05/14</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1,030,000.00 </w:t>
            </w:r>
          </w:p>
        </w:tc>
        <w:tc>
          <w:tcPr>
            <w:tcW w:w="2934"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（发放贷款620079000000136）</w:t>
            </w:r>
          </w:p>
        </w:tc>
        <w:tc>
          <w:tcPr>
            <w:tcW w:w="17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2021/05/14</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631,000.00 </w:t>
            </w:r>
          </w:p>
        </w:tc>
        <w:tc>
          <w:tcPr>
            <w:tcW w:w="2934"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（发放贷款620079000000137）</w:t>
            </w:r>
          </w:p>
        </w:tc>
        <w:tc>
          <w:tcPr>
            <w:tcW w:w="17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2021/05/14</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1,550,000.00 </w:t>
            </w:r>
          </w:p>
        </w:tc>
        <w:tc>
          <w:tcPr>
            <w:tcW w:w="2934"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（发放贷款620079000000138）</w:t>
            </w:r>
          </w:p>
        </w:tc>
        <w:tc>
          <w:tcPr>
            <w:tcW w:w="17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2021/05/14</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1,380,000.00 </w:t>
            </w:r>
          </w:p>
        </w:tc>
        <w:tc>
          <w:tcPr>
            <w:tcW w:w="2934"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（发放贷款620079000000139）</w:t>
            </w:r>
          </w:p>
        </w:tc>
        <w:tc>
          <w:tcPr>
            <w:tcW w:w="17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2021/05/14</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36,045.65 </w:t>
            </w:r>
          </w:p>
        </w:tc>
        <w:tc>
          <w:tcPr>
            <w:tcW w:w="2934"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7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2021/05/15</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1,129,000.00</w:t>
            </w:r>
          </w:p>
        </w:tc>
        <w:tc>
          <w:tcPr>
            <w:tcW w:w="2934"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发放贷款（620079000000140）</w:t>
            </w:r>
          </w:p>
        </w:tc>
        <w:tc>
          <w:tcPr>
            <w:tcW w:w="17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2021/05/15</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500,000.00 </w:t>
            </w:r>
          </w:p>
        </w:tc>
        <w:tc>
          <w:tcPr>
            <w:tcW w:w="2934"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发放贷款（620079000000141）</w:t>
            </w:r>
          </w:p>
        </w:tc>
        <w:tc>
          <w:tcPr>
            <w:tcW w:w="17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2021/05/15</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883,000.00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发放贷款（620079000000142）</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2021/05/15</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960,000.00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发放贷款（620079000000143）</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2021/05/15</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762,000.00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发放贷款（620079000000144）</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2021/05/15</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923,000.00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发放贷款（620079000000145）</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2021/05/15</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883,000.00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发放贷款（620079000000146）</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2021/05/15</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1,130,000.00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发放贷款（620079000000147）</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2021/05/15</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989,000.00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发放贷款（620079000000148）</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2021/05/15</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1,070,000.00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发放贷款（620079000000149）</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2021/5/17</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70,500.96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2021/05/17</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bottom"/>
          </w:tcPr>
          <w:p>
            <w:pPr>
              <w:widowControl/>
              <w:jc w:val="right"/>
              <w:rPr>
                <w:rFonts w:hint="eastAsia" w:ascii="Arial" w:hAnsi="Arial" w:eastAsia="宋体" w:cs="Arial"/>
                <w:bCs/>
                <w:sz w:val="18"/>
                <w:szCs w:val="18"/>
                <w:lang w:val="en-US" w:eastAsia="zh-CN" w:bidi="ar-SA"/>
              </w:rPr>
            </w:pPr>
            <w:r>
              <w:rPr>
                <w:rFonts w:hint="default" w:ascii="Arial" w:hAnsi="Arial" w:cs="Arial"/>
                <w:bCs/>
                <w:sz w:val="18"/>
                <w:szCs w:val="18"/>
                <w:lang w:val="en-US" w:eastAsia="zh-CN"/>
              </w:rPr>
              <w:t>400,000.00</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公积金贷款发放过渡户（高林炎）</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2021/05/17</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公积金贷款发放过渡户（沈伟）</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2021/05/17</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公积金贷款发放过渡户（陈旭博）</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2021/05/17</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公积金贷款发放过渡户（何海波）</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2021/05/17</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450,735.00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2021/05/17</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260,503.00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2021/05/18</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1,943,315.00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2021/05/18</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950,935.07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2021/05/18</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914,980.00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2021/05/18</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427,918.00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2021/05/18</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533,000.00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个贷系统平账专户（刘继乐）</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2021/05/18</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374,000.00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个贷系统平账专户（汪少国）</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2021/05/18</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272,000.00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个贷系统平账专户（周星言）</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2021/05/18</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451,000.00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个贷系统平账专户（王展）</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2021/05/18</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260,000.00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个贷系统平账专户（董刚）</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2021/05/18</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1,010,000.00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郑智跃</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2021/05/19</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380,000.00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公积金贷款发放过渡户（汪少国）</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2021/05/19</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公积金贷款发放过渡户（王展）</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2021/05/19</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公积金贷款发放过渡户（周星言）</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2021/05/19</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510,000.00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公积金贷款发放过渡户（刘继乐）</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2021/05/19</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600,000.00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公积金贷款发放过渡户（董刚）</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2021/05/20</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发放贷款（620079000000151）</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2021/05/20</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889,000.00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发放贷款（620079000000152）</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2021/05/21</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417,000.00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个贷系统平账专户（刘露）</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2021/05/21</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643,000.00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个贷系统平账专户（王明鑫）</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2021/05/21</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380,000.00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个贷系统平账专户（赵琪）</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2021/05/21</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696,000.00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个贷系统平账专户（肖智豪）</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2021/05/24</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99,980.00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2021/05/24</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740,000.00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余志云</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2021/05/24</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989,000.00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个人贷款划转专户（借款人蒋町）</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2021/05/24</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849,000.00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个人贷款划转专户（借款人陈定强）</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2021/05/24</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961,000.00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个人贷款划转专户（借款人吴海燕）</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2021/05/24</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公积金贷款发放过渡户（赵琪）</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2021/05/24</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公积金贷款发放过渡户（王明鑫）</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2021/05/24</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公积金贷款发放过渡户（刘露）</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2021/05/24</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210,000.00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公积金贷款发放过渡户（肖智豪）</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2021/05/24</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410,000.00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个贷系统平账专户（彭露）</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2021/05/24</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257,000.00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个贷系统平账专户（吴倩）</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2021/05/24</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717,000.00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个贷系统平账专户（罗姣）</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2021/05/24</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574,000.00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个贷系统平账专户（蒋敉）</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2021/05/24</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484,000.00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个贷系统平账专户（杨杰）</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2021/05/25</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公积金贷款发放过渡户（彭露）</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2021/05/25</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600,000.00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公积金贷款发放过渡户（吴倩）</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2021/05/25</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公积金贷款发放过渡户（罗姣）</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2021/05/25</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公积金贷款发放过渡户（杨杰）</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2021/05/25</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公积金贷款发放过渡户（蒋敉）</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2021/05/27</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1,168,000.00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个人贷款划转专户（借款人瞿荣苹）</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2021/05/27</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700,000.00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个人贷款划转专户（借款人陈洁）</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2021/05/27</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658,000.00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个人贷款划转专户（借款人聂学艳）</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2021/05/27</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450,000.00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个贷系统平账专户（隆璐帆）</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2021/05/27</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632,000.00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个贷系统平账专户（李亚伟）</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2021/05/27</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620,000.00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个贷系统平账专户（秦亚）</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2021/05/27</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246,000.00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个贷系统平账专户（徐钦）</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2021/05/27</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457,000.00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个贷系统平账专户（杨艳）</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2021/05/27</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465,000.00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个贷系统平账专户（李星佑）</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2021/05/27</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512,000.00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个贷系统平账专户（李政君）</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2021/05/27</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600,000.00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个贷系统平账专户（唐远军）</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2021/05/28</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公积金贷款发放过渡户（李亚伟）</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2021/05/28</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公积金贷款发放过渡户（李星佑）</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2021/05/28</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公积金贷款发放过渡户（隆璐帆）</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2021/05/28</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公积金贷款发放过渡户（徐钦）</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2021/05/28</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公积金贷款发放过渡户（李政君）</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2021/05/28</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公积金贷款发放过渡户（杨艳）</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2021/05/28</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公积金贷款发放过渡户（唐远军）</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2021/05/28</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300,000.00 </w:t>
            </w:r>
          </w:p>
        </w:tc>
        <w:tc>
          <w:tcPr>
            <w:tcW w:w="293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公积金贷款发放过渡户（秦亚）</w:t>
            </w:r>
          </w:p>
        </w:tc>
        <w:tc>
          <w:tcPr>
            <w:tcW w:w="17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2021/05/31</w:t>
            </w:r>
          </w:p>
        </w:tc>
        <w:tc>
          <w:tcPr>
            <w:tcW w:w="1667"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客户打款（预约金）</w:t>
            </w:r>
          </w:p>
        </w:tc>
        <w:tc>
          <w:tcPr>
            <w:tcW w:w="1791"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1,486,915.72 </w:t>
            </w:r>
          </w:p>
        </w:tc>
        <w:tc>
          <w:tcPr>
            <w:tcW w:w="2934"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广州合利宝支付科技有限公司备付金</w:t>
            </w:r>
          </w:p>
        </w:tc>
        <w:tc>
          <w:tcPr>
            <w:tcW w:w="1732"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40" w:hRule="atLeast"/>
          <w:jc w:val="center"/>
        </w:trPr>
        <w:tc>
          <w:tcPr>
            <w:tcW w:w="2765" w:type="dxa"/>
            <w:gridSpan w:val="2"/>
            <w:vAlign w:val="center"/>
          </w:tcPr>
          <w:p>
            <w:pPr>
              <w:widowControl/>
              <w:jc w:val="center"/>
              <w:rPr>
                <w:rFonts w:hint="default" w:ascii="Arial" w:hAnsi="Arial" w:cs="Arial"/>
                <w:b/>
                <w:bCs w:val="0"/>
                <w:sz w:val="18"/>
                <w:szCs w:val="18"/>
              </w:rPr>
            </w:pPr>
            <w:r>
              <w:rPr>
                <w:rFonts w:hint="default" w:ascii="Arial" w:hAnsi="Arial" w:cs="Arial"/>
                <w:b/>
                <w:bCs w:val="0"/>
                <w:sz w:val="18"/>
                <w:szCs w:val="18"/>
              </w:rPr>
              <w:t>合计</w:t>
            </w:r>
          </w:p>
        </w:tc>
        <w:tc>
          <w:tcPr>
            <w:tcW w:w="1791" w:type="dxa"/>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lang w:val="en-US" w:eastAsia="zh-CN" w:bidi="ar-SA"/>
              </w:rPr>
            </w:pPr>
            <w:r>
              <w:rPr>
                <w:rFonts w:hint="eastAsia" w:ascii="Arial" w:hAnsi="Arial" w:cs="Arial"/>
                <w:b/>
                <w:bCs/>
                <w:i w:val="0"/>
                <w:color w:val="000000"/>
                <w:kern w:val="0"/>
                <w:sz w:val="18"/>
                <w:szCs w:val="18"/>
                <w:u w:val="none"/>
                <w:lang w:val="en-US" w:eastAsia="zh-CN"/>
              </w:rPr>
              <w:t>113</w:t>
            </w:r>
            <w:r>
              <w:rPr>
                <w:rFonts w:hint="default" w:ascii="Arial" w:hAnsi="Arial" w:eastAsia="宋体" w:cs="Arial"/>
                <w:b/>
                <w:bCs/>
                <w:i w:val="0"/>
                <w:color w:val="000000"/>
                <w:kern w:val="0"/>
                <w:sz w:val="18"/>
                <w:szCs w:val="18"/>
                <w:u w:val="none"/>
                <w:lang w:val="en-US" w:eastAsia="zh-CN"/>
              </w:rPr>
              <w:t>,</w:t>
            </w:r>
            <w:r>
              <w:rPr>
                <w:rFonts w:hint="eastAsia" w:ascii="Arial" w:hAnsi="Arial" w:cs="Arial"/>
                <w:b/>
                <w:bCs/>
                <w:i w:val="0"/>
                <w:color w:val="000000"/>
                <w:kern w:val="0"/>
                <w:sz w:val="18"/>
                <w:szCs w:val="18"/>
                <w:u w:val="none"/>
                <w:lang w:val="en-US" w:eastAsia="zh-CN"/>
              </w:rPr>
              <w:t>609</w:t>
            </w:r>
            <w:r>
              <w:rPr>
                <w:rFonts w:hint="default" w:ascii="Arial" w:hAnsi="Arial" w:eastAsia="宋体" w:cs="Arial"/>
                <w:b/>
                <w:bCs/>
                <w:i w:val="0"/>
                <w:color w:val="000000"/>
                <w:kern w:val="0"/>
                <w:sz w:val="18"/>
                <w:szCs w:val="18"/>
                <w:u w:val="none"/>
                <w:lang w:val="en-US" w:eastAsia="zh-CN"/>
              </w:rPr>
              <w:t>,</w:t>
            </w:r>
            <w:r>
              <w:rPr>
                <w:rFonts w:hint="eastAsia" w:ascii="Arial" w:hAnsi="Arial" w:cs="Arial"/>
                <w:b/>
                <w:bCs/>
                <w:i w:val="0"/>
                <w:color w:val="000000"/>
                <w:kern w:val="0"/>
                <w:sz w:val="18"/>
                <w:szCs w:val="18"/>
                <w:u w:val="none"/>
                <w:lang w:val="en-US" w:eastAsia="zh-CN"/>
              </w:rPr>
              <w:t>826.09</w:t>
            </w:r>
            <w:r>
              <w:rPr>
                <w:rFonts w:hint="default" w:ascii="Arial" w:hAnsi="Arial" w:eastAsia="宋体" w:cs="Arial"/>
                <w:b/>
                <w:bCs/>
                <w:i w:val="0"/>
                <w:color w:val="000000"/>
                <w:kern w:val="0"/>
                <w:sz w:val="18"/>
                <w:szCs w:val="18"/>
                <w:u w:val="none"/>
                <w:lang w:val="en-US" w:eastAsia="zh-CN"/>
              </w:rPr>
              <w:t xml:space="preserve"> </w:t>
            </w:r>
          </w:p>
        </w:tc>
        <w:tc>
          <w:tcPr>
            <w:tcW w:w="2934" w:type="dxa"/>
            <w:vAlign w:val="center"/>
          </w:tcPr>
          <w:p>
            <w:pPr>
              <w:widowControl/>
              <w:jc w:val="right"/>
              <w:rPr>
                <w:rFonts w:hint="default" w:ascii="Arial" w:hAnsi="Arial" w:cs="Arial"/>
                <w:b/>
                <w:sz w:val="18"/>
                <w:szCs w:val="18"/>
              </w:rPr>
            </w:pPr>
          </w:p>
        </w:tc>
        <w:tc>
          <w:tcPr>
            <w:tcW w:w="1732" w:type="dxa"/>
            <w:vAlign w:val="center"/>
          </w:tcPr>
          <w:p>
            <w:pPr>
              <w:widowControl/>
              <w:jc w:val="center"/>
              <w:rPr>
                <w:rFonts w:hint="default" w:ascii="Arial" w:hAnsi="Arial" w:cs="Arial"/>
                <w:bCs/>
                <w:sz w:val="18"/>
                <w:szCs w:val="18"/>
              </w:rPr>
            </w:pPr>
          </w:p>
        </w:tc>
      </w:tr>
    </w:tbl>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default" w:ascii="Arial" w:hAnsi="Arial" w:cs="Arial"/>
          <w:bCs/>
          <w:kern w:val="44"/>
          <w:lang w:val="en-US" w:eastAsia="zh-CN"/>
        </w:rPr>
      </w:pPr>
      <w:bookmarkStart w:id="41" w:name="_Toc17437"/>
      <w:bookmarkStart w:id="42" w:name="_Toc17583"/>
      <w:r>
        <w:rPr>
          <w:rFonts w:hint="default" w:ascii="Arial" w:hAnsi="Arial" w:eastAsia="宋体" w:cs="Arial"/>
          <w:b/>
          <w:bCs/>
          <w:kern w:val="44"/>
          <w:sz w:val="24"/>
          <w:szCs w:val="24"/>
          <w:lang w:val="en-US" w:eastAsia="zh-CN" w:bidi="ar-SA"/>
        </w:rPr>
        <w:t>6.2</w:t>
      </w:r>
      <w:r>
        <w:rPr>
          <w:rFonts w:hint="eastAsia" w:ascii="Arial" w:hAnsi="Arial" w:eastAsia="宋体" w:cs="Arial"/>
          <w:b/>
          <w:bCs/>
          <w:kern w:val="44"/>
          <w:sz w:val="24"/>
          <w:szCs w:val="24"/>
          <w:lang w:val="en-US" w:eastAsia="zh-CN" w:bidi="ar-SA"/>
        </w:rPr>
        <w:t>当地房地产政策</w:t>
      </w:r>
      <w:bookmarkEnd w:id="41"/>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1"/>
        <w:rPr>
          <w:rFonts w:hint="eastAsia" w:ascii="宋体" w:hAnsi="宋体" w:cs="宋体"/>
          <w:bCs/>
          <w:kern w:val="44"/>
          <w:lang w:val="en-US" w:eastAsia="zh-CN"/>
        </w:rPr>
      </w:pPr>
      <w:r>
        <w:rPr>
          <w:rFonts w:hint="default" w:ascii="Arial" w:hAnsi="Arial" w:cs="Arial"/>
          <w:bCs/>
          <w:kern w:val="44"/>
          <w:lang w:val="en-US" w:eastAsia="zh-CN"/>
        </w:rPr>
        <w:t>（1）</w:t>
      </w:r>
      <w:r>
        <w:rPr>
          <w:rFonts w:hint="eastAsia" w:ascii="宋体" w:hAnsi="宋体" w:cs="宋体"/>
          <w:bCs/>
          <w:kern w:val="44"/>
          <w:lang w:val="en-US" w:eastAsia="zh-CN"/>
        </w:rPr>
        <w:t>重庆市房产税政策</w:t>
      </w:r>
      <w:bookmarkEnd w:id="42"/>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val="en-US" w:eastAsia="zh-CN"/>
        </w:rPr>
      </w:pPr>
      <w:r>
        <w:rPr>
          <w:rFonts w:hint="eastAsia" w:ascii="宋体" w:hAnsi="宋体" w:cs="宋体"/>
          <w:bCs/>
          <w:kern w:val="44"/>
          <w:lang w:val="en-US" w:eastAsia="zh-CN"/>
        </w:rPr>
        <w:t>目前重庆市对渝中区、江北区、沙坪坝区、九龙坡区、大渡口区、南岸区、北碚区、渝北区、巴南区等</w:t>
      </w:r>
      <w:r>
        <w:rPr>
          <w:rFonts w:hint="default" w:ascii="Arial" w:hAnsi="Arial" w:cs="Arial"/>
          <w:bCs/>
          <w:kern w:val="44"/>
          <w:lang w:val="en-US" w:eastAsia="zh-CN"/>
        </w:rPr>
        <w:t>9</w:t>
      </w:r>
      <w:r>
        <w:rPr>
          <w:rFonts w:hint="eastAsia" w:ascii="宋体" w:hAnsi="宋体" w:cs="宋体"/>
          <w:bCs/>
          <w:kern w:val="44"/>
          <w:lang w:val="en-US" w:eastAsia="zh-CN"/>
        </w:rPr>
        <w:t>个主城区实施房产税试点工作。房产税征税对象包括：个人拥有的独栋商品住宅，个人新购的高档住房和在重庆市同时无户籍、无企业、无工作的个人新购的首套及以上的普通住房。未列入征税范围的个人高档住房、多套普通住房，将适时纳入征税范围。</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1"/>
        <w:rPr>
          <w:rFonts w:hint="default" w:ascii="Arial" w:hAnsi="Arial" w:cs="Arial"/>
          <w:bCs/>
          <w:kern w:val="44"/>
          <w:lang w:val="en-US" w:eastAsia="zh-CN"/>
        </w:rPr>
      </w:pPr>
      <w:bookmarkStart w:id="43" w:name="_Toc5292"/>
      <w:r>
        <w:rPr>
          <w:rFonts w:hint="eastAsia" w:ascii="宋体" w:hAnsi="宋体" w:cs="宋体"/>
          <w:bCs/>
          <w:kern w:val="44"/>
          <w:lang w:val="en-US" w:eastAsia="zh-CN"/>
        </w:rPr>
        <w:t>独栋商品住宅和高档住房建筑面积交易单价在上两年主城九区新建商品住房成交建筑面积均</w:t>
      </w:r>
      <w:r>
        <w:rPr>
          <w:rFonts w:hint="default" w:ascii="Arial" w:hAnsi="Arial" w:cs="Arial"/>
          <w:bCs/>
          <w:kern w:val="44"/>
          <w:lang w:val="en-US" w:eastAsia="zh-CN"/>
        </w:rPr>
        <w:t>价3倍以下的住房，税率为0.5%；3倍(含3倍)至4倍的，税率为1%</w:t>
      </w:r>
      <w:r>
        <w:rPr>
          <w:rFonts w:hint="eastAsia" w:ascii="Arial" w:hAnsi="Arial" w:cs="Arial"/>
          <w:bCs/>
          <w:kern w:val="44"/>
          <w:lang w:val="en-US" w:eastAsia="zh-CN"/>
        </w:rPr>
        <w:t>；</w:t>
      </w:r>
      <w:r>
        <w:rPr>
          <w:rFonts w:hint="default" w:ascii="Arial" w:hAnsi="Arial" w:cs="Arial"/>
          <w:bCs/>
          <w:kern w:val="44"/>
          <w:lang w:val="en-US" w:eastAsia="zh-CN"/>
        </w:rPr>
        <w:t>4倍(含4倍)以上的税率为1.2%。</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1"/>
        <w:rPr>
          <w:rFonts w:hint="eastAsia" w:ascii="宋体" w:hAnsi="宋体" w:cs="宋体"/>
          <w:bCs/>
          <w:kern w:val="44"/>
          <w:lang w:val="en-US" w:eastAsia="zh-CN"/>
        </w:rPr>
      </w:pPr>
      <w:r>
        <w:rPr>
          <w:rFonts w:hint="default" w:ascii="Arial" w:hAnsi="Arial" w:cs="Arial"/>
          <w:bCs/>
          <w:kern w:val="44"/>
          <w:lang w:val="en-US" w:eastAsia="zh-CN"/>
        </w:rPr>
        <w:t>（2）</w:t>
      </w:r>
      <w:r>
        <w:rPr>
          <w:rFonts w:hint="eastAsia" w:ascii="宋体" w:hAnsi="宋体" w:cs="宋体"/>
          <w:bCs/>
          <w:kern w:val="44"/>
          <w:lang w:val="en-US" w:eastAsia="zh-CN"/>
        </w:rPr>
        <w:t>重庆市购房调控政策</w:t>
      </w:r>
      <w:bookmarkEnd w:id="43"/>
      <w:r>
        <w:rPr>
          <w:rFonts w:hint="eastAsia" w:ascii="宋体" w:hAnsi="宋体" w:cs="宋体"/>
          <w:bCs/>
          <w:kern w:val="4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val="en-US" w:eastAsia="zh-CN"/>
        </w:rPr>
      </w:pPr>
      <w:r>
        <w:rPr>
          <w:rFonts w:hint="eastAsia" w:ascii="Arial" w:hAnsi="Arial" w:cs="Arial"/>
          <w:bCs/>
          <w:kern w:val="44"/>
          <w:lang w:val="en-US" w:eastAsia="zh-CN"/>
        </w:rPr>
        <w:t>对于无户籍、无企业、无工作的“三无人员”已经出台限贷政策，对不能提供连续1年</w:t>
      </w:r>
      <w:r>
        <w:rPr>
          <w:rFonts w:hint="eastAsia" w:ascii="宋体" w:hAnsi="宋体" w:cs="宋体"/>
          <w:bCs/>
          <w:kern w:val="44"/>
          <w:lang w:val="en-US" w:eastAsia="zh-CN"/>
        </w:rPr>
        <w:t>“重庆纳税证明”或“社保缴费证明”的三无人员，银行不得对其发放住房按揭贷款，并且每年至少缴纳千分之五的房产税。</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val="en-US" w:eastAsia="zh-CN"/>
        </w:rPr>
      </w:pPr>
      <w:r>
        <w:rPr>
          <w:rFonts w:hint="eastAsia" w:ascii="宋体" w:hAnsi="宋体" w:cs="宋体"/>
          <w:bCs/>
          <w:kern w:val="44"/>
          <w:lang w:val="en-US" w:eastAsia="zh-CN"/>
        </w:rPr>
        <w:t>重庆主城区范围内（渝中区、江北区、沙坪坝区、九龙坡区、大渡口区、南岸区、北碚区、渝北区、巴南区、两江新区）新购买的新建商品住房和二手住房，须取得《不动产权证》满两年后才能上市交易。</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kern w:val="44"/>
          <w:lang w:val="en-US" w:eastAsia="zh-CN"/>
        </w:rPr>
      </w:pPr>
      <w:r>
        <w:rPr>
          <w:rFonts w:hint="eastAsia" w:ascii="Arial" w:hAnsi="Arial" w:cs="Arial"/>
          <w:bCs/>
          <w:kern w:val="44"/>
          <w:lang w:val="en-US" w:eastAsia="zh-CN"/>
        </w:rPr>
        <w:t>房管部门对房地产开发企业土地竞买资金来源进行审查，严禁利用银行贷款、债券融资、信托资金、保险资金等资金用于缴纳竞买保证金。</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kern w:val="44"/>
          <w:lang w:val="en-US" w:eastAsia="zh-CN"/>
        </w:rPr>
      </w:pPr>
      <w:r>
        <w:rPr>
          <w:rFonts w:hint="eastAsia" w:ascii="Arial" w:hAnsi="Arial" w:cs="Arial"/>
          <w:bCs/>
          <w:kern w:val="44"/>
          <w:lang w:val="en-US" w:eastAsia="zh-CN"/>
        </w:rPr>
        <w:t xml:space="preserve">金融机构对已拥有2套住房且相应购房贷款均未结清的居民家庭，继续暂停发放个人住房贷款。 </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kern w:val="44"/>
          <w:lang w:val="en-US" w:eastAsia="zh-CN"/>
        </w:rPr>
      </w:pPr>
      <w:r>
        <w:rPr>
          <w:rFonts w:hint="eastAsia" w:ascii="Arial" w:hAnsi="Arial" w:cs="Arial"/>
          <w:bCs/>
          <w:kern w:val="44"/>
          <w:lang w:val="en-US" w:eastAsia="zh-CN"/>
        </w:rPr>
        <w:t>房贷首套房首付比例为20%-30%，二套房首付比例为50%-70%，执行利率为基准利率的1.1倍。各地区首付比例会有差别。一手房按揭套次、实际按揭利率、按揭成数及按揭年限最终以银行审批为准（一般情况下：首套房贷，普通住房首付不低于30%，执行基准利率；二套房贷首付均不低于60%，执行基准利率上浮10%；三套房不准入）。</w:t>
      </w:r>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0"/>
        <w:rPr>
          <w:rFonts w:hint="default" w:ascii="宋体" w:hAnsi="宋体" w:eastAsia="宋体" w:cs="宋体"/>
          <w:b/>
          <w:bCs/>
          <w:kern w:val="44"/>
          <w:szCs w:val="24"/>
          <w:lang w:val="en-US" w:eastAsia="zh-CN" w:bidi="ar-SA"/>
        </w:rPr>
      </w:pPr>
      <w:bookmarkStart w:id="44" w:name="_Toc17896"/>
      <w:r>
        <w:rPr>
          <w:rFonts w:hint="default" w:ascii="Arial" w:hAnsi="Arial" w:eastAsia="宋体" w:cs="Arial"/>
          <w:sz w:val="24"/>
          <w:szCs w:val="24"/>
          <w:lang w:val="en-US" w:eastAsia="zh-CN"/>
        </w:rPr>
        <w:t>6.3</w:t>
      </w:r>
      <w:r>
        <w:rPr>
          <w:rFonts w:hint="eastAsia" w:ascii="宋体" w:hAnsi="宋体" w:eastAsia="宋体" w:cs="宋体"/>
          <w:sz w:val="24"/>
          <w:szCs w:val="24"/>
          <w:lang w:val="en-US" w:eastAsia="zh-CN"/>
        </w:rPr>
        <w:t>周边竞品项目情况</w:t>
      </w:r>
      <w:bookmarkEnd w:id="44"/>
    </w:p>
    <w:p>
      <w:pPr>
        <w:keepNext w:val="0"/>
        <w:keepLines w:val="0"/>
        <w:pageBreakBefore w:val="0"/>
        <w:widowControl w:val="0"/>
        <w:kinsoku/>
        <w:wordWrap/>
        <w:overflowPunct/>
        <w:topLinePunct w:val="0"/>
        <w:autoSpaceDE/>
        <w:autoSpaceDN/>
        <w:bidi w:val="0"/>
        <w:adjustRightInd/>
        <w:snapToGrid/>
        <w:spacing w:before="316" w:beforeLines="100" w:line="240" w:lineRule="auto"/>
        <w:ind w:firstLine="0" w:firstLineChars="0"/>
        <w:jc w:val="center"/>
        <w:textAlignment w:val="auto"/>
        <w:outlineLvl w:val="1"/>
        <w:rPr>
          <w:rFonts w:hint="default" w:ascii="Arial" w:hAnsi="Arial" w:eastAsia="宋体" w:cs="Arial"/>
          <w:b/>
          <w:bCs/>
          <w:sz w:val="24"/>
          <w:szCs w:val="32"/>
          <w:lang w:val="en-US" w:eastAsia="zh-CN"/>
        </w:rPr>
      </w:pPr>
      <w:bookmarkStart w:id="45" w:name="_Toc1260"/>
      <w:bookmarkStart w:id="46" w:name="_Toc19750"/>
      <w:r>
        <w:rPr>
          <w:rFonts w:hint="eastAsia" w:ascii="Arial" w:hAnsi="Arial" w:eastAsia="宋体" w:cs="Arial"/>
          <w:b/>
          <w:bCs/>
          <w:sz w:val="24"/>
          <w:szCs w:val="32"/>
          <w:lang w:val="en-US" w:eastAsia="zh-CN"/>
        </w:rPr>
        <w:t>周边主力竞品项目调研</w:t>
      </w:r>
      <w:bookmarkEnd w:id="45"/>
      <w:bookmarkEnd w:id="46"/>
    </w:p>
    <w:tbl>
      <w:tblPr>
        <w:tblStyle w:val="10"/>
        <w:tblW w:w="0" w:type="auto"/>
        <w:tblInd w:w="3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917"/>
        <w:gridCol w:w="7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blHeader/>
        </w:trPr>
        <w:tc>
          <w:tcPr>
            <w:tcW w:w="715" w:type="dxa"/>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bCs/>
                <w:color w:val="000000"/>
                <w:kern w:val="0"/>
                <w:sz w:val="18"/>
                <w:szCs w:val="18"/>
                <w:lang w:val="en-US" w:eastAsia="zh-CN"/>
              </w:rPr>
            </w:pPr>
            <w:r>
              <w:rPr>
                <w:rFonts w:hint="eastAsia" w:ascii="宋体" w:hAnsi="宋体" w:eastAsia="宋体" w:cs="宋体"/>
                <w:b/>
                <w:bCs/>
                <w:color w:val="000000"/>
                <w:kern w:val="0"/>
                <w:sz w:val="18"/>
                <w:szCs w:val="18"/>
                <w:lang w:val="en-US" w:eastAsia="zh-CN"/>
              </w:rPr>
              <w:t>序号</w:t>
            </w:r>
          </w:p>
        </w:tc>
        <w:tc>
          <w:tcPr>
            <w:tcW w:w="917" w:type="dxa"/>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bCs/>
                <w:color w:val="000000"/>
                <w:kern w:val="0"/>
                <w:sz w:val="18"/>
                <w:szCs w:val="18"/>
                <w:lang w:val="en-US" w:eastAsia="zh-CN"/>
              </w:rPr>
            </w:pPr>
            <w:r>
              <w:rPr>
                <w:rFonts w:hint="eastAsia" w:ascii="宋体" w:hAnsi="宋体" w:eastAsia="宋体" w:cs="宋体"/>
                <w:b/>
                <w:bCs/>
                <w:color w:val="000000"/>
                <w:kern w:val="0"/>
                <w:sz w:val="18"/>
                <w:szCs w:val="18"/>
                <w:lang w:val="en-US" w:eastAsia="zh-CN"/>
              </w:rPr>
              <w:t>项目</w:t>
            </w:r>
          </w:p>
        </w:tc>
        <w:tc>
          <w:tcPr>
            <w:tcW w:w="7183" w:type="dxa"/>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bCs/>
                <w:color w:val="000000"/>
                <w:kern w:val="0"/>
                <w:sz w:val="18"/>
                <w:szCs w:val="18"/>
                <w:lang w:val="en-US" w:eastAsia="zh-CN"/>
              </w:rPr>
            </w:pPr>
            <w:r>
              <w:rPr>
                <w:rFonts w:hint="eastAsia" w:ascii="宋体" w:hAnsi="宋体" w:eastAsia="宋体" w:cs="宋体"/>
                <w:b/>
                <w:bCs/>
                <w:color w:val="000000"/>
                <w:kern w:val="0"/>
                <w:sz w:val="18"/>
                <w:szCs w:val="18"/>
                <w:lang w:val="en-US" w:eastAsia="zh-CN"/>
              </w:rPr>
              <w:t>折扣体系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0" w:hRule="atLeast"/>
        </w:trPr>
        <w:tc>
          <w:tcPr>
            <w:tcW w:w="71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w:t>
            </w:r>
          </w:p>
        </w:tc>
        <w:tc>
          <w:tcPr>
            <w:tcW w:w="917"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印未来</w:t>
            </w:r>
          </w:p>
        </w:tc>
        <w:tc>
          <w:tcPr>
            <w:tcW w:w="7183" w:type="dxa"/>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2021年05月：认购72套，在售产品：洋房建面80-99㎡</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剩余货值均价：预计月底加推南区7号楼</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货量：已拿证未售余货0套，未拿证余货256套</w:t>
            </w:r>
          </w:p>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2021年0</w:t>
            </w:r>
            <w:r>
              <w:rPr>
                <w:rFonts w:hint="default" w:ascii="Arial" w:hAnsi="Arial" w:eastAsia="宋体" w:cs="Arial"/>
                <w:color w:val="000000"/>
                <w:kern w:val="0"/>
                <w:sz w:val="18"/>
                <w:szCs w:val="18"/>
                <w:lang w:val="en-US" w:eastAsia="zh-CN"/>
              </w:rPr>
              <w:t>5月29日新推平层洋房5号楼，1梯4户，9层（共72套），备案价销售，建面单价14186元㎡，去化72套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0" w:hRule="atLeast"/>
        </w:trPr>
        <w:tc>
          <w:tcPr>
            <w:tcW w:w="71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2</w:t>
            </w:r>
          </w:p>
        </w:tc>
        <w:tc>
          <w:tcPr>
            <w:tcW w:w="917"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rPr>
            </w:pPr>
            <w:r>
              <w:rPr>
                <w:rFonts w:hint="default" w:ascii="Arial" w:hAnsi="Arial" w:eastAsia="宋体" w:cs="Arial"/>
                <w:color w:val="000000"/>
                <w:kern w:val="0"/>
                <w:sz w:val="18"/>
                <w:szCs w:val="18"/>
                <w:lang w:val="en-US" w:eastAsia="zh-CN"/>
              </w:rPr>
              <w:t>博翠宸章</w:t>
            </w:r>
          </w:p>
        </w:tc>
        <w:tc>
          <w:tcPr>
            <w:tcW w:w="7183" w:type="dxa"/>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2021年05月：成交22套</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在售产品：洋房建面约 86-115㎡ ；别墅116-137㎡</w:t>
            </w:r>
          </w:p>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剩余货值均价：洋房15000元/㎡，别墅16000元/㎡</w:t>
            </w:r>
          </w:p>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货量：已拿证未售余货0套，未拿证余货440套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0" w:hRule="atLeast"/>
        </w:trPr>
        <w:tc>
          <w:tcPr>
            <w:tcW w:w="71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cs="Arial"/>
                <w:color w:val="000000"/>
                <w:kern w:val="0"/>
                <w:sz w:val="18"/>
                <w:szCs w:val="18"/>
                <w:lang w:val="en-US" w:eastAsia="zh-CN"/>
              </w:rPr>
            </w:pPr>
            <w:bookmarkStart w:id="47" w:name="_Toc532281663"/>
            <w:bookmarkStart w:id="48" w:name="_Toc16137"/>
            <w:bookmarkStart w:id="49" w:name="_Toc29745"/>
            <w:bookmarkStart w:id="50" w:name="_Toc535508642"/>
            <w:bookmarkStart w:id="51" w:name="_Toc535580097"/>
            <w:bookmarkStart w:id="52" w:name="_Toc535580029"/>
            <w:bookmarkStart w:id="53" w:name="_Toc535570756"/>
            <w:r>
              <w:rPr>
                <w:rFonts w:hint="eastAsia" w:ascii="Arial" w:hAnsi="Arial" w:cs="Arial"/>
                <w:color w:val="000000"/>
                <w:kern w:val="0"/>
                <w:sz w:val="18"/>
                <w:szCs w:val="18"/>
                <w:lang w:val="en-US" w:eastAsia="zh-CN"/>
              </w:rPr>
              <w:t>3</w:t>
            </w:r>
          </w:p>
        </w:tc>
        <w:tc>
          <w:tcPr>
            <w:tcW w:w="917"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rPr>
            </w:pPr>
            <w:r>
              <w:rPr>
                <w:rFonts w:hint="eastAsia" w:ascii="Arial" w:hAnsi="Arial" w:cs="Arial"/>
                <w:color w:val="000000"/>
                <w:kern w:val="0"/>
                <w:sz w:val="18"/>
                <w:szCs w:val="18"/>
                <w:lang w:val="en-US" w:eastAsia="zh-CN"/>
              </w:rPr>
              <w:t>金科天宸誉璟</w:t>
            </w:r>
          </w:p>
        </w:tc>
        <w:tc>
          <w:tcPr>
            <w:tcW w:w="7183" w:type="dxa"/>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2021年05月：成交21套，在售产品：洋房建面86-115㎡</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剩余货值均价：预计6月中旬加推洋墅1# 2#楼</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货量：已拿证未售余货72套，未拿证余货464套</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2021年05月29日新推平层洋房11、12号楼，1梯4户，7+1层（共112套），备案价销售，建面单价15700元㎡，去化约51套</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销售政策：分销1.5%、金科自渠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71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4</w:t>
            </w:r>
          </w:p>
        </w:tc>
        <w:tc>
          <w:tcPr>
            <w:tcW w:w="917"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rPr>
            </w:pPr>
            <w:r>
              <w:rPr>
                <w:rFonts w:hint="eastAsia" w:ascii="Arial" w:hAnsi="Arial" w:cs="Arial"/>
                <w:color w:val="000000"/>
                <w:kern w:val="0"/>
                <w:sz w:val="18"/>
                <w:szCs w:val="18"/>
                <w:lang w:val="en-US" w:eastAsia="zh-CN"/>
              </w:rPr>
              <w:t>龙湖学宸名著</w:t>
            </w:r>
          </w:p>
        </w:tc>
        <w:tc>
          <w:tcPr>
            <w:tcW w:w="7183" w:type="dxa"/>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2021年05月：推284套</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在售产品：洋房建面约 99-128㎡</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剩余货值均价：T4 14500-14900元/㎡ ；T2 15500-15800元/㎡</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货量：一期未拿证余货0套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5" w:hRule="atLeast"/>
        </w:trPr>
        <w:tc>
          <w:tcPr>
            <w:tcW w:w="71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5</w:t>
            </w:r>
          </w:p>
        </w:tc>
        <w:tc>
          <w:tcPr>
            <w:tcW w:w="917"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rPr>
            </w:pPr>
            <w:r>
              <w:rPr>
                <w:rFonts w:hint="eastAsia" w:ascii="Arial" w:hAnsi="Arial" w:cs="Arial"/>
                <w:color w:val="000000"/>
                <w:kern w:val="0"/>
                <w:sz w:val="18"/>
                <w:szCs w:val="18"/>
                <w:lang w:val="en-US" w:eastAsia="zh-CN"/>
              </w:rPr>
              <w:t>禹州博学家</w:t>
            </w:r>
          </w:p>
        </w:tc>
        <w:tc>
          <w:tcPr>
            <w:tcW w:w="7183" w:type="dxa"/>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2021年05月：成交38套</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在售产品：洋房建面约 76-115㎡</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剩余货值均价：洋房14000元/㎡；叠拼无报价</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货量：已拿证未售余货0套，一期未拿证余货358套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5" w:hRule="atLeast"/>
        </w:trPr>
        <w:tc>
          <w:tcPr>
            <w:tcW w:w="71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6</w:t>
            </w:r>
          </w:p>
        </w:tc>
        <w:tc>
          <w:tcPr>
            <w:tcW w:w="917"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rPr>
            </w:pPr>
            <w:r>
              <w:rPr>
                <w:rFonts w:hint="eastAsia" w:ascii="Arial" w:hAnsi="Arial" w:cs="Arial"/>
                <w:color w:val="000000"/>
                <w:kern w:val="0"/>
                <w:sz w:val="18"/>
                <w:szCs w:val="18"/>
                <w:lang w:val="en-US" w:eastAsia="zh-CN"/>
              </w:rPr>
              <w:t>花样年-霍克尼</w:t>
            </w:r>
          </w:p>
        </w:tc>
        <w:tc>
          <w:tcPr>
            <w:tcW w:w="7183" w:type="dxa"/>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基本资料：项目分为三期打造，目前蓄客一期。洋墅业态，建面126-139㎡，对外报总价190-250万，对外报价：15400元</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营销节点：05月30日召开产品发布会，并启动板块，冻资2万，不选房落位。06月05日示范区开放、预计6月11日项目首开，首开楼栋1、2、3、4、5号楼，合计168套</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销售政策：无分销、无渠道、备案价销售</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优势：自身配套相对完善，产品力强,赠送面积多、实地样板间</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劣势：城市界面差，交通配套不完善，区域无重大利好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71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7</w:t>
            </w:r>
          </w:p>
        </w:tc>
        <w:tc>
          <w:tcPr>
            <w:tcW w:w="917"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bidi="ar-SA"/>
              </w:rPr>
            </w:pPr>
            <w:r>
              <w:rPr>
                <w:rFonts w:hint="eastAsia" w:ascii="Arial" w:hAnsi="Arial" w:cs="Arial"/>
                <w:color w:val="000000"/>
                <w:kern w:val="0"/>
                <w:sz w:val="18"/>
                <w:szCs w:val="18"/>
                <w:lang w:val="en-US" w:eastAsia="zh-CN"/>
              </w:rPr>
              <w:t>佳兆业·晓岸云起</w:t>
            </w:r>
          </w:p>
        </w:tc>
        <w:tc>
          <w:tcPr>
            <w:tcW w:w="7183" w:type="dxa"/>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洋房产品：洋房79-99  洋墅120-144</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成交单价：洋房17121元/㎡、洋墅15302元㎡</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货量：已拿证未售洋房0套；洋墅2套（样板间+办公室）</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eastAsia="宋体" w:cs="Arial"/>
                <w:color w:val="000000"/>
                <w:kern w:val="0"/>
                <w:sz w:val="18"/>
                <w:szCs w:val="18"/>
                <w:lang w:val="en-US" w:eastAsia="zh-CN" w:bidi="ar-SA"/>
              </w:rPr>
            </w:pPr>
            <w:r>
              <w:rPr>
                <w:rFonts w:hint="eastAsia" w:ascii="Arial" w:hAnsi="Arial" w:cs="Arial"/>
                <w:color w:val="000000"/>
                <w:kern w:val="0"/>
                <w:sz w:val="18"/>
                <w:szCs w:val="18"/>
                <w:lang w:val="en-US" w:eastAsia="zh-CN"/>
              </w:rPr>
              <w:t>本年未拿证余货714套</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r>
        <w:rPr>
          <w:rFonts w:hint="default" w:ascii="Arial" w:hAnsi="Arial" w:eastAsia="宋体" w:cs="Arial"/>
          <w:sz w:val="24"/>
          <w:szCs w:val="24"/>
          <w:lang w:val="en-US" w:eastAsia="zh-CN"/>
        </w:rPr>
        <w:t>7</w:t>
      </w:r>
      <w:r>
        <w:rPr>
          <w:rFonts w:hint="eastAsia" w:ascii="宋体" w:hAnsi="宋体" w:eastAsia="宋体" w:cs="宋体"/>
          <w:sz w:val="24"/>
          <w:szCs w:val="24"/>
          <w:lang w:val="en-US" w:eastAsia="zh-CN"/>
        </w:rPr>
        <w:t>资金</w:t>
      </w:r>
      <w:bookmarkEnd w:id="38"/>
      <w:bookmarkEnd w:id="39"/>
      <w:bookmarkEnd w:id="47"/>
      <w:bookmarkStart w:id="54" w:name="_Toc535932782"/>
      <w:bookmarkStart w:id="55" w:name="_Toc535580098"/>
      <w:bookmarkStart w:id="56" w:name="_Toc535508643"/>
      <w:bookmarkStart w:id="57" w:name="_Toc535570757"/>
      <w:bookmarkStart w:id="58" w:name="_Toc535580030"/>
      <w:r>
        <w:rPr>
          <w:rFonts w:hint="eastAsia" w:ascii="宋体" w:hAnsi="宋体" w:eastAsia="宋体" w:cs="宋体"/>
          <w:sz w:val="24"/>
          <w:szCs w:val="24"/>
          <w:lang w:val="en-US" w:eastAsia="zh-CN"/>
        </w:rPr>
        <w:t>情况</w:t>
      </w:r>
      <w:bookmarkEnd w:id="48"/>
      <w:bookmarkEnd w:id="49"/>
    </w:p>
    <w:p>
      <w:pPr>
        <w:spacing w:line="480" w:lineRule="auto"/>
        <w:ind w:firstLine="420" w:firstLineChars="200"/>
        <w:contextualSpacing/>
        <w:rPr>
          <w:rFonts w:hint="default" w:ascii="Arial" w:hAnsi="Arial" w:cs="Arial"/>
          <w:bCs/>
          <w:kern w:val="44"/>
          <w:lang w:val="en-US" w:eastAsia="zh-CN"/>
        </w:rPr>
      </w:pPr>
      <w:r>
        <w:rPr>
          <w:rFonts w:hint="eastAsia" w:ascii="Arial" w:hAnsi="Arial" w:cs="Arial"/>
          <w:bCs/>
          <w:kern w:val="44"/>
          <w:lang w:val="en-US" w:eastAsia="zh-CN"/>
        </w:rPr>
        <w:t>上期项目公司监管账户资金余额合计34,634,538.76元，其中8996光大预售资金监管账户余额为4,040,864.86元，0828邮政按揭账户余额为7,192.93元，7471农商行按揭账户余额为1,504,060.33元，0475建行按揭账户余额为7,753.70元，8166光大专用户余额为6,098.94元，2452汉口银行按揭户账户余额为13,058,575.00元，2601汉口银行预售资金监管户余额为16,009,993.00元。</w:t>
      </w:r>
    </w:p>
    <w:p>
      <w:pPr>
        <w:spacing w:line="480" w:lineRule="auto"/>
        <w:ind w:firstLine="420" w:firstLineChars="200"/>
        <w:contextualSpacing/>
        <w:rPr>
          <w:rFonts w:hint="eastAsia" w:ascii="Arial" w:hAnsi="Arial" w:cs="Arial"/>
          <w:bCs/>
          <w:kern w:val="44"/>
          <w:lang w:val="en-US" w:eastAsia="zh-CN"/>
        </w:rPr>
      </w:pPr>
      <w:r>
        <w:rPr>
          <w:rFonts w:hint="eastAsia" w:ascii="Arial" w:hAnsi="Arial" w:cs="Arial"/>
          <w:bCs/>
          <w:kern w:val="44"/>
          <w:lang w:val="en-US" w:eastAsia="zh-CN"/>
        </w:rPr>
        <w:t>本期监管范围内资金流出总额合计264,439,804.91元，资金流入总额合计236,064,104.01元。截至2021年05月31日</w:t>
      </w:r>
      <w:bookmarkStart w:id="59" w:name="_Toc30328"/>
      <w:r>
        <w:rPr>
          <w:rFonts w:hint="eastAsia" w:ascii="Arial" w:hAnsi="Arial" w:cs="Arial"/>
          <w:bCs/>
          <w:kern w:val="44"/>
          <w:lang w:val="en-US" w:eastAsia="zh-CN"/>
        </w:rPr>
        <w:t>监管账户资金余额合计6,258,837.86元，其中8996光大预售资金监管账户余额为955,897.26元，0828邮政按揭账户余额为5,071.63元，7471农商行按揭账户余额为9,859.53元，0475建行按揭账户余额为1,854.29元，8166光大专用户余额为6,088.94元，2452汉口银行按揭户账户余额为6,177.14元，2601汉口银行预售资金监管户余额为5,273,889.07元，2204兴业银行按揭账户余额为0.00元。</w:t>
      </w: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Arial" w:hAnsi="Arial" w:eastAsia="宋体" w:cs="Arial"/>
          <w:b/>
          <w:sz w:val="24"/>
          <w:szCs w:val="24"/>
          <w:lang w:val="en-US" w:eastAsia="zh-CN"/>
        </w:rPr>
      </w:pPr>
      <w:bookmarkStart w:id="60" w:name="_Toc16906"/>
      <w:r>
        <w:rPr>
          <w:rFonts w:hint="default" w:ascii="Arial" w:hAnsi="Arial" w:eastAsia="宋体" w:cs="Arial"/>
          <w:b/>
          <w:sz w:val="24"/>
          <w:szCs w:val="24"/>
          <w:lang w:val="en-US" w:eastAsia="zh-CN"/>
        </w:rPr>
        <w:t>7.1</w:t>
      </w:r>
      <w:r>
        <w:rPr>
          <w:rFonts w:hint="eastAsia" w:ascii="Arial" w:hAnsi="Arial" w:eastAsia="宋体" w:cs="Arial"/>
          <w:b/>
          <w:sz w:val="24"/>
          <w:szCs w:val="24"/>
          <w:lang w:val="en-US" w:eastAsia="zh-CN"/>
        </w:rPr>
        <w:t>资金流出情况</w:t>
      </w:r>
      <w:bookmarkEnd w:id="59"/>
      <w:bookmarkEnd w:id="60"/>
    </w:p>
    <w:p>
      <w:pPr>
        <w:spacing w:line="480" w:lineRule="auto"/>
        <w:ind w:firstLine="420" w:firstLineChars="200"/>
        <w:rPr>
          <w:rFonts w:hint="default" w:ascii="Arial" w:hAnsi="Arial" w:cs="Arial"/>
          <w:bCs/>
          <w:kern w:val="44"/>
          <w:lang w:val="en-US" w:eastAsia="zh-CN"/>
        </w:rPr>
      </w:pPr>
      <w:bookmarkStart w:id="61" w:name="_Toc4698"/>
      <w:r>
        <w:rPr>
          <w:rFonts w:hint="eastAsia" w:ascii="Arial" w:hAnsi="Arial" w:cs="Arial"/>
          <w:bCs/>
          <w:kern w:val="44"/>
          <w:lang w:val="en-US" w:eastAsia="zh-CN"/>
        </w:rPr>
        <w:t>2021年05月01日至2021年05月31日监管范围内资金流出总额合计264,439,804.91元，其中8996光大银行预售资金监管账户资金流出合计3,430,068.60元，2601汉口银行预售资金监管账户资金流出合计61,050,000.00元，8166光大专用户资金流出合计10.00元，0828邮政按揭户资金流出合计5,630,121.30元，0475建行按揭户资金流出合计24,988,899.41元，7471农商行按揭户资金流出合计8,690,200.80元，2452汉口按揭户资金流出合计160,650,504.80元。</w:t>
      </w:r>
    </w:p>
    <w:p>
      <w:pPr>
        <w:keepNext w:val="0"/>
        <w:keepLines w:val="0"/>
        <w:pageBreakBefore w:val="0"/>
        <w:widowControl w:val="0"/>
        <w:kinsoku/>
        <w:wordWrap/>
        <w:overflowPunct/>
        <w:topLinePunct w:val="0"/>
        <w:autoSpaceDE/>
        <w:autoSpaceDN/>
        <w:bidi w:val="0"/>
        <w:adjustRightInd/>
        <w:snapToGrid/>
        <w:spacing w:before="316" w:beforeLines="100" w:line="240" w:lineRule="auto"/>
        <w:jc w:val="center"/>
        <w:textAlignment w:val="auto"/>
        <w:rPr>
          <w:rFonts w:hint="eastAsia" w:ascii="宋体" w:hAnsi="宋体" w:cs="宋体"/>
          <w:b/>
          <w:sz w:val="24"/>
          <w:szCs w:val="28"/>
        </w:rPr>
      </w:pPr>
      <w:r>
        <w:rPr>
          <w:rFonts w:hint="eastAsia" w:ascii="Arial" w:hAnsi="Arial" w:cs="Arial"/>
          <w:b/>
          <w:sz w:val="24"/>
          <w:szCs w:val="28"/>
        </w:rPr>
        <w:t>本期监管范围</w:t>
      </w:r>
      <w:r>
        <w:rPr>
          <w:rFonts w:hint="eastAsia" w:ascii="Arial" w:hAnsi="Arial" w:cs="Arial"/>
          <w:b/>
          <w:sz w:val="24"/>
          <w:szCs w:val="28"/>
          <w:lang w:val="en-US" w:eastAsia="zh-CN"/>
        </w:rPr>
        <w:t>内</w:t>
      </w:r>
      <w:r>
        <w:rPr>
          <w:rFonts w:ascii="Arial" w:hAnsi="Arial" w:cs="Arial"/>
          <w:b/>
          <w:sz w:val="24"/>
          <w:szCs w:val="28"/>
        </w:rPr>
        <w:t>资金流出明细表</w:t>
      </w:r>
    </w:p>
    <w:tbl>
      <w:tblPr>
        <w:tblStyle w:val="9"/>
        <w:tblW w:w="9248" w:type="dxa"/>
        <w:tblInd w:w="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68"/>
        <w:gridCol w:w="1828"/>
        <w:gridCol w:w="1464"/>
        <w:gridCol w:w="2218"/>
        <w:gridCol w:w="1104"/>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8" w:hRule="atLeast"/>
          <w:tblHeader/>
        </w:trPr>
        <w:tc>
          <w:tcPr>
            <w:tcW w:w="1068" w:type="dxa"/>
            <w:vAlign w:val="center"/>
          </w:tcPr>
          <w:p>
            <w:pPr>
              <w:widowControl/>
              <w:jc w:val="center"/>
              <w:textAlignment w:val="center"/>
              <w:rPr>
                <w:rFonts w:ascii="Arial" w:hAnsi="Arial" w:cs="Arial"/>
                <w:b/>
                <w:sz w:val="18"/>
                <w:szCs w:val="18"/>
              </w:rPr>
            </w:pPr>
            <w:r>
              <w:rPr>
                <w:rFonts w:hint="eastAsia" w:ascii="Arial" w:hAnsi="Arial" w:cs="Arial"/>
                <w:b/>
                <w:sz w:val="18"/>
                <w:szCs w:val="18"/>
              </w:rPr>
              <w:t>支付</w:t>
            </w:r>
            <w:r>
              <w:rPr>
                <w:rFonts w:ascii="Arial" w:hAnsi="Arial" w:cs="Arial"/>
                <w:b/>
                <w:sz w:val="18"/>
                <w:szCs w:val="18"/>
              </w:rPr>
              <w:t>日期</w:t>
            </w:r>
          </w:p>
        </w:tc>
        <w:tc>
          <w:tcPr>
            <w:tcW w:w="1828" w:type="dxa"/>
            <w:vAlign w:val="center"/>
          </w:tcPr>
          <w:p>
            <w:pPr>
              <w:widowControl/>
              <w:jc w:val="center"/>
              <w:textAlignment w:val="center"/>
              <w:rPr>
                <w:rFonts w:ascii="Arial" w:hAnsi="Arial" w:cs="Arial"/>
                <w:b/>
                <w:sz w:val="18"/>
                <w:szCs w:val="18"/>
              </w:rPr>
            </w:pPr>
            <w:r>
              <w:rPr>
                <w:rFonts w:ascii="Arial" w:hAnsi="Arial" w:cs="Arial"/>
                <w:b/>
                <w:sz w:val="18"/>
                <w:szCs w:val="18"/>
              </w:rPr>
              <w:t>资金用途</w:t>
            </w:r>
          </w:p>
        </w:tc>
        <w:tc>
          <w:tcPr>
            <w:tcW w:w="1464" w:type="dxa"/>
            <w:vAlign w:val="center"/>
          </w:tcPr>
          <w:p>
            <w:pPr>
              <w:widowControl/>
              <w:jc w:val="center"/>
              <w:textAlignment w:val="center"/>
              <w:rPr>
                <w:rFonts w:ascii="Arial" w:hAnsi="Arial" w:cs="Arial"/>
                <w:b/>
                <w:sz w:val="18"/>
                <w:szCs w:val="18"/>
              </w:rPr>
            </w:pPr>
            <w:r>
              <w:rPr>
                <w:rFonts w:ascii="Arial" w:hAnsi="Arial" w:cs="Arial"/>
                <w:b/>
                <w:sz w:val="18"/>
                <w:szCs w:val="18"/>
              </w:rPr>
              <w:t>金额（元）</w:t>
            </w:r>
          </w:p>
        </w:tc>
        <w:tc>
          <w:tcPr>
            <w:tcW w:w="2218" w:type="dxa"/>
            <w:vAlign w:val="center"/>
          </w:tcPr>
          <w:p>
            <w:pPr>
              <w:widowControl/>
              <w:jc w:val="center"/>
              <w:textAlignment w:val="center"/>
              <w:rPr>
                <w:rFonts w:ascii="Arial" w:hAnsi="Arial" w:cs="Arial"/>
                <w:b/>
                <w:sz w:val="18"/>
                <w:szCs w:val="18"/>
              </w:rPr>
            </w:pPr>
            <w:r>
              <w:rPr>
                <w:rFonts w:ascii="Arial" w:hAnsi="Arial" w:cs="Arial"/>
                <w:b/>
                <w:sz w:val="18"/>
                <w:szCs w:val="18"/>
              </w:rPr>
              <w:t>收款方</w:t>
            </w:r>
          </w:p>
        </w:tc>
        <w:tc>
          <w:tcPr>
            <w:tcW w:w="1104" w:type="dxa"/>
            <w:vAlign w:val="center"/>
          </w:tcPr>
          <w:p>
            <w:pPr>
              <w:widowControl/>
              <w:jc w:val="center"/>
              <w:textAlignment w:val="center"/>
              <w:rPr>
                <w:rFonts w:ascii="Arial" w:hAnsi="Arial" w:cs="Arial"/>
                <w:b/>
                <w:sz w:val="18"/>
                <w:szCs w:val="18"/>
              </w:rPr>
            </w:pPr>
            <w:r>
              <w:rPr>
                <w:rFonts w:ascii="Arial" w:hAnsi="Arial" w:cs="Arial"/>
                <w:b/>
                <w:sz w:val="18"/>
                <w:szCs w:val="18"/>
              </w:rPr>
              <w:t>用款类型</w:t>
            </w:r>
          </w:p>
        </w:tc>
        <w:tc>
          <w:tcPr>
            <w:tcW w:w="1566" w:type="dxa"/>
            <w:vAlign w:val="center"/>
          </w:tcPr>
          <w:p>
            <w:pPr>
              <w:widowControl/>
              <w:jc w:val="center"/>
              <w:textAlignment w:val="center"/>
              <w:rPr>
                <w:rFonts w:hint="eastAsia" w:ascii="Arial" w:hAnsi="Arial" w:cs="Arial"/>
                <w:b/>
                <w:sz w:val="18"/>
                <w:szCs w:val="18"/>
              </w:rPr>
            </w:pPr>
            <w:r>
              <w:rPr>
                <w:rFonts w:hint="eastAsia" w:ascii="Arial" w:hAnsi="Arial" w:cs="Arial"/>
                <w:b/>
                <w:sz w:val="18"/>
                <w:szCs w:val="18"/>
              </w:rPr>
              <w:t>流出账户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1" w:hRule="atLeast"/>
        </w:trPr>
        <w:tc>
          <w:tcPr>
            <w:tcW w:w="106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2021/05/04</w:t>
            </w:r>
          </w:p>
        </w:tc>
        <w:tc>
          <w:tcPr>
            <w:tcW w:w="1828"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短信通服务费</w:t>
            </w:r>
          </w:p>
        </w:tc>
        <w:tc>
          <w:tcPr>
            <w:tcW w:w="1464"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10.00 </w:t>
            </w:r>
          </w:p>
        </w:tc>
        <w:tc>
          <w:tcPr>
            <w:tcW w:w="221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短信通知手续费收入（对公）</w:t>
            </w:r>
          </w:p>
        </w:tc>
        <w:tc>
          <w:tcPr>
            <w:tcW w:w="1104"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8166光大专用户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1"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2021/05/06</w:t>
            </w:r>
          </w:p>
        </w:tc>
        <w:tc>
          <w:tcPr>
            <w:tcW w:w="182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w:t>
            </w:r>
          </w:p>
        </w:tc>
        <w:tc>
          <w:tcPr>
            <w:tcW w:w="221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4"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2021/05/06</w:t>
            </w:r>
          </w:p>
        </w:tc>
        <w:tc>
          <w:tcPr>
            <w:tcW w:w="182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283.33</w:t>
            </w:r>
          </w:p>
        </w:tc>
        <w:tc>
          <w:tcPr>
            <w:tcW w:w="2218"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p>
        </w:tc>
        <w:tc>
          <w:tcPr>
            <w:tcW w:w="1104"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2"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2021/05/10</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备付其他项目工程款</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5,240,000.00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一号仓材料（深圳）有限公司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2021/05/10</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104.80 </w:t>
            </w:r>
          </w:p>
        </w:tc>
        <w:tc>
          <w:tcPr>
            <w:tcW w:w="221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2021/05/12</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往来款</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2,910,000.00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重庆渝煌达实业有限公司（2452汉口按揭户）</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2021/05/12</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58.20 </w:t>
            </w:r>
          </w:p>
        </w:tc>
        <w:tc>
          <w:tcPr>
            <w:tcW w:w="221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2021/05/12</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往来款</w:t>
            </w:r>
          </w:p>
        </w:tc>
        <w:tc>
          <w:tcPr>
            <w:tcW w:w="1464"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3,370,000.00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重庆渝煌达实业有限公司(2452汉口按揭户)</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4"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2021/05/12</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67.40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重庆渝煌达实业有限公司(2452汉口按揭户)</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2"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2021/05/14</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备付其他项目相关款项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22,000,000.00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一号仓材料（深圳）有限公司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3"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2021/05/14</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200.00 </w:t>
            </w:r>
          </w:p>
        </w:tc>
        <w:tc>
          <w:tcPr>
            <w:tcW w:w="221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2"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2021/05/16</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短信通费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20.00 </w:t>
            </w:r>
          </w:p>
        </w:tc>
        <w:tc>
          <w:tcPr>
            <w:tcW w:w="221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8"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2021/05/17</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保证金开户</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11,000,000.00 </w:t>
            </w:r>
          </w:p>
        </w:tc>
        <w:tc>
          <w:tcPr>
            <w:tcW w:w="221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2021/05/18</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保证金开户</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3,900,000.00 </w:t>
            </w:r>
          </w:p>
        </w:tc>
        <w:tc>
          <w:tcPr>
            <w:tcW w:w="221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5"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2021/05/18</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存汉口银行融资还款保证金</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14,900,000.00 </w:t>
            </w:r>
          </w:p>
        </w:tc>
        <w:tc>
          <w:tcPr>
            <w:tcW w:w="221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汉口银行保证金</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（重庆渝煌达实业有限公司-4045账户）</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2"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2021/05/18</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工程款</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995,722.25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重庆华硕建设有限公司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2021/05/18</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工程款</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1,004,277.75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重庆华硕建设有限公司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8"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2021/05/20</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备付晓岸云起契税及税费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5,150,000.00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重庆渝煌达实业有限公司（0911建行基本户）</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2021/05/20</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39.60 </w:t>
            </w:r>
          </w:p>
        </w:tc>
        <w:tc>
          <w:tcPr>
            <w:tcW w:w="221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2021/05/20</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备付晓岸云起契税及税费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1,980,000.00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重庆渝煌达实业有限公司（0911建行基本户）</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2021/05/20</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68.60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电子汇划费收入(对公)</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2021/05/20</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备付晓岸云起契税及税费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3,430,000.00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一号仓材料（深圳）有限公司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2021/05/21</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支付外包人员工资</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68,615.28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重庆市佳兆业物业管理有限公司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管理费用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2021/05/21</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商品房预售资金监管拨付</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20,370,000.00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(2452汉口按揭户)</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2021/05/21</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商品房预售资金监管拨付</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12,210,000.00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(2452汉口按揭户)</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2021/05/21</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商品房预售资金监管拨付</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28,470,000.00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(2452汉口按揭户)</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2021/05/21</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存汉口银行融资还款保证金</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62,380,000.00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汉口银行保证金（重庆渝煌达实业有限公司-4045账户）</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2021/05/25</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现金管理业务手续费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3.50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集团客户现金管理收入</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2021/05/26</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退款保证金</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重庆紫东建设工程（集团）有限公司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2021/05/28</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备付其他项目工程款</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740,000.00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四川佳兆业置业有限公司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2021/05/28</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20.00 </w:t>
            </w:r>
          </w:p>
        </w:tc>
        <w:tc>
          <w:tcPr>
            <w:tcW w:w="221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2021/05/28</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备付其他项目工程款</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4,670,000.00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四川佳兆业置业有限公司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2021/05/28</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93.40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四川佳兆业置业有限公司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2021/05/28</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备付其他项目工程款</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10,660,000.00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四川佳兆业置业有限公司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06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2021/05/28</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200.00 </w:t>
            </w:r>
          </w:p>
        </w:tc>
        <w:tc>
          <w:tcPr>
            <w:tcW w:w="221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2021/05/28</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往来款</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41,230,000.00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一号仓材料（深圳）有限公司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06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2021/05/31</w:t>
            </w:r>
          </w:p>
        </w:tc>
        <w:tc>
          <w:tcPr>
            <w:tcW w:w="182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手续费</w:t>
            </w:r>
          </w:p>
        </w:tc>
        <w:tc>
          <w:tcPr>
            <w:tcW w:w="1464"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20.00 </w:t>
            </w:r>
          </w:p>
        </w:tc>
        <w:tc>
          <w:tcPr>
            <w:tcW w:w="221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四川佳兆业置业有限公司</w:t>
            </w:r>
          </w:p>
        </w:tc>
        <w:tc>
          <w:tcPr>
            <w:tcW w:w="1104"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06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2021/05/31</w:t>
            </w:r>
          </w:p>
        </w:tc>
        <w:tc>
          <w:tcPr>
            <w:tcW w:w="182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备付其他项目工程款</w:t>
            </w:r>
          </w:p>
        </w:tc>
        <w:tc>
          <w:tcPr>
            <w:tcW w:w="1464"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650,000.00 </w:t>
            </w:r>
          </w:p>
        </w:tc>
        <w:tc>
          <w:tcPr>
            <w:tcW w:w="221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四川佳兆业置业有限公司</w:t>
            </w:r>
          </w:p>
        </w:tc>
        <w:tc>
          <w:tcPr>
            <w:tcW w:w="1104"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06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2021/05/31</w:t>
            </w:r>
          </w:p>
        </w:tc>
        <w:tc>
          <w:tcPr>
            <w:tcW w:w="182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备付其他项目工程款</w:t>
            </w:r>
          </w:p>
        </w:tc>
        <w:tc>
          <w:tcPr>
            <w:tcW w:w="1464"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7,090,000.00 </w:t>
            </w:r>
          </w:p>
        </w:tc>
        <w:tc>
          <w:tcPr>
            <w:tcW w:w="221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四川佳兆业置业有限公司</w:t>
            </w:r>
          </w:p>
        </w:tc>
        <w:tc>
          <w:tcPr>
            <w:tcW w:w="1104"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1" w:hRule="atLeast"/>
        </w:trPr>
        <w:tc>
          <w:tcPr>
            <w:tcW w:w="2896" w:type="dxa"/>
            <w:gridSpan w:val="2"/>
            <w:vAlign w:val="center"/>
          </w:tcPr>
          <w:p>
            <w:pPr>
              <w:widowControl/>
              <w:jc w:val="center"/>
              <w:rPr>
                <w:rFonts w:hint="default" w:ascii="Arial" w:hAnsi="Arial" w:cs="Arial"/>
                <w:b/>
                <w:bCs w:val="0"/>
                <w:sz w:val="18"/>
                <w:szCs w:val="18"/>
                <w:lang w:val="en-US" w:eastAsia="zh-CN"/>
              </w:rPr>
            </w:pPr>
            <w:r>
              <w:rPr>
                <w:rFonts w:hint="eastAsia" w:ascii="Arial" w:hAnsi="Arial" w:cs="Arial"/>
                <w:b/>
                <w:bCs w:val="0"/>
                <w:sz w:val="18"/>
                <w:szCs w:val="18"/>
                <w:lang w:val="en-US" w:eastAsia="zh-CN"/>
              </w:rPr>
              <w:t>合计</w:t>
            </w:r>
          </w:p>
        </w:tc>
        <w:tc>
          <w:tcPr>
            <w:tcW w:w="1464" w:type="dxa"/>
            <w:vAlign w:val="center"/>
          </w:tcPr>
          <w:p>
            <w:pPr>
              <w:widowControl/>
              <w:jc w:val="right"/>
              <w:rPr>
                <w:rFonts w:hint="default" w:ascii="Arial" w:hAnsi="Arial" w:cs="Arial"/>
                <w:b/>
                <w:bCs w:val="0"/>
                <w:sz w:val="18"/>
                <w:szCs w:val="18"/>
                <w:lang w:val="en-US" w:eastAsia="zh-CN"/>
              </w:rPr>
            </w:pPr>
            <w:r>
              <w:rPr>
                <w:rFonts w:hint="eastAsia" w:ascii="Arial" w:hAnsi="Arial" w:cs="Arial"/>
                <w:b/>
                <w:bCs w:val="0"/>
                <w:sz w:val="18"/>
                <w:szCs w:val="18"/>
                <w:lang w:val="en-US" w:eastAsia="zh-CN"/>
              </w:rPr>
              <w:t>264,439,804.91</w:t>
            </w:r>
          </w:p>
        </w:tc>
        <w:tc>
          <w:tcPr>
            <w:tcW w:w="2218" w:type="dxa"/>
            <w:vAlign w:val="bottom"/>
          </w:tcPr>
          <w:p>
            <w:pPr>
              <w:widowControl/>
              <w:jc w:val="center"/>
              <w:rPr>
                <w:rFonts w:hint="eastAsia" w:ascii="Arial" w:hAnsi="Arial" w:cs="Arial"/>
                <w:bCs/>
                <w:sz w:val="18"/>
                <w:szCs w:val="18"/>
                <w:lang w:val="en-US" w:eastAsia="zh-CN"/>
              </w:rPr>
            </w:pPr>
          </w:p>
        </w:tc>
        <w:tc>
          <w:tcPr>
            <w:tcW w:w="1104" w:type="dxa"/>
            <w:vAlign w:val="center"/>
          </w:tcPr>
          <w:p>
            <w:pPr>
              <w:widowControl/>
              <w:jc w:val="center"/>
              <w:rPr>
                <w:rFonts w:hint="eastAsia" w:ascii="Arial" w:hAnsi="Arial" w:cs="Arial"/>
                <w:bCs/>
                <w:sz w:val="18"/>
                <w:szCs w:val="18"/>
                <w:lang w:val="en-US" w:eastAsia="zh-CN"/>
              </w:rPr>
            </w:pPr>
          </w:p>
        </w:tc>
        <w:tc>
          <w:tcPr>
            <w:tcW w:w="1566" w:type="dxa"/>
            <w:vAlign w:val="center"/>
          </w:tcPr>
          <w:p>
            <w:pPr>
              <w:widowControl/>
              <w:jc w:val="center"/>
              <w:rPr>
                <w:rFonts w:hint="eastAsia" w:ascii="Arial" w:hAnsi="Arial" w:cs="Arial"/>
                <w:bCs/>
                <w:sz w:val="18"/>
                <w:szCs w:val="18"/>
                <w:lang w:val="en-US" w:eastAsia="zh-CN"/>
              </w:rPr>
            </w:pPr>
          </w:p>
        </w:tc>
      </w:tr>
    </w:tbl>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Arial" w:hAnsi="Arial" w:eastAsia="宋体" w:cs="Arial"/>
          <w:b/>
          <w:sz w:val="24"/>
          <w:szCs w:val="24"/>
          <w:lang w:val="en-US" w:eastAsia="zh-CN"/>
        </w:rPr>
      </w:pPr>
      <w:bookmarkStart w:id="62" w:name="_Toc13138"/>
      <w:r>
        <w:rPr>
          <w:rFonts w:hint="default" w:ascii="Arial" w:hAnsi="Arial" w:eastAsia="宋体" w:cs="Arial"/>
          <w:b/>
          <w:sz w:val="24"/>
          <w:szCs w:val="24"/>
          <w:lang w:val="en-US" w:eastAsia="zh-CN"/>
        </w:rPr>
        <w:t>7.2</w:t>
      </w:r>
      <w:r>
        <w:rPr>
          <w:rFonts w:hint="eastAsia" w:ascii="Arial" w:hAnsi="Arial" w:eastAsia="宋体" w:cs="Arial"/>
          <w:b/>
          <w:sz w:val="24"/>
          <w:szCs w:val="24"/>
          <w:lang w:val="en-US" w:eastAsia="zh-CN"/>
        </w:rPr>
        <w:t>资金流入情况</w:t>
      </w:r>
      <w:bookmarkEnd w:id="54"/>
      <w:bookmarkEnd w:id="55"/>
      <w:bookmarkEnd w:id="56"/>
      <w:bookmarkEnd w:id="57"/>
      <w:bookmarkEnd w:id="58"/>
      <w:bookmarkEnd w:id="61"/>
      <w:bookmarkEnd w:id="62"/>
      <w:bookmarkStart w:id="63" w:name="_Toc23703"/>
    </w:p>
    <w:p>
      <w:pPr>
        <w:keepNext w:val="0"/>
        <w:keepLines w:val="0"/>
        <w:pageBreakBefore w:val="0"/>
        <w:widowControl w:val="0"/>
        <w:kinsoku/>
        <w:wordWrap/>
        <w:overflowPunct/>
        <w:topLinePunct w:val="0"/>
        <w:autoSpaceDE/>
        <w:autoSpaceDN/>
        <w:bidi w:val="0"/>
        <w:adjustRightInd/>
        <w:snapToGrid/>
        <w:spacing w:before="316" w:beforeLines="100" w:line="480" w:lineRule="auto"/>
        <w:ind w:firstLine="420" w:firstLineChars="200"/>
        <w:textAlignment w:val="auto"/>
        <w:rPr>
          <w:rFonts w:hint="eastAsia" w:ascii="Arial" w:hAnsi="Arial" w:eastAsia="宋体" w:cs="Arial"/>
          <w:b/>
          <w:sz w:val="24"/>
          <w:szCs w:val="28"/>
          <w:lang w:val="en-US" w:eastAsia="zh-CN"/>
        </w:rPr>
      </w:pPr>
      <w:r>
        <w:rPr>
          <w:rFonts w:ascii="Arial" w:hAnsi="Arial" w:cs="Arial"/>
          <w:bCs/>
          <w:kern w:val="44"/>
        </w:rPr>
        <w:t>20</w:t>
      </w:r>
      <w:r>
        <w:rPr>
          <w:rFonts w:hint="eastAsia" w:ascii="Arial" w:hAnsi="Arial" w:cs="Arial"/>
          <w:bCs/>
          <w:kern w:val="44"/>
          <w:lang w:val="en-US" w:eastAsia="zh-CN"/>
        </w:rPr>
        <w:t>21</w:t>
      </w:r>
      <w:r>
        <w:rPr>
          <w:rFonts w:ascii="Arial" w:hAnsi="Arial" w:cs="Arial"/>
          <w:bCs/>
          <w:kern w:val="44"/>
        </w:rPr>
        <w:t>年</w:t>
      </w:r>
      <w:r>
        <w:rPr>
          <w:rFonts w:hint="eastAsia" w:ascii="Arial" w:hAnsi="Arial" w:cs="Arial"/>
          <w:bCs/>
          <w:kern w:val="44"/>
          <w:lang w:val="en-US" w:eastAsia="zh-CN"/>
        </w:rPr>
        <w:t>05</w:t>
      </w:r>
      <w:r>
        <w:rPr>
          <w:rFonts w:ascii="Arial" w:hAnsi="Arial" w:cs="Arial"/>
          <w:bCs/>
          <w:kern w:val="44"/>
        </w:rPr>
        <w:t>月</w:t>
      </w:r>
      <w:r>
        <w:rPr>
          <w:rFonts w:hint="eastAsia" w:ascii="Arial" w:hAnsi="Arial" w:cs="Arial"/>
          <w:bCs/>
          <w:kern w:val="44"/>
          <w:lang w:val="en-US" w:eastAsia="zh-CN"/>
        </w:rPr>
        <w:t>0</w:t>
      </w:r>
      <w:r>
        <w:rPr>
          <w:rFonts w:hint="eastAsia" w:ascii="Arial" w:hAnsi="Arial" w:cs="Arial"/>
          <w:bCs/>
          <w:kern w:val="44"/>
        </w:rPr>
        <w:t>1</w:t>
      </w:r>
      <w:r>
        <w:rPr>
          <w:rFonts w:ascii="Arial" w:hAnsi="Arial" w:cs="Arial"/>
          <w:bCs/>
          <w:kern w:val="44"/>
        </w:rPr>
        <w:t>日至202</w:t>
      </w:r>
      <w:r>
        <w:rPr>
          <w:rFonts w:hint="eastAsia" w:ascii="Arial" w:hAnsi="Arial" w:cs="Arial"/>
          <w:bCs/>
          <w:kern w:val="44"/>
          <w:lang w:val="en-US" w:eastAsia="zh-CN"/>
        </w:rPr>
        <w:t>1</w:t>
      </w:r>
      <w:r>
        <w:rPr>
          <w:rFonts w:ascii="Arial" w:hAnsi="Arial" w:cs="Arial"/>
          <w:bCs/>
          <w:kern w:val="44"/>
        </w:rPr>
        <w:t>年</w:t>
      </w:r>
      <w:r>
        <w:rPr>
          <w:rFonts w:hint="eastAsia" w:ascii="Arial" w:hAnsi="Arial" w:cs="Arial"/>
          <w:bCs/>
          <w:kern w:val="44"/>
          <w:lang w:val="en-US" w:eastAsia="zh-CN"/>
        </w:rPr>
        <w:t>05月31日监管范围内资金流入合计236,064,104.01元，其中8996光大银行预售资金监管账户资金流入合计345,101.00元，2601汉口银行预售资金监管账户资金流入合计50,313,896.07元，0828邮政按揭户资金流入合计5,628,000.00元，0475建行按揭户资金流入合计24,983,000.00元，7471农商行按揭户资金流入合计7,196,000.00元，2452汉口按揭户资金流入合计147,598,106.94元。</w:t>
      </w:r>
    </w:p>
    <w:p>
      <w:pPr>
        <w:keepNext w:val="0"/>
        <w:keepLines w:val="0"/>
        <w:pageBreakBefore w:val="0"/>
        <w:widowControl w:val="0"/>
        <w:kinsoku/>
        <w:wordWrap/>
        <w:overflowPunct/>
        <w:topLinePunct w:val="0"/>
        <w:autoSpaceDE/>
        <w:autoSpaceDN/>
        <w:bidi w:val="0"/>
        <w:adjustRightInd/>
        <w:snapToGrid/>
        <w:spacing w:before="316" w:beforeLines="100" w:line="240" w:lineRule="auto"/>
        <w:jc w:val="center"/>
        <w:textAlignment w:val="auto"/>
        <w:rPr>
          <w:rFonts w:ascii="Arial" w:hAnsi="Arial" w:cs="Arial"/>
          <w:b/>
          <w:sz w:val="24"/>
          <w:szCs w:val="28"/>
        </w:rPr>
      </w:pPr>
      <w:r>
        <w:rPr>
          <w:rFonts w:hint="eastAsia" w:ascii="Arial" w:hAnsi="Arial" w:cs="Arial"/>
          <w:b/>
          <w:sz w:val="24"/>
          <w:szCs w:val="28"/>
        </w:rPr>
        <w:t>本期监管范围</w:t>
      </w:r>
      <w:r>
        <w:rPr>
          <w:rFonts w:hint="eastAsia" w:ascii="Arial" w:hAnsi="Arial" w:cs="Arial"/>
          <w:b/>
          <w:sz w:val="24"/>
          <w:szCs w:val="28"/>
          <w:lang w:val="en-US" w:eastAsia="zh-CN"/>
        </w:rPr>
        <w:t>内</w:t>
      </w:r>
      <w:r>
        <w:rPr>
          <w:rFonts w:ascii="Arial" w:hAnsi="Arial" w:cs="Arial"/>
          <w:b/>
          <w:sz w:val="24"/>
          <w:szCs w:val="28"/>
        </w:rPr>
        <w:t>资金</w:t>
      </w:r>
      <w:r>
        <w:rPr>
          <w:rFonts w:hint="eastAsia" w:ascii="Arial" w:hAnsi="Arial" w:cs="Arial"/>
          <w:b/>
          <w:sz w:val="24"/>
          <w:szCs w:val="28"/>
        </w:rPr>
        <w:t>流入</w:t>
      </w:r>
      <w:r>
        <w:rPr>
          <w:rFonts w:ascii="Arial" w:hAnsi="Arial" w:cs="Arial"/>
          <w:b/>
          <w:sz w:val="24"/>
          <w:szCs w:val="28"/>
        </w:rPr>
        <w:t>明细表</w:t>
      </w:r>
    </w:p>
    <w:tbl>
      <w:tblPr>
        <w:tblStyle w:val="9"/>
        <w:tblW w:w="9222" w:type="dxa"/>
        <w:tblInd w:w="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233"/>
        <w:gridCol w:w="1385"/>
        <w:gridCol w:w="1743"/>
        <w:gridCol w:w="3205"/>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2" w:hRule="atLeast"/>
          <w:tblHeader/>
        </w:trPr>
        <w:tc>
          <w:tcPr>
            <w:tcW w:w="1233" w:type="dxa"/>
            <w:vAlign w:val="center"/>
          </w:tcPr>
          <w:p>
            <w:pPr>
              <w:widowControl/>
              <w:jc w:val="center"/>
              <w:textAlignment w:val="center"/>
              <w:rPr>
                <w:rFonts w:ascii="Arial" w:hAnsi="Arial" w:cs="Arial"/>
                <w:b/>
                <w:sz w:val="18"/>
                <w:szCs w:val="18"/>
              </w:rPr>
            </w:pPr>
            <w:r>
              <w:rPr>
                <w:rFonts w:hint="eastAsia" w:ascii="Arial" w:hAnsi="Arial" w:cs="Arial"/>
                <w:b/>
                <w:sz w:val="18"/>
                <w:szCs w:val="18"/>
              </w:rPr>
              <w:t>收款</w:t>
            </w:r>
            <w:r>
              <w:rPr>
                <w:rFonts w:ascii="Arial" w:hAnsi="Arial" w:cs="Arial"/>
                <w:b/>
                <w:sz w:val="18"/>
                <w:szCs w:val="18"/>
              </w:rPr>
              <w:t>日期</w:t>
            </w:r>
          </w:p>
        </w:tc>
        <w:tc>
          <w:tcPr>
            <w:tcW w:w="1385" w:type="dxa"/>
            <w:vAlign w:val="center"/>
          </w:tcPr>
          <w:p>
            <w:pPr>
              <w:widowControl/>
              <w:jc w:val="center"/>
              <w:textAlignment w:val="center"/>
              <w:rPr>
                <w:rFonts w:ascii="Arial" w:hAnsi="Arial" w:cs="Arial"/>
                <w:b/>
                <w:sz w:val="18"/>
                <w:szCs w:val="18"/>
              </w:rPr>
            </w:pPr>
            <w:r>
              <w:rPr>
                <w:rFonts w:ascii="Arial" w:hAnsi="Arial" w:cs="Arial"/>
                <w:b/>
                <w:sz w:val="18"/>
                <w:szCs w:val="18"/>
              </w:rPr>
              <w:t>资金用途</w:t>
            </w:r>
          </w:p>
        </w:tc>
        <w:tc>
          <w:tcPr>
            <w:tcW w:w="1743" w:type="dxa"/>
            <w:vAlign w:val="center"/>
          </w:tcPr>
          <w:p>
            <w:pPr>
              <w:widowControl/>
              <w:jc w:val="center"/>
              <w:textAlignment w:val="center"/>
              <w:rPr>
                <w:rFonts w:ascii="Arial" w:hAnsi="Arial" w:cs="Arial"/>
                <w:b/>
                <w:sz w:val="18"/>
                <w:szCs w:val="18"/>
              </w:rPr>
            </w:pPr>
            <w:r>
              <w:rPr>
                <w:rFonts w:ascii="Arial" w:hAnsi="Arial" w:cs="Arial"/>
                <w:b/>
                <w:sz w:val="18"/>
                <w:szCs w:val="18"/>
              </w:rPr>
              <w:t>金额（元）</w:t>
            </w:r>
          </w:p>
        </w:tc>
        <w:tc>
          <w:tcPr>
            <w:tcW w:w="3205" w:type="dxa"/>
            <w:vAlign w:val="center"/>
          </w:tcPr>
          <w:p>
            <w:pPr>
              <w:widowControl/>
              <w:jc w:val="center"/>
              <w:textAlignment w:val="center"/>
              <w:rPr>
                <w:rFonts w:hint="eastAsia" w:ascii="Arial" w:hAnsi="Arial" w:cs="Arial"/>
                <w:b/>
                <w:sz w:val="18"/>
                <w:szCs w:val="18"/>
              </w:rPr>
            </w:pPr>
            <w:r>
              <w:rPr>
                <w:rFonts w:hint="eastAsia" w:ascii="Arial" w:hAnsi="Arial" w:cs="Arial"/>
                <w:b/>
                <w:sz w:val="18"/>
                <w:szCs w:val="18"/>
              </w:rPr>
              <w:t>付款方</w:t>
            </w:r>
          </w:p>
        </w:tc>
        <w:tc>
          <w:tcPr>
            <w:tcW w:w="1656" w:type="dxa"/>
            <w:vAlign w:val="center"/>
          </w:tcPr>
          <w:p>
            <w:pPr>
              <w:widowControl/>
              <w:jc w:val="center"/>
              <w:textAlignment w:val="center"/>
              <w:rPr>
                <w:rFonts w:hint="eastAsia" w:ascii="Arial" w:hAnsi="Arial" w:cs="Arial"/>
                <w:b/>
                <w:sz w:val="18"/>
                <w:szCs w:val="18"/>
              </w:rPr>
            </w:pPr>
            <w:r>
              <w:rPr>
                <w:rFonts w:hint="eastAsia" w:ascii="Arial" w:hAnsi="Arial" w:cs="Arial"/>
                <w:b/>
                <w:sz w:val="18"/>
                <w:szCs w:val="18"/>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2021/05/02</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400,000.00 </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刘闽楠</w:t>
            </w:r>
          </w:p>
        </w:tc>
        <w:tc>
          <w:tcPr>
            <w:tcW w:w="1656"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2021/05/02</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1,472,000.00</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易银</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2021/05/02</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1,032,000.00</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张万敏</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2021/05/06</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销售回款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12,628,956.00</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代理汉口银行预售商品房监管资金待清算账户</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2021/05/06</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销售回款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4,548,299.00</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代理汉口银行预售商品房监管资金待清算账户</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2021/05/06</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销售回款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367,952.00</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代理汉口银行预售商品房监管资金待清算账户</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2021/05/06</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销售回款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312,121.00</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重庆渝煌达实业有限公司</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2021/05/07</w:t>
            </w:r>
          </w:p>
        </w:tc>
        <w:tc>
          <w:tcPr>
            <w:tcW w:w="1385"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销售回款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32,980.00</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重庆渝煌达实业有限公司</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2021/05/07</w:t>
            </w:r>
          </w:p>
        </w:tc>
        <w:tc>
          <w:tcPr>
            <w:tcW w:w="1385" w:type="dxa"/>
            <w:vAlign w:val="center"/>
          </w:tcPr>
          <w:p>
            <w:pPr>
              <w:widowControl/>
              <w:jc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销售回款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2,297,859.00</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代理汉口银行预售商品房监管资金待清算账户</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2021/05/07</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销售回款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2,371,194.00</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代理汉口银行预售商品房监管资金待清算账户</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2021/05/07</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销售回款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15,653,146.00</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代理汉口银行预售商品房监管资金待清算账户</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2021/05/07</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销售回款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1,497,362.00</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代理汉口银行预售商品房监管资金待清算账户</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2021/05/07</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销售回款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149,960.00</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代理汉口银行预售商品房监管资金待清算账户</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2021/05/07</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销售回款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399,940.00</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代理汉口银行预售商品房监管资金待清算账户</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2021/05/07</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销售回款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49,940.00</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代理汉口银行预售商品房监管资金待清算账户</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2021/05/08</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711,000.00</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个人贷款划转专户（借款人侯俊）</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2021/05/08</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400,000.00</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个人贷款划转专户（借款人龙美君）</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2021/05/08</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760,000.00</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个人贷款划转专户（借款人范晓英）</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2021/05/08</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销售回款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1,438,275.00 </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代理汉口银行预售商品房监管资金待清算账户</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2021/05/08</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销售回款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924,329.00 </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代理汉口银行预售商品房监管资金待清算账户</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2021/05/11</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销售回款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1,950,988.00 </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代理汉口银行预售商品房监管资金待清算账户</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2021/05/11</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销售回款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987,330.00 </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代理汉口银行预售商品房监管资金待清算账户</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2021/05/11</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1,092,000.00 </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（发放贷款620079000000125）</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2021/05/11</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770,000.00 </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（发放贷款620079000000127）</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2021/05/11</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800,000.00 </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（发放贷款620079000000128）</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2021/05/11</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1,100,000.00 </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（发放贷款620079000000129）</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2021/05/11</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900,000.00 </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（发放贷款620079000000130）</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2021/05/11</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往来款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1,814,000.00 </w:t>
            </w:r>
          </w:p>
        </w:tc>
        <w:tc>
          <w:tcPr>
            <w:tcW w:w="3205" w:type="dxa"/>
            <w:vAlign w:val="center"/>
          </w:tcPr>
          <w:p>
            <w:pPr>
              <w:widowControl/>
              <w:jc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重庆渝煌达实业有限公司</w:t>
            </w:r>
          </w:p>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（0911建行基本户）</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2021/05/11</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往来款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2,910,000.00 </w:t>
            </w:r>
          </w:p>
        </w:tc>
        <w:tc>
          <w:tcPr>
            <w:tcW w:w="3205" w:type="dxa"/>
            <w:vAlign w:val="center"/>
          </w:tcPr>
          <w:p>
            <w:pPr>
              <w:widowControl/>
              <w:jc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重庆渝煌达实业有限公司</w:t>
            </w:r>
          </w:p>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（0828邮政按揭户）</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2021/05/11</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往来款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3,370,000.00 </w:t>
            </w:r>
          </w:p>
        </w:tc>
        <w:tc>
          <w:tcPr>
            <w:tcW w:w="3205" w:type="dxa"/>
            <w:vAlign w:val="center"/>
          </w:tcPr>
          <w:p>
            <w:pPr>
              <w:widowControl/>
              <w:jc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重庆渝煌达实业有限公司</w:t>
            </w:r>
          </w:p>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（7471农商行按揭户）</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2021/05/11</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813,000.00 </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（发放贷款620079000000131）</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2021/05/11</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932,000.00 </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（发放贷款620079000000132）</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2021/05/11</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808,000.00 </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（发放贷款620079000000133）</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2021/05/11</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958,000.00 </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个贷系统平账专户（弓继均）</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2021/05/13</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974,000.00 </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杨宏亮</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2021/05/13</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530,000.00 </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个贷系统平账专户（吴利梅）</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2021/05/14</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400,000.00 </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公积金贷款发放过渡户（吴利梅）</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2021/05/14</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635,000.00 </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个贷系统平账专户（陈旭博）</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2021/05/14</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584,000.00 </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个贷系统平账专户（何海波）</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2021/05/14</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242,000.00 </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个贷系统平账专户（沈伟）</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2021/05/14</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584,000.00 </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个贷系统平账专户（高林炎）</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2021/05/14</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1,030,000.00 </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（发放贷款620079000000136）</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2021/05/14</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631,000.00 </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（发放贷款620079000000137）</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2021/05/14</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1,550,000.00 </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（发放贷款620079000000138）</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2021/05/14</w:t>
            </w:r>
          </w:p>
        </w:tc>
        <w:tc>
          <w:tcPr>
            <w:tcW w:w="138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按揭回款</w:t>
            </w:r>
          </w:p>
        </w:tc>
        <w:tc>
          <w:tcPr>
            <w:tcW w:w="1743" w:type="dxa"/>
            <w:vAlign w:val="center"/>
          </w:tcPr>
          <w:p>
            <w:pPr>
              <w:widowControl/>
              <w:jc w:val="right"/>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1,380,000.00 </w:t>
            </w:r>
          </w:p>
        </w:tc>
        <w:tc>
          <w:tcPr>
            <w:tcW w:w="3205"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（发放贷款620079000000139）</w:t>
            </w:r>
          </w:p>
        </w:tc>
        <w:tc>
          <w:tcPr>
            <w:tcW w:w="1656" w:type="dxa"/>
            <w:vAlign w:val="center"/>
          </w:tcPr>
          <w:p>
            <w:pPr>
              <w:widowControl/>
              <w:jc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1,129,000.00</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发放贷款（620079000000140）</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发放贷款（620079000000141）</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883,000.00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发放贷款（620079000000142）</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960,000.00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发放贷款（620079000000143）</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762,000.00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发放贷款（620079000000144）</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923,000.00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发放贷款（620079000000145）</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883,000.00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发放贷款（620079000000146）</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1,130,000.00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发放贷款（620079000000147）</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989,000.00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发放贷款（620079000000148）</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1,070,000.00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发放贷款（620079000000149）</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bottom"/>
          </w:tcPr>
          <w:p>
            <w:pPr>
              <w:widowControl/>
              <w:jc w:val="right"/>
              <w:rPr>
                <w:rFonts w:hint="eastAsia" w:ascii="Arial" w:hAnsi="Arial" w:eastAsia="宋体" w:cs="Arial"/>
                <w:bCs/>
                <w:sz w:val="18"/>
                <w:szCs w:val="18"/>
                <w:lang w:val="en-US" w:eastAsia="zh-CN" w:bidi="ar-SA"/>
              </w:rPr>
            </w:pPr>
            <w:r>
              <w:rPr>
                <w:rFonts w:hint="default" w:ascii="Arial" w:hAnsi="Arial" w:cs="Arial"/>
                <w:bCs/>
                <w:sz w:val="18"/>
                <w:szCs w:val="18"/>
                <w:lang w:val="en-US" w:eastAsia="zh-CN"/>
              </w:rPr>
              <w:t>400,000.00</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公积金贷款发放过渡户（高林炎）</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公积金贷款发放过渡户（沈伟）</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公积金贷款发放过渡户（陈旭博）</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公积金贷款发放过渡户（何海波）</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450,735.00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260,503.00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1,943,315.00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950,935.07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914,980.00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427,918.00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保证金转回存入</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11,000,106.94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汉口银行保证金（重庆渝煌达实业有限公司）</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保证金转回存入</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3,900,000.00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汉口银行保证金（重庆渝煌达实业有限公司）</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533,000.00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个贷系统平账专户（刘继乐）</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374,000.00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个贷系统平账专户（汪少国）</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272,000.00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个贷系统平账专户（周星言）</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451,000.00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个贷系统平账专户（王展）</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260,000.00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个贷系统平账专户（董刚）</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1,010,000.00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郑智跃</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2021/05/19</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380,000.00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公积金贷款发放过渡户（汪少国）</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2021/05/19</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公积金贷款发放过渡户（王展）</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2021/05/19</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公积金贷款发放过渡户（周星言）</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2021/05/19</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510,000.00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公积金贷款发放过渡户（刘继乐）</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2021/05/19</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公积金贷款发放过渡户（董刚）</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2021/05/20</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发放贷款（620079000000151）</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2021/05/20</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889,000.00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发放贷款（620079000000152）</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商品房预售资金监管拨付</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20,370,000.00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重庆渝煌达实业有限公司佳兆业·晓岸云起商品房预售资金监管账户（2601账户）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商品房预售资金监管拨付</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12,210,000.00 </w:t>
            </w:r>
          </w:p>
        </w:tc>
        <w:tc>
          <w:tcPr>
            <w:tcW w:w="3205"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重庆渝煌达实业有限公司佳兆业·晓岸云起商品房预售资金监管账户</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商品房预售资金监管拨付</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28,470,000.00 </w:t>
            </w:r>
          </w:p>
        </w:tc>
        <w:tc>
          <w:tcPr>
            <w:tcW w:w="3205"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重庆渝煌达实业有限公司佳兆业·晓岸云起商品房预售资金监管账户</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417,000.00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个贷系统平账专户（刘露）</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643,000.00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个贷系统平账专户（王明鑫）</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380,000.00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个贷系统平账专户（赵琪）</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696,000.00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个贷系统平账专户（肖智豪）</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99,980.00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740,000.00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余志云</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989,000.00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个人贷款划转专户（借款人蒋町）</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849,000.00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个人贷款划转专户（借款人陈定强）</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961,000.00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个人贷款划转专户（借款人吴海燕）</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公积金贷款发放过渡户（赵琪）</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公积金贷款发放过渡户（王明鑫）</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公积金贷款发放过渡户（刘露）</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210,000.00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公积金贷款发放过渡户（肖智豪）</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410,000.00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个贷系统平账专户（彭露）</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257,000.00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个贷系统平账专户（吴倩）</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717,000.00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个贷系统平账专户（罗姣）</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574,000.00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个贷系统平账专户（蒋敉）</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484,000.00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个贷系统平账专户（杨杰）</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公积金贷款发放过渡户（彭露）</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公积金贷款发放过渡户（吴倩）</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公积金贷款发放过渡户（罗姣）</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公积金贷款发放过渡户（杨杰）</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公积金贷款发放过渡户（蒋敉）</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1,168,000.00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个人贷款划转专户（借款人瞿荣苹）</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个人贷款划转专户（借款人陈洁）</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658,000.00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个人贷款划转专户（借款人聂学艳）</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450,000.00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个贷系统平账专户（隆璐帆）</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632,000.00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个贷系统平账专户（李亚伟）</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620,000.00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个贷系统平账专户（秦亚）</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246,000.00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个贷系统平账专户（徐钦）</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2"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457,000.00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个贷系统平账专户（杨艳）</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465,000.00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个贷系统平账专户（李星佑）</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512,000.00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个贷系统平账专户（李政君）</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个贷系统平账专户（唐远军）</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公积金贷款发放过渡户（李亚伟）</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公积金贷款发放过渡户（李星佑）</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公积金贷款发放过渡户（隆璐帆）</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公积金贷款发放过渡户（徐钦）</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公积金贷款发放过渡户（李政君）</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公积金贷款发放过渡户（杨艳）</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公积金贷款发放过渡户（唐远军）</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公积金贷款发放过渡户（秦亚）</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2021/05/28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往来款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41,230,000.00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重庆新兆鑫实业有限公司佳兆业滨江四季项目商品房预售资金监管账户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2618" w:type="dxa"/>
            <w:gridSpan w:val="2"/>
            <w:vAlign w:val="center"/>
          </w:tcPr>
          <w:p>
            <w:pPr>
              <w:widowControl/>
              <w:jc w:val="center"/>
              <w:textAlignment w:val="center"/>
              <w:rPr>
                <w:rFonts w:hint="default" w:ascii="宋体" w:hAnsi="宋体" w:eastAsia="宋体" w:cs="宋体"/>
                <w:b/>
                <w:bCs/>
                <w:color w:val="000000"/>
                <w:sz w:val="20"/>
                <w:szCs w:val="20"/>
                <w:lang w:val="en-US" w:eastAsia="zh-CN"/>
              </w:rPr>
            </w:pPr>
            <w:r>
              <w:rPr>
                <w:rFonts w:hint="eastAsia" w:ascii="宋体" w:hAnsi="宋体" w:cs="宋体"/>
                <w:b/>
                <w:bCs/>
                <w:color w:val="000000"/>
                <w:sz w:val="20"/>
                <w:szCs w:val="20"/>
                <w:lang w:val="en-US" w:eastAsia="zh-CN"/>
              </w:rPr>
              <w:t>合计</w:t>
            </w:r>
          </w:p>
        </w:tc>
        <w:tc>
          <w:tcPr>
            <w:tcW w:w="1743" w:type="dxa"/>
            <w:vAlign w:val="center"/>
          </w:tcPr>
          <w:p>
            <w:pPr>
              <w:keepNext w:val="0"/>
              <w:keepLines w:val="0"/>
              <w:widowControl/>
              <w:suppressLineNumbers w:val="0"/>
              <w:jc w:val="right"/>
              <w:textAlignment w:val="center"/>
              <w:rPr>
                <w:rFonts w:hint="default" w:ascii="宋体" w:hAnsi="宋体" w:eastAsia="宋体" w:cs="宋体"/>
                <w:b/>
                <w:bCs/>
                <w:i w:val="0"/>
                <w:color w:val="000000"/>
                <w:sz w:val="22"/>
                <w:szCs w:val="22"/>
                <w:u w:val="none"/>
                <w:lang w:val="en-US" w:eastAsia="zh-CN" w:bidi="ar-SA"/>
              </w:rPr>
            </w:pPr>
            <w:r>
              <w:rPr>
                <w:rFonts w:hint="eastAsia" w:ascii="Arial" w:hAnsi="Arial" w:cs="Arial"/>
                <w:b/>
                <w:bCs w:val="0"/>
                <w:sz w:val="18"/>
                <w:szCs w:val="18"/>
                <w:lang w:val="en-US" w:eastAsia="zh-CN"/>
              </w:rPr>
              <w:t>236,064,104.01</w:t>
            </w:r>
          </w:p>
        </w:tc>
        <w:tc>
          <w:tcPr>
            <w:tcW w:w="3205" w:type="dxa"/>
            <w:vAlign w:val="center"/>
          </w:tcPr>
          <w:p>
            <w:pPr>
              <w:widowControl/>
              <w:jc w:val="center"/>
              <w:textAlignment w:val="center"/>
              <w:rPr>
                <w:rFonts w:hint="eastAsia" w:ascii="宋体" w:hAnsi="宋体" w:cs="宋体"/>
                <w:color w:val="000000"/>
                <w:sz w:val="20"/>
                <w:szCs w:val="20"/>
              </w:rPr>
            </w:pPr>
          </w:p>
        </w:tc>
        <w:tc>
          <w:tcPr>
            <w:tcW w:w="1656" w:type="dxa"/>
            <w:vAlign w:val="center"/>
          </w:tcPr>
          <w:p>
            <w:pPr>
              <w:widowControl/>
              <w:jc w:val="center"/>
              <w:textAlignment w:val="center"/>
              <w:rPr>
                <w:rFonts w:hint="eastAsia" w:ascii="宋体" w:hAnsi="宋体" w:cs="宋体"/>
                <w:color w:val="000000"/>
                <w:sz w:val="20"/>
                <w:szCs w:val="20"/>
              </w:rPr>
            </w:pPr>
          </w:p>
        </w:tc>
      </w:tr>
    </w:tbl>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宋体" w:hAnsi="宋体" w:eastAsia="宋体" w:cs="宋体"/>
          <w:lang w:val="en-US" w:eastAsia="zh-CN"/>
        </w:rPr>
      </w:pPr>
      <w:bookmarkStart w:id="64" w:name="_Toc24625"/>
      <w:r>
        <w:rPr>
          <w:rFonts w:hint="default" w:ascii="Arial" w:hAnsi="Arial" w:eastAsia="宋体" w:cs="Arial"/>
          <w:sz w:val="24"/>
          <w:szCs w:val="24"/>
          <w:lang w:val="en-US" w:eastAsia="zh-CN"/>
        </w:rPr>
        <w:t>7.3</w:t>
      </w:r>
      <w:bookmarkEnd w:id="63"/>
      <w:r>
        <w:rPr>
          <w:rFonts w:hint="eastAsia" w:ascii="宋体" w:hAnsi="宋体" w:eastAsia="宋体" w:cs="宋体"/>
          <w:sz w:val="24"/>
          <w:szCs w:val="24"/>
          <w:lang w:val="en-US" w:eastAsia="zh-CN"/>
        </w:rPr>
        <w:t>资金结算</w:t>
      </w:r>
      <w:bookmarkEnd w:id="64"/>
    </w:p>
    <w:p>
      <w:pPr>
        <w:spacing w:line="480" w:lineRule="auto"/>
        <w:ind w:firstLine="420" w:firstLineChars="200"/>
        <w:rPr>
          <w:rFonts w:hint="eastAsia" w:ascii="宋体" w:hAnsi="宋体" w:eastAsia="宋体" w:cs="宋体"/>
          <w:b/>
          <w:sz w:val="24"/>
          <w:lang w:val="en-US" w:eastAsia="zh-CN"/>
        </w:rPr>
      </w:pPr>
      <w:bookmarkStart w:id="65" w:name="_Toc7955"/>
      <w:r>
        <w:rPr>
          <w:rFonts w:ascii="Arial" w:hAnsi="Arial" w:cs="Arial"/>
          <w:bCs/>
          <w:kern w:val="44"/>
        </w:rPr>
        <w:t>截</w:t>
      </w:r>
      <w:r>
        <w:rPr>
          <w:rFonts w:hint="eastAsia" w:ascii="Arial" w:hAnsi="Arial" w:cs="Arial"/>
          <w:bCs/>
          <w:kern w:val="44"/>
          <w:lang w:val="en-US" w:eastAsia="zh-CN"/>
        </w:rPr>
        <w:t>至</w:t>
      </w:r>
      <w:r>
        <w:rPr>
          <w:rFonts w:ascii="Arial" w:hAnsi="Arial" w:cs="Arial"/>
          <w:bCs/>
          <w:kern w:val="44"/>
        </w:rPr>
        <w:t>20</w:t>
      </w:r>
      <w:r>
        <w:rPr>
          <w:rFonts w:hint="eastAsia" w:ascii="Arial" w:hAnsi="Arial" w:cs="Arial"/>
          <w:bCs/>
          <w:kern w:val="44"/>
          <w:lang w:val="en-US" w:eastAsia="zh-CN"/>
        </w:rPr>
        <w:t>21</w:t>
      </w:r>
      <w:r>
        <w:rPr>
          <w:rFonts w:ascii="Arial" w:hAnsi="Arial" w:cs="Arial"/>
          <w:bCs/>
          <w:kern w:val="44"/>
        </w:rPr>
        <w:t>年</w:t>
      </w:r>
      <w:r>
        <w:rPr>
          <w:rFonts w:hint="eastAsia" w:ascii="Arial" w:hAnsi="Arial" w:cs="Arial"/>
          <w:bCs/>
          <w:kern w:val="44"/>
          <w:lang w:val="en-US" w:eastAsia="zh-CN"/>
        </w:rPr>
        <w:t>05</w:t>
      </w:r>
      <w:r>
        <w:rPr>
          <w:rFonts w:ascii="Arial" w:hAnsi="Arial" w:cs="Arial"/>
          <w:bCs/>
          <w:kern w:val="44"/>
        </w:rPr>
        <w:t>月</w:t>
      </w:r>
      <w:r>
        <w:rPr>
          <w:rFonts w:hint="eastAsia" w:ascii="Arial" w:hAnsi="Arial" w:cs="Arial"/>
          <w:bCs/>
          <w:kern w:val="44"/>
          <w:lang w:val="en-US" w:eastAsia="zh-CN"/>
        </w:rPr>
        <w:t>31</w:t>
      </w:r>
      <w:r>
        <w:rPr>
          <w:rFonts w:ascii="Arial" w:hAnsi="Arial" w:cs="Arial"/>
          <w:bCs/>
          <w:kern w:val="44"/>
        </w:rPr>
        <w:t>日，项目公司</w:t>
      </w:r>
      <w:r>
        <w:rPr>
          <w:rFonts w:hint="eastAsia" w:ascii="Arial" w:hAnsi="Arial" w:cs="Arial"/>
          <w:bCs/>
          <w:kern w:val="44"/>
          <w:lang w:val="en-US" w:eastAsia="zh-CN"/>
        </w:rPr>
        <w:t>各监管账户余额共计6,258,837.86元，</w:t>
      </w:r>
      <w:r>
        <w:rPr>
          <w:rFonts w:ascii="Arial" w:hAnsi="Arial" w:cs="Arial"/>
          <w:bCs/>
          <w:kern w:val="44"/>
        </w:rPr>
        <w:t>账户余额见下表</w:t>
      </w:r>
      <w:r>
        <w:rPr>
          <w:rFonts w:hint="eastAsia" w:ascii="Arial" w:hAnsi="Arial" w:cs="Arial"/>
          <w:bCs/>
          <w:kern w:val="44"/>
          <w:lang w:eastAsia="zh-CN"/>
        </w:rPr>
        <w:t>：</w:t>
      </w:r>
    </w:p>
    <w:p>
      <w:pPr>
        <w:keepNext w:val="0"/>
        <w:keepLines w:val="0"/>
        <w:pageBreakBefore w:val="0"/>
        <w:widowControl w:val="0"/>
        <w:kinsoku/>
        <w:wordWrap/>
        <w:overflowPunct/>
        <w:topLinePunct w:val="0"/>
        <w:autoSpaceDE/>
        <w:autoSpaceDN/>
        <w:bidi w:val="0"/>
        <w:adjustRightInd/>
        <w:snapToGrid/>
        <w:spacing w:before="316" w:beforeLines="100" w:line="240" w:lineRule="auto"/>
        <w:jc w:val="center"/>
        <w:textAlignment w:val="auto"/>
        <w:rPr>
          <w:rFonts w:hint="eastAsia" w:ascii="宋体" w:hAnsi="宋体" w:cs="宋体"/>
          <w:b/>
          <w:sz w:val="24"/>
        </w:rPr>
      </w:pPr>
      <w:r>
        <w:rPr>
          <w:rFonts w:hint="eastAsia" w:ascii="宋体" w:hAnsi="宋体" w:cs="宋体"/>
          <w:b/>
          <w:sz w:val="24"/>
          <w:lang w:val="en-US" w:eastAsia="zh-CN"/>
        </w:rPr>
        <w:t>各监管</w:t>
      </w:r>
      <w:r>
        <w:rPr>
          <w:rFonts w:hint="eastAsia" w:ascii="宋体" w:hAnsi="宋体" w:cs="宋体"/>
          <w:b/>
          <w:sz w:val="24"/>
        </w:rPr>
        <w:t>银行账户余额表</w:t>
      </w:r>
    </w:p>
    <w:tbl>
      <w:tblPr>
        <w:tblStyle w:val="9"/>
        <w:tblW w:w="0" w:type="auto"/>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4171"/>
        <w:gridCol w:w="2651"/>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72" w:type="dxa"/>
            <w:vAlign w:val="center"/>
          </w:tcPr>
          <w:p>
            <w:pPr>
              <w:jc w:val="center"/>
              <w:rPr>
                <w:rFonts w:hint="eastAsia" w:ascii="宋体" w:hAnsi="宋体" w:cs="宋体"/>
                <w:b/>
                <w:sz w:val="18"/>
                <w:szCs w:val="18"/>
              </w:rPr>
            </w:pPr>
            <w:r>
              <w:rPr>
                <w:rFonts w:hint="eastAsia" w:ascii="宋体" w:hAnsi="宋体" w:cs="宋体"/>
                <w:b/>
                <w:sz w:val="18"/>
                <w:szCs w:val="18"/>
              </w:rPr>
              <w:t>序号</w:t>
            </w:r>
          </w:p>
        </w:tc>
        <w:tc>
          <w:tcPr>
            <w:tcW w:w="4171" w:type="dxa"/>
            <w:vAlign w:val="center"/>
          </w:tcPr>
          <w:p>
            <w:pPr>
              <w:jc w:val="center"/>
              <w:rPr>
                <w:rFonts w:hint="eastAsia" w:ascii="宋体" w:hAnsi="宋体" w:cs="宋体"/>
                <w:b/>
                <w:sz w:val="18"/>
                <w:szCs w:val="18"/>
              </w:rPr>
            </w:pPr>
            <w:r>
              <w:rPr>
                <w:rFonts w:hint="eastAsia" w:ascii="宋体" w:hAnsi="宋体" w:cs="宋体"/>
                <w:b/>
                <w:sz w:val="18"/>
                <w:szCs w:val="18"/>
              </w:rPr>
              <w:t>开户行</w:t>
            </w:r>
          </w:p>
        </w:tc>
        <w:tc>
          <w:tcPr>
            <w:tcW w:w="2651" w:type="dxa"/>
            <w:vAlign w:val="center"/>
          </w:tcPr>
          <w:p>
            <w:pPr>
              <w:jc w:val="center"/>
              <w:rPr>
                <w:rFonts w:hint="eastAsia" w:ascii="宋体" w:hAnsi="宋体" w:cs="宋体"/>
                <w:b/>
                <w:sz w:val="18"/>
                <w:szCs w:val="18"/>
              </w:rPr>
            </w:pPr>
            <w:r>
              <w:rPr>
                <w:rFonts w:hint="eastAsia" w:ascii="宋体" w:hAnsi="宋体" w:cs="宋体"/>
                <w:b/>
                <w:sz w:val="18"/>
                <w:szCs w:val="18"/>
              </w:rPr>
              <w:t>账号</w:t>
            </w:r>
          </w:p>
        </w:tc>
        <w:tc>
          <w:tcPr>
            <w:tcW w:w="1710" w:type="dxa"/>
            <w:vAlign w:val="center"/>
          </w:tcPr>
          <w:p>
            <w:pPr>
              <w:jc w:val="center"/>
              <w:rPr>
                <w:rFonts w:hint="eastAsia" w:ascii="宋体" w:hAnsi="宋体" w:cs="宋体"/>
                <w:b/>
                <w:sz w:val="18"/>
                <w:szCs w:val="18"/>
              </w:rPr>
            </w:pPr>
            <w:r>
              <w:rPr>
                <w:rFonts w:hint="eastAsia" w:ascii="宋体" w:hAnsi="宋体" w:cs="宋体"/>
                <w:b/>
                <w:sz w:val="18"/>
                <w:szCs w:val="18"/>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w:t>
            </w:r>
          </w:p>
        </w:tc>
        <w:tc>
          <w:tcPr>
            <w:tcW w:w="417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中国光大银行沙坪坝支行</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（晓岸云起1期预售资金监管账户）</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39460180800778996</w:t>
            </w:r>
          </w:p>
        </w:tc>
        <w:tc>
          <w:tcPr>
            <w:tcW w:w="1710" w:type="dxa"/>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lang w:val="en-US" w:eastAsia="zh-CN" w:bidi="ar-SA"/>
              </w:rPr>
            </w:pPr>
            <w:r>
              <w:rPr>
                <w:rFonts w:hint="eastAsia" w:ascii="Arial" w:hAnsi="Arial" w:cs="Arial"/>
                <w:bCs/>
                <w:sz w:val="18"/>
                <w:szCs w:val="18"/>
                <w:lang w:val="en-US" w:eastAsia="zh-CN"/>
              </w:rPr>
              <w:t>955,897.26</w:t>
            </w:r>
            <w:r>
              <w:rPr>
                <w:rFonts w:hint="eastAsia" w:ascii="宋体" w:hAnsi="宋体" w:eastAsia="宋体" w:cs="宋体"/>
                <w:i w:val="0"/>
                <w:iCs w:val="0"/>
                <w:color w:val="000000"/>
                <w:kern w:val="0"/>
                <w:sz w:val="22"/>
                <w:szCs w:val="22"/>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中国邮政储蓄银行大渡口支行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950006010018450828</w:t>
            </w:r>
          </w:p>
        </w:tc>
        <w:tc>
          <w:tcPr>
            <w:tcW w:w="1710"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5,071.63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重庆农村商业银行大渡口支行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0504040120010027471</w:t>
            </w:r>
          </w:p>
        </w:tc>
        <w:tc>
          <w:tcPr>
            <w:tcW w:w="1710" w:type="dxa"/>
            <w:vAlign w:val="center"/>
          </w:tcPr>
          <w:p>
            <w:pPr>
              <w:keepNext w:val="0"/>
              <w:keepLines w:val="0"/>
              <w:widowControl/>
              <w:suppressLineNumbers w:val="0"/>
              <w:jc w:val="righ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 xml:space="preserve">9,859.53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中国建设银行股份有限公司重庆大渡口建设支行 </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50050110380000000475 </w:t>
            </w:r>
          </w:p>
        </w:tc>
        <w:tc>
          <w:tcPr>
            <w:tcW w:w="1710" w:type="dxa"/>
            <w:vAlign w:val="center"/>
          </w:tcPr>
          <w:p>
            <w:pPr>
              <w:keepNext w:val="0"/>
              <w:keepLines w:val="0"/>
              <w:widowControl/>
              <w:suppressLineNumbers w:val="0"/>
              <w:jc w:val="righ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 xml:space="preserve">1,854.29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5</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中国光大银行南坪支行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39470188000378166</w:t>
            </w:r>
          </w:p>
        </w:tc>
        <w:tc>
          <w:tcPr>
            <w:tcW w:w="1710" w:type="dxa"/>
            <w:vAlign w:val="center"/>
          </w:tcPr>
          <w:p>
            <w:pPr>
              <w:keepNext w:val="0"/>
              <w:keepLines w:val="0"/>
              <w:widowControl/>
              <w:suppressLineNumbers w:val="0"/>
              <w:jc w:val="righ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 xml:space="preserve">6,088.94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汉口银行重庆分行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620011000552452</w:t>
            </w:r>
          </w:p>
        </w:tc>
        <w:tc>
          <w:tcPr>
            <w:tcW w:w="1710"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6,177.14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7</w:t>
            </w:r>
          </w:p>
        </w:tc>
        <w:tc>
          <w:tcPr>
            <w:tcW w:w="417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汉口银行重庆分行</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（晓岸云起2期预售资金监管账户）</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620011000552601</w:t>
            </w:r>
          </w:p>
        </w:tc>
        <w:tc>
          <w:tcPr>
            <w:tcW w:w="1710" w:type="dxa"/>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5,273,889.07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兴业银行重庆解放碑支行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346240100100072204</w:t>
            </w:r>
          </w:p>
        </w:tc>
        <w:tc>
          <w:tcPr>
            <w:tcW w:w="1710" w:type="dxa"/>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672" w:type="dxa"/>
            <w:vAlign w:val="center"/>
          </w:tcPr>
          <w:p>
            <w:pPr>
              <w:widowControl/>
              <w:jc w:val="center"/>
              <w:rPr>
                <w:rFonts w:hint="eastAsia" w:ascii="Arial" w:hAnsi="Arial" w:cs="Arial"/>
                <w:bCs/>
                <w:sz w:val="18"/>
                <w:szCs w:val="18"/>
                <w:lang w:val="en-US" w:eastAsia="zh-CN"/>
              </w:rPr>
            </w:pPr>
          </w:p>
        </w:tc>
        <w:tc>
          <w:tcPr>
            <w:tcW w:w="4171" w:type="dxa"/>
            <w:vAlign w:val="center"/>
          </w:tcPr>
          <w:p>
            <w:pPr>
              <w:widowControl/>
              <w:jc w:val="center"/>
              <w:rPr>
                <w:rFonts w:hint="default" w:ascii="Arial" w:hAnsi="Arial" w:cs="Arial"/>
                <w:bCs/>
                <w:sz w:val="18"/>
                <w:szCs w:val="18"/>
                <w:lang w:val="en-US" w:eastAsia="zh-CN"/>
              </w:rPr>
            </w:pPr>
            <w:r>
              <w:rPr>
                <w:rFonts w:hint="eastAsia" w:ascii="Arial" w:hAnsi="Arial" w:cs="Arial"/>
                <w:b/>
                <w:bCs w:val="0"/>
                <w:sz w:val="18"/>
                <w:szCs w:val="18"/>
                <w:lang w:val="en-US" w:eastAsia="zh-CN"/>
              </w:rPr>
              <w:t>合计</w:t>
            </w:r>
          </w:p>
        </w:tc>
        <w:tc>
          <w:tcPr>
            <w:tcW w:w="2651" w:type="dxa"/>
            <w:vAlign w:val="center"/>
          </w:tcPr>
          <w:p>
            <w:pPr>
              <w:widowControl/>
              <w:jc w:val="center"/>
              <w:rPr>
                <w:rFonts w:hint="eastAsia" w:ascii="Arial" w:hAnsi="Arial" w:cs="Arial"/>
                <w:bCs/>
                <w:sz w:val="18"/>
                <w:szCs w:val="18"/>
                <w:lang w:val="en-US" w:eastAsia="zh-CN"/>
              </w:rPr>
            </w:pPr>
          </w:p>
        </w:tc>
        <w:tc>
          <w:tcPr>
            <w:tcW w:w="1710"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
                <w:bCs w:val="0"/>
                <w:sz w:val="18"/>
                <w:szCs w:val="18"/>
                <w:lang w:val="en-US" w:eastAsia="zh-CN"/>
              </w:rPr>
              <w:t>6,258,837.86</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66" w:name="_Toc25565"/>
      <w:r>
        <w:rPr>
          <w:rFonts w:hint="default" w:ascii="Arial" w:hAnsi="Arial" w:eastAsia="宋体" w:cs="Arial"/>
          <w:sz w:val="24"/>
          <w:szCs w:val="24"/>
          <w:lang w:val="en-US" w:eastAsia="zh-CN"/>
        </w:rPr>
        <w:t>8</w:t>
      </w:r>
      <w:r>
        <w:rPr>
          <w:rFonts w:hint="eastAsia" w:ascii="宋体" w:hAnsi="宋体" w:eastAsia="宋体" w:cs="宋体"/>
          <w:sz w:val="24"/>
          <w:szCs w:val="24"/>
          <w:lang w:val="en-US" w:eastAsia="zh-CN"/>
        </w:rPr>
        <w:t>月度监管总结</w:t>
      </w:r>
      <w:bookmarkEnd w:id="65"/>
      <w:bookmarkEnd w:id="66"/>
    </w:p>
    <w:p>
      <w:pPr>
        <w:numPr>
          <w:ilvl w:val="0"/>
          <w:numId w:val="0"/>
        </w:numPr>
        <w:spacing w:line="480" w:lineRule="auto"/>
        <w:ind w:firstLine="420" w:firstLineChars="200"/>
        <w:rPr>
          <w:rFonts w:hint="eastAsia" w:ascii="Arial" w:hAnsi="Arial" w:cs="Arial"/>
          <w:szCs w:val="21"/>
          <w:lang w:val="en-US" w:eastAsia="zh-CN"/>
        </w:rPr>
      </w:pPr>
      <w:r>
        <w:rPr>
          <w:rFonts w:hint="eastAsia" w:ascii="Arial" w:hAnsi="Arial" w:eastAsia="宋体" w:cs="Arial"/>
          <w:szCs w:val="21"/>
        </w:rPr>
        <w:t>我公司</w:t>
      </w:r>
      <w:r>
        <w:rPr>
          <w:rFonts w:hint="default" w:ascii="Arial" w:hAnsi="Arial" w:eastAsia="宋体" w:cs="Arial"/>
          <w:szCs w:val="21"/>
        </w:rPr>
        <w:t>202</w:t>
      </w:r>
      <w:r>
        <w:rPr>
          <w:rFonts w:hint="eastAsia" w:ascii="Arial" w:hAnsi="Arial" w:cs="Arial"/>
          <w:szCs w:val="21"/>
          <w:lang w:val="en-US" w:eastAsia="zh-CN"/>
        </w:rPr>
        <w:t>1</w:t>
      </w:r>
      <w:r>
        <w:rPr>
          <w:rFonts w:hint="eastAsia" w:ascii="Arial" w:hAnsi="Arial" w:eastAsia="宋体" w:cs="Arial"/>
          <w:szCs w:val="21"/>
        </w:rPr>
        <w:t>年</w:t>
      </w:r>
      <w:r>
        <w:rPr>
          <w:rFonts w:hint="eastAsia" w:ascii="Arial" w:hAnsi="Arial" w:cs="Arial"/>
          <w:szCs w:val="21"/>
          <w:lang w:val="en-US" w:eastAsia="zh-CN"/>
        </w:rPr>
        <w:t>05</w:t>
      </w:r>
      <w:r>
        <w:rPr>
          <w:rFonts w:hint="eastAsia" w:ascii="Arial" w:hAnsi="Arial" w:eastAsia="宋体" w:cs="Arial"/>
          <w:szCs w:val="21"/>
        </w:rPr>
        <w:t>月份对重庆</w:t>
      </w:r>
      <w:r>
        <w:rPr>
          <w:rFonts w:hint="eastAsia" w:ascii="Arial" w:hAnsi="Arial" w:eastAsia="宋体" w:cs="Arial"/>
          <w:szCs w:val="21"/>
          <w:lang w:val="en-US" w:eastAsia="zh-CN"/>
        </w:rPr>
        <w:t>西永晓岸云起</w:t>
      </w:r>
      <w:r>
        <w:rPr>
          <w:rFonts w:hint="eastAsia" w:ascii="Arial" w:hAnsi="Arial" w:eastAsia="宋体" w:cs="Arial"/>
          <w:szCs w:val="21"/>
        </w:rPr>
        <w:t>项目监管期间内，</w:t>
      </w:r>
      <w:r>
        <w:rPr>
          <w:rFonts w:hint="eastAsia" w:ascii="Arial" w:hAnsi="Arial" w:cs="Arial"/>
          <w:szCs w:val="21"/>
          <w:lang w:val="en-US" w:eastAsia="zh-CN"/>
        </w:rPr>
        <w:t>所监管的标的项目在工程进度、监管协议约定的时间节点均已完成，其中晓岸云起3期取得施工证的时间节点是2021年07月，现在办理前期，我司会跟进晓岸云起3期施工许可证的实际办理情况。晓岸云起1期3#、4#、6#、7#、8#楼，2期12#、13#、19#、20#、21#、22#、23#楼已开盘，共12栋楼，可售房源共计450套，建筑面积合计45285.39 ㎡，总货值约65,918.00万元，截至</w:t>
      </w:r>
      <w:r>
        <w:rPr>
          <w:rFonts w:hint="eastAsia" w:ascii="Arial" w:hAnsi="Arial" w:cs="Arial"/>
          <w:lang w:val="en-US" w:eastAsia="zh-CN"/>
        </w:rPr>
        <w:t>05月31日，晓岸云起项目共网签423套，网签总额600,352,514.00元，</w:t>
      </w:r>
      <w:r>
        <w:rPr>
          <w:rFonts w:hint="eastAsia" w:ascii="Arial" w:hAnsi="Arial" w:cs="Arial"/>
          <w:szCs w:val="21"/>
          <w:lang w:val="en-US" w:eastAsia="zh-CN"/>
        </w:rPr>
        <w:t>销售业绩良好。项目公司计划06月份办理晓岸云起1期1#楼，2期15#楼的预售许可证。</w:t>
      </w:r>
    </w:p>
    <w:p>
      <w:pPr>
        <w:numPr>
          <w:ilvl w:val="0"/>
          <w:numId w:val="0"/>
        </w:numPr>
        <w:spacing w:line="480" w:lineRule="auto"/>
        <w:ind w:firstLine="420" w:firstLineChars="200"/>
        <w:rPr>
          <w:rFonts w:hint="eastAsia" w:ascii="Arial" w:hAnsi="Arial" w:cs="Arial"/>
          <w:szCs w:val="21"/>
          <w:lang w:val="en-US" w:eastAsia="zh-CN"/>
        </w:rPr>
      </w:pPr>
    </w:p>
    <w:p>
      <w:pPr>
        <w:numPr>
          <w:ilvl w:val="0"/>
          <w:numId w:val="0"/>
        </w:numPr>
        <w:spacing w:line="480" w:lineRule="auto"/>
        <w:rPr>
          <w:rFonts w:hint="default" w:ascii="Arial" w:hAnsi="Arial" w:cs="Arial"/>
          <w:szCs w:val="21"/>
          <w:lang w:val="en-US" w:eastAsia="zh-CN"/>
        </w:rPr>
      </w:pPr>
    </w:p>
    <w:p>
      <w:pPr>
        <w:numPr>
          <w:ilvl w:val="0"/>
          <w:numId w:val="0"/>
        </w:numPr>
        <w:spacing w:line="480" w:lineRule="auto"/>
        <w:rPr>
          <w:rFonts w:hint="default" w:ascii="Arial" w:hAnsi="Arial" w:cs="Arial"/>
          <w:szCs w:val="21"/>
          <w:lang w:val="en-US" w:eastAsia="zh-CN"/>
        </w:rPr>
      </w:pPr>
    </w:p>
    <w:p>
      <w:pPr>
        <w:keepNext w:val="0"/>
        <w:keepLines w:val="0"/>
        <w:pageBreakBefore w:val="0"/>
        <w:widowControl w:val="0"/>
        <w:tabs>
          <w:tab w:val="left" w:pos="426"/>
        </w:tabs>
        <w:kinsoku/>
        <w:wordWrap/>
        <w:overflowPunct/>
        <w:topLinePunct w:val="0"/>
        <w:autoSpaceDE/>
        <w:autoSpaceDN/>
        <w:bidi w:val="0"/>
        <w:adjustRightInd/>
        <w:snapToGrid/>
        <w:spacing w:line="480" w:lineRule="auto"/>
        <w:ind w:firstLine="411" w:firstLineChars="196"/>
        <w:jc w:val="right"/>
        <w:textAlignment w:val="auto"/>
        <w:rPr>
          <w:rFonts w:ascii="Arial" w:hAnsi="Arial" w:cs="Arial"/>
          <w:bCs/>
          <w:szCs w:val="21"/>
        </w:rPr>
      </w:pPr>
      <w:r>
        <w:rPr>
          <w:rFonts w:ascii="Arial" w:hAnsi="Arial" w:cs="Arial"/>
          <w:bCs/>
          <w:szCs w:val="21"/>
        </w:rPr>
        <w:t>北京</w:t>
      </w:r>
      <w:r>
        <w:rPr>
          <w:rFonts w:hint="eastAsia" w:ascii="Arial" w:hAnsi="Arial" w:cs="Arial"/>
          <w:bCs/>
          <w:szCs w:val="21"/>
          <w:lang w:eastAsia="zh-CN"/>
        </w:rPr>
        <w:t>康信君安资产管理</w:t>
      </w:r>
      <w:r>
        <w:rPr>
          <w:rFonts w:ascii="Arial" w:hAnsi="Arial" w:cs="Arial"/>
          <w:bCs/>
          <w:szCs w:val="21"/>
        </w:rPr>
        <w:t>有限公司</w:t>
      </w:r>
    </w:p>
    <w:p>
      <w:pPr>
        <w:keepNext w:val="0"/>
        <w:keepLines w:val="0"/>
        <w:pageBreakBefore w:val="0"/>
        <w:widowControl w:val="0"/>
        <w:tabs>
          <w:tab w:val="left" w:pos="426"/>
        </w:tabs>
        <w:kinsoku/>
        <w:wordWrap/>
        <w:overflowPunct/>
        <w:topLinePunct w:val="0"/>
        <w:autoSpaceDE/>
        <w:autoSpaceDN/>
        <w:bidi w:val="0"/>
        <w:adjustRightInd/>
        <w:snapToGrid/>
        <w:spacing w:line="480" w:lineRule="auto"/>
        <w:ind w:firstLine="411" w:firstLineChars="196"/>
        <w:jc w:val="right"/>
        <w:textAlignment w:val="auto"/>
        <w:rPr>
          <w:rFonts w:hint="default" w:ascii="Arial" w:hAnsi="Arial" w:eastAsia="宋体" w:cs="Arial"/>
          <w:bCs/>
          <w:szCs w:val="21"/>
          <w:lang w:val="en-US" w:eastAsia="zh-CN"/>
        </w:rPr>
      </w:pPr>
      <w:r>
        <w:rPr>
          <w:rFonts w:ascii="Arial" w:hAnsi="Arial" w:cs="Arial"/>
          <w:bCs/>
          <w:szCs w:val="21"/>
        </w:rPr>
        <w:t>驻场监管：</w:t>
      </w:r>
      <w:r>
        <w:rPr>
          <w:rFonts w:hint="eastAsia" w:ascii="Arial" w:hAnsi="Arial" w:cs="Arial"/>
          <w:bCs/>
          <w:szCs w:val="21"/>
          <w:lang w:val="en-US" w:eastAsia="zh-CN"/>
        </w:rPr>
        <w:t>许叶萍</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Arial" w:hAnsi="Arial" w:cs="Arial"/>
          <w:szCs w:val="21"/>
          <w:lang w:val="en-US" w:eastAsia="zh-CN"/>
        </w:rPr>
      </w:pPr>
      <w:r>
        <w:rPr>
          <w:rFonts w:ascii="Arial" w:hAnsi="Arial" w:cs="Arial"/>
          <w:bCs/>
          <w:szCs w:val="21"/>
        </w:rPr>
        <w:tab/>
      </w:r>
      <w:r>
        <w:rPr>
          <w:rFonts w:ascii="Arial" w:hAnsi="Arial" w:cs="Arial"/>
          <w:bCs/>
          <w:szCs w:val="21"/>
        </w:rPr>
        <w:t xml:space="preserve"> </w:t>
      </w:r>
      <w:r>
        <w:rPr>
          <w:rFonts w:hint="eastAsia" w:ascii="Arial" w:hAnsi="Arial" w:cs="Arial"/>
          <w:bCs/>
          <w:szCs w:val="21"/>
          <w:lang w:val="en-US" w:eastAsia="zh-CN"/>
        </w:rPr>
        <w:t xml:space="preserve">                                                          </w:t>
      </w:r>
      <w:r>
        <w:rPr>
          <w:rFonts w:ascii="Arial" w:hAnsi="Arial" w:cs="Arial"/>
          <w:bCs/>
          <w:szCs w:val="21"/>
        </w:rPr>
        <w:t xml:space="preserve"> </w:t>
      </w:r>
      <w:r>
        <w:rPr>
          <w:rFonts w:hint="eastAsia" w:ascii="Arial" w:hAnsi="Arial" w:cs="Arial"/>
          <w:bCs/>
          <w:szCs w:val="21"/>
          <w:lang w:val="en-US" w:eastAsia="zh-CN"/>
        </w:rPr>
        <w:t xml:space="preserve"> 2021</w:t>
      </w:r>
      <w:r>
        <w:rPr>
          <w:rFonts w:ascii="Arial" w:hAnsi="Arial" w:cs="Arial"/>
          <w:bCs/>
          <w:szCs w:val="21"/>
        </w:rPr>
        <w:t>年</w:t>
      </w:r>
      <w:r>
        <w:rPr>
          <w:rFonts w:hint="eastAsia" w:ascii="Arial" w:hAnsi="Arial" w:cs="Arial"/>
          <w:bCs/>
          <w:szCs w:val="21"/>
          <w:lang w:val="en-US" w:eastAsia="zh-CN"/>
        </w:rPr>
        <w:t>06</w:t>
      </w:r>
      <w:r>
        <w:rPr>
          <w:rFonts w:ascii="Arial" w:hAnsi="Arial" w:cs="Arial"/>
          <w:bCs/>
          <w:szCs w:val="21"/>
        </w:rPr>
        <w:t>月</w:t>
      </w:r>
      <w:r>
        <w:rPr>
          <w:rFonts w:hint="eastAsia" w:ascii="Arial" w:hAnsi="Arial" w:cs="Arial"/>
          <w:bCs/>
          <w:szCs w:val="21"/>
          <w:lang w:val="en-US" w:eastAsia="zh-CN"/>
        </w:rPr>
        <w:t>02</w:t>
      </w:r>
      <w:r>
        <w:rPr>
          <w:rFonts w:ascii="Arial" w:hAnsi="Arial" w:cs="Arial"/>
          <w:bCs/>
          <w:szCs w:val="21"/>
        </w:rPr>
        <w:t>日于</w:t>
      </w:r>
      <w:r>
        <w:rPr>
          <w:rFonts w:hint="eastAsia" w:ascii="Arial" w:hAnsi="Arial" w:cs="Arial"/>
          <w:bCs/>
          <w:szCs w:val="21"/>
          <w:lang w:val="en-US" w:eastAsia="zh-CN"/>
        </w:rPr>
        <w:t>重庆</w:t>
      </w: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default" w:ascii="Arial" w:hAnsi="Arial" w:eastAsia="宋体" w:cs="Arial"/>
          <w:sz w:val="24"/>
          <w:szCs w:val="24"/>
          <w:lang w:val="en-US" w:eastAsia="zh-CN"/>
        </w:rPr>
      </w:pPr>
      <w:bookmarkStart w:id="67" w:name="_Toc21683"/>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default" w:ascii="Arial" w:hAnsi="Arial" w:eastAsia="宋体" w:cs="Arial"/>
          <w:sz w:val="24"/>
          <w:szCs w:val="24"/>
          <w:lang w:val="en-US" w:eastAsia="zh-CN"/>
        </w:rPr>
      </w:pPr>
    </w:p>
    <w:p>
      <w:pPr>
        <w:rPr>
          <w:rFonts w:hint="default"/>
          <w:lang w:val="en-US" w:eastAsia="zh-CN"/>
        </w:rPr>
      </w:pP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Arial" w:hAnsi="Arial" w:eastAsia="宋体" w:cs="Arial"/>
          <w:sz w:val="24"/>
          <w:szCs w:val="24"/>
          <w:lang w:val="en-US" w:eastAsia="zh-CN"/>
        </w:rPr>
      </w:pPr>
      <w:r>
        <w:rPr>
          <w:rFonts w:hint="default" w:ascii="Arial" w:hAnsi="Arial" w:eastAsia="宋体" w:cs="Arial"/>
          <w:sz w:val="24"/>
          <w:szCs w:val="24"/>
          <w:lang w:val="en-US" w:eastAsia="zh-CN"/>
        </w:rPr>
        <w:t>9</w:t>
      </w:r>
      <w:r>
        <w:rPr>
          <w:rFonts w:hint="eastAsia" w:ascii="Arial" w:hAnsi="Arial" w:eastAsia="宋体" w:cs="Arial"/>
          <w:sz w:val="24"/>
          <w:szCs w:val="24"/>
          <w:lang w:val="en-US" w:eastAsia="zh-CN"/>
        </w:rPr>
        <w:t>附件</w:t>
      </w:r>
      <w:bookmarkEnd w:id="67"/>
      <w:bookmarkStart w:id="68" w:name="_Toc17514"/>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default" w:ascii="宋体" w:hAnsi="宋体" w:eastAsia="宋体" w:cs="宋体"/>
          <w:b/>
          <w:sz w:val="24"/>
          <w:szCs w:val="24"/>
          <w:lang w:val="en-US" w:eastAsia="zh-CN"/>
        </w:rPr>
      </w:pPr>
      <w:bookmarkStart w:id="69" w:name="_Toc32399"/>
      <w:r>
        <w:rPr>
          <w:rFonts w:hint="eastAsia" w:ascii="宋体" w:hAnsi="宋体" w:eastAsia="宋体" w:cs="宋体"/>
          <w:b/>
          <w:sz w:val="24"/>
          <w:szCs w:val="24"/>
          <w:lang w:val="en-US" w:eastAsia="zh-CN"/>
        </w:rPr>
        <w:t>附件一：</w:t>
      </w:r>
      <w:bookmarkEnd w:id="68"/>
      <w:r>
        <w:rPr>
          <w:rFonts w:hint="eastAsia" w:ascii="宋体" w:hAnsi="宋体" w:eastAsia="宋体" w:cs="宋体"/>
          <w:b/>
          <w:sz w:val="24"/>
          <w:szCs w:val="24"/>
          <w:lang w:val="en-US" w:eastAsia="zh-CN"/>
        </w:rPr>
        <w:t>银行明细账</w:t>
      </w:r>
      <w:bookmarkEnd w:id="69"/>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eastAsia" w:ascii="宋体" w:hAnsi="宋体" w:eastAsia="宋体" w:cs="宋体"/>
          <w:b/>
          <w:bCs/>
          <w:lang w:val="en-US" w:eastAsia="zh-CN"/>
        </w:rPr>
      </w:pPr>
      <w:r>
        <w:rPr>
          <w:rFonts w:hint="eastAsia" w:ascii="宋体" w:hAnsi="宋体" w:eastAsia="宋体" w:cs="宋体"/>
          <w:b/>
          <w:bCs/>
          <w:sz w:val="24"/>
          <w:szCs w:val="24"/>
          <w:lang w:val="en-US" w:eastAsia="zh-CN"/>
        </w:rPr>
        <w:t>中国邮政储蓄银行大渡口支行（</w:t>
      </w:r>
      <w:r>
        <w:rPr>
          <w:rFonts w:hint="default" w:ascii="Arial" w:hAnsi="Arial" w:eastAsia="宋体" w:cs="Arial"/>
          <w:b/>
          <w:bCs/>
          <w:sz w:val="24"/>
          <w:szCs w:val="24"/>
          <w:lang w:val="en-US" w:eastAsia="zh-CN"/>
        </w:rPr>
        <w:t>0828</w:t>
      </w:r>
      <w:r>
        <w:rPr>
          <w:rFonts w:hint="eastAsia" w:ascii="宋体" w:hAnsi="宋体" w:eastAsia="宋体" w:cs="宋体"/>
          <w:b/>
          <w:bCs/>
          <w:sz w:val="24"/>
          <w:szCs w:val="24"/>
          <w:lang w:val="en-US" w:eastAsia="zh-CN"/>
        </w:rPr>
        <w:t>）</w:t>
      </w:r>
      <w:r>
        <w:rPr>
          <w:rFonts w:hint="eastAsia" w:ascii="宋体" w:hAnsi="宋体" w:eastAsia="宋体" w:cs="宋体"/>
          <w:b/>
          <w:bCs/>
          <w:lang w:val="en-US" w:eastAsia="zh-CN"/>
        </w:rPr>
        <w:drawing>
          <wp:inline distT="0" distB="0" distL="114300" distR="114300">
            <wp:extent cx="5907405" cy="4198620"/>
            <wp:effectExtent l="0" t="0" r="5715" b="7620"/>
            <wp:docPr id="26" name="图片 26" descr="f9cd3e5ac44cd572c2ac96e507e40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9cd3e5ac44cd572c2ac96e507e404e"/>
                    <pic:cNvPicPr>
                      <a:picLocks noChangeAspect="1"/>
                    </pic:cNvPicPr>
                  </pic:nvPicPr>
                  <pic:blipFill>
                    <a:blip r:embed="rId11"/>
                    <a:stretch>
                      <a:fillRect/>
                    </a:stretch>
                  </pic:blipFill>
                  <pic:spPr>
                    <a:xfrm>
                      <a:off x="0" y="0"/>
                      <a:ext cx="5907405" cy="4198620"/>
                    </a:xfrm>
                    <a:prstGeom prst="rect">
                      <a:avLst/>
                    </a:prstGeom>
                  </pic:spPr>
                </pic:pic>
              </a:graphicData>
            </a:graphic>
          </wp:inline>
        </w:drawing>
      </w:r>
      <w:r>
        <w:rPr>
          <w:rFonts w:hint="eastAsia" w:ascii="宋体" w:hAnsi="宋体" w:eastAsia="宋体" w:cs="宋体"/>
          <w:b/>
          <w:bCs/>
          <w:lang w:val="en-US" w:eastAsia="zh-CN"/>
        </w:rPr>
        <w:drawing>
          <wp:inline distT="0" distB="0" distL="114300" distR="114300">
            <wp:extent cx="5907405" cy="3273425"/>
            <wp:effectExtent l="0" t="0" r="5715" b="3175"/>
            <wp:docPr id="27" name="图片 27" descr="9ffa4bc99f4c43f89b5a5f6c6e8d1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9ffa4bc99f4c43f89b5a5f6c6e8d1e4"/>
                    <pic:cNvPicPr>
                      <a:picLocks noChangeAspect="1"/>
                    </pic:cNvPicPr>
                  </pic:nvPicPr>
                  <pic:blipFill>
                    <a:blip r:embed="rId12"/>
                    <a:stretch>
                      <a:fillRect/>
                    </a:stretch>
                  </pic:blipFill>
                  <pic:spPr>
                    <a:xfrm>
                      <a:off x="0" y="0"/>
                      <a:ext cx="5907405" cy="32734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重庆农村商业银行大渡口支行（</w:t>
      </w:r>
      <w:r>
        <w:rPr>
          <w:rFonts w:hint="eastAsia" w:ascii="Arial" w:hAnsi="Arial" w:eastAsia="宋体" w:cs="Arial"/>
          <w:b/>
          <w:bCs/>
          <w:sz w:val="24"/>
          <w:szCs w:val="24"/>
          <w:lang w:val="en-US" w:eastAsia="zh-CN"/>
        </w:rPr>
        <w:t>7471</w:t>
      </w:r>
      <w:r>
        <w:rPr>
          <w:rFonts w:hint="eastAsia" w:ascii="宋体" w:hAnsi="宋体" w:eastAsia="宋体" w:cs="宋体"/>
          <w:b/>
          <w:bCs/>
          <w:sz w:val="24"/>
          <w:szCs w:val="24"/>
          <w:lang w:val="en-US" w:eastAsia="zh-CN"/>
        </w:rPr>
        <w:t>）</w:t>
      </w:r>
      <w:r>
        <w:rPr>
          <w:rFonts w:hint="default" w:ascii="宋体" w:hAnsi="宋体" w:eastAsia="宋体" w:cs="宋体"/>
          <w:b/>
          <w:bCs/>
          <w:sz w:val="24"/>
          <w:szCs w:val="24"/>
          <w:lang w:val="en-US" w:eastAsia="zh-CN"/>
        </w:rPr>
        <w:drawing>
          <wp:inline distT="0" distB="0" distL="114300" distR="114300">
            <wp:extent cx="5907405" cy="2526665"/>
            <wp:effectExtent l="0" t="0" r="5715" b="3175"/>
            <wp:docPr id="28" name="图片 28" descr="50f155cf7d02d8853cc8e7b6135dc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50f155cf7d02d8853cc8e7b6135dc8e"/>
                    <pic:cNvPicPr>
                      <a:picLocks noChangeAspect="1"/>
                    </pic:cNvPicPr>
                  </pic:nvPicPr>
                  <pic:blipFill>
                    <a:blip r:embed="rId13"/>
                    <a:stretch>
                      <a:fillRect/>
                    </a:stretch>
                  </pic:blipFill>
                  <pic:spPr>
                    <a:xfrm>
                      <a:off x="0" y="0"/>
                      <a:ext cx="5907405" cy="2526665"/>
                    </a:xfrm>
                    <a:prstGeom prst="rect">
                      <a:avLst/>
                    </a:prstGeom>
                  </pic:spPr>
                </pic:pic>
              </a:graphicData>
            </a:graphic>
          </wp:inline>
        </w:drawing>
      </w:r>
      <w:r>
        <w:rPr>
          <w:rFonts w:hint="default" w:ascii="宋体" w:hAnsi="宋体" w:eastAsia="宋体" w:cs="宋体"/>
          <w:b/>
          <w:bCs/>
          <w:sz w:val="24"/>
          <w:szCs w:val="24"/>
          <w:lang w:val="en-US" w:eastAsia="zh-CN"/>
        </w:rPr>
        <w:drawing>
          <wp:inline distT="0" distB="0" distL="114300" distR="114300">
            <wp:extent cx="5907405" cy="2180590"/>
            <wp:effectExtent l="0" t="0" r="5715" b="13970"/>
            <wp:docPr id="29" name="图片 29" descr="022ecb0c72cbcfc48596de731468f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22ecb0c72cbcfc48596de731468f95"/>
                    <pic:cNvPicPr>
                      <a:picLocks noChangeAspect="1"/>
                    </pic:cNvPicPr>
                  </pic:nvPicPr>
                  <pic:blipFill>
                    <a:blip r:embed="rId14"/>
                    <a:stretch>
                      <a:fillRect/>
                    </a:stretch>
                  </pic:blipFill>
                  <pic:spPr>
                    <a:xfrm>
                      <a:off x="0" y="0"/>
                      <a:ext cx="5907405" cy="21805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中国建设银行股份有限公司重庆大渡口建设支行（</w:t>
      </w:r>
      <w:r>
        <w:rPr>
          <w:rFonts w:hint="eastAsia" w:ascii="Arial" w:hAnsi="Arial" w:eastAsia="宋体" w:cs="Arial"/>
          <w:b/>
          <w:bCs/>
          <w:sz w:val="24"/>
          <w:szCs w:val="24"/>
          <w:lang w:val="en-US" w:eastAsia="zh-CN"/>
        </w:rPr>
        <w:t>0475</w:t>
      </w:r>
      <w:r>
        <w:rPr>
          <w:rFonts w:hint="eastAsia" w:ascii="宋体" w:hAnsi="宋体" w:eastAsia="宋体" w:cs="宋体"/>
          <w:b/>
          <w:bCs/>
          <w:sz w:val="24"/>
          <w:szCs w:val="24"/>
          <w:lang w:val="en-US" w:eastAsia="zh-CN"/>
        </w:rPr>
        <w:t>）</w:t>
      </w:r>
      <w:r>
        <w:rPr>
          <w:rFonts w:hint="default" w:ascii="宋体" w:hAnsi="宋体" w:eastAsia="宋体" w:cs="宋体"/>
          <w:b/>
          <w:bCs/>
          <w:sz w:val="24"/>
          <w:szCs w:val="24"/>
          <w:lang w:val="en-US" w:eastAsia="zh-CN"/>
        </w:rPr>
        <w:drawing>
          <wp:inline distT="0" distB="0" distL="114300" distR="114300">
            <wp:extent cx="5907405" cy="3384550"/>
            <wp:effectExtent l="0" t="0" r="5715" b="13970"/>
            <wp:docPr id="33" name="图片 33" descr="a7d77a93e18ee1aa55792b2fb3c29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a7d77a93e18ee1aa55792b2fb3c29bd"/>
                    <pic:cNvPicPr>
                      <a:picLocks noChangeAspect="1"/>
                    </pic:cNvPicPr>
                  </pic:nvPicPr>
                  <pic:blipFill>
                    <a:blip r:embed="rId15"/>
                    <a:stretch>
                      <a:fillRect/>
                    </a:stretch>
                  </pic:blipFill>
                  <pic:spPr>
                    <a:xfrm>
                      <a:off x="0" y="0"/>
                      <a:ext cx="5907405" cy="3384550"/>
                    </a:xfrm>
                    <a:prstGeom prst="rect">
                      <a:avLst/>
                    </a:prstGeom>
                  </pic:spPr>
                </pic:pic>
              </a:graphicData>
            </a:graphic>
          </wp:inline>
        </w:drawing>
      </w:r>
      <w:r>
        <w:rPr>
          <w:rFonts w:hint="default" w:ascii="宋体" w:hAnsi="宋体" w:eastAsia="宋体" w:cs="宋体"/>
          <w:b/>
          <w:bCs/>
          <w:sz w:val="24"/>
          <w:szCs w:val="24"/>
          <w:lang w:val="en-US" w:eastAsia="zh-CN"/>
        </w:rPr>
        <w:drawing>
          <wp:inline distT="0" distB="0" distL="114300" distR="114300">
            <wp:extent cx="5907405" cy="3401060"/>
            <wp:effectExtent l="0" t="0" r="5715" b="12700"/>
            <wp:docPr id="34" name="图片 34" descr="5697fdda184e91b8c87841fff1a7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697fdda184e91b8c87841fff1a79f9"/>
                    <pic:cNvPicPr>
                      <a:picLocks noChangeAspect="1"/>
                    </pic:cNvPicPr>
                  </pic:nvPicPr>
                  <pic:blipFill>
                    <a:blip r:embed="rId16"/>
                    <a:stretch>
                      <a:fillRect/>
                    </a:stretch>
                  </pic:blipFill>
                  <pic:spPr>
                    <a:xfrm>
                      <a:off x="0" y="0"/>
                      <a:ext cx="5907405" cy="3401060"/>
                    </a:xfrm>
                    <a:prstGeom prst="rect">
                      <a:avLst/>
                    </a:prstGeom>
                  </pic:spPr>
                </pic:pic>
              </a:graphicData>
            </a:graphic>
          </wp:inline>
        </w:drawing>
      </w:r>
      <w:r>
        <w:rPr>
          <w:rFonts w:hint="default" w:ascii="宋体" w:hAnsi="宋体" w:eastAsia="宋体" w:cs="宋体"/>
          <w:b/>
          <w:bCs/>
          <w:sz w:val="24"/>
          <w:szCs w:val="24"/>
          <w:lang w:val="en-US" w:eastAsia="zh-CN"/>
        </w:rPr>
        <w:drawing>
          <wp:inline distT="0" distB="0" distL="114300" distR="114300">
            <wp:extent cx="5907405" cy="2895600"/>
            <wp:effectExtent l="0" t="0" r="5715" b="0"/>
            <wp:docPr id="35" name="图片 35" descr="b4da7a10ea004234d0d41c2b33dd453"/>
            <wp:cNvGraphicFramePr/>
            <a:graphic xmlns:a="http://schemas.openxmlformats.org/drawingml/2006/main">
              <a:graphicData uri="http://schemas.openxmlformats.org/drawingml/2006/picture">
                <pic:pic xmlns:pic="http://schemas.openxmlformats.org/drawingml/2006/picture">
                  <pic:nvPicPr>
                    <pic:cNvPr id="35" name="图片 35" descr="b4da7a10ea004234d0d41c2b33dd453"/>
                    <pic:cNvPicPr/>
                  </pic:nvPicPr>
                  <pic:blipFill>
                    <a:blip r:embed="rId17"/>
                    <a:stretch>
                      <a:fillRect/>
                    </a:stretch>
                  </pic:blipFill>
                  <pic:spPr>
                    <a:xfrm>
                      <a:off x="0" y="0"/>
                      <a:ext cx="5907405" cy="2895600"/>
                    </a:xfrm>
                    <a:prstGeom prst="rect">
                      <a:avLst/>
                    </a:prstGeom>
                  </pic:spPr>
                </pic:pic>
              </a:graphicData>
            </a:graphic>
          </wp:inline>
        </w:drawing>
      </w:r>
      <w:r>
        <w:rPr>
          <w:rFonts w:hint="default" w:ascii="宋体" w:hAnsi="宋体" w:eastAsia="宋体" w:cs="宋体"/>
          <w:b/>
          <w:bCs/>
          <w:sz w:val="24"/>
          <w:szCs w:val="24"/>
          <w:lang w:val="en-US" w:eastAsia="zh-CN"/>
        </w:rPr>
        <w:drawing>
          <wp:inline distT="0" distB="0" distL="114300" distR="114300">
            <wp:extent cx="5889625" cy="2060575"/>
            <wp:effectExtent l="0" t="0" r="8255" b="12065"/>
            <wp:docPr id="36" name="图片 36" descr="620c593d36882fb82d740d559deba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20c593d36882fb82d740d559deba6e"/>
                    <pic:cNvPicPr>
                      <a:picLocks noChangeAspect="1"/>
                    </pic:cNvPicPr>
                  </pic:nvPicPr>
                  <pic:blipFill>
                    <a:blip r:embed="rId18"/>
                    <a:srcRect r="161" b="40382"/>
                    <a:stretch>
                      <a:fillRect/>
                    </a:stretch>
                  </pic:blipFill>
                  <pic:spPr>
                    <a:xfrm>
                      <a:off x="0" y="0"/>
                      <a:ext cx="5889625" cy="2060575"/>
                    </a:xfrm>
                    <a:prstGeom prst="rect">
                      <a:avLst/>
                    </a:prstGeom>
                  </pic:spPr>
                </pic:pic>
              </a:graphicData>
            </a:graphic>
          </wp:inline>
        </w:drawing>
      </w:r>
      <w:r>
        <w:rPr>
          <w:rFonts w:hint="default" w:ascii="宋体" w:hAnsi="宋体" w:eastAsia="宋体" w:cs="宋体"/>
          <w:b/>
          <w:bCs/>
          <w:sz w:val="24"/>
          <w:szCs w:val="24"/>
          <w:lang w:val="en-US" w:eastAsia="zh-CN"/>
        </w:rPr>
        <w:drawing>
          <wp:inline distT="0" distB="0" distL="114300" distR="114300">
            <wp:extent cx="5871845" cy="1547495"/>
            <wp:effectExtent l="0" t="0" r="10795" b="6985"/>
            <wp:docPr id="52" name="图片 52" descr="620c593d36882fb82d740d559deba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620c593d36882fb82d740d559deba6e"/>
                    <pic:cNvPicPr>
                      <a:picLocks noChangeAspect="1"/>
                    </pic:cNvPicPr>
                  </pic:nvPicPr>
                  <pic:blipFill>
                    <a:blip r:embed="rId18"/>
                    <a:srcRect t="55293" r="602"/>
                    <a:stretch>
                      <a:fillRect/>
                    </a:stretch>
                  </pic:blipFill>
                  <pic:spPr>
                    <a:xfrm>
                      <a:off x="0" y="0"/>
                      <a:ext cx="5871845" cy="1547495"/>
                    </a:xfrm>
                    <a:prstGeom prst="rect">
                      <a:avLst/>
                    </a:prstGeom>
                  </pic:spPr>
                </pic:pic>
              </a:graphicData>
            </a:graphic>
          </wp:inline>
        </w:drawing>
      </w:r>
      <w:r>
        <w:rPr>
          <w:rFonts w:hint="default" w:ascii="宋体" w:hAnsi="宋体" w:eastAsia="宋体" w:cs="宋体"/>
          <w:b/>
          <w:bCs/>
          <w:sz w:val="24"/>
          <w:szCs w:val="24"/>
          <w:lang w:val="en-US" w:eastAsia="zh-CN"/>
        </w:rPr>
        <w:drawing>
          <wp:inline distT="0" distB="0" distL="114300" distR="114300">
            <wp:extent cx="5907405" cy="1696720"/>
            <wp:effectExtent l="0" t="0" r="5715" b="10160"/>
            <wp:docPr id="37" name="图片 37" descr="aa7e765b3553a2536b8523b35b829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aa7e765b3553a2536b8523b35b8296c"/>
                    <pic:cNvPicPr>
                      <a:picLocks noChangeAspect="1"/>
                    </pic:cNvPicPr>
                  </pic:nvPicPr>
                  <pic:blipFill>
                    <a:blip r:embed="rId19"/>
                    <a:stretch>
                      <a:fillRect/>
                    </a:stretch>
                  </pic:blipFill>
                  <pic:spPr>
                    <a:xfrm>
                      <a:off x="0" y="0"/>
                      <a:ext cx="5907405" cy="16967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汉口银行重庆分行（</w:t>
      </w:r>
      <w:r>
        <w:rPr>
          <w:rFonts w:hint="eastAsia" w:ascii="Arial" w:hAnsi="Arial" w:eastAsia="宋体" w:cs="Arial"/>
          <w:b/>
          <w:bCs/>
          <w:sz w:val="24"/>
          <w:szCs w:val="24"/>
          <w:lang w:val="en-US" w:eastAsia="zh-CN"/>
        </w:rPr>
        <w:t>2452）</w:t>
      </w:r>
      <w:r>
        <w:rPr>
          <w:rFonts w:hint="default" w:ascii="宋体" w:hAnsi="宋体" w:eastAsia="宋体" w:cs="宋体"/>
          <w:b/>
          <w:bCs/>
          <w:sz w:val="24"/>
          <w:szCs w:val="24"/>
          <w:lang w:val="en-US" w:eastAsia="zh-CN"/>
        </w:rPr>
        <w:drawing>
          <wp:inline distT="0" distB="0" distL="114300" distR="114300">
            <wp:extent cx="5907405" cy="2697480"/>
            <wp:effectExtent l="0" t="0" r="5715" b="0"/>
            <wp:docPr id="38" name="图片 38" descr="f6374f5f25ecd7c26b391fd3479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f6374f5f25ecd7c26b391fd34795570"/>
                    <pic:cNvPicPr>
                      <a:picLocks noChangeAspect="1"/>
                    </pic:cNvPicPr>
                  </pic:nvPicPr>
                  <pic:blipFill>
                    <a:blip r:embed="rId20"/>
                    <a:stretch>
                      <a:fillRect/>
                    </a:stretch>
                  </pic:blipFill>
                  <pic:spPr>
                    <a:xfrm>
                      <a:off x="0" y="0"/>
                      <a:ext cx="5907405" cy="2697480"/>
                    </a:xfrm>
                    <a:prstGeom prst="rect">
                      <a:avLst/>
                    </a:prstGeom>
                  </pic:spPr>
                </pic:pic>
              </a:graphicData>
            </a:graphic>
          </wp:inline>
        </w:drawing>
      </w:r>
      <w:r>
        <w:rPr>
          <w:rFonts w:hint="default" w:ascii="宋体" w:hAnsi="宋体" w:eastAsia="宋体" w:cs="宋体"/>
          <w:b/>
          <w:bCs/>
          <w:sz w:val="24"/>
          <w:szCs w:val="24"/>
          <w:lang w:val="en-US" w:eastAsia="zh-CN"/>
        </w:rPr>
        <w:drawing>
          <wp:inline distT="0" distB="0" distL="114300" distR="114300">
            <wp:extent cx="5907405" cy="2111375"/>
            <wp:effectExtent l="0" t="0" r="5715" b="6985"/>
            <wp:docPr id="39" name="图片 39" descr="ccd1aae51f38ec722a05c2da53509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cd1aae51f38ec722a05c2da535094d"/>
                    <pic:cNvPicPr>
                      <a:picLocks noChangeAspect="1"/>
                    </pic:cNvPicPr>
                  </pic:nvPicPr>
                  <pic:blipFill>
                    <a:blip r:embed="rId21"/>
                    <a:stretch>
                      <a:fillRect/>
                    </a:stretch>
                  </pic:blipFill>
                  <pic:spPr>
                    <a:xfrm>
                      <a:off x="0" y="0"/>
                      <a:ext cx="5907405" cy="2111375"/>
                    </a:xfrm>
                    <a:prstGeom prst="rect">
                      <a:avLst/>
                    </a:prstGeom>
                  </pic:spPr>
                </pic:pic>
              </a:graphicData>
            </a:graphic>
          </wp:inline>
        </w:drawing>
      </w:r>
      <w:r>
        <w:rPr>
          <w:rFonts w:hint="default" w:ascii="宋体" w:hAnsi="宋体" w:eastAsia="宋体" w:cs="宋体"/>
          <w:b/>
          <w:bCs/>
          <w:sz w:val="24"/>
          <w:szCs w:val="24"/>
          <w:lang w:val="en-US" w:eastAsia="zh-CN"/>
        </w:rPr>
        <w:drawing>
          <wp:inline distT="0" distB="0" distL="114300" distR="114300">
            <wp:extent cx="5907405" cy="1245235"/>
            <wp:effectExtent l="0" t="0" r="5715" b="4445"/>
            <wp:docPr id="40" name="图片 40" descr="e5ba4fec59042b30d65a0ac9b4f06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e5ba4fec59042b30d65a0ac9b4f06c6"/>
                    <pic:cNvPicPr>
                      <a:picLocks noChangeAspect="1"/>
                    </pic:cNvPicPr>
                  </pic:nvPicPr>
                  <pic:blipFill>
                    <a:blip r:embed="rId22"/>
                    <a:stretch>
                      <a:fillRect/>
                    </a:stretch>
                  </pic:blipFill>
                  <pic:spPr>
                    <a:xfrm>
                      <a:off x="0" y="0"/>
                      <a:ext cx="5907405" cy="12452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汉口银行重庆分行（</w:t>
      </w:r>
      <w:r>
        <w:rPr>
          <w:rFonts w:hint="eastAsia" w:ascii="Arial" w:hAnsi="Arial" w:eastAsia="宋体" w:cs="Arial"/>
          <w:b/>
          <w:bCs/>
          <w:sz w:val="24"/>
          <w:szCs w:val="24"/>
          <w:lang w:val="en-US" w:eastAsia="zh-CN"/>
        </w:rPr>
        <w:t>2601）</w:t>
      </w:r>
      <w:r>
        <w:rPr>
          <w:rFonts w:hint="eastAsia" w:ascii="宋体" w:hAnsi="宋体" w:eastAsia="宋体" w:cs="宋体"/>
          <w:b/>
          <w:bCs/>
          <w:sz w:val="24"/>
          <w:szCs w:val="24"/>
          <w:lang w:val="en-US" w:eastAsia="zh-CN"/>
        </w:rPr>
        <w:drawing>
          <wp:inline distT="0" distB="0" distL="114300" distR="114300">
            <wp:extent cx="5907405" cy="2951480"/>
            <wp:effectExtent l="0" t="0" r="5715" b="5080"/>
            <wp:docPr id="41" name="图片 41" descr="a05a80fae409b3954aff0bb7802ca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a05a80fae409b3954aff0bb7802ca6e"/>
                    <pic:cNvPicPr>
                      <a:picLocks noChangeAspect="1"/>
                    </pic:cNvPicPr>
                  </pic:nvPicPr>
                  <pic:blipFill>
                    <a:blip r:embed="rId23"/>
                    <a:stretch>
                      <a:fillRect/>
                    </a:stretch>
                  </pic:blipFill>
                  <pic:spPr>
                    <a:xfrm>
                      <a:off x="0" y="0"/>
                      <a:ext cx="5907405" cy="2951480"/>
                    </a:xfrm>
                    <a:prstGeom prst="rect">
                      <a:avLst/>
                    </a:prstGeom>
                  </pic:spPr>
                </pic:pic>
              </a:graphicData>
            </a:graphic>
          </wp:inline>
        </w:drawing>
      </w:r>
      <w:r>
        <w:rPr>
          <w:rFonts w:hint="eastAsia" w:ascii="宋体" w:hAnsi="宋体" w:eastAsia="宋体" w:cs="宋体"/>
          <w:b/>
          <w:bCs/>
          <w:sz w:val="24"/>
          <w:szCs w:val="24"/>
          <w:lang w:val="en-US" w:eastAsia="zh-CN"/>
        </w:rPr>
        <w:drawing>
          <wp:inline distT="0" distB="0" distL="114300" distR="114300">
            <wp:extent cx="5907405" cy="1055370"/>
            <wp:effectExtent l="0" t="0" r="5715" b="11430"/>
            <wp:docPr id="42" name="图片 42" descr="a1b4d40cfd7bc771ebf62f6693222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a1b4d40cfd7bc771ebf62f66932228b"/>
                    <pic:cNvPicPr>
                      <a:picLocks noChangeAspect="1"/>
                    </pic:cNvPicPr>
                  </pic:nvPicPr>
                  <pic:blipFill>
                    <a:blip r:embed="rId24"/>
                    <a:stretch>
                      <a:fillRect/>
                    </a:stretch>
                  </pic:blipFill>
                  <pic:spPr>
                    <a:xfrm>
                      <a:off x="0" y="0"/>
                      <a:ext cx="5907405" cy="10553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eastAsia" w:ascii="宋体" w:hAnsi="宋体" w:eastAsia="宋体" w:cs="宋体"/>
          <w:b/>
          <w:bCs/>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lang w:val="en-US" w:eastAsia="zh-CN"/>
        </w:rPr>
      </w:pPr>
      <w:bookmarkStart w:id="70" w:name="_Toc31760"/>
      <w:r>
        <w:rPr>
          <w:rFonts w:hint="eastAsia" w:ascii="宋体" w:hAnsi="宋体" w:eastAsia="宋体" w:cs="宋体"/>
          <w:b/>
          <w:sz w:val="24"/>
          <w:szCs w:val="24"/>
          <w:lang w:val="en-US" w:eastAsia="zh-CN"/>
        </w:rPr>
        <w:t>附件二：共管资料移交清单</w:t>
      </w:r>
      <w:bookmarkEnd w:id="70"/>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default"/>
          <w:lang w:val="en-US" w:eastAsia="zh-CN"/>
        </w:rPr>
      </w:pPr>
      <w:r>
        <w:rPr>
          <w:rFonts w:hint="eastAsia" w:ascii="宋体" w:hAnsi="宋体" w:cs="宋体"/>
          <w:b/>
          <w:sz w:val="24"/>
          <w:lang w:val="en-US" w:eastAsia="zh-CN"/>
        </w:rPr>
        <w:t>共管资料交接清单-兴业银行按揭户网银盾交接</w:t>
      </w:r>
      <w:r>
        <w:rPr>
          <w:rFonts w:hint="default"/>
          <w:lang w:val="en-US" w:eastAsia="zh-CN"/>
        </w:rPr>
        <w:drawing>
          <wp:inline distT="0" distB="0" distL="114300" distR="114300">
            <wp:extent cx="5907405" cy="3567430"/>
            <wp:effectExtent l="0" t="0" r="5715" b="13970"/>
            <wp:docPr id="31" name="图片 31" descr="2021.05.13共管资料交接清单-兴业银行按揭户网银盾交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021.05.13共管资料交接清单-兴业银行按揭户网银盾交接"/>
                    <pic:cNvPicPr>
                      <a:picLocks noChangeAspect="1"/>
                    </pic:cNvPicPr>
                  </pic:nvPicPr>
                  <pic:blipFill>
                    <a:blip r:embed="rId25"/>
                    <a:srcRect l="2194" t="14208" r="1412" b="11905"/>
                    <a:stretch>
                      <a:fillRect/>
                    </a:stretch>
                  </pic:blipFill>
                  <pic:spPr>
                    <a:xfrm>
                      <a:off x="0" y="0"/>
                      <a:ext cx="5907405" cy="35674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default" w:ascii="Arial" w:hAnsi="Arial" w:cs="Arial"/>
          <w:b/>
          <w:sz w:val="24"/>
          <w:lang w:val="en-US" w:eastAsia="zh-CN"/>
        </w:rPr>
      </w:pPr>
      <w:r>
        <w:rPr>
          <w:rFonts w:hint="eastAsia" w:ascii="Arial" w:hAnsi="Arial" w:cs="Arial"/>
          <w:b/>
          <w:sz w:val="24"/>
          <w:lang w:val="en-US" w:eastAsia="zh-CN"/>
        </w:rPr>
        <w:t>共管资料交接清单-晓岸云起2期22、23号楼，19号楼预售许可证交接清单</w:t>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pPr>
      <w:r>
        <w:drawing>
          <wp:inline distT="0" distB="0" distL="114300" distR="114300">
            <wp:extent cx="5909945" cy="3447415"/>
            <wp:effectExtent l="0" t="0" r="3175" b="12065"/>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26"/>
                    <a:srcRect l="-118" t="6537" b="10296"/>
                    <a:stretch>
                      <a:fillRect/>
                    </a:stretch>
                  </pic:blipFill>
                  <pic:spPr>
                    <a:xfrm>
                      <a:off x="0" y="0"/>
                      <a:ext cx="5909945" cy="34474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default"/>
          <w:lang w:val="en-US" w:eastAsia="zh-CN"/>
        </w:rPr>
      </w:pPr>
      <w:r>
        <w:rPr>
          <w:rFonts w:hint="eastAsia" w:ascii="Arial" w:hAnsi="Arial" w:cs="Arial"/>
          <w:b/>
          <w:sz w:val="24"/>
          <w:lang w:val="en-US" w:eastAsia="zh-CN"/>
        </w:rPr>
        <w:t>晓岸云起2期22、23号楼预售许可证</w:t>
      </w:r>
      <w:r>
        <w:rPr>
          <w:rFonts w:hint="default"/>
          <w:lang w:val="en-US" w:eastAsia="zh-CN"/>
        </w:rPr>
        <w:drawing>
          <wp:inline distT="0" distB="0" distL="114300" distR="114300">
            <wp:extent cx="5907405" cy="3996690"/>
            <wp:effectExtent l="0" t="0" r="5715" b="11430"/>
            <wp:docPr id="44" name="图片 44" descr="061b5f09252aee9d7450838158ca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061b5f09252aee9d7450838158ca092"/>
                    <pic:cNvPicPr>
                      <a:picLocks noChangeAspect="1"/>
                    </pic:cNvPicPr>
                  </pic:nvPicPr>
                  <pic:blipFill>
                    <a:blip r:embed="rId27"/>
                    <a:srcRect l="355" r="1290"/>
                    <a:stretch>
                      <a:fillRect/>
                    </a:stretch>
                  </pic:blipFill>
                  <pic:spPr>
                    <a:xfrm>
                      <a:off x="0" y="0"/>
                      <a:ext cx="5907405" cy="39966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default" w:ascii="宋体" w:hAnsi="宋体" w:cs="宋体"/>
          <w:sz w:val="24"/>
          <w:szCs w:val="24"/>
          <w:lang w:val="en-US" w:eastAsia="zh-CN"/>
        </w:rPr>
      </w:pPr>
      <w:r>
        <w:rPr>
          <w:rFonts w:hint="eastAsia" w:ascii="Arial" w:hAnsi="Arial" w:cs="Arial"/>
          <w:b/>
          <w:sz w:val="24"/>
          <w:lang w:val="en-US" w:eastAsia="zh-CN"/>
        </w:rPr>
        <w:t>晓岸云起2期19号楼预售许可证</w:t>
      </w:r>
      <w:r>
        <w:drawing>
          <wp:inline distT="0" distB="0" distL="114300" distR="114300">
            <wp:extent cx="5907405" cy="3978275"/>
            <wp:effectExtent l="0" t="0" r="5715" b="1460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28"/>
                    <a:stretch>
                      <a:fillRect/>
                    </a:stretch>
                  </pic:blipFill>
                  <pic:spPr>
                    <a:xfrm>
                      <a:off x="0" y="0"/>
                      <a:ext cx="5907405" cy="3978275"/>
                    </a:xfrm>
                    <a:prstGeom prst="rect">
                      <a:avLst/>
                    </a:prstGeom>
                    <a:noFill/>
                    <a:ln>
                      <a:noFill/>
                    </a:ln>
                  </pic:spPr>
                </pic:pic>
              </a:graphicData>
            </a:graphic>
          </wp:inline>
        </w:drawing>
      </w: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宋体" w:hAnsi="宋体" w:eastAsia="宋体" w:cs="宋体"/>
          <w:sz w:val="24"/>
          <w:szCs w:val="24"/>
          <w:lang w:val="en-US" w:eastAsia="zh-CN"/>
        </w:rPr>
      </w:pPr>
      <w:bookmarkStart w:id="71" w:name="_Toc447"/>
      <w:r>
        <w:rPr>
          <w:rFonts w:hint="eastAsia" w:ascii="宋体" w:hAnsi="宋体" w:eastAsia="宋体" w:cs="宋体"/>
          <w:sz w:val="24"/>
          <w:szCs w:val="24"/>
          <w:lang w:val="en-US" w:eastAsia="zh-CN"/>
        </w:rPr>
        <w:t>附件三：本期用印登记簿影像</w:t>
      </w:r>
      <w:bookmarkEnd w:id="71"/>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default"/>
          <w:lang w:val="en-US" w:eastAsia="zh-CN"/>
        </w:rPr>
      </w:pPr>
      <w:r>
        <w:rPr>
          <w:rStyle w:val="15"/>
          <w:rFonts w:hint="eastAsia" w:ascii="宋体" w:hAnsi="宋体" w:eastAsia="宋体" w:cs="宋体"/>
          <w:bCs w:val="0"/>
          <w:sz w:val="24"/>
          <w:szCs w:val="24"/>
          <w:lang w:val="en-US" w:eastAsia="zh-CN" w:bidi="ar-SA"/>
        </w:rPr>
        <w:t>项目公司内部用印审批登记表</w:t>
      </w:r>
      <w:bookmarkEnd w:id="50"/>
      <w:bookmarkEnd w:id="51"/>
      <w:bookmarkEnd w:id="52"/>
      <w:bookmarkEnd w:id="53"/>
      <w:r>
        <w:rPr>
          <w:rFonts w:hint="default"/>
          <w:lang w:val="en-US" w:eastAsia="zh-CN"/>
        </w:rPr>
        <w:drawing>
          <wp:inline distT="0" distB="0" distL="114300" distR="114300">
            <wp:extent cx="3093085" cy="5907405"/>
            <wp:effectExtent l="0" t="0" r="5715" b="635"/>
            <wp:docPr id="48" name="图片 48" descr="fba3dd25082949c82adca2331231d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fba3dd25082949c82adca2331231dfd"/>
                    <pic:cNvPicPr>
                      <a:picLocks noChangeAspect="1"/>
                    </pic:cNvPicPr>
                  </pic:nvPicPr>
                  <pic:blipFill>
                    <a:blip r:embed="rId29"/>
                    <a:srcRect l="9457" t="5278" r="10791" b="1526"/>
                    <a:stretch>
                      <a:fillRect/>
                    </a:stretch>
                  </pic:blipFill>
                  <pic:spPr>
                    <a:xfrm rot="16200000">
                      <a:off x="0" y="0"/>
                      <a:ext cx="3093085" cy="5907405"/>
                    </a:xfrm>
                    <a:prstGeom prst="rect">
                      <a:avLst/>
                    </a:prstGeom>
                  </pic:spPr>
                </pic:pic>
              </a:graphicData>
            </a:graphic>
          </wp:inline>
        </w:drawing>
      </w:r>
      <w:r>
        <w:rPr>
          <w:rFonts w:hint="default"/>
          <w:lang w:val="en-US" w:eastAsia="zh-CN"/>
        </w:rPr>
        <w:drawing>
          <wp:inline distT="0" distB="0" distL="114300" distR="114300">
            <wp:extent cx="2333625" cy="5907405"/>
            <wp:effectExtent l="0" t="0" r="5715" b="13335"/>
            <wp:docPr id="49" name="图片 49" descr="0fb16e5f99d91cb0f89c22acb17c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0fb16e5f99d91cb0f89c22acb17c413"/>
                    <pic:cNvPicPr>
                      <a:picLocks noChangeAspect="1"/>
                    </pic:cNvPicPr>
                  </pic:nvPicPr>
                  <pic:blipFill>
                    <a:blip r:embed="rId30"/>
                    <a:srcRect l="17433" t="5049" r="13139" b="3241"/>
                    <a:stretch>
                      <a:fillRect/>
                    </a:stretch>
                  </pic:blipFill>
                  <pic:spPr>
                    <a:xfrm rot="16200000">
                      <a:off x="0" y="0"/>
                      <a:ext cx="2333625" cy="5907405"/>
                    </a:xfrm>
                    <a:prstGeom prst="rect">
                      <a:avLst/>
                    </a:prstGeom>
                  </pic:spPr>
                </pic:pic>
              </a:graphicData>
            </a:graphic>
          </wp:inline>
        </w:drawing>
      </w:r>
      <w:r>
        <w:rPr>
          <w:rFonts w:hint="default"/>
          <w:lang w:val="en-US" w:eastAsia="zh-CN"/>
        </w:rPr>
        <w:drawing>
          <wp:inline distT="0" distB="0" distL="114300" distR="114300">
            <wp:extent cx="2345690" cy="5907405"/>
            <wp:effectExtent l="0" t="0" r="5715" b="1270"/>
            <wp:docPr id="50" name="图片 50" descr="0b470978b0385a73dd69046abf08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0b470978b0385a73dd69046abf08d97"/>
                    <pic:cNvPicPr>
                      <a:picLocks noChangeAspect="1"/>
                    </pic:cNvPicPr>
                  </pic:nvPicPr>
                  <pic:blipFill>
                    <a:blip r:embed="rId31"/>
                    <a:srcRect l="21389" t="3252" r="8510" b="2039"/>
                    <a:stretch>
                      <a:fillRect/>
                    </a:stretch>
                  </pic:blipFill>
                  <pic:spPr>
                    <a:xfrm rot="16200000">
                      <a:off x="0" y="0"/>
                      <a:ext cx="2345690" cy="5907405"/>
                    </a:xfrm>
                    <a:prstGeom prst="rect">
                      <a:avLst/>
                    </a:prstGeom>
                  </pic:spPr>
                </pic:pic>
              </a:graphicData>
            </a:graphic>
          </wp:inline>
        </w:drawing>
      </w:r>
      <w:r>
        <w:rPr>
          <w:rFonts w:hint="default"/>
          <w:lang w:val="en-US" w:eastAsia="zh-CN"/>
        </w:rPr>
        <w:drawing>
          <wp:inline distT="0" distB="0" distL="114300" distR="114300">
            <wp:extent cx="3141345" cy="5907405"/>
            <wp:effectExtent l="0" t="0" r="5715" b="13335"/>
            <wp:docPr id="51" name="图片 51" descr="f449f09e3e1602c8d30ce43513db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f449f09e3e1602c8d30ce43513db594"/>
                    <pic:cNvPicPr>
                      <a:picLocks noChangeAspect="1"/>
                    </pic:cNvPicPr>
                  </pic:nvPicPr>
                  <pic:blipFill>
                    <a:blip r:embed="rId32"/>
                    <a:srcRect l="6731" t="3373" r="6893" b="1929"/>
                    <a:stretch>
                      <a:fillRect/>
                    </a:stretch>
                  </pic:blipFill>
                  <pic:spPr>
                    <a:xfrm rot="16200000">
                      <a:off x="0" y="0"/>
                      <a:ext cx="3141345" cy="5907405"/>
                    </a:xfrm>
                    <a:prstGeom prst="rect">
                      <a:avLst/>
                    </a:prstGeom>
                  </pic:spPr>
                </pic:pic>
              </a:graphicData>
            </a:graphic>
          </wp:inline>
        </w:drawing>
      </w:r>
    </w:p>
    <w:sectPr>
      <w:headerReference r:id="rId5" w:type="default"/>
      <w:footerReference r:id="rId6" w:type="default"/>
      <w:pgSz w:w="11906" w:h="16838"/>
      <w:pgMar w:top="1843" w:right="1134" w:bottom="1134" w:left="1134" w:header="851" w:footer="850" w:gutter="340"/>
      <w:pgBorders>
        <w:top w:val="none" w:sz="0" w:space="0"/>
        <w:left w:val="none" w:sz="0" w:space="0"/>
        <w:bottom w:val="none" w:sz="0" w:space="0"/>
        <w:right w:val="none" w:sz="0" w:space="0"/>
      </w:pgBorders>
      <w:pgNumType w:fmt="decimal" w:start="1"/>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vert="horz" wrap="none" lIns="0" tIns="0" rIns="0" bIns="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FasDMHTAQAAngMAAA4AAAAAAAAAAQAgAAAAHwEA&#10;AGRycy9lMm9Eb2MueG1sUEsFBgAAAAAGAAYAWQEAAGQFAAAAAA==&#10;">
              <v:fill on="f" focussize="0,0"/>
              <v:stroke on="f"/>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default" w:ascii="宋体" w:hAnsi="宋体" w:cs="宋体"/>
        <w:lang w:val="en-US" w:eastAsia="zh-CN"/>
      </w:rPr>
    </w:pPr>
    <w:r>
      <w:rPr>
        <w:rFonts w:hint="eastAsia" w:ascii="宋体" w:hAnsi="宋体" w:cs="宋体"/>
        <w:lang w:val="en-US" w:eastAsia="zh-CN"/>
      </w:rPr>
      <w:t>2021年05月监管月报</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default" w:ascii="宋体" w:hAnsi="宋体" w:cs="宋体"/>
        <w:lang w:val="en-US" w:eastAsia="zh-CN"/>
      </w:rPr>
    </w:pPr>
    <w:r>
      <w:rPr>
        <w:rFonts w:hint="eastAsia" w:ascii="宋体" w:hAnsi="宋体" w:cs="宋体"/>
        <w:lang w:val="en-US" w:eastAsia="zh-CN"/>
      </w:rPr>
      <w:t>2021年05月监管月报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8D13609"/>
    <w:multiLevelType w:val="singleLevel"/>
    <w:tmpl w:val="48D13609"/>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5863EB"/>
    <w:rsid w:val="0A1F063D"/>
    <w:rsid w:val="0A9D7F4B"/>
    <w:rsid w:val="0E1B0E1B"/>
    <w:rsid w:val="1454095F"/>
    <w:rsid w:val="1DE336F7"/>
    <w:rsid w:val="27CE6F14"/>
    <w:rsid w:val="28073173"/>
    <w:rsid w:val="2B1A7222"/>
    <w:rsid w:val="2ED141A8"/>
    <w:rsid w:val="43D125FD"/>
    <w:rsid w:val="4FA53E89"/>
    <w:rsid w:val="507F0224"/>
    <w:rsid w:val="511A616A"/>
    <w:rsid w:val="54370247"/>
    <w:rsid w:val="55DC7AEC"/>
    <w:rsid w:val="5738359B"/>
    <w:rsid w:val="5A854F32"/>
    <w:rsid w:val="61AF46E0"/>
    <w:rsid w:val="627106E7"/>
    <w:rsid w:val="6287483D"/>
    <w:rsid w:val="6A0D3D29"/>
    <w:rsid w:val="6B773FD6"/>
    <w:rsid w:val="6C852771"/>
    <w:rsid w:val="6F4A0583"/>
    <w:rsid w:val="788415A2"/>
    <w:rsid w:val="7B2C49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1"/>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beforeAutospacing="0" w:after="260" w:afterAutospacing="0" w:line="413" w:lineRule="auto"/>
      <w:outlineLvl w:val="1"/>
    </w:pPr>
    <w:rPr>
      <w:rFonts w:ascii="Arial" w:hAnsi="Arial" w:eastAsia="黑体"/>
      <w:b/>
      <w:sz w:val="32"/>
    </w:rPr>
  </w:style>
  <w:style w:type="character" w:default="1" w:styleId="11">
    <w:name w:val="Default Paragraph Font"/>
    <w:qFormat/>
    <w:uiPriority w:val="0"/>
  </w:style>
  <w:style w:type="table" w:default="1" w:styleId="9">
    <w:name w:val="Normal Table"/>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39"/>
  </w:style>
  <w:style w:type="paragraph" w:styleId="8">
    <w:name w:val="toc 2"/>
    <w:basedOn w:val="1"/>
    <w:next w:val="1"/>
    <w:qFormat/>
    <w:uiPriority w:val="39"/>
    <w:pPr>
      <w:widowControl/>
      <w:tabs>
        <w:tab w:val="right" w:leader="dot" w:pos="8302"/>
      </w:tabs>
      <w:spacing w:after="100" w:line="300" w:lineRule="exact"/>
      <w:ind w:left="221"/>
      <w:jc w:val="left"/>
    </w:pPr>
    <w:rPr>
      <w:rFonts w:ascii="Calibri" w:hAnsi="Calibri" w:eastAsia="宋体" w:cs="Times New Roman"/>
      <w:kern w:val="0"/>
      <w:sz w:val="22"/>
      <w:szCs w:val="22"/>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qFormat/>
    <w:uiPriority w:val="99"/>
    <w:rPr>
      <w:color w:val="333333"/>
      <w:u w:val="none"/>
    </w:rPr>
  </w:style>
  <w:style w:type="paragraph" w:customStyle="1" w:styleId="13">
    <w:name w:val="WPSOffice手动目录 1"/>
    <w:qFormat/>
    <w:uiPriority w:val="0"/>
    <w:pPr>
      <w:ind w:leftChars="0"/>
    </w:pPr>
    <w:rPr>
      <w:rFonts w:ascii="Calibri" w:hAnsi="Calibri" w:eastAsia="宋体" w:cs="Times New Roman"/>
      <w:sz w:val="20"/>
      <w:szCs w:val="20"/>
    </w:rPr>
  </w:style>
  <w:style w:type="paragraph" w:customStyle="1" w:styleId="14">
    <w:name w:val="WPSOffice手动目录 2"/>
    <w:qFormat/>
    <w:uiPriority w:val="0"/>
    <w:pPr>
      <w:ind w:leftChars="200"/>
    </w:pPr>
    <w:rPr>
      <w:rFonts w:ascii="Calibri" w:hAnsi="Calibri" w:eastAsia="宋体" w:cs="Times New Roman"/>
      <w:sz w:val="20"/>
      <w:szCs w:val="20"/>
    </w:rPr>
  </w:style>
  <w:style w:type="character" w:customStyle="1" w:styleId="15">
    <w:name w:val="标题 1 字符1"/>
    <w:qFormat/>
    <w:uiPriority w:val="9"/>
    <w:rPr>
      <w:rFonts w:ascii="Times New Roman" w:hAnsi="Times New Roman" w:eastAsia="仿宋_GB2312"/>
      <w:b/>
      <w:kern w:val="44"/>
      <w:sz w:val="3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customXml" Target="../customXml/item3.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png"/><Relationship Id="rId27" Type="http://schemas.openxmlformats.org/officeDocument/2006/relationships/image" Target="media/image20.jpeg"/><Relationship Id="rId26" Type="http://schemas.openxmlformats.org/officeDocument/2006/relationships/image" Target="media/image19.png"/><Relationship Id="rId25" Type="http://schemas.openxmlformats.org/officeDocument/2006/relationships/image" Target="media/image18.jpe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f109c7-d8ca-42bd-b81a-20f16713c7fc}">
  <ds:schemaRefs/>
</ds:datastoreItem>
</file>

<file path=customXml/itemProps3.xml><?xml version="1.0" encoding="utf-8"?>
<ds:datastoreItem xmlns:ds="http://schemas.openxmlformats.org/officeDocument/2006/customXml" ds:itemID="{12384cd9-a948-494d-8cbb-8904e7027724}">
  <ds:schemaRefs/>
</ds:datastoreItem>
</file>

<file path=docProps/app.xml><?xml version="1.0" encoding="utf-8"?>
<Properties xmlns="http://schemas.openxmlformats.org/officeDocument/2006/extended-properties" xmlns:vt="http://schemas.openxmlformats.org/officeDocument/2006/docPropsVTypes">
  <Template>Normal.dotm</Template>
  <Pages>1</Pages>
  <Words>21505</Words>
  <Characters>32624</Characters>
  <Paragraphs>3389</Paragraphs>
  <TotalTime>21</TotalTime>
  <ScaleCrop>false</ScaleCrop>
  <LinksUpToDate>false</LinksUpToDate>
  <CharactersWithSpaces>33203</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2020-12-08T02:31:00Z</dcterms:created>
  <dc:creator>吃好喝好</dc:creator>
  <cp:lastModifiedBy>Never</cp:lastModifiedBy>
  <dcterms:modified xsi:type="dcterms:W3CDTF">2021-06-09T07:24:25Z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48BBDF4A0909427B9D6F7E2EF291AE63</vt:lpwstr>
  </property>
</Properties>
</file>