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关于《北京市</w:t>
      </w:r>
      <w:r w:rsidR="00DF5959">
        <w:rPr>
          <w:rFonts w:asciiTheme="minorEastAsia" w:eastAsiaTheme="minorEastAsia" w:hAnsiTheme="minorEastAsia" w:hint="eastAsia"/>
          <w:b/>
          <w:color w:val="000000"/>
          <w:sz w:val="30"/>
          <w:szCs w:val="30"/>
        </w:rPr>
        <w:t>海淀区</w:t>
      </w:r>
      <w:r>
        <w:rPr>
          <w:rFonts w:asciiTheme="minorEastAsia" w:eastAsiaTheme="minorEastAsia" w:hAnsiTheme="minorEastAsia" w:hint="eastAsia"/>
          <w:b/>
          <w:color w:val="000000"/>
          <w:sz w:val="30"/>
          <w:szCs w:val="30"/>
        </w:rPr>
        <w:t>人民法院案件【</w:t>
      </w:r>
      <w:r w:rsidR="000E63CF">
        <w:rPr>
          <w:rFonts w:asciiTheme="minorEastAsia" w:eastAsiaTheme="minorEastAsia" w:hAnsiTheme="minorEastAsia" w:hint="eastAsia"/>
          <w:b/>
          <w:color w:val="000000"/>
          <w:sz w:val="30"/>
          <w:szCs w:val="30"/>
        </w:rPr>
        <w:t>（</w:t>
      </w:r>
      <w:r w:rsidR="00DF5959" w:rsidRPr="00DF5959">
        <w:rPr>
          <w:rFonts w:asciiTheme="minorEastAsia" w:eastAsiaTheme="minorEastAsia" w:hAnsiTheme="minorEastAsia" w:hint="eastAsia"/>
          <w:b/>
          <w:color w:val="000000"/>
          <w:sz w:val="30"/>
          <w:szCs w:val="30"/>
        </w:rPr>
        <w:t>2022)京0108民初30014号</w:t>
      </w:r>
      <w:r>
        <w:rPr>
          <w:rFonts w:asciiTheme="minorEastAsia" w:eastAsiaTheme="minorEastAsia" w:hAnsiTheme="minorEastAsia" w:hint="eastAsia"/>
          <w:b/>
          <w:color w:val="000000"/>
          <w:sz w:val="30"/>
          <w:szCs w:val="30"/>
        </w:rPr>
        <w:t>】涉及的房产评估》收费说明</w:t>
      </w:r>
    </w:p>
    <w:p w:rsidR="002A7744" w:rsidRDefault="00F24E2E">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北京市</w:t>
      </w:r>
      <w:r w:rsidR="00DF5959" w:rsidRPr="00DF5959">
        <w:rPr>
          <w:rFonts w:asciiTheme="minorEastAsia" w:eastAsiaTheme="minorEastAsia" w:hAnsiTheme="minorEastAsia" w:hint="eastAsia"/>
          <w:color w:val="000000"/>
          <w:sz w:val="28"/>
          <w:szCs w:val="28"/>
        </w:rPr>
        <w:t>海淀区</w:t>
      </w:r>
      <w:r>
        <w:rPr>
          <w:rFonts w:asciiTheme="minorEastAsia" w:eastAsiaTheme="minorEastAsia" w:hAnsiTheme="minorEastAsia" w:hint="eastAsia"/>
          <w:color w:val="000000"/>
          <w:sz w:val="28"/>
          <w:szCs w:val="28"/>
        </w:rPr>
        <w:t>人民法院：</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根据贵院出具的《鉴定评估委托书》【</w:t>
      </w:r>
      <w:r w:rsidR="000E63CF" w:rsidRPr="000E63CF">
        <w:rPr>
          <w:rFonts w:ascii="Arial" w:eastAsiaTheme="minorEastAsia" w:hAnsi="Arial" w:cs="Arial" w:hint="eastAsia"/>
          <w:color w:val="000000"/>
          <w:sz w:val="28"/>
          <w:szCs w:val="28"/>
        </w:rPr>
        <w:t>（</w:t>
      </w:r>
      <w:r w:rsidR="000E63CF" w:rsidRPr="000E63CF">
        <w:rPr>
          <w:rFonts w:ascii="Arial" w:eastAsiaTheme="minorEastAsia" w:hAnsi="Arial" w:cs="Arial" w:hint="eastAsia"/>
          <w:color w:val="000000"/>
          <w:sz w:val="28"/>
          <w:szCs w:val="28"/>
        </w:rPr>
        <w:t>2022)</w:t>
      </w:r>
      <w:r w:rsidR="000E63CF" w:rsidRPr="000E63CF">
        <w:rPr>
          <w:rFonts w:ascii="Arial" w:eastAsiaTheme="minorEastAsia" w:hAnsi="Arial" w:cs="Arial" w:hint="eastAsia"/>
          <w:color w:val="000000"/>
          <w:sz w:val="28"/>
          <w:szCs w:val="28"/>
        </w:rPr>
        <w:t>京</w:t>
      </w:r>
      <w:r w:rsidR="000E63CF" w:rsidRPr="000E63CF">
        <w:rPr>
          <w:rFonts w:ascii="Arial" w:eastAsiaTheme="minorEastAsia" w:hAnsi="Arial" w:cs="Arial" w:hint="eastAsia"/>
          <w:color w:val="000000"/>
          <w:sz w:val="28"/>
          <w:szCs w:val="28"/>
        </w:rPr>
        <w:t>0108</w:t>
      </w:r>
      <w:r w:rsidR="000E63CF" w:rsidRPr="000E63CF">
        <w:rPr>
          <w:rFonts w:ascii="Arial" w:eastAsiaTheme="minorEastAsia" w:hAnsi="Arial" w:cs="Arial" w:hint="eastAsia"/>
          <w:color w:val="000000"/>
          <w:sz w:val="28"/>
          <w:szCs w:val="28"/>
        </w:rPr>
        <w:t>民初</w:t>
      </w:r>
      <w:r w:rsidR="000E63CF" w:rsidRPr="000E63CF">
        <w:rPr>
          <w:rFonts w:ascii="Arial" w:eastAsiaTheme="minorEastAsia" w:hAnsi="Arial" w:cs="Arial" w:hint="eastAsia"/>
          <w:color w:val="000000"/>
          <w:sz w:val="28"/>
          <w:szCs w:val="28"/>
        </w:rPr>
        <w:t>30014</w:t>
      </w:r>
      <w:r w:rsidR="000E63CF" w:rsidRPr="000E63CF">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DF5959" w:rsidRPr="00DF5959">
        <w:rPr>
          <w:rFonts w:ascii="Arial" w:eastAsiaTheme="minorEastAsia" w:hAnsi="Arial" w:cs="Arial"/>
          <w:color w:val="000000"/>
          <w:sz w:val="28"/>
          <w:szCs w:val="28"/>
        </w:rPr>
        <w:t>北京市海淀区西三旗花园二里</w:t>
      </w:r>
      <w:r w:rsidR="00DF5959" w:rsidRPr="00DF5959">
        <w:rPr>
          <w:rFonts w:ascii="Arial" w:eastAsiaTheme="minorEastAsia" w:hAnsi="Arial" w:cs="Arial"/>
          <w:color w:val="000000"/>
          <w:sz w:val="28"/>
          <w:szCs w:val="28"/>
        </w:rPr>
        <w:t xml:space="preserve"> 64 </w:t>
      </w:r>
      <w:r w:rsidR="00DF5959" w:rsidRPr="00DF5959">
        <w:rPr>
          <w:rFonts w:ascii="Arial" w:eastAsiaTheme="minorEastAsia" w:hAnsi="Arial" w:cs="Arial"/>
          <w:color w:val="000000"/>
          <w:sz w:val="28"/>
          <w:szCs w:val="28"/>
        </w:rPr>
        <w:t>号楼</w:t>
      </w:r>
      <w:r w:rsidR="00DF5959" w:rsidRPr="00DF5959">
        <w:rPr>
          <w:rFonts w:ascii="Arial" w:eastAsiaTheme="minorEastAsia" w:hAnsi="Arial" w:cs="Arial"/>
          <w:color w:val="000000"/>
          <w:sz w:val="28"/>
          <w:szCs w:val="28"/>
        </w:rPr>
        <w:t xml:space="preserve"> 1 </w:t>
      </w:r>
      <w:r w:rsidR="00DF5959" w:rsidRPr="00DF5959">
        <w:rPr>
          <w:rFonts w:ascii="Arial" w:eastAsiaTheme="minorEastAsia" w:hAnsi="Arial" w:cs="Arial"/>
          <w:color w:val="000000"/>
          <w:sz w:val="28"/>
          <w:szCs w:val="28"/>
        </w:rPr>
        <w:t>至</w:t>
      </w:r>
      <w:r w:rsidR="00DF5959" w:rsidRPr="00DF5959">
        <w:rPr>
          <w:rFonts w:ascii="Arial" w:eastAsiaTheme="minorEastAsia" w:hAnsi="Arial" w:cs="Arial"/>
          <w:color w:val="000000"/>
          <w:sz w:val="28"/>
          <w:szCs w:val="28"/>
        </w:rPr>
        <w:t xml:space="preserve"> 3 </w:t>
      </w:r>
      <w:r w:rsidR="00DF5959" w:rsidRPr="00DF5959">
        <w:rPr>
          <w:rFonts w:ascii="Arial" w:eastAsiaTheme="minorEastAsia" w:hAnsi="Arial" w:cs="Arial"/>
          <w:color w:val="000000"/>
          <w:sz w:val="28"/>
          <w:szCs w:val="28"/>
        </w:rPr>
        <w:t>层</w:t>
      </w:r>
      <w:r w:rsidR="00DF5959" w:rsidRPr="00DF5959">
        <w:rPr>
          <w:rFonts w:ascii="Arial" w:eastAsiaTheme="minorEastAsia" w:hAnsi="Arial" w:cs="Arial"/>
          <w:color w:val="000000"/>
          <w:sz w:val="28"/>
          <w:szCs w:val="28"/>
        </w:rPr>
        <w:t xml:space="preserve"> 64-1 </w:t>
      </w:r>
      <w:r w:rsidR="00DF5959" w:rsidRPr="00DF5959">
        <w:rPr>
          <w:rFonts w:ascii="Arial" w:eastAsiaTheme="minorEastAsia" w:hAnsi="Arial" w:cs="Arial"/>
          <w:color w:val="000000"/>
          <w:sz w:val="28"/>
          <w:szCs w:val="28"/>
        </w:rPr>
        <w:t>房屋</w:t>
      </w:r>
      <w:r w:rsidRPr="00DF5959">
        <w:rPr>
          <w:rFonts w:ascii="Arial" w:eastAsiaTheme="minorEastAsia" w:hAnsi="Arial" w:cs="Arial"/>
          <w:color w:val="000000"/>
          <w:sz w:val="28"/>
          <w:szCs w:val="28"/>
        </w:rPr>
        <w:t>于</w:t>
      </w:r>
      <w:r w:rsidR="00DF5959" w:rsidRPr="00DF5959">
        <w:rPr>
          <w:rFonts w:ascii="Arial" w:eastAsiaTheme="minorEastAsia" w:hAnsi="Arial" w:cs="Arial"/>
          <w:color w:val="000000"/>
          <w:sz w:val="28"/>
          <w:szCs w:val="28"/>
        </w:rPr>
        <w:t xml:space="preserve">2022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10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11 </w:t>
      </w:r>
      <w:r w:rsidR="00DF5959" w:rsidRPr="00DF5959">
        <w:rPr>
          <w:rFonts w:ascii="Arial" w:eastAsiaTheme="minorEastAsia" w:hAnsi="Arial" w:cs="Arial"/>
          <w:color w:val="000000"/>
          <w:sz w:val="28"/>
          <w:szCs w:val="28"/>
        </w:rPr>
        <w:t>日</w:t>
      </w:r>
      <w:r w:rsidRPr="00DF5959">
        <w:rPr>
          <w:rFonts w:ascii="Arial" w:eastAsiaTheme="minorEastAsia" w:hAnsi="Arial" w:cs="Arial"/>
          <w:color w:val="000000"/>
          <w:sz w:val="28"/>
          <w:szCs w:val="28"/>
        </w:rPr>
        <w:t>的</w:t>
      </w:r>
      <w:r w:rsidR="00A63B2B">
        <w:rPr>
          <w:rFonts w:ascii="Arial" w:eastAsiaTheme="minorEastAsia" w:hAnsi="Arial" w:cs="Arial" w:hint="eastAsia"/>
          <w:color w:val="000000"/>
          <w:sz w:val="28"/>
          <w:szCs w:val="28"/>
        </w:rPr>
        <w:t>市场</w:t>
      </w:r>
      <w:r w:rsidRPr="00DF5959">
        <w:rPr>
          <w:rFonts w:ascii="Arial" w:eastAsiaTheme="minorEastAsia" w:hAnsi="Arial" w:cs="Arial"/>
          <w:color w:val="000000"/>
          <w:sz w:val="28"/>
          <w:szCs w:val="28"/>
        </w:rPr>
        <w:t>价值</w:t>
      </w:r>
      <w:r w:rsidR="00DF5959" w:rsidRPr="00DF5959">
        <w:rPr>
          <w:rFonts w:ascii="Arial" w:eastAsiaTheme="minorEastAsia" w:hAnsi="Arial" w:cs="Arial"/>
          <w:color w:val="000000"/>
          <w:sz w:val="28"/>
          <w:szCs w:val="28"/>
        </w:rPr>
        <w:t>、北京市海淀区知春路甲</w:t>
      </w:r>
      <w:r w:rsidR="00DF5959" w:rsidRPr="00DF5959">
        <w:rPr>
          <w:rFonts w:ascii="Arial" w:eastAsiaTheme="minorEastAsia" w:hAnsi="Arial" w:cs="Arial"/>
          <w:color w:val="000000"/>
          <w:sz w:val="28"/>
          <w:szCs w:val="28"/>
        </w:rPr>
        <w:t xml:space="preserve">48 </w:t>
      </w:r>
      <w:r w:rsidR="00DF5959" w:rsidRPr="00DF5959">
        <w:rPr>
          <w:rFonts w:ascii="Arial" w:eastAsiaTheme="minorEastAsia" w:hAnsi="Arial" w:cs="Arial"/>
          <w:color w:val="000000"/>
          <w:sz w:val="28"/>
          <w:szCs w:val="28"/>
        </w:rPr>
        <w:t>号</w:t>
      </w:r>
      <w:r w:rsidR="00DF5959" w:rsidRPr="00DF5959">
        <w:rPr>
          <w:rFonts w:ascii="Arial" w:eastAsiaTheme="minorEastAsia" w:hAnsi="Arial" w:cs="Arial"/>
          <w:color w:val="000000"/>
          <w:sz w:val="28"/>
          <w:szCs w:val="28"/>
        </w:rPr>
        <w:t xml:space="preserve"> 1 </w:t>
      </w:r>
      <w:r w:rsidR="00DF5959" w:rsidRPr="00DF5959">
        <w:rPr>
          <w:rFonts w:ascii="Arial" w:eastAsiaTheme="minorEastAsia" w:hAnsi="Arial" w:cs="Arial"/>
          <w:color w:val="000000"/>
          <w:sz w:val="28"/>
          <w:szCs w:val="28"/>
        </w:rPr>
        <w:t>号楼</w:t>
      </w:r>
      <w:r w:rsidR="00DF5959" w:rsidRPr="00DF5959">
        <w:rPr>
          <w:rFonts w:ascii="Arial" w:eastAsiaTheme="minorEastAsia" w:hAnsi="Arial" w:cs="Arial"/>
          <w:color w:val="000000"/>
          <w:sz w:val="28"/>
          <w:szCs w:val="28"/>
        </w:rPr>
        <w:t xml:space="preserve"> 15 </w:t>
      </w:r>
      <w:r w:rsidR="00DF5959" w:rsidRPr="00DF5959">
        <w:rPr>
          <w:rFonts w:ascii="Arial" w:eastAsiaTheme="minorEastAsia" w:hAnsi="Arial" w:cs="Arial"/>
          <w:color w:val="000000"/>
          <w:sz w:val="28"/>
          <w:szCs w:val="28"/>
        </w:rPr>
        <w:t>层</w:t>
      </w:r>
      <w:r w:rsidR="00DF5959" w:rsidRPr="00DF5959">
        <w:rPr>
          <w:rFonts w:ascii="Arial" w:eastAsiaTheme="minorEastAsia" w:hAnsi="Arial" w:cs="Arial"/>
          <w:color w:val="000000"/>
          <w:sz w:val="28"/>
          <w:szCs w:val="28"/>
        </w:rPr>
        <w:t xml:space="preserve"> 18B </w:t>
      </w:r>
      <w:r w:rsidR="00DF5959" w:rsidRPr="00DF5959">
        <w:rPr>
          <w:rFonts w:ascii="Arial" w:eastAsiaTheme="minorEastAsia" w:hAnsi="Arial" w:cs="Arial"/>
          <w:color w:val="000000"/>
          <w:sz w:val="28"/>
          <w:szCs w:val="28"/>
        </w:rPr>
        <w:t>的房屋</w:t>
      </w:r>
      <w:r w:rsidR="00DF5959" w:rsidRPr="00DF5959">
        <w:rPr>
          <w:rFonts w:ascii="Arial" w:eastAsiaTheme="minorEastAsia" w:hAnsi="Arial" w:cs="Arial"/>
          <w:color w:val="000000"/>
          <w:sz w:val="28"/>
          <w:szCs w:val="28"/>
        </w:rPr>
        <w:t xml:space="preserve"> 2016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7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7 </w:t>
      </w:r>
      <w:r w:rsidR="00DF5959" w:rsidRPr="00DF5959">
        <w:rPr>
          <w:rFonts w:ascii="Arial" w:eastAsiaTheme="minorEastAsia" w:hAnsi="Arial" w:cs="Arial"/>
          <w:color w:val="000000"/>
          <w:sz w:val="28"/>
          <w:szCs w:val="28"/>
        </w:rPr>
        <w:t>日至</w:t>
      </w:r>
      <w:r w:rsidR="00DF5959" w:rsidRPr="00DF5959">
        <w:rPr>
          <w:rFonts w:ascii="Arial" w:eastAsiaTheme="minorEastAsia" w:hAnsi="Arial" w:cs="Arial"/>
          <w:color w:val="000000"/>
          <w:sz w:val="28"/>
          <w:szCs w:val="28"/>
        </w:rPr>
        <w:t xml:space="preserve"> 2022 </w:t>
      </w:r>
      <w:r w:rsidR="00DF5959" w:rsidRPr="00DF5959">
        <w:rPr>
          <w:rFonts w:ascii="Arial" w:eastAsiaTheme="minorEastAsia" w:hAnsi="Arial" w:cs="Arial"/>
          <w:color w:val="000000"/>
          <w:sz w:val="28"/>
          <w:szCs w:val="28"/>
        </w:rPr>
        <w:t>年</w:t>
      </w:r>
      <w:r w:rsidR="00DF5959" w:rsidRPr="00DF5959">
        <w:rPr>
          <w:rFonts w:ascii="Arial" w:eastAsiaTheme="minorEastAsia" w:hAnsi="Arial" w:cs="Arial"/>
          <w:color w:val="000000"/>
          <w:sz w:val="28"/>
          <w:szCs w:val="28"/>
        </w:rPr>
        <w:t xml:space="preserve"> 10 </w:t>
      </w:r>
      <w:r w:rsidR="00DF5959" w:rsidRPr="00DF5959">
        <w:rPr>
          <w:rFonts w:ascii="Arial" w:eastAsiaTheme="minorEastAsia" w:hAnsi="Arial" w:cs="Arial"/>
          <w:color w:val="000000"/>
          <w:sz w:val="28"/>
          <w:szCs w:val="28"/>
        </w:rPr>
        <w:t>月</w:t>
      </w:r>
      <w:r w:rsidR="00DF5959" w:rsidRPr="00DF5959">
        <w:rPr>
          <w:rFonts w:ascii="Arial" w:eastAsiaTheme="minorEastAsia" w:hAnsi="Arial" w:cs="Arial"/>
          <w:color w:val="000000"/>
          <w:sz w:val="28"/>
          <w:szCs w:val="28"/>
        </w:rPr>
        <w:t xml:space="preserve"> 11 </w:t>
      </w:r>
      <w:r w:rsidR="00DF5959" w:rsidRPr="00DF5959">
        <w:rPr>
          <w:rFonts w:ascii="Arial" w:eastAsiaTheme="minorEastAsia" w:hAnsi="Arial" w:cs="Arial"/>
          <w:color w:val="000000"/>
          <w:sz w:val="28"/>
          <w:szCs w:val="28"/>
        </w:rPr>
        <w:t>日期间的租金</w:t>
      </w:r>
      <w:r w:rsidR="00A63B2B">
        <w:rPr>
          <w:rFonts w:ascii="Arial" w:eastAsiaTheme="minorEastAsia" w:hAnsi="Arial" w:cs="Arial" w:hint="eastAsia"/>
          <w:color w:val="000000"/>
          <w:sz w:val="28"/>
          <w:szCs w:val="28"/>
        </w:rPr>
        <w:t>、</w:t>
      </w:r>
      <w:r w:rsidR="00A63B2B" w:rsidRPr="00DF5959">
        <w:rPr>
          <w:rFonts w:ascii="Arial" w:eastAsiaTheme="minorEastAsia" w:hAnsi="Arial" w:cs="Arial"/>
          <w:color w:val="000000"/>
          <w:sz w:val="28"/>
          <w:szCs w:val="28"/>
        </w:rPr>
        <w:t>北京市海淀区知春路甲</w:t>
      </w:r>
      <w:r w:rsidR="00A63B2B" w:rsidRPr="00DF5959">
        <w:rPr>
          <w:rFonts w:ascii="Arial" w:eastAsiaTheme="minorEastAsia" w:hAnsi="Arial" w:cs="Arial"/>
          <w:color w:val="000000"/>
          <w:sz w:val="28"/>
          <w:szCs w:val="28"/>
        </w:rPr>
        <w:t xml:space="preserve">48 </w:t>
      </w:r>
      <w:r w:rsidR="00A63B2B" w:rsidRPr="00DF5959">
        <w:rPr>
          <w:rFonts w:ascii="Arial" w:eastAsiaTheme="minorEastAsia" w:hAnsi="Arial" w:cs="Arial"/>
          <w:color w:val="000000"/>
          <w:sz w:val="28"/>
          <w:szCs w:val="28"/>
        </w:rPr>
        <w:t>号</w:t>
      </w:r>
      <w:r w:rsidR="00A63B2B" w:rsidRPr="00DF5959">
        <w:rPr>
          <w:rFonts w:ascii="Arial" w:eastAsiaTheme="minorEastAsia" w:hAnsi="Arial" w:cs="Arial"/>
          <w:color w:val="000000"/>
          <w:sz w:val="28"/>
          <w:szCs w:val="28"/>
        </w:rPr>
        <w:t xml:space="preserve"> 1 </w:t>
      </w:r>
      <w:r w:rsidR="00A63B2B" w:rsidRPr="00DF5959">
        <w:rPr>
          <w:rFonts w:ascii="Arial" w:eastAsiaTheme="minorEastAsia" w:hAnsi="Arial" w:cs="Arial"/>
          <w:color w:val="000000"/>
          <w:sz w:val="28"/>
          <w:szCs w:val="28"/>
        </w:rPr>
        <w:t>号楼</w:t>
      </w:r>
      <w:r w:rsidR="00A63B2B" w:rsidRPr="00DF5959">
        <w:rPr>
          <w:rFonts w:ascii="Arial" w:eastAsiaTheme="minorEastAsia" w:hAnsi="Arial" w:cs="Arial"/>
          <w:color w:val="000000"/>
          <w:sz w:val="28"/>
          <w:szCs w:val="28"/>
        </w:rPr>
        <w:t xml:space="preserve"> 15 </w:t>
      </w:r>
      <w:r w:rsidR="00A63B2B" w:rsidRPr="00DF5959">
        <w:rPr>
          <w:rFonts w:ascii="Arial" w:eastAsiaTheme="minorEastAsia" w:hAnsi="Arial" w:cs="Arial"/>
          <w:color w:val="000000"/>
          <w:sz w:val="28"/>
          <w:szCs w:val="28"/>
        </w:rPr>
        <w:t>层</w:t>
      </w:r>
      <w:r w:rsidR="00A63B2B" w:rsidRPr="00DF5959">
        <w:rPr>
          <w:rFonts w:ascii="Arial" w:eastAsiaTheme="minorEastAsia" w:hAnsi="Arial" w:cs="Arial"/>
          <w:color w:val="000000"/>
          <w:sz w:val="28"/>
          <w:szCs w:val="28"/>
        </w:rPr>
        <w:t xml:space="preserve"> 18B</w:t>
      </w:r>
      <w:r w:rsidR="00A63B2B">
        <w:rPr>
          <w:rFonts w:ascii="Arial" w:eastAsiaTheme="minorEastAsia" w:hAnsi="Arial" w:cs="Arial" w:hint="eastAsia"/>
          <w:color w:val="000000"/>
          <w:sz w:val="28"/>
          <w:szCs w:val="28"/>
        </w:rPr>
        <w:t>房屋于</w:t>
      </w:r>
      <w:r w:rsidR="00A63B2B">
        <w:rPr>
          <w:rFonts w:ascii="Arial" w:eastAsiaTheme="minorEastAsia" w:hAnsi="Arial" w:cs="Arial" w:hint="eastAsia"/>
          <w:color w:val="000000"/>
          <w:sz w:val="28"/>
          <w:szCs w:val="28"/>
        </w:rPr>
        <w:t>2</w:t>
      </w:r>
      <w:r w:rsidR="00A63B2B">
        <w:rPr>
          <w:rFonts w:ascii="Arial" w:eastAsiaTheme="minorEastAsia" w:hAnsi="Arial" w:cs="Arial"/>
          <w:color w:val="000000"/>
          <w:sz w:val="28"/>
          <w:szCs w:val="28"/>
        </w:rPr>
        <w:t>022</w:t>
      </w:r>
      <w:r w:rsidR="00A63B2B">
        <w:rPr>
          <w:rFonts w:ascii="Arial" w:eastAsiaTheme="minorEastAsia" w:hAnsi="Arial" w:cs="Arial" w:hint="eastAsia"/>
          <w:color w:val="000000"/>
          <w:sz w:val="28"/>
          <w:szCs w:val="28"/>
        </w:rPr>
        <w:t>年</w:t>
      </w:r>
      <w:r w:rsidR="00A63B2B">
        <w:rPr>
          <w:rFonts w:ascii="Arial" w:eastAsiaTheme="minorEastAsia" w:hAnsi="Arial" w:cs="Arial" w:hint="eastAsia"/>
          <w:color w:val="000000"/>
          <w:sz w:val="28"/>
          <w:szCs w:val="28"/>
        </w:rPr>
        <w:t>1</w:t>
      </w:r>
      <w:r w:rsidR="00A63B2B">
        <w:rPr>
          <w:rFonts w:ascii="Arial" w:eastAsiaTheme="minorEastAsia" w:hAnsi="Arial" w:cs="Arial"/>
          <w:color w:val="000000"/>
          <w:sz w:val="28"/>
          <w:szCs w:val="28"/>
        </w:rPr>
        <w:t>0</w:t>
      </w:r>
      <w:r w:rsidR="00A63B2B">
        <w:rPr>
          <w:rFonts w:ascii="Arial" w:eastAsiaTheme="minorEastAsia" w:hAnsi="Arial" w:cs="Arial" w:hint="eastAsia"/>
          <w:color w:val="000000"/>
          <w:sz w:val="28"/>
          <w:szCs w:val="28"/>
        </w:rPr>
        <w:t>月</w:t>
      </w:r>
      <w:r w:rsidR="00A63B2B">
        <w:rPr>
          <w:rFonts w:ascii="Arial" w:eastAsiaTheme="minorEastAsia" w:hAnsi="Arial" w:cs="Arial" w:hint="eastAsia"/>
          <w:color w:val="000000"/>
          <w:sz w:val="28"/>
          <w:szCs w:val="28"/>
        </w:rPr>
        <w:t>1</w:t>
      </w:r>
      <w:r w:rsidR="00A63B2B">
        <w:rPr>
          <w:rFonts w:ascii="Arial" w:eastAsiaTheme="minorEastAsia" w:hAnsi="Arial" w:cs="Arial"/>
          <w:color w:val="000000"/>
          <w:sz w:val="28"/>
          <w:szCs w:val="28"/>
        </w:rPr>
        <w:t>1</w:t>
      </w:r>
      <w:r w:rsidR="00A63B2B">
        <w:rPr>
          <w:rFonts w:ascii="Arial" w:eastAsiaTheme="minorEastAsia" w:hAnsi="Arial" w:cs="Arial" w:hint="eastAsia"/>
          <w:color w:val="000000"/>
          <w:sz w:val="28"/>
          <w:szCs w:val="28"/>
        </w:rPr>
        <w:t>日的市场价值</w:t>
      </w:r>
      <w:r w:rsidRPr="00DF5959">
        <w:rPr>
          <w:rFonts w:ascii="Arial" w:eastAsiaTheme="minorEastAsia" w:hAnsi="Arial" w:cs="Arial"/>
          <w:color w:val="000000"/>
          <w:sz w:val="28"/>
          <w:szCs w:val="28"/>
        </w:rPr>
        <w:t>进行鉴定。</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bookmarkStart w:id="1" w:name="_GoBack"/>
        <w:bookmarkEnd w:id="1"/>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测算，</w:t>
      </w:r>
      <w:r w:rsidR="00A63B2B">
        <w:rPr>
          <w:rFonts w:asciiTheme="minorEastAsia" w:eastAsiaTheme="minorEastAsia" w:hAnsiTheme="minorEastAsia" w:hint="eastAsia"/>
          <w:color w:val="000000"/>
          <w:sz w:val="28"/>
          <w:szCs w:val="28"/>
        </w:rPr>
        <w:t>该项目应收费1</w:t>
      </w:r>
      <w:r w:rsidR="00A63B2B">
        <w:rPr>
          <w:rFonts w:asciiTheme="minorEastAsia" w:eastAsiaTheme="minorEastAsia" w:hAnsiTheme="minorEastAsia"/>
          <w:color w:val="000000"/>
          <w:sz w:val="28"/>
          <w:szCs w:val="28"/>
        </w:rPr>
        <w:t>62275</w:t>
      </w:r>
      <w:r w:rsidR="00A63B2B">
        <w:rPr>
          <w:rFonts w:asciiTheme="minorEastAsia" w:eastAsiaTheme="minorEastAsia" w:hAnsiTheme="minorEastAsia" w:hint="eastAsia"/>
          <w:color w:val="000000"/>
          <w:sz w:val="28"/>
          <w:szCs w:val="28"/>
        </w:rPr>
        <w:t>元（大写：壹拾陆万贰仟贰佰柒拾伍元整），已</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DF5959">
        <w:rPr>
          <w:rFonts w:asciiTheme="minorEastAsia" w:eastAsiaTheme="minorEastAsia" w:hAnsiTheme="minorEastAsia"/>
          <w:color w:val="000000"/>
          <w:sz w:val="28"/>
          <w:szCs w:val="28"/>
        </w:rPr>
        <w:t>128500</w:t>
      </w:r>
      <w:r>
        <w:rPr>
          <w:rFonts w:asciiTheme="minorEastAsia" w:eastAsiaTheme="minorEastAsia" w:hAnsiTheme="minorEastAsia" w:hint="eastAsia"/>
          <w:color w:val="000000"/>
          <w:sz w:val="28"/>
          <w:szCs w:val="28"/>
        </w:rPr>
        <w:t>元（大写：人民币</w:t>
      </w:r>
      <w:r w:rsidR="000E63CF">
        <w:rPr>
          <w:rFonts w:asciiTheme="minorEastAsia" w:eastAsiaTheme="minorEastAsia" w:hAnsiTheme="minorEastAsia" w:hint="eastAsia"/>
          <w:color w:val="000000"/>
          <w:sz w:val="28"/>
          <w:szCs w:val="28"/>
        </w:rPr>
        <w:t>壹拾贰万捌仟伍佰</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，根据最终的评估值</w:t>
      </w:r>
      <w:r w:rsidR="00A63B2B">
        <w:rPr>
          <w:rFonts w:asciiTheme="minorEastAsia" w:eastAsiaTheme="minorEastAsia" w:hAnsiTheme="minorEastAsia" w:hint="eastAsia"/>
          <w:color w:val="000000"/>
          <w:sz w:val="28"/>
          <w:szCs w:val="28"/>
        </w:rPr>
        <w:t>，需补缴评估费3</w:t>
      </w:r>
      <w:r w:rsidR="00A63B2B">
        <w:rPr>
          <w:rFonts w:asciiTheme="minorEastAsia" w:eastAsiaTheme="minorEastAsia" w:hAnsiTheme="minorEastAsia"/>
          <w:color w:val="000000"/>
          <w:sz w:val="28"/>
          <w:szCs w:val="28"/>
        </w:rPr>
        <w:t>3775</w:t>
      </w:r>
      <w:r w:rsidR="00A63B2B">
        <w:rPr>
          <w:rFonts w:asciiTheme="minorEastAsia" w:eastAsiaTheme="minorEastAsia" w:hAnsiTheme="minorEastAsia" w:hint="eastAsia"/>
          <w:color w:val="000000"/>
          <w:sz w:val="28"/>
          <w:szCs w:val="28"/>
        </w:rPr>
        <w:t>元（大写：叁万叁仟柒佰柒拾伍元整）</w:t>
      </w:r>
      <w:r>
        <w:rPr>
          <w:rFonts w:asciiTheme="minorEastAsia" w:eastAsiaTheme="minorEastAsia" w:hAnsiTheme="minorEastAsia"/>
          <w:color w:val="000000"/>
          <w:sz w:val="28"/>
          <w:szCs w:val="28"/>
        </w:rPr>
        <w:t>。</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w:t>
      </w:r>
      <w:proofErr w:type="gramStart"/>
      <w:r>
        <w:rPr>
          <w:rFonts w:asciiTheme="minorEastAsia" w:eastAsiaTheme="minorEastAsia" w:hAnsiTheme="minorEastAsia" w:hint="eastAsia"/>
          <w:color w:val="000000"/>
          <w:sz w:val="28"/>
          <w:szCs w:val="28"/>
        </w:rPr>
        <w:t>个</w:t>
      </w:r>
      <w:proofErr w:type="gramEnd"/>
      <w:r>
        <w:rPr>
          <w:rFonts w:asciiTheme="minorEastAsia" w:eastAsiaTheme="minorEastAsia" w:hAnsiTheme="minorEastAsia" w:hint="eastAsia"/>
          <w:color w:val="000000"/>
          <w:sz w:val="28"/>
          <w:szCs w:val="28"/>
        </w:rPr>
        <w:t>叠加。</w:t>
      </w: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2A7744" w:rsidRDefault="00F24E2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202</w:t>
      </w:r>
      <w:r w:rsidR="00A63B2B">
        <w:rPr>
          <w:rFonts w:asciiTheme="minorEastAsia" w:eastAsiaTheme="minorEastAsia" w:hAnsiTheme="minorEastAsia"/>
          <w:b/>
          <w:color w:val="000000"/>
          <w:sz w:val="30"/>
          <w:szCs w:val="30"/>
        </w:rPr>
        <w:t>3</w:t>
      </w:r>
      <w:r>
        <w:rPr>
          <w:rFonts w:asciiTheme="minorEastAsia" w:eastAsiaTheme="minorEastAsia" w:hAnsiTheme="minorEastAsia" w:hint="eastAsia"/>
          <w:b/>
          <w:color w:val="000000"/>
          <w:sz w:val="30"/>
          <w:szCs w:val="30"/>
        </w:rPr>
        <w:t>年</w:t>
      </w:r>
      <w:r w:rsidR="00A63B2B">
        <w:rPr>
          <w:rFonts w:asciiTheme="minorEastAsia" w:eastAsiaTheme="minorEastAsia" w:hAnsiTheme="minorEastAsia"/>
          <w:b/>
          <w:color w:val="000000"/>
          <w:sz w:val="30"/>
          <w:szCs w:val="30"/>
        </w:rPr>
        <w:t>3</w:t>
      </w:r>
      <w:r>
        <w:rPr>
          <w:rFonts w:asciiTheme="minorEastAsia" w:eastAsiaTheme="minorEastAsia" w:hAnsiTheme="minorEastAsia" w:hint="eastAsia"/>
          <w:b/>
          <w:color w:val="000000"/>
          <w:sz w:val="30"/>
          <w:szCs w:val="30"/>
        </w:rPr>
        <w:t>月</w:t>
      </w:r>
      <w:r w:rsidR="00A63B2B">
        <w:rPr>
          <w:rFonts w:asciiTheme="minorEastAsia" w:eastAsiaTheme="minorEastAsia" w:hAnsiTheme="minorEastAsia"/>
          <w:b/>
          <w:color w:val="000000"/>
          <w:sz w:val="30"/>
          <w:szCs w:val="30"/>
        </w:rPr>
        <w:t>21</w:t>
      </w:r>
      <w:r>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spacing w:val="4"/>
          <w:kern w:val="0"/>
          <w:sz w:val="28"/>
          <w:szCs w:val="28"/>
        </w:rPr>
      </w:pPr>
      <w:proofErr w:type="gramStart"/>
      <w:r>
        <w:rPr>
          <w:rFonts w:asciiTheme="minorEastAsia" w:eastAsiaTheme="minorEastAsia" w:hAnsiTheme="minorEastAsia" w:hint="eastAsia"/>
          <w:b/>
          <w:color w:val="000000"/>
          <w:sz w:val="30"/>
          <w:szCs w:val="30"/>
        </w:rPr>
        <w:t>北京康正宏</w:t>
      </w:r>
      <w:proofErr w:type="gramEnd"/>
      <w:r>
        <w:rPr>
          <w:rFonts w:asciiTheme="minorEastAsia" w:eastAsiaTheme="minorEastAsia" w:hAnsiTheme="minorEastAsia" w:hint="eastAsia"/>
          <w:b/>
          <w:color w:val="000000"/>
          <w:sz w:val="30"/>
          <w:szCs w:val="30"/>
        </w:rPr>
        <w:t>基房地产评估有限公司</w:t>
      </w:r>
    </w:p>
    <w:sectPr w:rsidR="00FA397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64A" w:rsidRDefault="00EB664A">
      <w:r>
        <w:separator/>
      </w:r>
    </w:p>
  </w:endnote>
  <w:endnote w:type="continuationSeparator" w:id="0">
    <w:p w:rsidR="00EB664A" w:rsidRDefault="00EB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64A" w:rsidRDefault="00EB664A">
      <w:r>
        <w:separator/>
      </w:r>
    </w:p>
  </w:footnote>
  <w:footnote w:type="continuationSeparator" w:id="0">
    <w:p w:rsidR="00EB664A" w:rsidRDefault="00EB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367FD"/>
    <w:rsid w:val="00A60257"/>
    <w:rsid w:val="00A6332A"/>
    <w:rsid w:val="00A63B2B"/>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74E37"/>
    <w:rsid w:val="00EA6622"/>
    <w:rsid w:val="00EB4B2E"/>
    <w:rsid w:val="00EB664A"/>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D3300"/>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7273-3F5B-4946-B6BA-27CD886B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120</Words>
  <Characters>686</Characters>
  <Application>Microsoft Office Word</Application>
  <DocSecurity>0</DocSecurity>
  <Lines>5</Lines>
  <Paragraphs>1</Paragraphs>
  <ScaleCrop>false</ScaleCrop>
  <Company>jia</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Windows User</cp:lastModifiedBy>
  <cp:revision>16</cp:revision>
  <cp:lastPrinted>2022-01-12T01:29:00Z</cp:lastPrinted>
  <dcterms:created xsi:type="dcterms:W3CDTF">2020-12-11T02:04:00Z</dcterms:created>
  <dcterms:modified xsi:type="dcterms:W3CDTF">2023-03-21T01:43:00Z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