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AD04EF" w:rsidP="00465FE6">
      <w:pPr>
        <w:spacing w:line="360" w:lineRule="auto"/>
        <w:jc w:val="center"/>
        <w:rPr>
          <w:rFonts w:ascii="楷体_GB2312" w:eastAsia="楷体_GB2312" w:hAnsi="宋体" w:cs="楷体_GB2312"/>
          <w:b/>
          <w:bCs/>
          <w:color w:val="000000"/>
          <w:sz w:val="48"/>
          <w:szCs w:val="48"/>
        </w:rPr>
      </w:pPr>
      <w:r w:rsidRPr="00B70EE2">
        <w:rPr>
          <w:rFonts w:ascii="楷体_GB2312" w:eastAsia="楷体_GB2312" w:hAnsi="宋体" w:cs="楷体_GB2312" w:hint="eastAsia"/>
          <w:b/>
          <w:bCs/>
          <w:color w:val="000000"/>
          <w:sz w:val="48"/>
          <w:szCs w:val="48"/>
        </w:rPr>
        <w:t>大连粮贸粮食储备库有限公司</w:t>
      </w:r>
    </w:p>
    <w:p w:rsidR="00AD04EF" w:rsidRPr="00B70EE2" w:rsidRDefault="00AD04EF" w:rsidP="00465FE6">
      <w:pPr>
        <w:spacing w:line="360" w:lineRule="auto"/>
        <w:jc w:val="center"/>
        <w:rPr>
          <w:rFonts w:ascii="楷体_GB2312" w:eastAsia="楷体_GB2312" w:hAnsi="宋体" w:cs="楷体_GB2312"/>
          <w:b/>
          <w:bCs/>
          <w:color w:val="000000"/>
          <w:sz w:val="48"/>
          <w:szCs w:val="48"/>
        </w:rPr>
      </w:pPr>
    </w:p>
    <w:p w:rsidR="00931922" w:rsidRPr="00B70EE2" w:rsidRDefault="00AE12BD" w:rsidP="00465FE6">
      <w:pPr>
        <w:spacing w:line="360" w:lineRule="auto"/>
        <w:jc w:val="center"/>
        <w:rPr>
          <w:rFonts w:ascii="楷体_GB2312" w:eastAsia="楷体_GB2312" w:hAnsi="宋体"/>
          <w:b/>
          <w:bCs/>
          <w:color w:val="000000"/>
          <w:sz w:val="48"/>
          <w:szCs w:val="48"/>
        </w:rPr>
      </w:pPr>
      <w:r w:rsidRPr="00B70EE2">
        <w:rPr>
          <w:rFonts w:ascii="楷体_GB2312" w:eastAsia="楷体_GB2312" w:hAnsi="宋体" w:cs="楷体_GB2312" w:hint="eastAsia"/>
          <w:b/>
          <w:bCs/>
          <w:color w:val="000000"/>
          <w:sz w:val="48"/>
          <w:szCs w:val="48"/>
        </w:rPr>
        <w:t>评估</w:t>
      </w:r>
      <w:r w:rsidR="00931922" w:rsidRPr="00B70EE2">
        <w:rPr>
          <w:rFonts w:ascii="楷体_GB2312" w:eastAsia="楷体_GB2312" w:hAnsi="宋体" w:cs="楷体_GB2312" w:hint="eastAsia"/>
          <w:b/>
          <w:bCs/>
          <w:color w:val="000000"/>
          <w:sz w:val="48"/>
          <w:szCs w:val="48"/>
        </w:rPr>
        <w:t>报价确认函</w:t>
      </w: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pacing w:line="470" w:lineRule="exact"/>
        <w:jc w:val="center"/>
        <w:rPr>
          <w:rFonts w:ascii="楷体_GB2312" w:eastAsia="楷体_GB2312" w:hAnsi="宋体"/>
          <w:b/>
          <w:bCs/>
          <w:color w:val="000000"/>
          <w:sz w:val="48"/>
          <w:szCs w:val="48"/>
        </w:rPr>
      </w:pPr>
    </w:p>
    <w:p w:rsidR="00931922" w:rsidRPr="00B70EE2" w:rsidRDefault="00931922" w:rsidP="00931922">
      <w:pPr>
        <w:snapToGrid w:val="0"/>
        <w:spacing w:line="360" w:lineRule="auto"/>
        <w:rPr>
          <w:rFonts w:ascii="楷体_GB2312" w:eastAsia="楷体_GB2312" w:hAnsi="Arial"/>
          <w:b/>
          <w:bCs/>
          <w:sz w:val="28"/>
          <w:szCs w:val="28"/>
        </w:rPr>
      </w:pPr>
      <w:r w:rsidRPr="00B70EE2">
        <w:rPr>
          <w:rFonts w:ascii="楷体_GB2312" w:eastAsia="楷体_GB2312" w:hAnsi="Arial" w:cs="楷体_GB2312" w:hint="eastAsia"/>
          <w:b/>
          <w:bCs/>
          <w:sz w:val="28"/>
          <w:szCs w:val="28"/>
        </w:rPr>
        <w:t>投标单位名称：</w:t>
      </w:r>
      <w:proofErr w:type="gramStart"/>
      <w:r w:rsidRPr="00B70EE2">
        <w:rPr>
          <w:rFonts w:ascii="楷体_GB2312" w:eastAsia="楷体_GB2312" w:hAnsi="Arial" w:cs="楷体_GB2312" w:hint="eastAsia"/>
          <w:b/>
          <w:bCs/>
          <w:sz w:val="28"/>
          <w:szCs w:val="28"/>
        </w:rPr>
        <w:t>北京康正宏</w:t>
      </w:r>
      <w:proofErr w:type="gramEnd"/>
      <w:r w:rsidRPr="00B70EE2">
        <w:rPr>
          <w:rFonts w:ascii="楷体_GB2312" w:eastAsia="楷体_GB2312" w:hAnsi="Arial" w:cs="楷体_GB2312" w:hint="eastAsia"/>
          <w:b/>
          <w:bCs/>
          <w:sz w:val="28"/>
          <w:szCs w:val="28"/>
        </w:rPr>
        <w:t>基房地产评估有限公司</w:t>
      </w:r>
    </w:p>
    <w:p w:rsidR="00931922" w:rsidRPr="00B70EE2" w:rsidRDefault="00931922" w:rsidP="005321E3">
      <w:pPr>
        <w:spacing w:line="360" w:lineRule="auto"/>
        <w:ind w:left="1405" w:hangingChars="500" w:hanging="1405"/>
        <w:rPr>
          <w:rFonts w:ascii="楷体_GB2312" w:eastAsia="楷体_GB2312" w:hAnsi="Arial"/>
          <w:b/>
          <w:bCs/>
          <w:sz w:val="28"/>
          <w:szCs w:val="28"/>
        </w:rPr>
      </w:pPr>
      <w:r w:rsidRPr="00B70EE2">
        <w:rPr>
          <w:rFonts w:ascii="楷体_GB2312" w:eastAsia="楷体_GB2312" w:hAnsi="Arial" w:cs="楷体_GB2312" w:hint="eastAsia"/>
          <w:b/>
          <w:bCs/>
          <w:sz w:val="28"/>
          <w:szCs w:val="28"/>
        </w:rPr>
        <w:t>通讯地址：北京市朝阳区裕民路12号中国国际科技会展中心B座10层1001室</w:t>
      </w:r>
    </w:p>
    <w:p w:rsidR="00931922" w:rsidRPr="00B70EE2" w:rsidRDefault="00931922" w:rsidP="00931922">
      <w:pPr>
        <w:spacing w:line="360" w:lineRule="auto"/>
        <w:rPr>
          <w:rFonts w:ascii="楷体_GB2312" w:eastAsia="楷体_GB2312" w:hAnsi="Arial" w:cs="楷体_GB2312"/>
          <w:b/>
          <w:bCs/>
          <w:sz w:val="28"/>
          <w:szCs w:val="28"/>
        </w:rPr>
      </w:pPr>
      <w:r w:rsidRPr="00B70EE2">
        <w:rPr>
          <w:rFonts w:ascii="楷体_GB2312" w:eastAsia="楷体_GB2312" w:hAnsi="Arial" w:cs="楷体_GB2312" w:hint="eastAsia"/>
          <w:b/>
          <w:bCs/>
          <w:sz w:val="28"/>
          <w:szCs w:val="28"/>
        </w:rPr>
        <w:t>邮政编码：100029</w:t>
      </w:r>
    </w:p>
    <w:p w:rsidR="00931922" w:rsidRPr="00B70EE2" w:rsidRDefault="00931922" w:rsidP="00931922">
      <w:pPr>
        <w:spacing w:line="360" w:lineRule="auto"/>
        <w:rPr>
          <w:rFonts w:ascii="楷体_GB2312" w:eastAsia="楷体_GB2312" w:hAnsi="Arial" w:cs="楷体_GB2312"/>
          <w:b/>
          <w:bCs/>
          <w:sz w:val="28"/>
          <w:szCs w:val="28"/>
        </w:rPr>
      </w:pPr>
      <w:r w:rsidRPr="00B70EE2">
        <w:rPr>
          <w:rFonts w:ascii="楷体_GB2312" w:eastAsia="楷体_GB2312" w:hAnsi="Arial" w:cs="楷体_GB2312" w:hint="eastAsia"/>
          <w:b/>
          <w:bCs/>
          <w:sz w:val="28"/>
          <w:szCs w:val="28"/>
        </w:rPr>
        <w:t xml:space="preserve">联系人：吴薇                 </w:t>
      </w:r>
    </w:p>
    <w:p w:rsidR="00931922" w:rsidRPr="00B70EE2" w:rsidRDefault="00931922" w:rsidP="00931922">
      <w:pPr>
        <w:spacing w:line="360" w:lineRule="auto"/>
        <w:rPr>
          <w:rFonts w:ascii="楷体_GB2312" w:eastAsia="楷体_GB2312" w:hAnsi="Arial" w:cs="楷体_GB2312"/>
          <w:b/>
          <w:bCs/>
          <w:sz w:val="28"/>
          <w:szCs w:val="28"/>
        </w:rPr>
      </w:pPr>
      <w:r w:rsidRPr="00B70EE2">
        <w:rPr>
          <w:rFonts w:ascii="楷体_GB2312" w:eastAsia="楷体_GB2312" w:hAnsi="Arial" w:cs="楷体_GB2312" w:hint="eastAsia"/>
          <w:b/>
          <w:bCs/>
          <w:sz w:val="28"/>
          <w:szCs w:val="28"/>
        </w:rPr>
        <w:t>电话：13911004117 ;82253558-107</w:t>
      </w:r>
    </w:p>
    <w:p w:rsidR="002A2E44" w:rsidRPr="00B70EE2" w:rsidRDefault="00931922" w:rsidP="00931922">
      <w:pPr>
        <w:rPr>
          <w:rFonts w:ascii="楷体_GB2312" w:eastAsia="楷体_GB2312" w:hAnsi="黑体" w:cs="Times New Roman"/>
          <w:sz w:val="36"/>
          <w:szCs w:val="36"/>
        </w:rPr>
      </w:pPr>
      <w:r w:rsidRPr="00B70EE2">
        <w:rPr>
          <w:rFonts w:ascii="楷体_GB2312" w:eastAsia="楷体_GB2312" w:hAnsi="Arial" w:cs="楷体_GB2312" w:hint="eastAsia"/>
          <w:b/>
          <w:bCs/>
          <w:sz w:val="28"/>
          <w:szCs w:val="28"/>
        </w:rPr>
        <w:t>邮箱：13911004117@163.com</w:t>
      </w:r>
    </w:p>
    <w:p w:rsidR="005E52EE" w:rsidRPr="00B70EE2" w:rsidRDefault="005E52EE" w:rsidP="00B973BB">
      <w:pPr>
        <w:spacing w:line="360" w:lineRule="auto"/>
        <w:ind w:firstLineChars="249" w:firstLine="896"/>
        <w:jc w:val="center"/>
        <w:rPr>
          <w:rFonts w:ascii="楷体_GB2312" w:eastAsia="楷体_GB2312" w:hAnsi="黑体" w:cs="Times New Roman"/>
          <w:sz w:val="36"/>
          <w:szCs w:val="36"/>
        </w:rPr>
        <w:sectPr w:rsidR="005E52EE" w:rsidRPr="00B70EE2" w:rsidSect="00B973B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p>
    <w:p w:rsidR="005E52EE" w:rsidRPr="00B70EE2" w:rsidRDefault="005E52EE" w:rsidP="005321E3">
      <w:pPr>
        <w:spacing w:line="360" w:lineRule="auto"/>
        <w:ind w:firstLineChars="249" w:firstLine="700"/>
        <w:jc w:val="center"/>
        <w:rPr>
          <w:rFonts w:ascii="楷体_GB2312" w:eastAsia="楷体_GB2312" w:hAnsiTheme="minorEastAsia"/>
          <w:b/>
          <w:spacing w:val="-20"/>
          <w:sz w:val="32"/>
          <w:szCs w:val="32"/>
        </w:rPr>
      </w:pPr>
      <w:r w:rsidRPr="00B70EE2">
        <w:rPr>
          <w:rFonts w:ascii="楷体_GB2312" w:eastAsia="楷体_GB2312" w:hAnsiTheme="minorEastAsia" w:hint="eastAsia"/>
          <w:b/>
          <w:spacing w:val="-20"/>
          <w:sz w:val="32"/>
          <w:szCs w:val="32"/>
        </w:rPr>
        <w:lastRenderedPageBreak/>
        <w:t>目录</w:t>
      </w:r>
    </w:p>
    <w:p w:rsidR="0082628D" w:rsidRPr="00B70EE2" w:rsidRDefault="000F2F59">
      <w:pPr>
        <w:pStyle w:val="11"/>
        <w:tabs>
          <w:tab w:val="right" w:leader="dot" w:pos="8296"/>
        </w:tabs>
        <w:rPr>
          <w:rFonts w:ascii="楷体_GB2312" w:eastAsia="楷体_GB2312" w:hAnsiTheme="minorEastAsia"/>
          <w:b/>
          <w:noProof/>
          <w:sz w:val="28"/>
          <w:szCs w:val="28"/>
        </w:rPr>
      </w:pPr>
      <w:r w:rsidRPr="00B70EE2">
        <w:rPr>
          <w:rFonts w:ascii="楷体_GB2312" w:eastAsia="楷体_GB2312" w:hAnsiTheme="minorEastAsia" w:hint="eastAsia"/>
          <w:b/>
          <w:spacing w:val="-20"/>
          <w:sz w:val="28"/>
          <w:szCs w:val="28"/>
        </w:rPr>
        <w:fldChar w:fldCharType="begin"/>
      </w:r>
      <w:r w:rsidR="005E52EE" w:rsidRPr="00B70EE2">
        <w:rPr>
          <w:rFonts w:ascii="楷体_GB2312" w:eastAsia="楷体_GB2312" w:hAnsiTheme="minorEastAsia" w:hint="eastAsia"/>
          <w:b/>
          <w:spacing w:val="-20"/>
          <w:sz w:val="28"/>
          <w:szCs w:val="28"/>
        </w:rPr>
        <w:instrText xml:space="preserve"> TOC \o "1-3" \h \z \u </w:instrText>
      </w:r>
      <w:r w:rsidRPr="00B70EE2">
        <w:rPr>
          <w:rFonts w:ascii="楷体_GB2312" w:eastAsia="楷体_GB2312" w:hAnsiTheme="minorEastAsia" w:hint="eastAsia"/>
          <w:b/>
          <w:spacing w:val="-20"/>
          <w:sz w:val="28"/>
          <w:szCs w:val="28"/>
        </w:rPr>
        <w:fldChar w:fldCharType="separate"/>
      </w:r>
      <w:hyperlink w:anchor="_Toc524694620" w:history="1">
        <w:r w:rsidR="0082628D" w:rsidRPr="00B70EE2">
          <w:rPr>
            <w:rStyle w:val="a8"/>
            <w:rFonts w:ascii="楷体_GB2312" w:eastAsia="楷体_GB2312" w:hAnsiTheme="minorEastAsia" w:hint="eastAsia"/>
            <w:b/>
            <w:noProof/>
            <w:sz w:val="28"/>
            <w:szCs w:val="28"/>
          </w:rPr>
          <w:t>一、团队介绍</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_Toc524694620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1</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1" w:history="1">
        <w:r w:rsidR="0082628D" w:rsidRPr="00B70EE2">
          <w:rPr>
            <w:rStyle w:val="a8"/>
            <w:rFonts w:ascii="楷体_GB2312" w:eastAsia="楷体_GB2312" w:hAnsiTheme="minorEastAsia" w:hint="eastAsia"/>
            <w:b/>
            <w:noProof/>
            <w:sz w:val="28"/>
            <w:szCs w:val="28"/>
          </w:rPr>
          <w:t>1、企业背景</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_Toc524694621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1</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2" w:history="1">
        <w:r w:rsidR="0082628D" w:rsidRPr="00B70EE2">
          <w:rPr>
            <w:rStyle w:val="a8"/>
            <w:rFonts w:ascii="楷体_GB2312" w:eastAsia="楷体_GB2312" w:hAnsiTheme="minorEastAsia" w:cs="Arial" w:hint="eastAsia"/>
            <w:b/>
            <w:noProof/>
            <w:sz w:val="28"/>
            <w:szCs w:val="28"/>
          </w:rPr>
          <w:t>2、组织架构</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_Toc524694622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2</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3" w:history="1">
        <w:r w:rsidR="0082628D" w:rsidRPr="00B70EE2">
          <w:rPr>
            <w:rStyle w:val="a8"/>
            <w:rFonts w:ascii="楷体_GB2312" w:eastAsia="楷体_GB2312" w:hAnsiTheme="minorEastAsia" w:cs="Arial" w:hint="eastAsia"/>
            <w:b/>
            <w:noProof/>
            <w:sz w:val="28"/>
            <w:szCs w:val="28"/>
          </w:rPr>
          <w:t>3、主要业务部门职责</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_Toc524694623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2</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4" w:history="1">
        <w:r w:rsidR="0082628D" w:rsidRPr="00B70EE2">
          <w:rPr>
            <w:rStyle w:val="a8"/>
            <w:rFonts w:ascii="楷体_GB2312" w:eastAsia="楷体_GB2312" w:hAnsiTheme="minorEastAsia" w:cs="Arial" w:hint="eastAsia"/>
            <w:b/>
            <w:noProof/>
            <w:sz w:val="28"/>
            <w:szCs w:val="28"/>
          </w:rPr>
          <w:t>4、队伍建设情况</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_Toc524694624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6</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5" w:history="1">
        <w:r w:rsidR="0082628D" w:rsidRPr="00B70EE2">
          <w:rPr>
            <w:rStyle w:val="a8"/>
            <w:rFonts w:ascii="楷体_GB2312" w:eastAsia="楷体_GB2312" w:hAnsiTheme="minorEastAsia" w:cs="Arial" w:hint="eastAsia"/>
            <w:b/>
            <w:noProof/>
            <w:sz w:val="28"/>
            <w:szCs w:val="28"/>
          </w:rPr>
          <w:t>5、行业排名</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_Toc524694625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6</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6" w:history="1">
        <w:r w:rsidR="0082628D" w:rsidRPr="00B70EE2">
          <w:rPr>
            <w:rStyle w:val="a8"/>
            <w:rFonts w:ascii="楷体_GB2312" w:eastAsia="楷体_GB2312" w:hAnsiTheme="minorEastAsia" w:cs="Arial" w:hint="eastAsia"/>
            <w:b/>
            <w:noProof/>
            <w:sz w:val="28"/>
            <w:szCs w:val="28"/>
          </w:rPr>
          <w:t>6、我公司具体业绩情况详见下表</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_Toc524694626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7</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7" w:history="1">
        <w:r w:rsidR="0082628D" w:rsidRPr="00B70EE2">
          <w:rPr>
            <w:rStyle w:val="a8"/>
            <w:rFonts w:ascii="楷体_GB2312" w:eastAsia="楷体_GB2312" w:hAnsiTheme="minorEastAsia" w:cs="Arial" w:hint="eastAsia"/>
            <w:b/>
            <w:noProof/>
            <w:sz w:val="28"/>
            <w:szCs w:val="28"/>
          </w:rPr>
          <w:t>7、主要合作金融机构</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_Toc524694627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7</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20"/>
        <w:tabs>
          <w:tab w:val="right" w:leader="dot" w:pos="8296"/>
        </w:tabs>
        <w:rPr>
          <w:rFonts w:ascii="楷体_GB2312" w:eastAsia="楷体_GB2312" w:hAnsiTheme="minorEastAsia"/>
          <w:b/>
          <w:noProof/>
          <w:sz w:val="28"/>
          <w:szCs w:val="28"/>
        </w:rPr>
      </w:pPr>
      <w:hyperlink w:anchor="_Toc524694628" w:history="1">
        <w:r w:rsidR="0082628D" w:rsidRPr="00B70EE2">
          <w:rPr>
            <w:rStyle w:val="a8"/>
            <w:rFonts w:ascii="楷体_GB2312" w:eastAsia="楷体_GB2312" w:hAnsiTheme="minorEastAsia" w:cs="Arial" w:hint="eastAsia"/>
            <w:b/>
            <w:noProof/>
            <w:sz w:val="28"/>
            <w:szCs w:val="28"/>
          </w:rPr>
          <w:t>8、资质证书</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_Toc524694628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14</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11"/>
        <w:tabs>
          <w:tab w:val="right" w:leader="dot" w:pos="8296"/>
        </w:tabs>
        <w:rPr>
          <w:rFonts w:ascii="楷体_GB2312" w:eastAsia="楷体_GB2312" w:hAnsiTheme="minorEastAsia"/>
          <w:b/>
          <w:noProof/>
          <w:sz w:val="28"/>
          <w:szCs w:val="28"/>
        </w:rPr>
      </w:pPr>
      <w:hyperlink w:anchor="_Toc524694629" w:history="1">
        <w:r w:rsidR="0082628D" w:rsidRPr="00B70EE2">
          <w:rPr>
            <w:rStyle w:val="a8"/>
            <w:rFonts w:ascii="楷体_GB2312" w:eastAsia="楷体_GB2312" w:hAnsiTheme="minorEastAsia" w:hint="eastAsia"/>
            <w:b/>
            <w:noProof/>
            <w:sz w:val="28"/>
            <w:szCs w:val="28"/>
          </w:rPr>
          <w:t>二、本次评估业务配备人员</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_Toc524694629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18</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11"/>
        <w:tabs>
          <w:tab w:val="right" w:leader="dot" w:pos="8296"/>
        </w:tabs>
        <w:rPr>
          <w:rFonts w:ascii="楷体_GB2312" w:eastAsia="楷体_GB2312" w:hAnsiTheme="minorEastAsia"/>
          <w:b/>
          <w:noProof/>
          <w:sz w:val="28"/>
          <w:szCs w:val="28"/>
        </w:rPr>
      </w:pPr>
      <w:hyperlink w:anchor="_Toc524694630" w:history="1">
        <w:r w:rsidR="0082628D" w:rsidRPr="00B70EE2">
          <w:rPr>
            <w:rStyle w:val="a8"/>
            <w:rFonts w:ascii="楷体_GB2312" w:eastAsia="楷体_GB2312" w:hAnsiTheme="minorEastAsia" w:hint="eastAsia"/>
            <w:b/>
            <w:noProof/>
            <w:sz w:val="28"/>
            <w:szCs w:val="28"/>
          </w:rPr>
          <w:t>三、实施周期</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_Toc524694630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19</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11"/>
        <w:tabs>
          <w:tab w:val="right" w:leader="dot" w:pos="8296"/>
        </w:tabs>
        <w:rPr>
          <w:rFonts w:ascii="楷体_GB2312" w:eastAsia="楷体_GB2312" w:hAnsiTheme="minorEastAsia"/>
          <w:b/>
          <w:noProof/>
          <w:sz w:val="28"/>
          <w:szCs w:val="28"/>
        </w:rPr>
      </w:pPr>
      <w:hyperlink w:anchor="_Toc524694631" w:history="1">
        <w:r w:rsidR="0082628D" w:rsidRPr="00B70EE2">
          <w:rPr>
            <w:rStyle w:val="a8"/>
            <w:rFonts w:ascii="楷体_GB2312" w:eastAsia="楷体_GB2312" w:hAnsiTheme="minorEastAsia" w:hint="eastAsia"/>
            <w:b/>
            <w:noProof/>
            <w:sz w:val="28"/>
            <w:szCs w:val="28"/>
          </w:rPr>
          <w:t>四、服务方式</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_Toc524694631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20</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11"/>
        <w:tabs>
          <w:tab w:val="right" w:leader="dot" w:pos="8296"/>
        </w:tabs>
        <w:rPr>
          <w:rFonts w:ascii="楷体_GB2312" w:eastAsia="楷体_GB2312" w:hAnsiTheme="minorEastAsia"/>
          <w:b/>
          <w:noProof/>
          <w:sz w:val="28"/>
          <w:szCs w:val="28"/>
        </w:rPr>
      </w:pPr>
      <w:hyperlink w:anchor="_Toc524694632" w:history="1">
        <w:r w:rsidR="0082628D" w:rsidRPr="00B70EE2">
          <w:rPr>
            <w:rStyle w:val="a8"/>
            <w:rFonts w:ascii="楷体_GB2312" w:eastAsia="楷体_GB2312" w:hAnsiTheme="minorEastAsia" w:hint="eastAsia"/>
            <w:b/>
            <w:noProof/>
            <w:sz w:val="28"/>
            <w:szCs w:val="28"/>
          </w:rPr>
          <w:t>五、报价内容</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_Toc524694632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24</w:t>
        </w:r>
        <w:r w:rsidRPr="00B70EE2">
          <w:rPr>
            <w:rFonts w:ascii="楷体_GB2312" w:eastAsia="楷体_GB2312" w:hAnsiTheme="minorEastAsia" w:hint="eastAsia"/>
            <w:b/>
            <w:noProof/>
            <w:webHidden/>
            <w:sz w:val="28"/>
            <w:szCs w:val="28"/>
          </w:rPr>
          <w:fldChar w:fldCharType="end"/>
        </w:r>
      </w:hyperlink>
    </w:p>
    <w:p w:rsidR="0082628D" w:rsidRPr="00B70EE2" w:rsidRDefault="000F2F59">
      <w:pPr>
        <w:pStyle w:val="11"/>
        <w:tabs>
          <w:tab w:val="right" w:leader="dot" w:pos="8296"/>
        </w:tabs>
        <w:rPr>
          <w:rFonts w:ascii="楷体_GB2312" w:eastAsia="楷体_GB2312" w:hAnsiTheme="minorEastAsia"/>
          <w:b/>
          <w:noProof/>
          <w:sz w:val="28"/>
          <w:szCs w:val="28"/>
        </w:rPr>
      </w:pPr>
      <w:hyperlink w:anchor="_Toc524694633" w:history="1">
        <w:r w:rsidR="0082628D" w:rsidRPr="00B70EE2">
          <w:rPr>
            <w:rStyle w:val="a8"/>
            <w:rFonts w:ascii="楷体_GB2312" w:eastAsia="楷体_GB2312" w:hAnsiTheme="minorEastAsia" w:hint="eastAsia"/>
            <w:b/>
            <w:noProof/>
            <w:sz w:val="28"/>
            <w:szCs w:val="28"/>
          </w:rPr>
          <w:t>六、结款方式</w:t>
        </w:r>
        <w:r w:rsidR="0082628D" w:rsidRPr="00B70EE2">
          <w:rPr>
            <w:rFonts w:ascii="楷体_GB2312" w:eastAsia="楷体_GB2312" w:hAnsiTheme="minorEastAsia" w:hint="eastAsia"/>
            <w:b/>
            <w:noProof/>
            <w:webHidden/>
            <w:sz w:val="28"/>
            <w:szCs w:val="28"/>
          </w:rPr>
          <w:tab/>
        </w:r>
        <w:r w:rsidRPr="00B70EE2">
          <w:rPr>
            <w:rFonts w:ascii="楷体_GB2312" w:eastAsia="楷体_GB2312" w:hAnsiTheme="minorEastAsia" w:hint="eastAsia"/>
            <w:b/>
            <w:noProof/>
            <w:webHidden/>
            <w:sz w:val="28"/>
            <w:szCs w:val="28"/>
          </w:rPr>
          <w:fldChar w:fldCharType="begin"/>
        </w:r>
        <w:r w:rsidR="0082628D" w:rsidRPr="00B70EE2">
          <w:rPr>
            <w:rFonts w:ascii="楷体_GB2312" w:eastAsia="楷体_GB2312" w:hAnsiTheme="minorEastAsia" w:hint="eastAsia"/>
            <w:b/>
            <w:noProof/>
            <w:webHidden/>
            <w:sz w:val="28"/>
            <w:szCs w:val="28"/>
          </w:rPr>
          <w:instrText xml:space="preserve"> PAGEREF _Toc524694633 \h </w:instrText>
        </w:r>
        <w:r w:rsidRPr="00B70EE2">
          <w:rPr>
            <w:rFonts w:ascii="楷体_GB2312" w:eastAsia="楷体_GB2312" w:hAnsiTheme="minorEastAsia" w:hint="eastAsia"/>
            <w:b/>
            <w:noProof/>
            <w:webHidden/>
            <w:sz w:val="28"/>
            <w:szCs w:val="28"/>
          </w:rPr>
        </w:r>
        <w:r w:rsidRPr="00B70EE2">
          <w:rPr>
            <w:rFonts w:ascii="楷体_GB2312" w:eastAsia="楷体_GB2312" w:hAnsiTheme="minorEastAsia" w:hint="eastAsia"/>
            <w:b/>
            <w:noProof/>
            <w:webHidden/>
            <w:sz w:val="28"/>
            <w:szCs w:val="28"/>
          </w:rPr>
          <w:fldChar w:fldCharType="separate"/>
        </w:r>
        <w:r w:rsidR="00154BAA">
          <w:rPr>
            <w:rFonts w:ascii="楷体_GB2312" w:eastAsia="楷体_GB2312" w:hAnsiTheme="minorEastAsia"/>
            <w:b/>
            <w:noProof/>
            <w:webHidden/>
            <w:sz w:val="28"/>
            <w:szCs w:val="28"/>
          </w:rPr>
          <w:t>25</w:t>
        </w:r>
        <w:r w:rsidRPr="00B70EE2">
          <w:rPr>
            <w:rFonts w:ascii="楷体_GB2312" w:eastAsia="楷体_GB2312" w:hAnsiTheme="minorEastAsia" w:hint="eastAsia"/>
            <w:b/>
            <w:noProof/>
            <w:webHidden/>
            <w:sz w:val="28"/>
            <w:szCs w:val="28"/>
          </w:rPr>
          <w:fldChar w:fldCharType="end"/>
        </w:r>
      </w:hyperlink>
    </w:p>
    <w:p w:rsidR="00B973BB" w:rsidRPr="00B70EE2" w:rsidRDefault="000F2F59" w:rsidP="005321E3">
      <w:pPr>
        <w:spacing w:line="360" w:lineRule="auto"/>
        <w:ind w:firstLineChars="249" w:firstLine="700"/>
        <w:jc w:val="center"/>
        <w:rPr>
          <w:rFonts w:ascii="楷体_GB2312" w:eastAsia="楷体_GB2312" w:hAnsiTheme="minorEastAsia"/>
          <w:b/>
          <w:spacing w:val="-20"/>
          <w:sz w:val="28"/>
          <w:szCs w:val="28"/>
        </w:rPr>
      </w:pPr>
      <w:r w:rsidRPr="00B70EE2">
        <w:rPr>
          <w:rFonts w:ascii="楷体_GB2312" w:eastAsia="楷体_GB2312" w:hAnsiTheme="minorEastAsia" w:hint="eastAsia"/>
          <w:b/>
          <w:spacing w:val="-20"/>
          <w:sz w:val="28"/>
          <w:szCs w:val="28"/>
        </w:rPr>
        <w:fldChar w:fldCharType="end"/>
      </w:r>
      <w:r w:rsidR="00B973BB" w:rsidRPr="00B70EE2">
        <w:rPr>
          <w:rFonts w:ascii="楷体_GB2312" w:eastAsia="楷体_GB2312" w:hAnsi="黑体" w:cs="Times New Roman" w:hint="eastAsia"/>
          <w:b/>
          <w:sz w:val="36"/>
          <w:szCs w:val="36"/>
        </w:rPr>
        <w:br w:type="page"/>
      </w:r>
    </w:p>
    <w:p w:rsidR="00CE1C53" w:rsidRPr="00B70EE2" w:rsidRDefault="00CE1C53" w:rsidP="003C06F3">
      <w:pPr>
        <w:pStyle w:val="1"/>
        <w:rPr>
          <w:rFonts w:ascii="楷体_GB2312" w:eastAsia="楷体_GB2312"/>
          <w:sz w:val="32"/>
          <w:szCs w:val="32"/>
        </w:rPr>
      </w:pPr>
      <w:bookmarkStart w:id="0" w:name="_Toc524694620"/>
      <w:r w:rsidRPr="00B70EE2">
        <w:rPr>
          <w:rFonts w:ascii="楷体_GB2312" w:eastAsia="楷体_GB2312" w:hint="eastAsia"/>
          <w:sz w:val="32"/>
          <w:szCs w:val="32"/>
        </w:rPr>
        <w:lastRenderedPageBreak/>
        <w:t>一、</w:t>
      </w:r>
      <w:r w:rsidR="006D0D00" w:rsidRPr="00B70EE2">
        <w:rPr>
          <w:rFonts w:ascii="楷体_GB2312" w:eastAsia="楷体_GB2312" w:hint="eastAsia"/>
          <w:sz w:val="32"/>
          <w:szCs w:val="32"/>
        </w:rPr>
        <w:t>团队介绍</w:t>
      </w:r>
      <w:bookmarkEnd w:id="0"/>
      <w:r w:rsidR="00D7308D" w:rsidRPr="00B70EE2">
        <w:rPr>
          <w:rFonts w:ascii="楷体_GB2312" w:eastAsia="楷体_GB2312" w:hint="eastAsia"/>
          <w:sz w:val="32"/>
          <w:szCs w:val="32"/>
        </w:rPr>
        <w:t xml:space="preserve"> </w:t>
      </w:r>
    </w:p>
    <w:p w:rsidR="006D0D00" w:rsidRPr="00B70EE2" w:rsidRDefault="006D0D00" w:rsidP="00675719">
      <w:pPr>
        <w:pStyle w:val="2"/>
        <w:rPr>
          <w:rFonts w:ascii="楷体_GB2312" w:eastAsia="楷体_GB2312"/>
          <w:sz w:val="28"/>
          <w:szCs w:val="28"/>
        </w:rPr>
      </w:pPr>
      <w:bookmarkStart w:id="1" w:name="_Toc524694621"/>
      <w:r w:rsidRPr="00B70EE2">
        <w:rPr>
          <w:rFonts w:ascii="楷体_GB2312" w:eastAsia="楷体_GB2312" w:hint="eastAsia"/>
          <w:sz w:val="28"/>
          <w:szCs w:val="28"/>
        </w:rPr>
        <w:t>1、企业背景</w:t>
      </w:r>
      <w:bookmarkEnd w:id="1"/>
    </w:p>
    <w:p w:rsidR="00FF4136" w:rsidRPr="00B70EE2" w:rsidRDefault="00FF4136" w:rsidP="00FF4136">
      <w:pPr>
        <w:spacing w:line="360" w:lineRule="auto"/>
        <w:ind w:firstLineChars="200" w:firstLine="560"/>
        <w:rPr>
          <w:rFonts w:ascii="楷体_GB2312" w:eastAsia="楷体_GB2312" w:hAnsi="Arial" w:cs="Arial"/>
          <w:sz w:val="28"/>
          <w:szCs w:val="28"/>
        </w:rPr>
      </w:pPr>
      <w:bookmarkStart w:id="2" w:name="OLE_LINK2"/>
      <w:proofErr w:type="gramStart"/>
      <w:r w:rsidRPr="00B70EE2">
        <w:rPr>
          <w:rFonts w:ascii="楷体_GB2312" w:eastAsia="楷体_GB2312" w:hAnsi="Arial" w:cs="Arial" w:hint="eastAsia"/>
          <w:sz w:val="28"/>
          <w:szCs w:val="28"/>
        </w:rPr>
        <w:t>北京康正宏</w:t>
      </w:r>
      <w:proofErr w:type="gramEnd"/>
      <w:r w:rsidRPr="00B70EE2">
        <w:rPr>
          <w:rFonts w:ascii="楷体_GB2312" w:eastAsia="楷体_GB2312" w:hAnsi="Arial" w:cs="Arial" w:hint="eastAsia"/>
          <w:sz w:val="28"/>
          <w:szCs w:val="28"/>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B70EE2">
        <w:rPr>
          <w:rFonts w:ascii="楷体_GB2312" w:eastAsia="楷体_GB2312" w:hAnsi="Arial" w:cs="Arial" w:hint="eastAsia"/>
          <w:sz w:val="28"/>
          <w:szCs w:val="28"/>
        </w:rPr>
        <w:t>鉴证</w:t>
      </w:r>
      <w:proofErr w:type="gramEnd"/>
      <w:r w:rsidRPr="00B70EE2">
        <w:rPr>
          <w:rFonts w:ascii="楷体_GB2312" w:eastAsia="楷体_GB2312" w:hAnsi="Arial" w:cs="Arial" w:hint="eastAsia"/>
          <w:sz w:val="28"/>
          <w:szCs w:val="28"/>
        </w:rPr>
        <w:t>类中介机构脱钩改制的精神，北京康正房地产评估事务所于2000年11月改制为</w:t>
      </w:r>
      <w:proofErr w:type="gramStart"/>
      <w:r w:rsidRPr="00B70EE2">
        <w:rPr>
          <w:rFonts w:ascii="楷体_GB2312" w:eastAsia="楷体_GB2312" w:hAnsi="Arial" w:cs="Arial" w:hint="eastAsia"/>
          <w:sz w:val="28"/>
          <w:szCs w:val="28"/>
        </w:rPr>
        <w:t>北京康正宏</w:t>
      </w:r>
      <w:proofErr w:type="gramEnd"/>
      <w:r w:rsidRPr="00B70EE2">
        <w:rPr>
          <w:rFonts w:ascii="楷体_GB2312" w:eastAsia="楷体_GB2312" w:hAnsi="Arial" w:cs="Arial" w:hint="eastAsia"/>
          <w:sz w:val="28"/>
          <w:szCs w:val="28"/>
        </w:rPr>
        <w:t>基房地产评估有限公司，专门从事房地产价值评估、项目可行性研究、交易代理、贷款服务、登记代理等业务。</w:t>
      </w:r>
    </w:p>
    <w:p w:rsidR="00FF4136" w:rsidRPr="00B70EE2" w:rsidRDefault="00FF4136" w:rsidP="00FF4136">
      <w:pPr>
        <w:spacing w:line="360" w:lineRule="auto"/>
        <w:ind w:firstLineChars="200" w:firstLine="560"/>
        <w:rPr>
          <w:rFonts w:ascii="楷体_GB2312" w:eastAsia="楷体_GB2312" w:hAnsi="Arial" w:cs="Arial"/>
          <w:sz w:val="28"/>
          <w:szCs w:val="28"/>
        </w:rPr>
      </w:pPr>
      <w:proofErr w:type="gramStart"/>
      <w:r w:rsidRPr="00B70EE2">
        <w:rPr>
          <w:rFonts w:ascii="楷体_GB2312" w:eastAsia="楷体_GB2312" w:hAnsi="Arial" w:cs="Arial" w:hint="eastAsia"/>
          <w:sz w:val="28"/>
          <w:szCs w:val="28"/>
        </w:rPr>
        <w:t>北京康正宏</w:t>
      </w:r>
      <w:proofErr w:type="gramEnd"/>
      <w:r w:rsidRPr="00B70EE2">
        <w:rPr>
          <w:rFonts w:ascii="楷体_GB2312" w:eastAsia="楷体_GB2312" w:hAnsi="Arial" w:cs="Arial" w:hint="eastAsia"/>
          <w:sz w:val="28"/>
          <w:szCs w:val="28"/>
        </w:rPr>
        <w:t>基房地产评估公司拥有建设部一级房地产评估资质；全国范围内从事土地评估业务资质；北京市拆迁评估资格；北京市土地增值税评估资格；北京市房屋质量缺陷评估资质;北京市房地产经纪资质；是最高人民法院、北京市高级法院司法鉴定人。</w:t>
      </w:r>
      <w:proofErr w:type="gramStart"/>
      <w:r w:rsidRPr="00B70EE2">
        <w:rPr>
          <w:rFonts w:ascii="楷体_GB2312" w:eastAsia="楷体_GB2312" w:hAnsi="Arial" w:cs="Arial" w:hint="eastAsia"/>
          <w:sz w:val="28"/>
          <w:szCs w:val="28"/>
        </w:rPr>
        <w:t>北京康正国际</w:t>
      </w:r>
      <w:proofErr w:type="gramEnd"/>
      <w:r w:rsidRPr="00B70EE2">
        <w:rPr>
          <w:rFonts w:ascii="楷体_GB2312" w:eastAsia="楷体_GB2312" w:hAnsi="Arial" w:cs="Arial" w:hint="eastAsia"/>
          <w:sz w:val="28"/>
          <w:szCs w:val="28"/>
        </w:rPr>
        <w:t>资产评估有限公司具有资产评估资质。</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经过25年的发展，</w:t>
      </w:r>
      <w:proofErr w:type="gramStart"/>
      <w:r w:rsidRPr="00B70EE2">
        <w:rPr>
          <w:rFonts w:ascii="楷体_GB2312" w:eastAsia="楷体_GB2312" w:hAnsi="Arial" w:cs="Arial" w:hint="eastAsia"/>
          <w:sz w:val="28"/>
          <w:szCs w:val="28"/>
        </w:rPr>
        <w:t>北京康正宏</w:t>
      </w:r>
      <w:proofErr w:type="gramEnd"/>
      <w:r w:rsidRPr="00B70EE2">
        <w:rPr>
          <w:rFonts w:ascii="楷体_GB2312" w:eastAsia="楷体_GB2312" w:hAnsi="Arial" w:cs="Arial" w:hint="eastAsia"/>
          <w:sz w:val="28"/>
          <w:szCs w:val="28"/>
        </w:rPr>
        <w:t>基房地产评估有限公司注册资金达1000万元，拥有150名专业的估价人员和房地产经纪人员，成为房地产评估行业中资质最高、规模最大、业绩突出、实力最强的公司之一，能够在全国范围内从事各种类型的房地产评估业务</w:t>
      </w:r>
      <w:r w:rsidR="006D0D00" w:rsidRPr="00B70EE2">
        <w:rPr>
          <w:rFonts w:ascii="楷体_GB2312" w:eastAsia="楷体_GB2312" w:hAnsi="Arial" w:cs="Arial" w:hint="eastAsia"/>
          <w:sz w:val="28"/>
          <w:szCs w:val="28"/>
        </w:rPr>
        <w:t>。</w:t>
      </w:r>
      <w:bookmarkEnd w:id="2"/>
    </w:p>
    <w:p w:rsidR="006D0D00" w:rsidRPr="00B70EE2" w:rsidRDefault="00FF4136" w:rsidP="00720A08">
      <w:pPr>
        <w:widowControl/>
        <w:jc w:val="left"/>
        <w:rPr>
          <w:rFonts w:ascii="楷体_GB2312" w:eastAsia="楷体_GB2312" w:hAnsi="Arial" w:cs="Arial"/>
          <w:sz w:val="28"/>
          <w:szCs w:val="28"/>
        </w:rPr>
      </w:pPr>
      <w:r w:rsidRPr="00B70EE2">
        <w:rPr>
          <w:rFonts w:ascii="楷体_GB2312" w:eastAsia="楷体_GB2312" w:hAnsi="Arial" w:cs="Arial" w:hint="eastAsia"/>
          <w:sz w:val="28"/>
          <w:szCs w:val="28"/>
        </w:rPr>
        <w:br w:type="page"/>
      </w:r>
    </w:p>
    <w:p w:rsidR="006D0D00" w:rsidRPr="00B70EE2" w:rsidRDefault="006D0D00" w:rsidP="00675719">
      <w:pPr>
        <w:pStyle w:val="2"/>
        <w:rPr>
          <w:rFonts w:ascii="楷体_GB2312" w:eastAsia="楷体_GB2312" w:hAnsi="宋体" w:cs="Arial"/>
          <w:sz w:val="28"/>
          <w:szCs w:val="28"/>
        </w:rPr>
      </w:pPr>
      <w:bookmarkStart w:id="3" w:name="_Toc524694622"/>
      <w:r w:rsidRPr="00B70EE2">
        <w:rPr>
          <w:rFonts w:ascii="楷体_GB2312" w:eastAsia="楷体_GB2312" w:hAnsi="宋体" w:cs="Arial" w:hint="eastAsia"/>
          <w:sz w:val="28"/>
          <w:szCs w:val="28"/>
        </w:rPr>
        <w:lastRenderedPageBreak/>
        <w:t>2、组织架构</w:t>
      </w:r>
      <w:bookmarkEnd w:id="3"/>
    </w:p>
    <w:p w:rsidR="006D0D00" w:rsidRPr="00B70EE2" w:rsidRDefault="006D0D00" w:rsidP="003D0729">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公司分设对公综合事业部、公积金贷款事业部、</w:t>
      </w:r>
      <w:proofErr w:type="gramStart"/>
      <w:r w:rsidRPr="00B70EE2">
        <w:rPr>
          <w:rFonts w:ascii="楷体_GB2312" w:eastAsia="楷体_GB2312" w:hAnsi="Arial" w:cs="Arial" w:hint="eastAsia"/>
          <w:sz w:val="28"/>
          <w:szCs w:val="28"/>
        </w:rPr>
        <w:t>零贷事业</w:t>
      </w:r>
      <w:proofErr w:type="gramEnd"/>
      <w:r w:rsidRPr="00B70EE2">
        <w:rPr>
          <w:rFonts w:ascii="楷体_GB2312" w:eastAsia="楷体_GB2312" w:hAnsi="Arial" w:cs="Arial" w:hint="eastAsia"/>
          <w:sz w:val="28"/>
          <w:szCs w:val="28"/>
        </w:rPr>
        <w:t>部、信息研究部、行政部、人事部、财务部七个部门。</w:t>
      </w:r>
    </w:p>
    <w:tbl>
      <w:tblPr>
        <w:tblW w:w="4914" w:type="pct"/>
        <w:tblCellSpacing w:w="0" w:type="dxa"/>
        <w:shd w:val="clear" w:color="auto" w:fill="FFFFFF"/>
        <w:tblCellMar>
          <w:left w:w="0" w:type="dxa"/>
          <w:right w:w="0" w:type="dxa"/>
        </w:tblCellMar>
        <w:tblLook w:val="04A0"/>
      </w:tblPr>
      <w:tblGrid>
        <w:gridCol w:w="8306"/>
      </w:tblGrid>
      <w:tr w:rsidR="006D0D00" w:rsidRPr="00B70EE2" w:rsidTr="00FE155A">
        <w:trPr>
          <w:trHeight w:val="604"/>
          <w:tblCellSpacing w:w="0" w:type="dxa"/>
        </w:trPr>
        <w:tc>
          <w:tcPr>
            <w:tcW w:w="0" w:type="auto"/>
            <w:shd w:val="clear" w:color="auto" w:fill="FFFFFF"/>
            <w:vAlign w:val="center"/>
            <w:hideMark/>
          </w:tcPr>
          <w:tbl>
            <w:tblPr>
              <w:tblW w:w="4865" w:type="pct"/>
              <w:jc w:val="center"/>
              <w:tblCellSpacing w:w="0" w:type="dxa"/>
              <w:tblCellMar>
                <w:left w:w="0" w:type="dxa"/>
                <w:right w:w="0" w:type="dxa"/>
              </w:tblCellMar>
              <w:tblLook w:val="04A0"/>
            </w:tblPr>
            <w:tblGrid>
              <w:gridCol w:w="8082"/>
            </w:tblGrid>
            <w:tr w:rsidR="006D0D00" w:rsidRPr="00B70EE2" w:rsidTr="00FE155A">
              <w:trPr>
                <w:trHeight w:val="605"/>
                <w:tblCellSpacing w:w="0" w:type="dxa"/>
                <w:jc w:val="center"/>
              </w:trPr>
              <w:tc>
                <w:tcPr>
                  <w:tcW w:w="0" w:type="auto"/>
                  <w:vAlign w:val="center"/>
                  <w:hideMark/>
                </w:tcPr>
                <w:p w:rsidR="006D0D00" w:rsidRPr="00B70EE2" w:rsidRDefault="006D0D00" w:rsidP="00FE155A">
                  <w:pPr>
                    <w:widowControl/>
                    <w:spacing w:line="576" w:lineRule="atLeast"/>
                    <w:jc w:val="center"/>
                    <w:rPr>
                      <w:rFonts w:ascii="楷体_GB2312" w:eastAsia="楷体_GB2312" w:hAnsi="宋体" w:cs="Arial"/>
                      <w:b/>
                      <w:bCs/>
                      <w:color w:val="951516"/>
                      <w:kern w:val="0"/>
                      <w:sz w:val="30"/>
                      <w:szCs w:val="30"/>
                    </w:rPr>
                  </w:pPr>
                  <w:r w:rsidRPr="00B70EE2">
                    <w:rPr>
                      <w:rFonts w:ascii="楷体_GB2312" w:eastAsia="楷体_GB2312" w:hAnsi="宋体" w:cs="Arial" w:hint="eastAsia"/>
                      <w:b/>
                      <w:bCs/>
                      <w:color w:val="951516"/>
                      <w:kern w:val="0"/>
                      <w:sz w:val="30"/>
                      <w:szCs w:val="30"/>
                    </w:rPr>
                    <w:t>组织构架</w:t>
                  </w:r>
                </w:p>
              </w:tc>
            </w:tr>
          </w:tbl>
          <w:p w:rsidR="006D0D00" w:rsidRPr="00B70EE2" w:rsidRDefault="006D0D00" w:rsidP="00FE155A">
            <w:pPr>
              <w:widowControl/>
              <w:jc w:val="left"/>
              <w:rPr>
                <w:rFonts w:ascii="楷体_GB2312" w:eastAsia="楷体_GB2312" w:hAnsi="宋体" w:cs="Arial"/>
                <w:kern w:val="0"/>
                <w:sz w:val="18"/>
                <w:szCs w:val="18"/>
              </w:rPr>
            </w:pPr>
          </w:p>
        </w:tc>
      </w:tr>
      <w:tr w:rsidR="006D0D00" w:rsidRPr="00B70EE2" w:rsidTr="00FE155A">
        <w:trPr>
          <w:trHeight w:val="604"/>
          <w:tblCellSpacing w:w="0" w:type="dxa"/>
        </w:trPr>
        <w:tc>
          <w:tcPr>
            <w:tcW w:w="0" w:type="auto"/>
            <w:shd w:val="clear" w:color="auto" w:fill="FFFFFF"/>
            <w:vAlign w:val="center"/>
            <w:hideMark/>
          </w:tcPr>
          <w:p w:rsidR="006D0D00" w:rsidRPr="00B70EE2" w:rsidRDefault="00FF4136" w:rsidP="00FE155A">
            <w:pPr>
              <w:widowControl/>
              <w:spacing w:line="576" w:lineRule="atLeast"/>
              <w:jc w:val="center"/>
              <w:rPr>
                <w:rFonts w:ascii="楷体_GB2312" w:eastAsia="楷体_GB2312" w:hAnsi="宋体" w:cs="Arial"/>
                <w:b/>
                <w:bCs/>
                <w:color w:val="951516"/>
                <w:kern w:val="0"/>
                <w:sz w:val="30"/>
                <w:szCs w:val="30"/>
              </w:rPr>
            </w:pPr>
            <w:r w:rsidRPr="00B70EE2">
              <w:rPr>
                <w:rFonts w:ascii="楷体_GB2312" w:eastAsia="楷体_GB2312" w:hint="eastAsia"/>
                <w:noProof/>
              </w:rPr>
              <w:drawing>
                <wp:anchor distT="0" distB="0" distL="114300" distR="114300" simplePos="0" relativeHeight="251657216" behindDoc="0" locked="0" layoutInCell="1" allowOverlap="1">
                  <wp:simplePos x="0" y="0"/>
                  <wp:positionH relativeFrom="margin">
                    <wp:posOffset>0</wp:posOffset>
                  </wp:positionH>
                  <wp:positionV relativeFrom="margin">
                    <wp:posOffset>390525</wp:posOffset>
                  </wp:positionV>
                  <wp:extent cx="5293995" cy="2571750"/>
                  <wp:effectExtent l="0" t="0" r="0" b="0"/>
                  <wp:wrapSquare wrapText="bothSides"/>
                  <wp:docPr id="398" name="图片 398" descr="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架构图"/>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3995" cy="2571750"/>
                          </a:xfrm>
                          <a:prstGeom prst="rect">
                            <a:avLst/>
                          </a:prstGeom>
                          <a:noFill/>
                          <a:ln>
                            <a:noFill/>
                          </a:ln>
                        </pic:spPr>
                      </pic:pic>
                    </a:graphicData>
                  </a:graphic>
                </wp:anchor>
              </w:drawing>
            </w:r>
          </w:p>
        </w:tc>
      </w:tr>
    </w:tbl>
    <w:p w:rsidR="006D0D00" w:rsidRPr="00B70EE2" w:rsidRDefault="006D0D00" w:rsidP="005321E3">
      <w:pPr>
        <w:spacing w:line="500" w:lineRule="exact"/>
        <w:ind w:firstLineChars="150" w:firstLine="422"/>
        <w:rPr>
          <w:rFonts w:ascii="楷体_GB2312" w:eastAsia="楷体_GB2312" w:hAnsi="宋体" w:cs="Arial"/>
          <w:b/>
          <w:bCs/>
          <w:color w:val="000000"/>
          <w:sz w:val="28"/>
          <w:szCs w:val="28"/>
        </w:rPr>
      </w:pPr>
    </w:p>
    <w:p w:rsidR="006D0D00" w:rsidRPr="00B70EE2" w:rsidRDefault="006D0D00" w:rsidP="00675719">
      <w:pPr>
        <w:pStyle w:val="2"/>
        <w:rPr>
          <w:rFonts w:ascii="楷体_GB2312" w:eastAsia="楷体_GB2312" w:hAnsi="宋体" w:cs="Arial"/>
          <w:sz w:val="28"/>
          <w:szCs w:val="28"/>
        </w:rPr>
      </w:pPr>
      <w:bookmarkStart w:id="4" w:name="_Toc524694623"/>
      <w:r w:rsidRPr="00B70EE2">
        <w:rPr>
          <w:rFonts w:ascii="楷体_GB2312" w:eastAsia="楷体_GB2312" w:hAnsi="宋体" w:cs="Arial" w:hint="eastAsia"/>
          <w:sz w:val="28"/>
          <w:szCs w:val="28"/>
        </w:rPr>
        <w:t>3、主要业务部门职责</w:t>
      </w:r>
      <w:bookmarkEnd w:id="4"/>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对公评估事业部</w:t>
      </w:r>
    </w:p>
    <w:p w:rsidR="00FF4136" w:rsidRPr="00B70EE2" w:rsidRDefault="00FF4136" w:rsidP="00B70EE2">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 xml:space="preserve"> 以融资为目的的房地产评估业务一直是我公司的核心业务之一，也是对公评估事业部的主要服务内容。我公司从事金融业务评估25年，作为房地产估价机构一级资质以及A级资信土地评估中介机构，在房地产评估金融业务领域拥有丰富经验和资源，并全国范围内承接估价业务。我们的服务对象包括有金融机构、大型房地产开发企业、中小企业以及个人。我们提供专业而全面的服务，与多家金融机构及</w:t>
      </w:r>
      <w:r w:rsidRPr="00B70EE2">
        <w:rPr>
          <w:rFonts w:ascii="楷体_GB2312" w:eastAsia="楷体_GB2312" w:hAnsi="Arial" w:cs="Arial" w:hint="eastAsia"/>
          <w:sz w:val="28"/>
          <w:szCs w:val="28"/>
        </w:rPr>
        <w:lastRenderedPageBreak/>
        <w:t>大型房地产开发企业保持长期而稳定的业务合作关系。我们的服务贯穿金融机构信贷资产管理的全流程：贷前可对抵押物进行抵押价值评估、经营权质押评估以及开发或经营性物业贷款评估；贷后对抵押物进行价值重</w:t>
      </w:r>
      <w:proofErr w:type="gramStart"/>
      <w:r w:rsidRPr="00B70EE2">
        <w:rPr>
          <w:rFonts w:ascii="楷体_GB2312" w:eastAsia="楷体_GB2312" w:hAnsi="Arial" w:cs="Arial" w:hint="eastAsia"/>
          <w:sz w:val="28"/>
          <w:szCs w:val="28"/>
        </w:rPr>
        <w:t>估以及</w:t>
      </w:r>
      <w:proofErr w:type="gramEnd"/>
      <w:r w:rsidRPr="00B70EE2">
        <w:rPr>
          <w:rFonts w:ascii="楷体_GB2312" w:eastAsia="楷体_GB2312" w:hAnsi="Arial" w:cs="Arial" w:hint="eastAsia"/>
          <w:sz w:val="28"/>
          <w:szCs w:val="28"/>
        </w:rPr>
        <w:t xml:space="preserve">抵押物的价值动态监测、贷后监管；在处置环节，可对待处置房地产进行处置价值评估。我们还提供各类房地产价格评估业务，如为财务报告服务的房地产估价、企业各种经济活动涉及的房地产估价、房地产投资信托基金物业评估，以及与评估有关咨询服务、可行性研究评估、财务可行性分析等，亦可协助金融机构与符合信贷条件的企业之间建立联系。积极提供国内新兴的各类资产证券化物业评估（证券化物业状况调查、现金流分析和价值评估）、住房租赁资产证券化（底层不动产物业）评估、利用集体建设用地建设租赁住房试点中咨询评估服务。 </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征收（拆迁）评估事业部</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 xml:space="preserve">征收（拆迁）评估事业部主要根据棚改项目业务要求，结合被征收（拆迁）范围内基本情况，编制征收（拆迁）项目前期方案，为委托方进行动迁提供数据依据；同时，协助委托方协调各部门、各参与单位之间的关系，整体把控征收（拆迁）项目进程；并对项目进行全流程的管控，实现项目预期经济效益与社会效益目标。 </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服务内容：征收、拆迁项目前期调查:调查</w:t>
      </w:r>
      <w:proofErr w:type="gramStart"/>
      <w:r w:rsidRPr="00B70EE2">
        <w:rPr>
          <w:rFonts w:ascii="楷体_GB2312" w:eastAsia="楷体_GB2312" w:hAnsi="Arial" w:cs="Arial" w:hint="eastAsia"/>
          <w:sz w:val="28"/>
          <w:szCs w:val="28"/>
        </w:rPr>
        <w:t>地上物</w:t>
      </w:r>
      <w:proofErr w:type="gramEnd"/>
      <w:r w:rsidRPr="00B70EE2">
        <w:rPr>
          <w:rFonts w:ascii="楷体_GB2312" w:eastAsia="楷体_GB2312" w:hAnsi="Arial" w:cs="Arial" w:hint="eastAsia"/>
          <w:sz w:val="28"/>
          <w:szCs w:val="28"/>
        </w:rPr>
        <w:t>状况（房屋、附属物）、绘制房屋平面示意图、拍摄影像资料、其他相关资料的收集、整理与分析；</w:t>
      </w:r>
    </w:p>
    <w:p w:rsidR="007E1BFC" w:rsidRPr="00B70EE2" w:rsidRDefault="00FF4136" w:rsidP="007E1BFC">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服务类型：房屋征收住宅（国有土地、集体土地）评估服务、 房</w:t>
      </w:r>
      <w:r w:rsidRPr="00B70EE2">
        <w:rPr>
          <w:rFonts w:ascii="楷体_GB2312" w:eastAsia="楷体_GB2312" w:hAnsi="Arial" w:cs="Arial" w:hint="eastAsia"/>
          <w:sz w:val="28"/>
          <w:szCs w:val="28"/>
        </w:rPr>
        <w:lastRenderedPageBreak/>
        <w:t>屋征收非住宅（国有土地、集体土地）评估服务、房屋征收补偿方案编制（调查房屋、土地权属状况、 调查周边项目情况及补偿标准、 编制征收补偿方案）。</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综合评估事业部</w:t>
      </w:r>
    </w:p>
    <w:p w:rsidR="00720A08" w:rsidRPr="00B70EE2" w:rsidRDefault="00FF4136" w:rsidP="00B70EE2">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综合评估事业部主要面向司法机构、土地及房地产管理部门、税务机构、政府职能部门提供各类房地产价格评估及咨询业务，评估项目所涉及的业务领域包括司法鉴定、土地出让及收储、税收、项目可行性研究及咨询服务等。我们与客户紧密合作，坚持以独立、客观、公正的原则协助客户达到预期目标。凭借着丰富的估价经验，根据不同的评估类型，选择相应的政策依据，制定合理合</w:t>
      </w:r>
      <w:proofErr w:type="gramStart"/>
      <w:r w:rsidRPr="00B70EE2">
        <w:rPr>
          <w:rFonts w:ascii="楷体_GB2312" w:eastAsia="楷体_GB2312" w:hAnsi="Arial" w:cs="Arial" w:hint="eastAsia"/>
          <w:sz w:val="28"/>
          <w:szCs w:val="28"/>
        </w:rPr>
        <w:t>规</w:t>
      </w:r>
      <w:proofErr w:type="gramEnd"/>
      <w:r w:rsidRPr="00B70EE2">
        <w:rPr>
          <w:rFonts w:ascii="楷体_GB2312" w:eastAsia="楷体_GB2312" w:hAnsi="Arial" w:cs="Arial" w:hint="eastAsia"/>
          <w:sz w:val="28"/>
          <w:szCs w:val="28"/>
        </w:rPr>
        <w:t>的技术路线，每年配合全国各司法机构完成房地产评估项目百余个，配合客户向税务机构提供土地增值税、契税、房产税等税收评估数十个，配合土地及房地产管理部门完成土地出让及收储项目评估十余个以及其他各类咨询业务数十个。经过多年努力，我们坚持为广大客户提供高品质、高附加值的专业服务，在客户中建立了良好的口碑。</w:t>
      </w:r>
    </w:p>
    <w:p w:rsidR="00FF4136" w:rsidRPr="00B70EE2" w:rsidRDefault="00FF4136" w:rsidP="00FF4136">
      <w:pPr>
        <w:spacing w:line="360" w:lineRule="auto"/>
        <w:ind w:firstLineChars="200" w:firstLine="560"/>
        <w:rPr>
          <w:rFonts w:ascii="楷体_GB2312" w:eastAsia="楷体_GB2312" w:hAnsi="Arial" w:cs="Arial"/>
          <w:sz w:val="28"/>
          <w:szCs w:val="28"/>
        </w:rPr>
      </w:pPr>
      <w:proofErr w:type="gramStart"/>
      <w:r w:rsidRPr="00B70EE2">
        <w:rPr>
          <w:rFonts w:ascii="楷体_GB2312" w:eastAsia="楷体_GB2312" w:hAnsi="Arial" w:cs="Arial" w:hint="eastAsia"/>
          <w:sz w:val="28"/>
          <w:szCs w:val="28"/>
        </w:rPr>
        <w:t>零贷评估</w:t>
      </w:r>
      <w:proofErr w:type="gramEnd"/>
      <w:r w:rsidRPr="00B70EE2">
        <w:rPr>
          <w:rFonts w:ascii="楷体_GB2312" w:eastAsia="楷体_GB2312" w:hAnsi="Arial" w:cs="Arial" w:hint="eastAsia"/>
          <w:sz w:val="28"/>
          <w:szCs w:val="28"/>
        </w:rPr>
        <w:t>事业部</w:t>
      </w:r>
    </w:p>
    <w:p w:rsidR="00FF4136" w:rsidRPr="00B70EE2" w:rsidRDefault="00FF4136" w:rsidP="00B70EE2">
      <w:pPr>
        <w:spacing w:line="360" w:lineRule="auto"/>
        <w:ind w:firstLineChars="200" w:firstLine="560"/>
        <w:rPr>
          <w:rFonts w:ascii="楷体_GB2312" w:eastAsia="楷体_GB2312" w:hAnsi="Arial" w:cs="Arial"/>
          <w:sz w:val="28"/>
          <w:szCs w:val="28"/>
        </w:rPr>
      </w:pPr>
      <w:proofErr w:type="gramStart"/>
      <w:r w:rsidRPr="00B70EE2">
        <w:rPr>
          <w:rFonts w:ascii="楷体_GB2312" w:eastAsia="楷体_GB2312" w:hAnsi="Arial" w:cs="Arial" w:hint="eastAsia"/>
          <w:sz w:val="28"/>
          <w:szCs w:val="28"/>
        </w:rPr>
        <w:t>零贷评估</w:t>
      </w:r>
      <w:proofErr w:type="gramEnd"/>
      <w:r w:rsidRPr="00B70EE2">
        <w:rPr>
          <w:rFonts w:ascii="楷体_GB2312" w:eastAsia="楷体_GB2312" w:hAnsi="Arial" w:cs="Arial" w:hint="eastAsia"/>
          <w:sz w:val="28"/>
          <w:szCs w:val="28"/>
        </w:rPr>
        <w:t>事业部致力于为向商业银行申请个人住房贷款、个人消费贷款、个人经营性贷款等个人信贷业务的申请人，及中小企业经营贷款申请人提供优质的抵押物评估服务。同时，作为北京住房公积金管理中心的长期合作之一，负责为向北京住房公积金管理中心、北京市住房贷款担保中心申请个人住房担保贷款的个人提供抵押物审核评估服务。凭借对于房地产法律法规的全面掌握，通过数十万笔个人</w:t>
      </w:r>
      <w:r w:rsidRPr="00B70EE2">
        <w:rPr>
          <w:rFonts w:ascii="楷体_GB2312" w:eastAsia="楷体_GB2312" w:hAnsi="Arial" w:cs="Arial" w:hint="eastAsia"/>
          <w:sz w:val="28"/>
          <w:szCs w:val="28"/>
        </w:rPr>
        <w:lastRenderedPageBreak/>
        <w:t>住房抵押贷款的评估，掌握的上万个楼盘资料，可以提供全方位、动态的权属审核服务，切实保证客户的财产权利。</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资产评估事业部</w:t>
      </w:r>
    </w:p>
    <w:p w:rsidR="00720A08" w:rsidRPr="00B70EE2" w:rsidRDefault="00FF4136" w:rsidP="00B70EE2">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的策划、咨询、评估；公司融资咨询及资信等级评定、 推荐投资项目及前期实施方案策划。</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上海业务中心</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2018年4月，应市场发展需求，更好的为合作机构提供专业服务，我公司成立上海业务中心，派遣公司副总经理主持上海业务中心工作，并为成立分公司做好前期准备工作。</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业务范围主要向金融机构、大型房地产开发企业提供各类房地产价格评估、项目贷款评估等业务，向非</w:t>
      </w:r>
      <w:proofErr w:type="gramStart"/>
      <w:r w:rsidRPr="00B70EE2">
        <w:rPr>
          <w:rFonts w:ascii="楷体_GB2312" w:eastAsia="楷体_GB2312" w:hAnsi="Arial" w:cs="Arial" w:hint="eastAsia"/>
          <w:sz w:val="28"/>
          <w:szCs w:val="28"/>
        </w:rPr>
        <w:t>银金融</w:t>
      </w:r>
      <w:proofErr w:type="gramEnd"/>
      <w:r w:rsidRPr="00B70EE2">
        <w:rPr>
          <w:rFonts w:ascii="楷体_GB2312" w:eastAsia="楷体_GB2312" w:hAnsi="Arial" w:cs="Arial" w:hint="eastAsia"/>
          <w:sz w:val="28"/>
          <w:szCs w:val="28"/>
        </w:rPr>
        <w:t>机构提供</w:t>
      </w:r>
      <w:proofErr w:type="gramStart"/>
      <w:r w:rsidRPr="00B70EE2">
        <w:rPr>
          <w:rFonts w:ascii="楷体_GB2312" w:eastAsia="楷体_GB2312" w:hAnsi="Arial" w:cs="Arial" w:hint="eastAsia"/>
          <w:sz w:val="28"/>
          <w:szCs w:val="28"/>
        </w:rPr>
        <w:t>第三方投后</w:t>
      </w:r>
      <w:proofErr w:type="gramEnd"/>
      <w:r w:rsidRPr="00B70EE2">
        <w:rPr>
          <w:rFonts w:ascii="楷体_GB2312" w:eastAsia="楷体_GB2312" w:hAnsi="Arial" w:cs="Arial" w:hint="eastAsia"/>
          <w:sz w:val="28"/>
          <w:szCs w:val="28"/>
        </w:rPr>
        <w:t>管理业务。</w:t>
      </w:r>
    </w:p>
    <w:p w:rsidR="00FF4136"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投后管理事业部</w:t>
      </w:r>
    </w:p>
    <w:p w:rsidR="006D0D00" w:rsidRPr="00B70EE2" w:rsidRDefault="00FF4136" w:rsidP="00FF413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在保持传统评估领域优势的同时，我公司始终致力于产业链条的突破，以专注、创新、严谨的态度，坚持稳扎稳打式的发展，成为</w:t>
      </w:r>
      <w:proofErr w:type="gramStart"/>
      <w:r w:rsidRPr="00B70EE2">
        <w:rPr>
          <w:rFonts w:ascii="楷体_GB2312" w:eastAsia="楷体_GB2312" w:hAnsi="Arial" w:cs="Arial" w:hint="eastAsia"/>
          <w:sz w:val="28"/>
          <w:szCs w:val="28"/>
        </w:rPr>
        <w:t>第三方投后</w:t>
      </w:r>
      <w:proofErr w:type="gramEnd"/>
      <w:r w:rsidRPr="00B70EE2">
        <w:rPr>
          <w:rFonts w:ascii="楷体_GB2312" w:eastAsia="楷体_GB2312" w:hAnsi="Arial" w:cs="Arial" w:hint="eastAsia"/>
          <w:sz w:val="28"/>
          <w:szCs w:val="28"/>
        </w:rPr>
        <w:t>管理的专业服务机构。在行业深度调整愈渐明晰的</w:t>
      </w:r>
      <w:proofErr w:type="gramStart"/>
      <w:r w:rsidRPr="00B70EE2">
        <w:rPr>
          <w:rFonts w:ascii="楷体_GB2312" w:eastAsia="楷体_GB2312" w:hAnsi="Arial" w:cs="Arial" w:hint="eastAsia"/>
          <w:sz w:val="28"/>
          <w:szCs w:val="28"/>
        </w:rPr>
        <w:t>泛资产</w:t>
      </w:r>
      <w:proofErr w:type="gramEnd"/>
      <w:r w:rsidRPr="00B70EE2">
        <w:rPr>
          <w:rFonts w:ascii="楷体_GB2312" w:eastAsia="楷体_GB2312" w:hAnsi="Arial" w:cs="Arial" w:hint="eastAsia"/>
          <w:sz w:val="28"/>
          <w:szCs w:val="28"/>
        </w:rPr>
        <w:t>管理时代，为行业细分贡献了自己的一份力量，翻开了资产管理行业精</w:t>
      </w:r>
      <w:r w:rsidRPr="00B70EE2">
        <w:rPr>
          <w:rFonts w:ascii="楷体_GB2312" w:eastAsia="楷体_GB2312" w:hAnsi="Arial" w:cs="Arial" w:hint="eastAsia"/>
          <w:sz w:val="28"/>
          <w:szCs w:val="28"/>
        </w:rPr>
        <w:lastRenderedPageBreak/>
        <w:t>细化分工的新篇章。截止目前，资产管理规模已突破200亿，已成为最优秀第三方监管机构之一。</w:t>
      </w:r>
    </w:p>
    <w:p w:rsidR="006D0D00" w:rsidRPr="00B70EE2" w:rsidRDefault="006D0D00" w:rsidP="00675719">
      <w:pPr>
        <w:pStyle w:val="2"/>
        <w:rPr>
          <w:rFonts w:ascii="楷体_GB2312" w:eastAsia="楷体_GB2312" w:hAnsi="宋体" w:cs="Arial"/>
          <w:sz w:val="28"/>
          <w:szCs w:val="28"/>
        </w:rPr>
      </w:pPr>
      <w:bookmarkStart w:id="5" w:name="_Toc524694624"/>
      <w:r w:rsidRPr="00B70EE2">
        <w:rPr>
          <w:rFonts w:ascii="楷体_GB2312" w:eastAsia="楷体_GB2312" w:hAnsi="宋体" w:cs="Arial" w:hint="eastAsia"/>
          <w:sz w:val="28"/>
          <w:szCs w:val="28"/>
        </w:rPr>
        <w:t>4、队伍建设情况</w:t>
      </w:r>
      <w:bookmarkEnd w:id="5"/>
    </w:p>
    <w:p w:rsidR="006D0D00" w:rsidRPr="00B70EE2" w:rsidRDefault="006D0D00" w:rsidP="003D0729">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公司拥有</w:t>
      </w:r>
      <w:proofErr w:type="gramStart"/>
      <w:r w:rsidRPr="00B70EE2">
        <w:rPr>
          <w:rFonts w:ascii="楷体_GB2312" w:eastAsia="楷体_GB2312" w:hAnsi="Arial" w:cs="Arial" w:hint="eastAsia"/>
          <w:sz w:val="28"/>
          <w:szCs w:val="28"/>
        </w:rPr>
        <w:t>一</w:t>
      </w:r>
      <w:proofErr w:type="gramEnd"/>
      <w:r w:rsidRPr="00B70EE2">
        <w:rPr>
          <w:rFonts w:ascii="楷体_GB2312" w:eastAsia="楷体_GB2312" w:hAnsi="Arial" w:cs="Arial" w:hint="eastAsia"/>
          <w:sz w:val="28"/>
          <w:szCs w:val="28"/>
        </w:rPr>
        <w:t>支具有深厚的专业背景、丰富的估价经验、年轻而富有朝气的专业估价师团队。我公司现有员工147人，分设对公综合事业部、公积金贷款事业部、</w:t>
      </w:r>
      <w:proofErr w:type="gramStart"/>
      <w:r w:rsidRPr="00B70EE2">
        <w:rPr>
          <w:rFonts w:ascii="楷体_GB2312" w:eastAsia="楷体_GB2312" w:hAnsi="Arial" w:cs="Arial" w:hint="eastAsia"/>
          <w:sz w:val="28"/>
          <w:szCs w:val="28"/>
        </w:rPr>
        <w:t>零贷事业</w:t>
      </w:r>
      <w:proofErr w:type="gramEnd"/>
      <w:r w:rsidRPr="00B70EE2">
        <w:rPr>
          <w:rFonts w:ascii="楷体_GB2312" w:eastAsia="楷体_GB2312" w:hAnsi="Arial" w:cs="Arial" w:hint="eastAsia"/>
          <w:sz w:val="28"/>
          <w:szCs w:val="28"/>
        </w:rPr>
        <w:t>部、信息研究部、行政部、人事部、财务部七个部门。现有具有专职注册房地产估价师资格33人（其中资深房地产估价师1人），注册土地估价师资格22人（其中资深土地估价师1人），注册资产估价师8人，注册房地产经纪人10人，注册土地登记代理人6人，注册咨询工程师（投资）3人，注册造价工程师2人，英国皇家评估特许测量师（RICS）7人，香港测量师2人，财务人员7名。专业遍布城市规划、土地管理、工程建筑、投资经济、资产评估、法律等领域，均为本科以上学历，其中博士、硕士多名。</w:t>
      </w:r>
    </w:p>
    <w:p w:rsidR="006D0D00" w:rsidRPr="00B70EE2" w:rsidRDefault="006D0D00" w:rsidP="00675719">
      <w:pPr>
        <w:pStyle w:val="2"/>
        <w:rPr>
          <w:rFonts w:ascii="楷体_GB2312" w:eastAsia="楷体_GB2312" w:hAnsi="宋体" w:cs="Arial"/>
          <w:sz w:val="28"/>
          <w:szCs w:val="28"/>
        </w:rPr>
      </w:pPr>
      <w:bookmarkStart w:id="6" w:name="_Toc524694625"/>
      <w:r w:rsidRPr="00B70EE2">
        <w:rPr>
          <w:rFonts w:ascii="楷体_GB2312" w:eastAsia="楷体_GB2312" w:hAnsi="宋体" w:cs="Arial" w:hint="eastAsia"/>
          <w:sz w:val="28"/>
          <w:szCs w:val="28"/>
        </w:rPr>
        <w:t>5、行业排名</w:t>
      </w:r>
      <w:bookmarkEnd w:id="6"/>
    </w:p>
    <w:p w:rsidR="006D0D00" w:rsidRPr="00B70EE2" w:rsidRDefault="006D0D00" w:rsidP="003D0729">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自2009年中国房地产估价师协会发布年度行业业绩排名以来，公司主要业绩指标均名列全国前十名。自2007年中国土地估价师协会进行资信等级评定以来，公司历年均获得A级资信，且排名于前列。</w:t>
      </w:r>
    </w:p>
    <w:p w:rsidR="006D0D00" w:rsidRPr="00B70EE2" w:rsidRDefault="006D0D00" w:rsidP="003D0729">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在中国土地估价师与土地登记代理人协会2017-2018年度A级资信土地评估中介机构公示名单中，位列全国第6名。</w:t>
      </w:r>
    </w:p>
    <w:p w:rsidR="006D0D00" w:rsidRPr="00B70EE2" w:rsidRDefault="006D0D00" w:rsidP="003D0729">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2017年度全国一级资质房地产估价机构业绩排名：按注册房地</w:t>
      </w:r>
      <w:r w:rsidRPr="00B70EE2">
        <w:rPr>
          <w:rFonts w:ascii="楷体_GB2312" w:eastAsia="楷体_GB2312" w:hAnsi="Arial" w:cs="Arial" w:hint="eastAsia"/>
          <w:sz w:val="28"/>
          <w:szCs w:val="28"/>
        </w:rPr>
        <w:lastRenderedPageBreak/>
        <w:t>产估价师人数排名，我公司位列全国第十；按评估建筑面积排名，我公司位列全国第五；按评估总价值排名，我公司位列全国第七。</w:t>
      </w:r>
    </w:p>
    <w:p w:rsidR="00B22FEF" w:rsidRPr="00B70EE2" w:rsidRDefault="006D0D00" w:rsidP="005321E3">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2016年度全国一级资质房地产估价机构业绩排名：按营业总收入排名，我公司位列全国第九；按房地产估价业务收入排名，我公司位列全国第八；按评估建筑面积排名，我公司位列全国第九。</w:t>
      </w:r>
    </w:p>
    <w:p w:rsidR="00996B21" w:rsidRPr="00683808" w:rsidRDefault="00BB6D95" w:rsidP="00683808">
      <w:pPr>
        <w:pStyle w:val="2"/>
        <w:rPr>
          <w:rFonts w:ascii="楷体_GB2312" w:eastAsia="楷体_GB2312" w:hAnsi="宋体" w:cs="Arial"/>
          <w:sz w:val="28"/>
          <w:szCs w:val="28"/>
        </w:rPr>
      </w:pPr>
      <w:bookmarkStart w:id="7" w:name="_Toc524694626"/>
      <w:r w:rsidRPr="00B70EE2">
        <w:rPr>
          <w:rFonts w:ascii="楷体_GB2312" w:eastAsia="楷体_GB2312" w:hAnsi="宋体" w:cs="Arial" w:hint="eastAsia"/>
          <w:sz w:val="28"/>
          <w:szCs w:val="28"/>
        </w:rPr>
        <w:t>6、我公司具体业绩情况详见下表</w:t>
      </w:r>
      <w:bookmarkEnd w:id="7"/>
      <w:r w:rsidR="00683808">
        <w:rPr>
          <w:rFonts w:ascii="楷体_GB2312" w:eastAsia="楷体_GB2312" w:hAnsi="宋体" w:cs="Arial"/>
          <w:sz w:val="28"/>
          <w:szCs w:val="28"/>
        </w:rPr>
        <w:br/>
      </w:r>
      <w:r w:rsidR="00683808">
        <w:rPr>
          <w:rFonts w:ascii="楷体_GB2312" w:eastAsia="楷体_GB2312" w:hAnsi="Arial" w:cs="Arial" w:hint="eastAsia"/>
          <w:sz w:val="24"/>
        </w:rPr>
        <w:t xml:space="preserve">              </w:t>
      </w:r>
      <w:r w:rsidR="00996B21" w:rsidRPr="00B70EE2">
        <w:rPr>
          <w:rFonts w:ascii="楷体_GB2312" w:eastAsia="楷体_GB2312" w:hAnsi="Arial" w:cs="Arial" w:hint="eastAsia"/>
          <w:sz w:val="24"/>
        </w:rPr>
        <w:t>2015——2017年房地产抵押评估业绩统计表</w:t>
      </w:r>
    </w:p>
    <w:tbl>
      <w:tblPr>
        <w:tblW w:w="8406" w:type="dxa"/>
        <w:jc w:val="center"/>
        <w:tblLook w:val="00A0"/>
      </w:tblPr>
      <w:tblGrid>
        <w:gridCol w:w="2133"/>
        <w:gridCol w:w="2296"/>
        <w:gridCol w:w="1393"/>
        <w:gridCol w:w="1292"/>
        <w:gridCol w:w="1292"/>
      </w:tblGrid>
      <w:tr w:rsidR="00996B21" w:rsidRPr="00B70EE2" w:rsidTr="00FE155A">
        <w:trPr>
          <w:trHeight w:val="273"/>
          <w:jc w:val="center"/>
        </w:trPr>
        <w:tc>
          <w:tcPr>
            <w:tcW w:w="2133" w:type="dxa"/>
            <w:tcBorders>
              <w:top w:val="single" w:sz="8" w:space="0" w:color="auto"/>
              <w:left w:val="single" w:sz="8" w:space="0" w:color="auto"/>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b/>
                <w:bCs/>
                <w:kern w:val="0"/>
                <w:sz w:val="22"/>
              </w:rPr>
            </w:pPr>
            <w:r w:rsidRPr="00B70EE2">
              <w:rPr>
                <w:rFonts w:ascii="楷体_GB2312" w:eastAsia="楷体_GB2312" w:hAnsi="Arial" w:cs="Arial" w:hint="eastAsia"/>
                <w:b/>
                <w:bCs/>
                <w:kern w:val="0"/>
                <w:sz w:val="22"/>
              </w:rPr>
              <w:t>报告类型</w:t>
            </w:r>
          </w:p>
        </w:tc>
        <w:tc>
          <w:tcPr>
            <w:tcW w:w="2296" w:type="dxa"/>
            <w:tcBorders>
              <w:top w:val="single" w:sz="8" w:space="0" w:color="auto"/>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b/>
                <w:bCs/>
                <w:kern w:val="0"/>
                <w:sz w:val="22"/>
              </w:rPr>
            </w:pPr>
            <w:r w:rsidRPr="00B70EE2">
              <w:rPr>
                <w:rFonts w:ascii="楷体_GB2312" w:eastAsia="楷体_GB2312" w:hAnsi="Arial" w:cs="Arial" w:hint="eastAsia"/>
                <w:b/>
                <w:bCs/>
                <w:kern w:val="0"/>
                <w:sz w:val="22"/>
              </w:rPr>
              <w:t>科目</w:t>
            </w:r>
          </w:p>
        </w:tc>
        <w:tc>
          <w:tcPr>
            <w:tcW w:w="1393" w:type="dxa"/>
            <w:tcBorders>
              <w:top w:val="single" w:sz="8" w:space="0" w:color="auto"/>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
                <w:bCs/>
                <w:kern w:val="0"/>
                <w:sz w:val="22"/>
              </w:rPr>
            </w:pPr>
            <w:r w:rsidRPr="00B70EE2">
              <w:rPr>
                <w:rFonts w:ascii="楷体_GB2312" w:eastAsia="楷体_GB2312" w:hAnsi="Arial" w:cs="Arial" w:hint="eastAsia"/>
                <w:b/>
                <w:bCs/>
                <w:kern w:val="0"/>
                <w:sz w:val="22"/>
              </w:rPr>
              <w:t>2015年</w:t>
            </w:r>
          </w:p>
        </w:tc>
        <w:tc>
          <w:tcPr>
            <w:tcW w:w="1292" w:type="dxa"/>
            <w:tcBorders>
              <w:top w:val="single" w:sz="8" w:space="0" w:color="auto"/>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
                <w:bCs/>
                <w:kern w:val="0"/>
                <w:sz w:val="22"/>
              </w:rPr>
            </w:pPr>
            <w:r w:rsidRPr="00B70EE2">
              <w:rPr>
                <w:rFonts w:ascii="楷体_GB2312" w:eastAsia="楷体_GB2312" w:hAnsi="Arial" w:cs="Arial" w:hint="eastAsia"/>
                <w:b/>
                <w:bCs/>
                <w:kern w:val="0"/>
                <w:sz w:val="22"/>
              </w:rPr>
              <w:t>2016年</w:t>
            </w:r>
          </w:p>
        </w:tc>
        <w:tc>
          <w:tcPr>
            <w:tcW w:w="1292" w:type="dxa"/>
            <w:tcBorders>
              <w:top w:val="single" w:sz="8" w:space="0" w:color="auto"/>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
                <w:bCs/>
                <w:kern w:val="0"/>
                <w:sz w:val="22"/>
              </w:rPr>
            </w:pPr>
            <w:r w:rsidRPr="00B70EE2">
              <w:rPr>
                <w:rFonts w:ascii="楷体_GB2312" w:eastAsia="楷体_GB2312" w:hAnsi="Arial" w:cs="Arial" w:hint="eastAsia"/>
                <w:b/>
                <w:bCs/>
                <w:kern w:val="0"/>
                <w:sz w:val="22"/>
              </w:rPr>
              <w:t>2017年</w:t>
            </w:r>
          </w:p>
        </w:tc>
      </w:tr>
      <w:tr w:rsidR="00996B21" w:rsidRPr="00B70EE2" w:rsidTr="00FE155A">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项目贷款评估报告</w:t>
            </w: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Cs/>
                <w:kern w:val="0"/>
                <w:sz w:val="22"/>
              </w:rPr>
            </w:pPr>
            <w:r w:rsidRPr="00B70EE2">
              <w:rPr>
                <w:rFonts w:ascii="楷体_GB2312" w:eastAsia="楷体_GB2312" w:hAnsi="Arial" w:cs="Arial" w:hint="eastAsia"/>
                <w:bCs/>
                <w:kern w:val="0"/>
                <w:sz w:val="22"/>
              </w:rPr>
              <w:t>26</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22</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widowControl/>
              <w:jc w:val="center"/>
              <w:rPr>
                <w:rFonts w:ascii="楷体_GB2312" w:eastAsia="楷体_GB2312" w:hAnsi="Arial" w:cs="Arial"/>
                <w:szCs w:val="21"/>
              </w:rPr>
            </w:pPr>
            <w:r w:rsidRPr="00B70EE2">
              <w:rPr>
                <w:rFonts w:ascii="楷体_GB2312" w:eastAsia="楷体_GB2312" w:hAnsi="Arial" w:cs="Arial" w:hint="eastAsia"/>
                <w:szCs w:val="21"/>
              </w:rPr>
              <w:t>13</w:t>
            </w:r>
          </w:p>
        </w:tc>
      </w:tr>
      <w:tr w:rsidR="00996B21" w:rsidRPr="00B70EE2" w:rsidTr="00FE155A">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建筑面积（万</w:t>
            </w:r>
            <w:r w:rsidRPr="00B70EE2">
              <w:rPr>
                <w:rFonts w:ascii="楷体_GB2312" w:eastAsia="宋体" w:hAnsi="宋体" w:cs="宋体" w:hint="eastAsia"/>
                <w:kern w:val="0"/>
                <w:sz w:val="22"/>
              </w:rPr>
              <w:t>㎡</w:t>
            </w:r>
            <w:r w:rsidRPr="00B70EE2">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color w:val="000000"/>
                <w:kern w:val="0"/>
                <w:sz w:val="22"/>
              </w:rPr>
            </w:pPr>
            <w:r w:rsidRPr="00B70EE2">
              <w:rPr>
                <w:rFonts w:ascii="楷体_GB2312" w:eastAsia="楷体_GB2312" w:hAnsi="Arial" w:cs="Arial" w:hint="eastAsia"/>
                <w:color w:val="000000"/>
                <w:kern w:val="0"/>
                <w:sz w:val="22"/>
              </w:rPr>
              <w:t>435.5</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168.3</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szCs w:val="21"/>
              </w:rPr>
            </w:pPr>
            <w:r w:rsidRPr="00B70EE2">
              <w:rPr>
                <w:rFonts w:ascii="楷体_GB2312" w:eastAsia="楷体_GB2312" w:hAnsi="Arial" w:cs="Arial" w:hint="eastAsia"/>
                <w:szCs w:val="21"/>
              </w:rPr>
              <w:t>73.45</w:t>
            </w:r>
          </w:p>
        </w:tc>
      </w:tr>
      <w:tr w:rsidR="00996B21" w:rsidRPr="00B70EE2"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color w:val="000000"/>
                <w:kern w:val="0"/>
                <w:sz w:val="22"/>
              </w:rPr>
            </w:pPr>
            <w:r w:rsidRPr="00B70EE2">
              <w:rPr>
                <w:rFonts w:ascii="楷体_GB2312" w:eastAsia="楷体_GB2312" w:hAnsi="Arial" w:cs="Arial" w:hint="eastAsia"/>
                <w:color w:val="000000"/>
                <w:kern w:val="0"/>
                <w:sz w:val="22"/>
              </w:rPr>
              <w:t>554.6</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411.5</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szCs w:val="21"/>
              </w:rPr>
            </w:pPr>
            <w:r w:rsidRPr="00B70EE2">
              <w:rPr>
                <w:rFonts w:ascii="楷体_GB2312" w:eastAsia="楷体_GB2312" w:hAnsi="Arial" w:cs="Arial" w:hint="eastAsia"/>
                <w:szCs w:val="21"/>
              </w:rPr>
              <w:t>469.3</w:t>
            </w:r>
          </w:p>
        </w:tc>
      </w:tr>
      <w:tr w:rsidR="00996B21" w:rsidRPr="00B70EE2" w:rsidTr="00FE155A">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土地出让、司法鉴定及其他</w:t>
            </w: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Cs/>
                <w:kern w:val="0"/>
                <w:sz w:val="22"/>
              </w:rPr>
            </w:pPr>
            <w:r w:rsidRPr="00B70EE2">
              <w:rPr>
                <w:rFonts w:ascii="楷体_GB2312" w:eastAsia="楷体_GB2312" w:hAnsi="Arial" w:cs="Arial" w:hint="eastAsia"/>
                <w:bCs/>
                <w:kern w:val="0"/>
                <w:sz w:val="22"/>
              </w:rPr>
              <w:t>183</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107</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360</w:t>
            </w:r>
          </w:p>
        </w:tc>
      </w:tr>
      <w:tr w:rsidR="00996B21" w:rsidRPr="00B70EE2"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建筑面积（万</w:t>
            </w:r>
            <w:r w:rsidRPr="00B70EE2">
              <w:rPr>
                <w:rFonts w:ascii="楷体_GB2312" w:eastAsia="宋体" w:hAnsi="宋体" w:cs="宋体" w:hint="eastAsia"/>
                <w:kern w:val="0"/>
                <w:sz w:val="22"/>
              </w:rPr>
              <w:t>㎡</w:t>
            </w:r>
            <w:r w:rsidRPr="00B70EE2">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color w:val="000000"/>
                <w:kern w:val="0"/>
                <w:sz w:val="22"/>
              </w:rPr>
            </w:pPr>
            <w:r w:rsidRPr="00B70EE2">
              <w:rPr>
                <w:rFonts w:ascii="楷体_GB2312" w:eastAsia="楷体_GB2312" w:hAnsi="Arial" w:cs="Arial" w:hint="eastAsia"/>
                <w:color w:val="000000"/>
                <w:kern w:val="0"/>
                <w:sz w:val="22"/>
              </w:rPr>
              <w:t>78.3</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5.8</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2070</w:t>
            </w:r>
          </w:p>
        </w:tc>
      </w:tr>
      <w:tr w:rsidR="00996B21" w:rsidRPr="00B70EE2"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color w:val="000000"/>
                <w:kern w:val="0"/>
                <w:sz w:val="22"/>
              </w:rPr>
            </w:pPr>
            <w:r w:rsidRPr="00B70EE2">
              <w:rPr>
                <w:rFonts w:ascii="楷体_GB2312" w:eastAsia="楷体_GB2312" w:hAnsi="Arial" w:cs="Arial" w:hint="eastAsia"/>
                <w:color w:val="000000"/>
                <w:kern w:val="0"/>
                <w:sz w:val="22"/>
              </w:rPr>
              <w:t>107.4</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8.4</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2470</w:t>
            </w:r>
          </w:p>
        </w:tc>
      </w:tr>
      <w:tr w:rsidR="00996B21" w:rsidRPr="00B70EE2" w:rsidTr="00FE155A">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企业贷款、开发贷款抵押物价格评估</w:t>
            </w: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Cs/>
                <w:kern w:val="0"/>
                <w:sz w:val="22"/>
              </w:rPr>
            </w:pPr>
            <w:r w:rsidRPr="00B70EE2">
              <w:rPr>
                <w:rFonts w:ascii="楷体_GB2312" w:eastAsia="楷体_GB2312" w:hAnsi="Arial" w:cs="Arial" w:hint="eastAsia"/>
                <w:bCs/>
                <w:kern w:val="0"/>
                <w:sz w:val="22"/>
              </w:rPr>
              <w:t>885</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929</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1355</w:t>
            </w:r>
          </w:p>
        </w:tc>
      </w:tr>
      <w:tr w:rsidR="00996B21" w:rsidRPr="00B70EE2"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建筑面积（万</w:t>
            </w:r>
            <w:r w:rsidRPr="00B70EE2">
              <w:rPr>
                <w:rFonts w:ascii="楷体_GB2312" w:eastAsia="宋体" w:hAnsi="宋体" w:cs="宋体" w:hint="eastAsia"/>
                <w:kern w:val="0"/>
                <w:sz w:val="22"/>
              </w:rPr>
              <w:t>㎡</w:t>
            </w:r>
            <w:r w:rsidRPr="00B70EE2">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color w:val="000000"/>
                <w:kern w:val="0"/>
                <w:sz w:val="22"/>
              </w:rPr>
            </w:pPr>
            <w:r w:rsidRPr="00B70EE2">
              <w:rPr>
                <w:rFonts w:ascii="楷体_GB2312" w:eastAsia="楷体_GB2312" w:hAnsi="Arial" w:cs="Arial" w:hint="eastAsia"/>
                <w:color w:val="000000"/>
                <w:kern w:val="0"/>
                <w:sz w:val="22"/>
              </w:rPr>
              <w:t>10023.4</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10205.9</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13699.09</w:t>
            </w:r>
          </w:p>
        </w:tc>
      </w:tr>
      <w:tr w:rsidR="00996B21" w:rsidRPr="00B70EE2" w:rsidTr="00FE155A">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color w:val="000000"/>
                <w:kern w:val="0"/>
                <w:sz w:val="22"/>
              </w:rPr>
            </w:pPr>
            <w:r w:rsidRPr="00B70EE2">
              <w:rPr>
                <w:rFonts w:ascii="楷体_GB2312" w:eastAsia="楷体_GB2312" w:hAnsi="Arial" w:cs="Arial" w:hint="eastAsia"/>
                <w:color w:val="000000"/>
                <w:kern w:val="0"/>
                <w:sz w:val="22"/>
              </w:rPr>
              <w:t>6497.1</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7756.7</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13994.97</w:t>
            </w:r>
          </w:p>
        </w:tc>
      </w:tr>
      <w:tr w:rsidR="00996B21" w:rsidRPr="00B70EE2" w:rsidTr="00FE155A">
        <w:trPr>
          <w:trHeight w:val="273"/>
          <w:jc w:val="center"/>
        </w:trPr>
        <w:tc>
          <w:tcPr>
            <w:tcW w:w="2133" w:type="dxa"/>
            <w:vMerge w:val="restart"/>
            <w:tcBorders>
              <w:top w:val="nil"/>
              <w:left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个人住房贷款</w:t>
            </w:r>
          </w:p>
          <w:p w:rsidR="00996B21" w:rsidRPr="00B70EE2" w:rsidRDefault="00996B21" w:rsidP="00FE155A">
            <w:pPr>
              <w:jc w:val="center"/>
              <w:rPr>
                <w:rFonts w:ascii="楷体_GB2312" w:eastAsia="楷体_GB2312" w:hAnsi="Arial" w:cs="Arial"/>
                <w:kern w:val="0"/>
                <w:sz w:val="22"/>
              </w:rPr>
            </w:pPr>
            <w:r w:rsidRPr="00B70EE2">
              <w:rPr>
                <w:rFonts w:ascii="楷体_GB2312" w:eastAsia="楷体_GB2312" w:hAnsi="Arial" w:cs="Arial" w:hint="eastAsia"/>
                <w:kern w:val="0"/>
                <w:sz w:val="22"/>
              </w:rPr>
              <w:t>抵押物评估</w:t>
            </w: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Cs/>
                <w:kern w:val="0"/>
                <w:sz w:val="22"/>
              </w:rPr>
            </w:pPr>
            <w:r w:rsidRPr="00B70EE2">
              <w:rPr>
                <w:rFonts w:ascii="楷体_GB2312" w:eastAsia="楷体_GB2312" w:hAnsi="Arial" w:cs="Arial" w:hint="eastAsia"/>
                <w:bCs/>
                <w:kern w:val="0"/>
                <w:sz w:val="22"/>
              </w:rPr>
              <w:t>72841</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87733</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31489</w:t>
            </w:r>
          </w:p>
        </w:tc>
      </w:tr>
      <w:tr w:rsidR="00996B21" w:rsidRPr="00B70EE2" w:rsidTr="00FE155A">
        <w:trPr>
          <w:trHeight w:val="273"/>
          <w:jc w:val="center"/>
        </w:trPr>
        <w:tc>
          <w:tcPr>
            <w:tcW w:w="2133" w:type="dxa"/>
            <w:vMerge/>
            <w:tcBorders>
              <w:left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建筑面积（万</w:t>
            </w:r>
            <w:r w:rsidRPr="00B70EE2">
              <w:rPr>
                <w:rFonts w:ascii="楷体_GB2312" w:eastAsia="宋体" w:hAnsi="宋体" w:cs="宋体" w:hint="eastAsia"/>
                <w:kern w:val="0"/>
                <w:sz w:val="22"/>
              </w:rPr>
              <w:t>㎡</w:t>
            </w:r>
            <w:r w:rsidRPr="00B70EE2">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Cs/>
                <w:kern w:val="0"/>
                <w:sz w:val="22"/>
              </w:rPr>
            </w:pPr>
            <w:r w:rsidRPr="00B70EE2">
              <w:rPr>
                <w:rFonts w:ascii="楷体_GB2312" w:eastAsia="楷体_GB2312" w:hAnsi="Arial" w:cs="Arial" w:hint="eastAsia"/>
                <w:bCs/>
                <w:kern w:val="0"/>
                <w:sz w:val="22"/>
              </w:rPr>
              <w:t>610</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742.1</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280.12</w:t>
            </w:r>
          </w:p>
        </w:tc>
      </w:tr>
      <w:tr w:rsidR="00996B21" w:rsidRPr="00B70EE2" w:rsidTr="00FE155A">
        <w:trPr>
          <w:trHeight w:val="274"/>
          <w:jc w:val="center"/>
        </w:trPr>
        <w:tc>
          <w:tcPr>
            <w:tcW w:w="2133" w:type="dxa"/>
            <w:vMerge/>
            <w:tcBorders>
              <w:left w:val="single" w:sz="8" w:space="0" w:color="auto"/>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B70EE2" w:rsidRDefault="00996B21" w:rsidP="00FE155A">
            <w:pPr>
              <w:widowControl/>
              <w:jc w:val="center"/>
              <w:rPr>
                <w:rFonts w:ascii="楷体_GB2312" w:eastAsia="楷体_GB2312" w:hAnsi="Arial" w:cs="Arial"/>
                <w:bCs/>
                <w:kern w:val="0"/>
                <w:sz w:val="22"/>
              </w:rPr>
            </w:pPr>
            <w:r w:rsidRPr="00B70EE2">
              <w:rPr>
                <w:rFonts w:ascii="楷体_GB2312" w:eastAsia="楷体_GB2312" w:hAnsi="Arial" w:cs="Arial" w:hint="eastAsia"/>
                <w:bCs/>
                <w:kern w:val="0"/>
                <w:sz w:val="22"/>
              </w:rPr>
              <w:t>1752</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2475.4</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1433.56</w:t>
            </w:r>
          </w:p>
        </w:tc>
      </w:tr>
      <w:tr w:rsidR="00996B21" w:rsidRPr="00B70EE2" w:rsidTr="00FE155A">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合计</w:t>
            </w: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建筑面积（万</w:t>
            </w:r>
            <w:r w:rsidRPr="00B70EE2">
              <w:rPr>
                <w:rFonts w:ascii="楷体_GB2312" w:eastAsia="宋体" w:hAnsi="宋体" w:cs="宋体" w:hint="eastAsia"/>
                <w:kern w:val="0"/>
                <w:sz w:val="22"/>
              </w:rPr>
              <w:t>㎡</w:t>
            </w:r>
            <w:r w:rsidRPr="00B70EE2">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11147.2</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 xml:space="preserve">11122 </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16054.86</w:t>
            </w:r>
          </w:p>
        </w:tc>
      </w:tr>
      <w:tr w:rsidR="00996B21" w:rsidRPr="00B70EE2" w:rsidTr="00FE155A">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996B21" w:rsidRPr="00B70EE2"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B70EE2" w:rsidRDefault="00996B21" w:rsidP="00FE155A">
            <w:pPr>
              <w:widowControl/>
              <w:jc w:val="center"/>
              <w:rPr>
                <w:rFonts w:ascii="楷体_GB2312" w:eastAsia="楷体_GB2312" w:hAnsi="Arial" w:cs="Arial"/>
                <w:kern w:val="0"/>
                <w:sz w:val="22"/>
              </w:rPr>
            </w:pPr>
            <w:r w:rsidRPr="00B70EE2">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8911.1</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 w:val="22"/>
              </w:rPr>
            </w:pPr>
            <w:r w:rsidRPr="00B70EE2">
              <w:rPr>
                <w:rFonts w:ascii="楷体_GB2312" w:eastAsia="楷体_GB2312" w:hAnsi="Arial" w:cs="Arial" w:hint="eastAsia"/>
                <w:color w:val="000000"/>
                <w:sz w:val="22"/>
              </w:rPr>
              <w:t xml:space="preserve">10652 </w:t>
            </w:r>
          </w:p>
        </w:tc>
        <w:tc>
          <w:tcPr>
            <w:tcW w:w="1292" w:type="dxa"/>
            <w:tcBorders>
              <w:top w:val="nil"/>
              <w:left w:val="nil"/>
              <w:bottom w:val="single" w:sz="8" w:space="0" w:color="auto"/>
              <w:right w:val="single" w:sz="8" w:space="0" w:color="auto"/>
            </w:tcBorders>
            <w:vAlign w:val="center"/>
          </w:tcPr>
          <w:p w:rsidR="00996B21" w:rsidRPr="00B70EE2" w:rsidRDefault="00996B21" w:rsidP="00FE155A">
            <w:pPr>
              <w:jc w:val="center"/>
              <w:rPr>
                <w:rFonts w:ascii="楷体_GB2312" w:eastAsia="楷体_GB2312" w:hAnsi="Arial" w:cs="Arial"/>
                <w:color w:val="000000"/>
                <w:szCs w:val="21"/>
              </w:rPr>
            </w:pPr>
            <w:r w:rsidRPr="00B70EE2">
              <w:rPr>
                <w:rFonts w:ascii="楷体_GB2312" w:eastAsia="楷体_GB2312" w:hAnsi="Arial" w:cs="Arial" w:hint="eastAsia"/>
                <w:color w:val="000000"/>
                <w:szCs w:val="21"/>
              </w:rPr>
              <w:t>17934.63</w:t>
            </w:r>
          </w:p>
        </w:tc>
      </w:tr>
    </w:tbl>
    <w:p w:rsidR="00675719" w:rsidRPr="00B70EE2" w:rsidRDefault="00675719" w:rsidP="005321E3">
      <w:pPr>
        <w:spacing w:line="360" w:lineRule="auto"/>
        <w:rPr>
          <w:rFonts w:ascii="楷体_GB2312" w:eastAsia="楷体_GB2312" w:hAnsi="宋体" w:cs="Arial"/>
          <w:sz w:val="28"/>
          <w:szCs w:val="28"/>
        </w:rPr>
      </w:pPr>
    </w:p>
    <w:p w:rsidR="00996B21" w:rsidRPr="00B70EE2" w:rsidRDefault="00996B21" w:rsidP="00996B21">
      <w:pPr>
        <w:pStyle w:val="2"/>
        <w:rPr>
          <w:rFonts w:ascii="楷体_GB2312" w:eastAsia="楷体_GB2312" w:hAnsi="宋体" w:cs="Arial"/>
          <w:sz w:val="28"/>
          <w:szCs w:val="28"/>
        </w:rPr>
      </w:pPr>
      <w:bookmarkStart w:id="8" w:name="_Toc524694627"/>
      <w:r w:rsidRPr="00B70EE2">
        <w:rPr>
          <w:rFonts w:ascii="楷体_GB2312" w:eastAsia="楷体_GB2312" w:hAnsi="宋体" w:cs="Arial" w:hint="eastAsia"/>
          <w:sz w:val="28"/>
          <w:szCs w:val="28"/>
        </w:rPr>
        <w:t>7、主要合作金融机构</w:t>
      </w:r>
      <w:bookmarkEnd w:id="8"/>
    </w:p>
    <w:p w:rsidR="00996B21" w:rsidRPr="00B70EE2" w:rsidRDefault="00996B21" w:rsidP="00996B21">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经过25年的发展，我公司凭借严谨的工作态度，丰富的信贷业务评估经验，良好的商业信誉，在信贷业务房地产评估领域与众多机构建立了长期稳定的合作关系，并被多家银行及非银行金融机构选聘</w:t>
      </w:r>
      <w:r w:rsidRPr="00B70EE2">
        <w:rPr>
          <w:rFonts w:ascii="楷体_GB2312" w:eastAsia="楷体_GB2312" w:hAnsi="Arial" w:cs="Arial" w:hint="eastAsia"/>
          <w:sz w:val="28"/>
          <w:szCs w:val="28"/>
        </w:rPr>
        <w:lastRenderedPageBreak/>
        <w:t>为认可的评估服务机构：</w:t>
      </w:r>
    </w:p>
    <w:p w:rsidR="00FF4136" w:rsidRPr="00B70EE2" w:rsidRDefault="00FF4136" w:rsidP="005321E3">
      <w:pPr>
        <w:spacing w:line="360" w:lineRule="auto"/>
        <w:ind w:firstLineChars="200" w:firstLine="562"/>
        <w:rPr>
          <w:rFonts w:ascii="楷体_GB2312" w:eastAsia="楷体_GB2312" w:hAnsi="宋体" w:cs="Arial"/>
          <w:b/>
          <w:sz w:val="28"/>
          <w:szCs w:val="28"/>
        </w:rPr>
      </w:pPr>
      <w:r w:rsidRPr="00B70EE2">
        <w:rPr>
          <w:rFonts w:ascii="楷体_GB2312" w:eastAsia="楷体_GB2312" w:hAnsi="宋体" w:cs="Arial" w:hint="eastAsia"/>
          <w:b/>
          <w:sz w:val="28"/>
          <w:szCs w:val="28"/>
        </w:rPr>
        <w:t>中资银行:</w:t>
      </w:r>
    </w:p>
    <w:p w:rsidR="00FF4136" w:rsidRPr="00B70EE2" w:rsidRDefault="00FF4136" w:rsidP="00FF4136">
      <w:pPr>
        <w:spacing w:line="360" w:lineRule="auto"/>
        <w:ind w:firstLineChars="250" w:firstLine="525"/>
        <w:rPr>
          <w:rFonts w:ascii="楷体_GB2312" w:eastAsia="楷体_GB2312"/>
          <w:noProof/>
        </w:rPr>
      </w:pPr>
      <w:r w:rsidRPr="00B70EE2">
        <w:rPr>
          <w:rFonts w:ascii="楷体_GB2312" w:eastAsia="楷体_GB2312" w:hint="eastAsia"/>
          <w:noProof/>
        </w:rPr>
        <w:drawing>
          <wp:inline distT="0" distB="0" distL="0" distR="0">
            <wp:extent cx="2305050" cy="561975"/>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619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171700" cy="523875"/>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523875"/>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70485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04850"/>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70485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0485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600075"/>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0007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533400"/>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3340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742950"/>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42950"/>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466725"/>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66725"/>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64770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477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6675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6675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790575"/>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905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19125"/>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19125"/>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73342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334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53340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3340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714375"/>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143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66750"/>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6675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561975"/>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619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447925" cy="49530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925" cy="49530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85725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8572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7620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6200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lastRenderedPageBreak/>
        <w:drawing>
          <wp:inline distT="0" distB="0" distL="0" distR="0">
            <wp:extent cx="2305050" cy="5715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715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50482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04825"/>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5715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715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667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6675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44767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476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48577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85775"/>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2305050" cy="60007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0007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6858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85800"/>
                    </a:xfrm>
                    <a:prstGeom prst="rect">
                      <a:avLst/>
                    </a:prstGeom>
                    <a:noFill/>
                    <a:ln>
                      <a:noFill/>
                    </a:ln>
                  </pic:spPr>
                </pic:pic>
              </a:graphicData>
            </a:graphic>
          </wp:inline>
        </w:drawing>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73342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3342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4191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19100"/>
                    </a:xfrm>
                    <a:prstGeom prst="rect">
                      <a:avLst/>
                    </a:prstGeom>
                    <a:noFill/>
                    <a:ln>
                      <a:noFill/>
                    </a:ln>
                  </pic:spPr>
                </pic:pic>
              </a:graphicData>
            </a:graphic>
          </wp:inline>
        </w:drawing>
      </w:r>
    </w:p>
    <w:p w:rsidR="00FF4136" w:rsidRDefault="00FF4136" w:rsidP="00FF4136">
      <w:pPr>
        <w:spacing w:line="360" w:lineRule="auto"/>
        <w:ind w:firstLineChars="200" w:firstLine="420"/>
        <w:rPr>
          <w:rFonts w:ascii="楷体_GB2312" w:eastAsia="楷体_GB2312" w:hAnsi="Arial" w:cs="Arial"/>
          <w:szCs w:val="28"/>
        </w:rPr>
      </w:pPr>
      <w:r w:rsidRPr="00B70EE2">
        <w:rPr>
          <w:rFonts w:ascii="楷体_GB2312" w:eastAsia="楷体_GB2312" w:hint="eastAsia"/>
          <w:noProof/>
        </w:rPr>
        <w:drawing>
          <wp:inline distT="0" distB="0" distL="0" distR="0">
            <wp:extent cx="2305050" cy="4381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38150"/>
                    </a:xfrm>
                    <a:prstGeom prst="rect">
                      <a:avLst/>
                    </a:prstGeom>
                    <a:noFill/>
                    <a:ln>
                      <a:noFill/>
                    </a:ln>
                  </pic:spPr>
                </pic:pic>
              </a:graphicData>
            </a:graphic>
          </wp:inline>
        </w:drawing>
      </w:r>
    </w:p>
    <w:p w:rsidR="00B70EE2" w:rsidRPr="00B70EE2" w:rsidRDefault="00B70EE2" w:rsidP="00FF4136">
      <w:pPr>
        <w:spacing w:line="360" w:lineRule="auto"/>
        <w:ind w:firstLineChars="200" w:firstLine="420"/>
        <w:rPr>
          <w:rFonts w:ascii="楷体_GB2312" w:eastAsia="楷体_GB2312" w:hAnsi="Arial" w:cs="Arial"/>
          <w:szCs w:val="28"/>
        </w:rPr>
      </w:pPr>
    </w:p>
    <w:p w:rsidR="00FF4136" w:rsidRPr="00B70EE2" w:rsidRDefault="00FF4136" w:rsidP="005321E3">
      <w:pPr>
        <w:spacing w:line="360" w:lineRule="auto"/>
        <w:ind w:firstLineChars="200" w:firstLine="562"/>
        <w:rPr>
          <w:rFonts w:ascii="楷体_GB2312" w:eastAsia="楷体_GB2312" w:hAnsi="宋体" w:cs="Arial"/>
          <w:b/>
          <w:sz w:val="28"/>
          <w:szCs w:val="28"/>
        </w:rPr>
      </w:pPr>
      <w:r w:rsidRPr="00B70EE2">
        <w:rPr>
          <w:rFonts w:ascii="楷体_GB2312" w:eastAsia="楷体_GB2312" w:hAnsi="宋体" w:cs="Arial" w:hint="eastAsia"/>
          <w:b/>
          <w:sz w:val="28"/>
          <w:szCs w:val="28"/>
        </w:rPr>
        <w:t>外资银行：</w:t>
      </w:r>
    </w:p>
    <w:p w:rsidR="00FF4136" w:rsidRPr="00B70EE2" w:rsidRDefault="00FF4136" w:rsidP="00FF4136">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1419225" cy="48577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4857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39052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390525"/>
                    </a:xfrm>
                    <a:prstGeom prst="rect">
                      <a:avLst/>
                    </a:prstGeom>
                    <a:noFill/>
                    <a:ln>
                      <a:noFill/>
                    </a:ln>
                  </pic:spPr>
                </pic:pic>
              </a:graphicData>
            </a:graphic>
          </wp:inline>
        </w:drawing>
      </w:r>
    </w:p>
    <w:p w:rsidR="00FF4136" w:rsidRPr="005321E3" w:rsidRDefault="00FF4136" w:rsidP="005321E3">
      <w:pPr>
        <w:spacing w:line="360" w:lineRule="auto"/>
        <w:ind w:firstLineChars="200" w:firstLine="420"/>
        <w:rPr>
          <w:rFonts w:ascii="楷体_GB2312" w:eastAsia="楷体_GB2312"/>
          <w:noProof/>
        </w:rPr>
      </w:pPr>
      <w:r w:rsidRPr="00B70EE2">
        <w:rPr>
          <w:rFonts w:ascii="楷体_GB2312" w:eastAsia="楷体_GB2312" w:hint="eastAsia"/>
          <w:noProof/>
        </w:rPr>
        <w:drawing>
          <wp:inline distT="0" distB="0" distL="0" distR="0">
            <wp:extent cx="1447800" cy="60007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6000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09700" cy="4572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457200"/>
                    </a:xfrm>
                    <a:prstGeom prst="rect">
                      <a:avLst/>
                    </a:prstGeom>
                    <a:noFill/>
                    <a:ln>
                      <a:noFill/>
                    </a:ln>
                  </pic:spPr>
                </pic:pic>
              </a:graphicData>
            </a:graphic>
          </wp:inline>
        </w:drawing>
      </w:r>
    </w:p>
    <w:p w:rsidR="00FF4136" w:rsidRPr="00B70EE2" w:rsidRDefault="00FF4136" w:rsidP="005321E3">
      <w:pPr>
        <w:spacing w:line="360" w:lineRule="auto"/>
        <w:ind w:firstLineChars="200" w:firstLine="562"/>
        <w:rPr>
          <w:rFonts w:ascii="楷体_GB2312" w:eastAsia="楷体_GB2312" w:hAnsi="宋体" w:cs="Arial"/>
          <w:b/>
          <w:sz w:val="28"/>
          <w:szCs w:val="28"/>
        </w:rPr>
      </w:pPr>
      <w:r w:rsidRPr="00B70EE2">
        <w:rPr>
          <w:rFonts w:ascii="楷体_GB2312" w:eastAsia="楷体_GB2312" w:hAnsi="宋体" w:cs="Arial" w:hint="eastAsia"/>
          <w:b/>
          <w:sz w:val="28"/>
          <w:szCs w:val="28"/>
        </w:rPr>
        <w:t>非银行金融机构：</w:t>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73342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334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7239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2390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10382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0382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762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76275"/>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lastRenderedPageBreak/>
        <w:drawing>
          <wp:inline distT="0" distB="0" distL="0" distR="0">
            <wp:extent cx="2305050" cy="10287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0287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12858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285875"/>
                    </a:xfrm>
                    <a:prstGeom prst="rect">
                      <a:avLst/>
                    </a:prstGeom>
                    <a:noFill/>
                    <a:ln>
                      <a:noFill/>
                    </a:ln>
                  </pic:spPr>
                </pic:pic>
              </a:graphicData>
            </a:graphic>
          </wp:inline>
        </w:drawing>
      </w:r>
    </w:p>
    <w:p w:rsidR="00FF4136" w:rsidRPr="00B70EE2" w:rsidRDefault="00FF4136" w:rsidP="00FF4136">
      <w:pPr>
        <w:spacing w:line="360" w:lineRule="auto"/>
        <w:ind w:firstLineChars="202" w:firstLine="424"/>
        <w:jc w:val="center"/>
        <w:rPr>
          <w:rFonts w:ascii="楷体_GB2312" w:eastAsia="楷体_GB2312"/>
          <w:noProof/>
        </w:rPr>
      </w:pPr>
      <w:r w:rsidRPr="00B70EE2">
        <w:rPr>
          <w:rFonts w:ascii="楷体_GB2312" w:eastAsia="楷体_GB2312" w:hint="eastAsia"/>
          <w:noProof/>
        </w:rPr>
        <w:drawing>
          <wp:inline distT="0" distB="0" distL="0" distR="0">
            <wp:extent cx="3362325" cy="5143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51435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4619625" cy="476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9625" cy="47625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1476375" cy="12573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12573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333500" cy="13239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3239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362075" cy="13525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135255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428875" cy="5238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52387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514600" cy="5334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53340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8286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8286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477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47700"/>
                    </a:xfrm>
                    <a:prstGeom prst="rect">
                      <a:avLst/>
                    </a:prstGeom>
                    <a:noFill/>
                    <a:ln>
                      <a:noFill/>
                    </a:ln>
                  </pic:spPr>
                </pic:pic>
              </a:graphicData>
            </a:graphic>
          </wp:inline>
        </w:drawing>
      </w:r>
      <w:r w:rsidRPr="00B70EE2">
        <w:rPr>
          <w:rFonts w:ascii="楷体_GB2312" w:eastAsia="楷体_GB2312" w:hint="eastAsia"/>
          <w:noProof/>
        </w:rPr>
        <w:t>、</w:t>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6858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858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6381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38175"/>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1152525" cy="7334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7334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7715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71525"/>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466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6672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4191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19100"/>
                    </a:xfrm>
                    <a:prstGeom prst="rect">
                      <a:avLst/>
                    </a:prstGeom>
                    <a:noFill/>
                    <a:ln>
                      <a:noFill/>
                    </a:ln>
                  </pic:spPr>
                </pic:pic>
              </a:graphicData>
            </a:graphic>
          </wp:inline>
        </w:drawing>
      </w:r>
    </w:p>
    <w:p w:rsidR="00FF4136" w:rsidRPr="00B70EE2" w:rsidRDefault="00FF4136" w:rsidP="00FF4136">
      <w:pPr>
        <w:spacing w:line="360" w:lineRule="auto"/>
        <w:ind w:firstLineChars="202" w:firstLine="424"/>
        <w:jc w:val="center"/>
        <w:rPr>
          <w:rFonts w:ascii="楷体_GB2312" w:eastAsia="楷体_GB2312"/>
          <w:noProof/>
        </w:rPr>
      </w:pPr>
      <w:r w:rsidRPr="00B70EE2">
        <w:rPr>
          <w:rFonts w:ascii="楷体_GB2312" w:eastAsia="楷体_GB2312" w:hint="eastAsia"/>
          <w:noProof/>
        </w:rPr>
        <w:drawing>
          <wp:inline distT="0" distB="0" distL="0" distR="0">
            <wp:extent cx="3448050" cy="7429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050" cy="74295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lastRenderedPageBreak/>
        <w:drawing>
          <wp:inline distT="0" distB="0" distL="0" distR="0">
            <wp:extent cx="2305050" cy="5238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238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305050" cy="714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714375"/>
                    </a:xfrm>
                    <a:prstGeom prst="rect">
                      <a:avLst/>
                    </a:prstGeom>
                    <a:noFill/>
                    <a:ln>
                      <a:noFill/>
                    </a:ln>
                  </pic:spPr>
                </pic:pic>
              </a:graphicData>
            </a:graphic>
          </wp:inline>
        </w:drawing>
      </w:r>
    </w:p>
    <w:p w:rsidR="00FF4136" w:rsidRPr="00B70EE2" w:rsidRDefault="00FF4136" w:rsidP="00FF4136">
      <w:pPr>
        <w:spacing w:line="360" w:lineRule="auto"/>
        <w:ind w:firstLineChars="202" w:firstLine="424"/>
        <w:jc w:val="center"/>
        <w:rPr>
          <w:rFonts w:ascii="楷体_GB2312" w:eastAsia="楷体_GB2312"/>
          <w:noProof/>
        </w:rPr>
      </w:pPr>
      <w:r w:rsidRPr="00B70EE2">
        <w:rPr>
          <w:rFonts w:ascii="楷体_GB2312" w:eastAsia="楷体_GB2312" w:hint="eastAsia"/>
          <w:noProof/>
        </w:rPr>
        <w:drawing>
          <wp:inline distT="0" distB="0" distL="0" distR="0">
            <wp:extent cx="3448050" cy="466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050" cy="466725"/>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657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5722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5715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71500"/>
                    </a:xfrm>
                    <a:prstGeom prst="rect">
                      <a:avLst/>
                    </a:prstGeom>
                    <a:noFill/>
                    <a:ln>
                      <a:noFill/>
                    </a:ln>
                  </pic:spPr>
                </pic:pic>
              </a:graphicData>
            </a:graphic>
          </wp:inline>
        </w:drawing>
      </w:r>
    </w:p>
    <w:p w:rsidR="00FF4136" w:rsidRPr="00B70EE2" w:rsidRDefault="00FF4136" w:rsidP="00FF4136">
      <w:pPr>
        <w:spacing w:line="360" w:lineRule="auto"/>
        <w:ind w:firstLineChars="202" w:firstLine="424"/>
        <w:jc w:val="center"/>
        <w:rPr>
          <w:rFonts w:ascii="楷体_GB2312" w:eastAsia="楷体_GB2312"/>
          <w:noProof/>
        </w:rPr>
      </w:pPr>
      <w:r w:rsidRPr="00B70EE2">
        <w:rPr>
          <w:rFonts w:ascii="楷体_GB2312" w:eastAsia="楷体_GB2312" w:hint="eastAsia"/>
          <w:noProof/>
        </w:rPr>
        <w:drawing>
          <wp:inline distT="0" distB="0" distL="0" distR="0">
            <wp:extent cx="3609975" cy="6477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9975" cy="64770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657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657225"/>
                    </a:xfrm>
                    <a:prstGeom prst="rect">
                      <a:avLst/>
                    </a:prstGeom>
                    <a:noFill/>
                    <a:ln>
                      <a:noFill/>
                    </a:ln>
                  </pic:spPr>
                </pic:pic>
              </a:graphicData>
            </a:graphic>
          </wp:inline>
        </w:drawing>
      </w:r>
      <w:r w:rsidRPr="00B70EE2">
        <w:rPr>
          <w:rFonts w:ascii="楷体_GB2312" w:eastAsia="楷体_GB2312" w:hint="eastAsia"/>
          <w:noProof/>
        </w:rPr>
        <w:drawing>
          <wp:inline distT="0" distB="0" distL="0" distR="0">
            <wp:extent cx="2305050" cy="4857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485775"/>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2305050" cy="542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5429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057400" cy="704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704850"/>
                    </a:xfrm>
                    <a:prstGeom prst="rect">
                      <a:avLst/>
                    </a:prstGeom>
                    <a:noFill/>
                    <a:ln>
                      <a:noFill/>
                    </a:ln>
                  </pic:spPr>
                </pic:pic>
              </a:graphicData>
            </a:graphic>
          </wp:inline>
        </w:drawing>
      </w:r>
    </w:p>
    <w:p w:rsidR="00FF4136" w:rsidRPr="00B70EE2"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4467225" cy="504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7225" cy="504825"/>
                    </a:xfrm>
                    <a:prstGeom prst="rect">
                      <a:avLst/>
                    </a:prstGeom>
                    <a:noFill/>
                    <a:ln>
                      <a:noFill/>
                    </a:ln>
                  </pic:spPr>
                </pic:pic>
              </a:graphicData>
            </a:graphic>
          </wp:inline>
        </w:drawing>
      </w:r>
    </w:p>
    <w:p w:rsidR="00FF4136" w:rsidRDefault="00FF4136" w:rsidP="00FF4136">
      <w:pPr>
        <w:spacing w:line="360" w:lineRule="auto"/>
        <w:ind w:firstLineChars="202" w:firstLine="424"/>
        <w:rPr>
          <w:rFonts w:ascii="楷体_GB2312" w:eastAsia="楷体_GB2312"/>
          <w:noProof/>
        </w:rPr>
      </w:pPr>
      <w:r w:rsidRPr="00B70EE2">
        <w:rPr>
          <w:rFonts w:ascii="楷体_GB2312" w:eastAsia="楷体_GB2312" w:hint="eastAsia"/>
          <w:noProof/>
        </w:rPr>
        <w:drawing>
          <wp:inline distT="0" distB="0" distL="0" distR="0">
            <wp:extent cx="1800225" cy="619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6191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952750" cy="657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657225"/>
                    </a:xfrm>
                    <a:prstGeom prst="rect">
                      <a:avLst/>
                    </a:prstGeom>
                    <a:noFill/>
                    <a:ln>
                      <a:noFill/>
                    </a:ln>
                  </pic:spPr>
                </pic:pic>
              </a:graphicData>
            </a:graphic>
          </wp:inline>
        </w:drawing>
      </w:r>
    </w:p>
    <w:p w:rsidR="007E1BFC" w:rsidRDefault="007E1BFC" w:rsidP="00FF4136">
      <w:pPr>
        <w:spacing w:line="360" w:lineRule="auto"/>
        <w:ind w:firstLineChars="202" w:firstLine="424"/>
        <w:rPr>
          <w:rFonts w:ascii="楷体_GB2312" w:eastAsia="楷体_GB2312"/>
          <w:noProof/>
        </w:rPr>
      </w:pPr>
    </w:p>
    <w:p w:rsidR="007E1BFC" w:rsidRPr="005321E3" w:rsidRDefault="007E1BFC" w:rsidP="005321E3">
      <w:pPr>
        <w:spacing w:line="360" w:lineRule="auto"/>
        <w:ind w:firstLineChars="200" w:firstLine="562"/>
        <w:rPr>
          <w:rFonts w:ascii="楷体_GB2312" w:eastAsia="楷体_GB2312" w:hAnsi="宋体" w:cs="Arial"/>
          <w:b/>
          <w:sz w:val="28"/>
          <w:szCs w:val="28"/>
        </w:rPr>
      </w:pPr>
      <w:r>
        <w:rPr>
          <w:rFonts w:ascii="楷体_GB2312" w:eastAsia="楷体_GB2312" w:hAnsi="宋体" w:cs="Arial" w:hint="eastAsia"/>
          <w:b/>
          <w:sz w:val="28"/>
          <w:szCs w:val="28"/>
        </w:rPr>
        <w:t>重点企业</w:t>
      </w:r>
      <w:r w:rsidRPr="00B70EE2">
        <w:rPr>
          <w:rFonts w:ascii="楷体_GB2312" w:eastAsia="楷体_GB2312" w:hAnsi="宋体" w:cs="Arial" w:hint="eastAsia"/>
          <w:b/>
          <w:sz w:val="28"/>
          <w:szCs w:val="28"/>
        </w:rPr>
        <w:t>：</w:t>
      </w:r>
    </w:p>
    <w:p w:rsidR="00FF4136" w:rsidRPr="00B70EE2" w:rsidRDefault="00FF4136" w:rsidP="00FF4136">
      <w:pPr>
        <w:spacing w:line="360" w:lineRule="auto"/>
        <w:ind w:firstLineChars="250" w:firstLine="525"/>
        <w:jc w:val="left"/>
        <w:rPr>
          <w:rFonts w:ascii="楷体_GB2312" w:eastAsia="楷体_GB2312"/>
          <w:noProof/>
        </w:rPr>
      </w:pPr>
      <w:r w:rsidRPr="00B70EE2">
        <w:rPr>
          <w:rFonts w:ascii="楷体_GB2312" w:eastAsia="楷体_GB2312" w:hint="eastAsia"/>
          <w:noProof/>
        </w:rPr>
        <w:drawing>
          <wp:inline distT="0" distB="0" distL="0" distR="0">
            <wp:extent cx="1438275" cy="5143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143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5143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143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466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466725"/>
                    </a:xfrm>
                    <a:prstGeom prst="rect">
                      <a:avLst/>
                    </a:prstGeom>
                    <a:noFill/>
                    <a:ln>
                      <a:noFill/>
                    </a:ln>
                  </pic:spPr>
                </pic:pic>
              </a:graphicData>
            </a:graphic>
          </wp:inline>
        </w:drawing>
      </w:r>
    </w:p>
    <w:p w:rsidR="00FF4136" w:rsidRPr="00B70EE2" w:rsidRDefault="00FF4136" w:rsidP="00FF4136">
      <w:pPr>
        <w:spacing w:line="360" w:lineRule="auto"/>
        <w:ind w:firstLineChars="250" w:firstLine="525"/>
        <w:jc w:val="left"/>
        <w:rPr>
          <w:rFonts w:ascii="楷体_GB2312" w:eastAsia="楷体_GB2312"/>
          <w:noProof/>
        </w:rPr>
      </w:pPr>
      <w:r w:rsidRPr="00B70EE2">
        <w:rPr>
          <w:rFonts w:ascii="楷体_GB2312" w:eastAsia="楷体_GB2312" w:hint="eastAsia"/>
          <w:noProof/>
        </w:rPr>
        <w:drawing>
          <wp:inline distT="0" distB="0" distL="0" distR="0">
            <wp:extent cx="1438275" cy="5143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143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876550" cy="552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55245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5524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524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419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4191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51435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1435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lastRenderedPageBreak/>
        <w:drawing>
          <wp:inline distT="0" distB="0" distL="0" distR="0">
            <wp:extent cx="1438275" cy="49530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4953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876550" cy="59055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59055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466725"/>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4667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733550" cy="485775"/>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4857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190625" cy="57150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57150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781050"/>
            <wp:effectExtent l="0" t="0" r="0" b="0"/>
            <wp:docPr id="313" name="图片 313" descr="https://ss0.baidu.com/6ONWsjip0QIZ8tyhnq/it/u=2888133261,1549402964&amp;fm=58&amp;s=40348D73C4A4DB010B5C90D40000C0B1&amp;bpow=121&amp;bpoh=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s://ss0.baidu.com/6ONWsjip0QIZ8tyhnq/it/u=2888133261,1549402964&amp;fm=58&amp;s=40348D73C4A4DB010B5C90D40000C0B1&amp;bpow=121&amp;bpoh=7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7810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561975"/>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619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762000"/>
            <wp:effectExtent l="0" t="0" r="0" b="0"/>
            <wp:docPr id="311" name="图片 311" descr="https://ss2.baidu.com/6ONYsjip0QIZ8tyhnq/it/u=2546174795,445472880&amp;fm=58&amp;s=07D6E832CDA4690302F8D9FE02005031&amp;bpow=121&amp;bpoh=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s://ss2.baidu.com/6ONYsjip0QIZ8tyhnq/it/u=2546174795,445472880&amp;fm=58&amp;s=07D6E832CDA4690302F8D9FE02005031&amp;bpow=121&amp;bpoh=7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76200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2162175" cy="59055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5905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162175" cy="57150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57150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50482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048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362075" cy="55245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5524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743075" cy="51435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514350"/>
                    </a:xfrm>
                    <a:prstGeom prst="rect">
                      <a:avLst/>
                    </a:prstGeom>
                    <a:noFill/>
                    <a:ln>
                      <a:noFill/>
                    </a:ln>
                  </pic:spPr>
                </pic:pic>
              </a:graphicData>
            </a:graphic>
          </wp:inline>
        </w:drawing>
      </w:r>
    </w:p>
    <w:p w:rsidR="00FF4136" w:rsidRPr="00B70EE2" w:rsidRDefault="00683808" w:rsidP="00FF4136">
      <w:pPr>
        <w:spacing w:line="360" w:lineRule="auto"/>
        <w:ind w:firstLine="555"/>
        <w:jc w:val="left"/>
        <w:rPr>
          <w:rFonts w:ascii="楷体_GB2312" w:eastAsia="楷体_GB2312"/>
          <w:noProof/>
        </w:rPr>
      </w:pPr>
      <w:r>
        <w:rPr>
          <w:noProof/>
        </w:rPr>
        <w:drawing>
          <wp:inline distT="0" distB="0" distL="0" distR="0">
            <wp:extent cx="2733333" cy="571429"/>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2733333" cy="571429"/>
                    </a:xfrm>
                    <a:prstGeom prst="rect">
                      <a:avLst/>
                    </a:prstGeom>
                  </pic:spPr>
                </pic:pic>
              </a:graphicData>
            </a:graphic>
          </wp:inline>
        </w:drawing>
      </w:r>
      <w:r w:rsidR="00FF4136" w:rsidRPr="00B70EE2">
        <w:rPr>
          <w:rFonts w:ascii="楷体_GB2312" w:eastAsia="楷体_GB2312" w:hint="eastAsia"/>
          <w:noProof/>
        </w:rPr>
        <w:t xml:space="preserve"> </w:t>
      </w:r>
      <w:r w:rsidR="00FF4136" w:rsidRPr="00B70EE2">
        <w:rPr>
          <w:rFonts w:ascii="楷体_GB2312" w:eastAsia="楷体_GB2312" w:hint="eastAsia"/>
          <w:noProof/>
        </w:rPr>
        <w:drawing>
          <wp:inline distT="0" distB="0" distL="0" distR="0">
            <wp:extent cx="1666875" cy="51435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51435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57150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715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552575" cy="49530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4953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485775"/>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485775"/>
                    </a:xfrm>
                    <a:prstGeom prst="rect">
                      <a:avLst/>
                    </a:prstGeom>
                    <a:noFill/>
                    <a:ln>
                      <a:noFill/>
                    </a:ln>
                  </pic:spPr>
                </pic:pic>
              </a:graphicData>
            </a:graphic>
          </wp:inline>
        </w:drawing>
      </w:r>
    </w:p>
    <w:tbl>
      <w:tblPr>
        <w:tblW w:w="0" w:type="auto"/>
        <w:tblLook w:val="04A0"/>
      </w:tblPr>
      <w:tblGrid>
        <w:gridCol w:w="3131"/>
        <w:gridCol w:w="5391"/>
      </w:tblGrid>
      <w:tr w:rsidR="00FF4136" w:rsidRPr="00B70EE2" w:rsidTr="00B70EE2">
        <w:trPr>
          <w:trHeight w:val="1125"/>
        </w:trPr>
        <w:tc>
          <w:tcPr>
            <w:tcW w:w="3131" w:type="dxa"/>
            <w:vMerge w:val="restart"/>
            <w:shd w:val="clear" w:color="auto" w:fill="auto"/>
          </w:tcPr>
          <w:p w:rsidR="00FF4136" w:rsidRPr="00B70EE2" w:rsidRDefault="00FF4136" w:rsidP="00B70EE2">
            <w:pPr>
              <w:jc w:val="center"/>
              <w:rPr>
                <w:rFonts w:ascii="楷体_GB2312" w:eastAsia="楷体_GB2312"/>
                <w:noProof/>
              </w:rPr>
            </w:pPr>
            <w:r w:rsidRPr="00B70EE2">
              <w:rPr>
                <w:rFonts w:ascii="楷体_GB2312" w:eastAsia="楷体_GB2312" w:hint="eastAsia"/>
                <w:noProof/>
              </w:rPr>
              <w:drawing>
                <wp:inline distT="0" distB="0" distL="0" distR="0">
                  <wp:extent cx="1409700" cy="123825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238250"/>
                          </a:xfrm>
                          <a:prstGeom prst="rect">
                            <a:avLst/>
                          </a:prstGeom>
                          <a:noFill/>
                          <a:ln>
                            <a:noFill/>
                          </a:ln>
                        </pic:spPr>
                      </pic:pic>
                    </a:graphicData>
                  </a:graphic>
                </wp:inline>
              </w:drawing>
            </w:r>
          </w:p>
        </w:tc>
        <w:tc>
          <w:tcPr>
            <w:tcW w:w="5391" w:type="dxa"/>
            <w:shd w:val="clear" w:color="auto" w:fill="auto"/>
          </w:tcPr>
          <w:p w:rsidR="00FF4136" w:rsidRPr="00B70EE2" w:rsidRDefault="00FF4136" w:rsidP="00B70EE2">
            <w:pPr>
              <w:spacing w:line="360" w:lineRule="auto"/>
              <w:jc w:val="left"/>
              <w:rPr>
                <w:rFonts w:ascii="楷体_GB2312" w:eastAsia="楷体_GB2312"/>
                <w:noProof/>
              </w:rPr>
            </w:pPr>
            <w:r w:rsidRPr="00B70EE2">
              <w:rPr>
                <w:rFonts w:ascii="楷体_GB2312" w:eastAsia="楷体_GB2312" w:hint="eastAsia"/>
                <w:noProof/>
              </w:rPr>
              <w:drawing>
                <wp:inline distT="0" distB="0" distL="0" distR="0">
                  <wp:extent cx="3219450" cy="43815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0" cy="438150"/>
                          </a:xfrm>
                          <a:prstGeom prst="rect">
                            <a:avLst/>
                          </a:prstGeom>
                          <a:noFill/>
                          <a:ln>
                            <a:noFill/>
                          </a:ln>
                        </pic:spPr>
                      </pic:pic>
                    </a:graphicData>
                  </a:graphic>
                </wp:inline>
              </w:drawing>
            </w:r>
          </w:p>
        </w:tc>
      </w:tr>
      <w:tr w:rsidR="00FF4136" w:rsidRPr="00B70EE2" w:rsidTr="00B70EE2">
        <w:tc>
          <w:tcPr>
            <w:tcW w:w="3131" w:type="dxa"/>
            <w:vMerge/>
            <w:shd w:val="clear" w:color="auto" w:fill="auto"/>
          </w:tcPr>
          <w:p w:rsidR="00FF4136" w:rsidRPr="00B70EE2" w:rsidRDefault="00FF4136" w:rsidP="00B70EE2">
            <w:pPr>
              <w:spacing w:line="360" w:lineRule="auto"/>
              <w:jc w:val="left"/>
              <w:rPr>
                <w:rFonts w:ascii="楷体_GB2312" w:eastAsia="楷体_GB2312"/>
                <w:noProof/>
              </w:rPr>
            </w:pPr>
          </w:p>
        </w:tc>
        <w:tc>
          <w:tcPr>
            <w:tcW w:w="5391" w:type="dxa"/>
            <w:shd w:val="clear" w:color="auto" w:fill="auto"/>
          </w:tcPr>
          <w:p w:rsidR="00FF4136" w:rsidRPr="00B70EE2" w:rsidRDefault="00FF4136" w:rsidP="00B70EE2">
            <w:pPr>
              <w:spacing w:line="360" w:lineRule="auto"/>
              <w:jc w:val="left"/>
              <w:rPr>
                <w:rFonts w:ascii="楷体_GB2312" w:eastAsia="楷体_GB2312"/>
                <w:noProof/>
              </w:rPr>
            </w:pPr>
            <w:r w:rsidRPr="00B70EE2">
              <w:rPr>
                <w:rFonts w:ascii="楷体_GB2312" w:eastAsia="楷体_GB2312" w:hint="eastAsia"/>
                <w:noProof/>
              </w:rPr>
              <w:drawing>
                <wp:inline distT="0" distB="0" distL="0" distR="0">
                  <wp:extent cx="3286125" cy="47625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6125" cy="476250"/>
                          </a:xfrm>
                          <a:prstGeom prst="rect">
                            <a:avLst/>
                          </a:prstGeom>
                          <a:noFill/>
                          <a:ln>
                            <a:noFill/>
                          </a:ln>
                        </pic:spPr>
                      </pic:pic>
                    </a:graphicData>
                  </a:graphic>
                </wp:inline>
              </w:drawing>
            </w:r>
          </w:p>
        </w:tc>
      </w:tr>
    </w:tbl>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581025"/>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810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905000" cy="51435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5143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523875"/>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23875"/>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38275" cy="39052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3905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143000" cy="714375"/>
            <wp:effectExtent l="0" t="0" r="0" b="0"/>
            <wp:docPr id="53" name="图片 53" descr="https://ss2.baidu.com/6ONYsjip0QIZ8tyhnq/it/u=2416591250,207624224&amp;fm=58&amp;s=12E6D816B6C7EF11685FF6F40300C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https://ss2.baidu.com/6ONYsjip0QIZ8tyhnq/it/u=2416591250,207624224&amp;fm=58&amp;s=12E6D816B6C7EF11685FF6F40300C029"/>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7143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53340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3340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704975" cy="49530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49530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5524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5524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438275" cy="44767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447675"/>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drawing>
          <wp:inline distT="0" distB="0" distL="0" distR="0">
            <wp:extent cx="1447800" cy="74295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742950"/>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1638300" cy="790575"/>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79057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571500" cy="9525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952500"/>
                    </a:xfrm>
                    <a:prstGeom prst="rect">
                      <a:avLst/>
                    </a:prstGeom>
                    <a:noFill/>
                    <a:ln>
                      <a:noFill/>
                    </a:ln>
                  </pic:spPr>
                </pic:pic>
              </a:graphicData>
            </a:graphic>
          </wp:inline>
        </w:drawing>
      </w:r>
    </w:p>
    <w:p w:rsidR="00FF4136" w:rsidRPr="00B70EE2" w:rsidRDefault="00FF4136" w:rsidP="00FF4136">
      <w:pPr>
        <w:spacing w:line="360" w:lineRule="auto"/>
        <w:ind w:firstLine="555"/>
        <w:jc w:val="left"/>
        <w:rPr>
          <w:rFonts w:ascii="楷体_GB2312" w:eastAsia="楷体_GB2312"/>
          <w:noProof/>
        </w:rPr>
      </w:pPr>
      <w:r w:rsidRPr="00B70EE2">
        <w:rPr>
          <w:rFonts w:ascii="楷体_GB2312" w:eastAsia="楷体_GB2312" w:hint="eastAsia"/>
          <w:noProof/>
        </w:rPr>
        <w:lastRenderedPageBreak/>
        <w:drawing>
          <wp:inline distT="0" distB="0" distL="0" distR="0">
            <wp:extent cx="2162175" cy="695325"/>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695325"/>
                    </a:xfrm>
                    <a:prstGeom prst="rect">
                      <a:avLst/>
                    </a:prstGeom>
                    <a:noFill/>
                    <a:ln>
                      <a:noFill/>
                    </a:ln>
                  </pic:spPr>
                </pic:pic>
              </a:graphicData>
            </a:graphic>
          </wp:inline>
        </w:drawing>
      </w:r>
      <w:r w:rsidRPr="00B70EE2">
        <w:rPr>
          <w:rFonts w:ascii="楷体_GB2312" w:eastAsia="楷体_GB2312" w:hint="eastAsia"/>
          <w:noProof/>
        </w:rPr>
        <w:t xml:space="preserve"> </w:t>
      </w:r>
      <w:r w:rsidRPr="00B70EE2">
        <w:rPr>
          <w:rFonts w:ascii="楷体_GB2312" w:eastAsia="楷体_GB2312" w:hint="eastAsia"/>
          <w:noProof/>
        </w:rPr>
        <w:drawing>
          <wp:inline distT="0" distB="0" distL="0" distR="0">
            <wp:extent cx="2457450" cy="80962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809625"/>
                    </a:xfrm>
                    <a:prstGeom prst="rect">
                      <a:avLst/>
                    </a:prstGeom>
                    <a:noFill/>
                    <a:ln>
                      <a:noFill/>
                    </a:ln>
                  </pic:spPr>
                </pic:pic>
              </a:graphicData>
            </a:graphic>
          </wp:inline>
        </w:drawing>
      </w:r>
    </w:p>
    <w:p w:rsidR="00683808" w:rsidRDefault="00996B21" w:rsidP="00C70FB6">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同时，经过25年的房地产估价实践，我公司近年来已完成金融机构、房地产开发企业委托的评估项目上万宗。项目贷款评估及可行性研究也是我公司为金融机构、房地产开发企业提供的咨询服务项目，近年来已完成可行性研究、项目贷款评估上千宗。凭借对北京市房地产市场开发程序的深入理解，熟悉房地产开发项目从立项、土地出让、工程许可到产权</w:t>
      </w:r>
      <w:proofErr w:type="gramStart"/>
      <w:r w:rsidRPr="00B70EE2">
        <w:rPr>
          <w:rFonts w:ascii="楷体_GB2312" w:eastAsia="楷体_GB2312" w:hAnsi="Arial" w:cs="Arial" w:hint="eastAsia"/>
          <w:sz w:val="28"/>
          <w:szCs w:val="28"/>
        </w:rPr>
        <w:t>办理全</w:t>
      </w:r>
      <w:proofErr w:type="gramEnd"/>
      <w:r w:rsidRPr="00B70EE2">
        <w:rPr>
          <w:rFonts w:ascii="楷体_GB2312" w:eastAsia="楷体_GB2312" w:hAnsi="Arial" w:cs="Arial" w:hint="eastAsia"/>
          <w:sz w:val="28"/>
          <w:szCs w:val="28"/>
        </w:rPr>
        <w:t>过程的程序及相关手续，能够为房地产开发企业提供更加合理的项目可行性建议。我公司同多家金融机构及房地产开发企业保持着良好的合作关系，对房地产开发项目资金需求量、投入周期及相关金融政策十分熟悉，能够为金融机构、房地产开发投资者提供客观、准确的信贷决策、投资决策的依据。</w:t>
      </w:r>
    </w:p>
    <w:p w:rsidR="00B22FEF" w:rsidRPr="00B70EE2" w:rsidRDefault="00683808" w:rsidP="00683808">
      <w:pPr>
        <w:widowControl/>
        <w:jc w:val="left"/>
        <w:rPr>
          <w:rFonts w:ascii="楷体_GB2312" w:eastAsia="楷体_GB2312" w:hAnsi="Arial" w:cs="Arial"/>
          <w:sz w:val="28"/>
          <w:szCs w:val="28"/>
        </w:rPr>
      </w:pPr>
      <w:r>
        <w:rPr>
          <w:rFonts w:ascii="楷体_GB2312" w:eastAsia="楷体_GB2312" w:hAnsi="Arial" w:cs="Arial"/>
          <w:sz w:val="28"/>
          <w:szCs w:val="28"/>
        </w:rPr>
        <w:br w:type="page"/>
      </w:r>
    </w:p>
    <w:p w:rsidR="00720A08" w:rsidRPr="00683808" w:rsidRDefault="005008E9" w:rsidP="00683808">
      <w:pPr>
        <w:pStyle w:val="2"/>
        <w:rPr>
          <w:rFonts w:ascii="楷体_GB2312" w:eastAsia="楷体_GB2312" w:hAnsi="宋体" w:cs="Arial"/>
          <w:sz w:val="28"/>
          <w:szCs w:val="28"/>
        </w:rPr>
      </w:pPr>
      <w:bookmarkStart w:id="9" w:name="_Toc524694628"/>
      <w:r w:rsidRPr="00B70EE2">
        <w:rPr>
          <w:rFonts w:ascii="楷体_GB2312" w:eastAsia="楷体_GB2312" w:hAnsi="宋体" w:cs="Arial" w:hint="eastAsia"/>
          <w:sz w:val="28"/>
          <w:szCs w:val="28"/>
        </w:rPr>
        <w:lastRenderedPageBreak/>
        <w:t>8、资质证书</w:t>
      </w:r>
      <w:bookmarkEnd w:id="9"/>
    </w:p>
    <w:p w:rsidR="00C70FB6" w:rsidRPr="00B70EE2" w:rsidRDefault="00FF4136" w:rsidP="00FF4136">
      <w:pPr>
        <w:jc w:val="center"/>
        <w:rPr>
          <w:rFonts w:ascii="楷体_GB2312" w:eastAsia="楷体_GB2312" w:hAnsi="Arial" w:cs="Arial"/>
          <w:sz w:val="28"/>
          <w:szCs w:val="28"/>
        </w:rPr>
      </w:pPr>
      <w:r w:rsidRPr="00B70EE2">
        <w:rPr>
          <w:rFonts w:ascii="楷体_GB2312" w:eastAsia="楷体_GB2312" w:hAnsi="Arial" w:cs="Arial" w:hint="eastAsia"/>
          <w:sz w:val="28"/>
          <w:szCs w:val="28"/>
        </w:rPr>
        <w:t>1）、营业执照副本</w:t>
      </w:r>
      <w:r w:rsidR="00F32E16" w:rsidRPr="00B70EE2">
        <w:rPr>
          <w:rFonts w:ascii="楷体_GB2312" w:eastAsia="楷体_GB2312" w:hAnsi="Arial" w:cs="Arial" w:hint="eastAsia"/>
          <w:sz w:val="28"/>
          <w:szCs w:val="28"/>
        </w:rPr>
        <w:t xml:space="preserve"> (复印件)</w:t>
      </w:r>
    </w:p>
    <w:p w:rsidR="00F32E16" w:rsidRPr="00B70EE2" w:rsidRDefault="00F32E16" w:rsidP="00FF4136">
      <w:pPr>
        <w:jc w:val="center"/>
        <w:rPr>
          <w:rFonts w:ascii="楷体_GB2312" w:eastAsia="楷体_GB2312"/>
        </w:rPr>
      </w:pPr>
      <w:r w:rsidRPr="00B70EE2">
        <w:rPr>
          <w:rFonts w:ascii="楷体_GB2312" w:eastAsia="楷体_GB2312" w:hint="eastAsia"/>
          <w:noProof/>
        </w:rPr>
        <w:drawing>
          <wp:inline distT="0" distB="0" distL="0" distR="0">
            <wp:extent cx="5274310" cy="7459533"/>
            <wp:effectExtent l="0" t="0" r="0" b="0"/>
            <wp:docPr id="3" name="图片 3" descr="C:\Users\Administrator\Desktop\康正资质\新营业执照副本2-1_仅供招投标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康正资质\新营业执照副本2-1_仅供招投标使用.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9533"/>
                    </a:xfrm>
                    <a:prstGeom prst="rect">
                      <a:avLst/>
                    </a:prstGeom>
                    <a:noFill/>
                    <a:ln>
                      <a:noFill/>
                    </a:ln>
                  </pic:spPr>
                </pic:pic>
              </a:graphicData>
            </a:graphic>
          </wp:inline>
        </w:drawing>
      </w:r>
    </w:p>
    <w:p w:rsidR="00F32E16" w:rsidRPr="00B70EE2" w:rsidRDefault="00F32E16" w:rsidP="00683808">
      <w:pPr>
        <w:widowControl/>
        <w:jc w:val="left"/>
        <w:rPr>
          <w:rFonts w:ascii="楷体_GB2312" w:eastAsia="楷体_GB2312"/>
        </w:rPr>
      </w:pPr>
      <w:r w:rsidRPr="00B70EE2">
        <w:rPr>
          <w:rFonts w:ascii="楷体_GB2312" w:eastAsia="楷体_GB2312" w:hint="eastAsia"/>
        </w:rPr>
        <w:br w:type="page"/>
      </w:r>
    </w:p>
    <w:p w:rsidR="005008E9" w:rsidRPr="00B70EE2" w:rsidRDefault="00FF4136" w:rsidP="00FF4136">
      <w:pPr>
        <w:spacing w:line="360" w:lineRule="auto"/>
        <w:ind w:firstLineChars="200" w:firstLine="560"/>
        <w:jc w:val="center"/>
        <w:rPr>
          <w:rFonts w:ascii="楷体_GB2312" w:eastAsia="楷体_GB2312" w:hAnsi="Arial" w:cs="Arial"/>
          <w:sz w:val="28"/>
          <w:szCs w:val="28"/>
        </w:rPr>
      </w:pPr>
      <w:r w:rsidRPr="00B70EE2">
        <w:rPr>
          <w:rFonts w:ascii="楷体_GB2312" w:eastAsia="楷体_GB2312" w:hAnsi="Arial" w:cs="Arial" w:hint="eastAsia"/>
          <w:sz w:val="28"/>
          <w:szCs w:val="28"/>
        </w:rPr>
        <w:lastRenderedPageBreak/>
        <w:t>2</w:t>
      </w:r>
      <w:r w:rsidR="005008E9" w:rsidRPr="00B70EE2">
        <w:rPr>
          <w:rFonts w:ascii="楷体_GB2312" w:eastAsia="楷体_GB2312" w:hAnsi="Arial" w:cs="Arial" w:hint="eastAsia"/>
          <w:sz w:val="28"/>
          <w:szCs w:val="28"/>
        </w:rPr>
        <w:t>）、房地产估价机构资质证书（一级）</w:t>
      </w:r>
    </w:p>
    <w:p w:rsidR="00F32E16" w:rsidRPr="00B70EE2" w:rsidRDefault="005008E9" w:rsidP="00F32E16">
      <w:pPr>
        <w:spacing w:line="360" w:lineRule="auto"/>
        <w:ind w:firstLineChars="200" w:firstLine="480"/>
        <w:rPr>
          <w:rFonts w:ascii="楷体_GB2312" w:eastAsia="楷体_GB2312" w:hAnsi="Arial" w:cs="Arial"/>
          <w:sz w:val="28"/>
          <w:szCs w:val="28"/>
        </w:rPr>
      </w:pPr>
      <w:r w:rsidRPr="00B70EE2">
        <w:rPr>
          <w:rFonts w:ascii="楷体_GB2312" w:eastAsia="楷体_GB2312" w:hAnsi="仿宋_GB2312" w:hint="eastAsia"/>
          <w:noProof/>
          <w:sz w:val="24"/>
        </w:rPr>
        <w:drawing>
          <wp:inline distT="0" distB="0" distL="0" distR="0">
            <wp:extent cx="4967605" cy="7126605"/>
            <wp:effectExtent l="0" t="0" r="4445" b="0"/>
            <wp:docPr id="58" name="图片 58" descr="2016房地产估价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房地产估价资质证书"/>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7605" cy="7126605"/>
                    </a:xfrm>
                    <a:prstGeom prst="rect">
                      <a:avLst/>
                    </a:prstGeom>
                    <a:noFill/>
                    <a:ln>
                      <a:noFill/>
                    </a:ln>
                  </pic:spPr>
                </pic:pic>
              </a:graphicData>
            </a:graphic>
          </wp:inline>
        </w:drawing>
      </w:r>
    </w:p>
    <w:p w:rsidR="005008E9" w:rsidRPr="00B70EE2" w:rsidRDefault="00F32E16" w:rsidP="00F32E16">
      <w:pPr>
        <w:widowControl/>
        <w:jc w:val="left"/>
        <w:rPr>
          <w:rFonts w:ascii="楷体_GB2312" w:eastAsia="楷体_GB2312" w:hAnsi="Arial" w:cs="Arial"/>
          <w:sz w:val="28"/>
          <w:szCs w:val="28"/>
        </w:rPr>
      </w:pPr>
      <w:r w:rsidRPr="00B70EE2">
        <w:rPr>
          <w:rFonts w:ascii="楷体_GB2312" w:eastAsia="楷体_GB2312" w:hAnsi="Arial" w:cs="Arial" w:hint="eastAsia"/>
          <w:sz w:val="28"/>
          <w:szCs w:val="28"/>
        </w:rPr>
        <w:br w:type="page"/>
      </w:r>
    </w:p>
    <w:p w:rsidR="005008E9" w:rsidRPr="00B70EE2" w:rsidRDefault="00720A08" w:rsidP="00683808">
      <w:pPr>
        <w:spacing w:line="360" w:lineRule="auto"/>
        <w:ind w:firstLineChars="200" w:firstLine="560"/>
        <w:jc w:val="center"/>
        <w:rPr>
          <w:rFonts w:ascii="楷体_GB2312" w:eastAsia="楷体_GB2312" w:hAnsi="Arial" w:cs="Arial"/>
          <w:sz w:val="28"/>
          <w:szCs w:val="28"/>
        </w:rPr>
      </w:pPr>
      <w:r w:rsidRPr="00B70EE2">
        <w:rPr>
          <w:rFonts w:ascii="楷体_GB2312" w:eastAsia="楷体_GB2312" w:hAnsi="Arial" w:cs="Arial" w:hint="eastAsia"/>
          <w:sz w:val="28"/>
          <w:szCs w:val="28"/>
        </w:rPr>
        <w:lastRenderedPageBreak/>
        <w:t>3</w:t>
      </w:r>
      <w:r w:rsidR="005008E9" w:rsidRPr="00B70EE2">
        <w:rPr>
          <w:rFonts w:ascii="楷体_GB2312" w:eastAsia="楷体_GB2312" w:hAnsi="Arial" w:cs="Arial" w:hint="eastAsia"/>
          <w:sz w:val="28"/>
          <w:szCs w:val="28"/>
        </w:rPr>
        <w:t>）土地评估中介机构注册证书（全国范围内从事土地业务）</w:t>
      </w:r>
    </w:p>
    <w:p w:rsidR="00F32E16" w:rsidRPr="00B70EE2" w:rsidRDefault="005008E9" w:rsidP="00F32E16">
      <w:pPr>
        <w:spacing w:line="360" w:lineRule="auto"/>
        <w:ind w:firstLineChars="200" w:firstLine="480"/>
        <w:rPr>
          <w:rFonts w:ascii="楷体_GB2312" w:eastAsia="楷体_GB2312" w:hAnsi="Arial" w:cs="Arial"/>
          <w:sz w:val="28"/>
          <w:szCs w:val="28"/>
        </w:rPr>
      </w:pPr>
      <w:r w:rsidRPr="00B70EE2">
        <w:rPr>
          <w:rFonts w:ascii="楷体_GB2312" w:eastAsia="楷体_GB2312" w:hAnsi="宋体" w:hint="eastAsia"/>
          <w:noProof/>
          <w:sz w:val="24"/>
        </w:rPr>
        <w:drawing>
          <wp:inline distT="0" distB="0" distL="0" distR="0">
            <wp:extent cx="5267960" cy="7312660"/>
            <wp:effectExtent l="0" t="0" r="8890" b="2540"/>
            <wp:docPr id="57" name="图片 57" descr="2016土地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土地注册证书"/>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960" cy="7312660"/>
                    </a:xfrm>
                    <a:prstGeom prst="rect">
                      <a:avLst/>
                    </a:prstGeom>
                    <a:noFill/>
                    <a:ln>
                      <a:noFill/>
                    </a:ln>
                  </pic:spPr>
                </pic:pic>
              </a:graphicData>
            </a:graphic>
          </wp:inline>
        </w:drawing>
      </w:r>
    </w:p>
    <w:p w:rsidR="005008E9" w:rsidRPr="00B70EE2" w:rsidRDefault="00F32E16" w:rsidP="00F32E16">
      <w:pPr>
        <w:widowControl/>
        <w:jc w:val="left"/>
        <w:rPr>
          <w:rFonts w:ascii="楷体_GB2312" w:eastAsia="楷体_GB2312" w:hAnsi="Arial" w:cs="Arial"/>
          <w:sz w:val="28"/>
          <w:szCs w:val="28"/>
        </w:rPr>
      </w:pPr>
      <w:r w:rsidRPr="00B70EE2">
        <w:rPr>
          <w:rFonts w:ascii="楷体_GB2312" w:eastAsia="楷体_GB2312" w:hAnsi="Arial" w:cs="Arial" w:hint="eastAsia"/>
          <w:sz w:val="28"/>
          <w:szCs w:val="28"/>
        </w:rPr>
        <w:br w:type="page"/>
      </w:r>
    </w:p>
    <w:p w:rsidR="005008E9" w:rsidRPr="00B70EE2" w:rsidRDefault="00720A08" w:rsidP="00683808">
      <w:pPr>
        <w:spacing w:line="360" w:lineRule="auto"/>
        <w:ind w:firstLineChars="200" w:firstLine="560"/>
        <w:jc w:val="center"/>
        <w:rPr>
          <w:rFonts w:ascii="楷体_GB2312" w:eastAsia="楷体_GB2312" w:hAnsi="Arial" w:cs="Arial"/>
          <w:sz w:val="28"/>
          <w:szCs w:val="28"/>
        </w:rPr>
      </w:pPr>
      <w:r w:rsidRPr="00B70EE2">
        <w:rPr>
          <w:rFonts w:ascii="楷体_GB2312" w:eastAsia="楷体_GB2312" w:hAnsi="Arial" w:cs="Arial" w:hint="eastAsia"/>
          <w:sz w:val="28"/>
          <w:szCs w:val="28"/>
        </w:rPr>
        <w:lastRenderedPageBreak/>
        <w:t>4</w:t>
      </w:r>
      <w:r w:rsidR="005008E9" w:rsidRPr="00B70EE2">
        <w:rPr>
          <w:rFonts w:ascii="楷体_GB2312" w:eastAsia="楷体_GB2312" w:hAnsi="Arial" w:cs="Arial" w:hint="eastAsia"/>
          <w:sz w:val="28"/>
          <w:szCs w:val="28"/>
        </w:rPr>
        <w:t>）土地评估中介机构资信等级证书（A级）</w:t>
      </w:r>
    </w:p>
    <w:p w:rsidR="005008E9" w:rsidRPr="00B70EE2" w:rsidRDefault="005008E9" w:rsidP="00B22FEF">
      <w:pPr>
        <w:tabs>
          <w:tab w:val="left" w:pos="5580"/>
        </w:tabs>
        <w:spacing w:line="360" w:lineRule="auto"/>
        <w:ind w:leftChars="-472" w:hangingChars="472" w:hanging="991"/>
        <w:rPr>
          <w:rFonts w:ascii="楷体_GB2312" w:eastAsia="楷体_GB2312" w:hAnsi="宋体" w:cs="仿宋_GB2312"/>
          <w:sz w:val="24"/>
        </w:rPr>
      </w:pPr>
      <w:r w:rsidRPr="00B70EE2">
        <w:rPr>
          <w:rFonts w:ascii="楷体_GB2312" w:eastAsia="楷体_GB2312" w:hAnsi="宋体" w:hint="eastAsia"/>
          <w:noProof/>
        </w:rPr>
        <w:drawing>
          <wp:inline distT="0" distB="0" distL="0" distR="0">
            <wp:extent cx="7103287" cy="5000236"/>
            <wp:effectExtent l="0" t="1047750" r="0" b="10388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土地资信等级证书.jpg"/>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89" r="-63" b="-1"/>
                    <a:stretch/>
                  </pic:blipFill>
                  <pic:spPr bwMode="auto">
                    <a:xfrm rot="16200000">
                      <a:off x="0" y="0"/>
                      <a:ext cx="7114011" cy="5007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08E9" w:rsidRPr="00B70EE2" w:rsidRDefault="005008E9" w:rsidP="005008E9">
      <w:pPr>
        <w:rPr>
          <w:rFonts w:ascii="楷体_GB2312" w:eastAsia="楷体_GB2312"/>
        </w:rPr>
      </w:pPr>
    </w:p>
    <w:p w:rsidR="00336F17" w:rsidRPr="00B70EE2" w:rsidRDefault="0005439A" w:rsidP="0005439A">
      <w:pPr>
        <w:pStyle w:val="1"/>
        <w:rPr>
          <w:rFonts w:ascii="楷体_GB2312" w:eastAsia="楷体_GB2312"/>
          <w:sz w:val="32"/>
          <w:szCs w:val="32"/>
        </w:rPr>
      </w:pPr>
      <w:bookmarkStart w:id="10" w:name="_Toc319323689"/>
      <w:bookmarkStart w:id="11" w:name="_Toc524694629"/>
      <w:r w:rsidRPr="00B70EE2">
        <w:rPr>
          <w:rFonts w:ascii="楷体_GB2312" w:eastAsia="楷体_GB2312" w:hint="eastAsia"/>
          <w:sz w:val="32"/>
          <w:szCs w:val="32"/>
        </w:rPr>
        <w:lastRenderedPageBreak/>
        <w:t>二</w:t>
      </w:r>
      <w:r w:rsidR="00336F17" w:rsidRPr="00B70EE2">
        <w:rPr>
          <w:rFonts w:ascii="楷体_GB2312" w:eastAsia="楷体_GB2312" w:hint="eastAsia"/>
          <w:sz w:val="32"/>
          <w:szCs w:val="32"/>
        </w:rPr>
        <w:t>、</w:t>
      </w:r>
      <w:r w:rsidRPr="00B70EE2">
        <w:rPr>
          <w:rFonts w:ascii="楷体_GB2312" w:eastAsia="楷体_GB2312" w:hint="eastAsia"/>
          <w:sz w:val="32"/>
          <w:szCs w:val="32"/>
        </w:rPr>
        <w:t>本次评估</w:t>
      </w:r>
      <w:r w:rsidR="00336F17" w:rsidRPr="00B70EE2">
        <w:rPr>
          <w:rFonts w:ascii="楷体_GB2312" w:eastAsia="楷体_GB2312" w:hint="eastAsia"/>
          <w:sz w:val="32"/>
          <w:szCs w:val="32"/>
        </w:rPr>
        <w:t>业务配备人员</w:t>
      </w:r>
      <w:bookmarkEnd w:id="10"/>
      <w:bookmarkEnd w:id="11"/>
    </w:p>
    <w:p w:rsidR="00336F17" w:rsidRPr="00B70EE2" w:rsidRDefault="0005439A" w:rsidP="0005439A">
      <w:pPr>
        <w:spacing w:line="360" w:lineRule="auto"/>
        <w:ind w:rightChars="-27" w:right="-5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 xml:space="preserve">  </w:t>
      </w:r>
      <w:r w:rsidR="00336F17" w:rsidRPr="00B70EE2">
        <w:rPr>
          <w:rFonts w:ascii="楷体_GB2312" w:eastAsia="楷体_GB2312" w:hAnsi="Arial" w:cs="Arial" w:hint="eastAsia"/>
          <w:sz w:val="28"/>
          <w:szCs w:val="28"/>
        </w:rPr>
        <w:t>我公司由商业银行对</w:t>
      </w:r>
      <w:proofErr w:type="gramStart"/>
      <w:r w:rsidR="00336F17" w:rsidRPr="00B70EE2">
        <w:rPr>
          <w:rFonts w:ascii="楷体_GB2312" w:eastAsia="楷体_GB2312" w:hAnsi="Arial" w:cs="Arial" w:hint="eastAsia"/>
          <w:sz w:val="28"/>
          <w:szCs w:val="28"/>
        </w:rPr>
        <w:t>公事业部设</w:t>
      </w:r>
      <w:proofErr w:type="gramEnd"/>
      <w:r w:rsidR="00336F17" w:rsidRPr="00B70EE2">
        <w:rPr>
          <w:rFonts w:ascii="楷体_GB2312" w:eastAsia="楷体_GB2312" w:hAnsi="Arial" w:cs="Arial" w:hint="eastAsia"/>
          <w:sz w:val="28"/>
          <w:szCs w:val="28"/>
        </w:rPr>
        <w:t>专项业务部门——对公</w:t>
      </w:r>
      <w:r w:rsidRPr="00B70EE2">
        <w:rPr>
          <w:rFonts w:ascii="楷体_GB2312" w:eastAsia="楷体_GB2312" w:hAnsi="Arial" w:cs="Arial" w:hint="eastAsia"/>
          <w:sz w:val="28"/>
          <w:szCs w:val="28"/>
        </w:rPr>
        <w:t>综合事业</w:t>
      </w:r>
      <w:r w:rsidR="00336F17" w:rsidRPr="00B70EE2">
        <w:rPr>
          <w:rFonts w:ascii="楷体_GB2312" w:eastAsia="楷体_GB2312" w:hAnsi="Arial" w:cs="Arial" w:hint="eastAsia"/>
          <w:sz w:val="28"/>
          <w:szCs w:val="28"/>
        </w:rPr>
        <w:t>部负责贵公司相关评估事宜，业务人员组成如下：</w:t>
      </w:r>
    </w:p>
    <w:p w:rsidR="00336F17" w:rsidRPr="00B70EE2" w:rsidRDefault="00336F17" w:rsidP="0005439A">
      <w:pPr>
        <w:spacing w:line="360" w:lineRule="auto"/>
        <w:ind w:rightChars="-27" w:right="-5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业务负责人：吴薇，联系方式：13911004117</w:t>
      </w:r>
    </w:p>
    <w:p w:rsidR="00336F17" w:rsidRPr="00B70EE2" w:rsidRDefault="00336F17" w:rsidP="0005439A">
      <w:pPr>
        <w:spacing w:line="360" w:lineRule="auto"/>
        <w:ind w:rightChars="-27" w:right="-5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成员：崔锴、刘梅、</w:t>
      </w:r>
      <w:r w:rsidR="0005439A" w:rsidRPr="00B70EE2">
        <w:rPr>
          <w:rFonts w:ascii="楷体_GB2312" w:eastAsia="楷体_GB2312" w:hAnsi="Arial" w:cs="Arial" w:hint="eastAsia"/>
          <w:sz w:val="28"/>
          <w:szCs w:val="28"/>
        </w:rPr>
        <w:t>钟姗</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6"/>
        <w:gridCol w:w="2472"/>
        <w:gridCol w:w="2473"/>
        <w:gridCol w:w="1874"/>
      </w:tblGrid>
      <w:tr w:rsidR="00336F17" w:rsidRPr="00B70EE2" w:rsidTr="00AE12BD">
        <w:trPr>
          <w:trHeight w:val="720"/>
          <w:jc w:val="center"/>
        </w:trPr>
        <w:tc>
          <w:tcPr>
            <w:tcW w:w="1706" w:type="dxa"/>
            <w:vAlign w:val="center"/>
          </w:tcPr>
          <w:p w:rsidR="00336F17" w:rsidRPr="00B70EE2" w:rsidRDefault="00336F17" w:rsidP="00AE12BD">
            <w:pPr>
              <w:snapToGrid w:val="0"/>
              <w:jc w:val="center"/>
              <w:rPr>
                <w:rFonts w:ascii="楷体_GB2312" w:eastAsia="楷体_GB2312" w:hAnsi="宋体" w:cs="Times New Roman"/>
                <w:b/>
                <w:bCs/>
                <w:color w:val="000000"/>
                <w:sz w:val="28"/>
                <w:szCs w:val="28"/>
              </w:rPr>
            </w:pPr>
            <w:r w:rsidRPr="00B70EE2">
              <w:rPr>
                <w:rFonts w:ascii="楷体_GB2312" w:eastAsia="楷体_GB2312" w:hAnsi="宋体" w:cs="Times New Roman" w:hint="eastAsia"/>
                <w:b/>
                <w:bCs/>
                <w:color w:val="000000"/>
                <w:sz w:val="28"/>
                <w:szCs w:val="28"/>
              </w:rPr>
              <w:br w:type="page"/>
              <w:t>姓名</w:t>
            </w:r>
          </w:p>
        </w:tc>
        <w:tc>
          <w:tcPr>
            <w:tcW w:w="2472" w:type="dxa"/>
            <w:vAlign w:val="center"/>
          </w:tcPr>
          <w:p w:rsidR="00336F17" w:rsidRPr="00B70EE2" w:rsidRDefault="00336F17" w:rsidP="00AE12BD">
            <w:pPr>
              <w:snapToGrid w:val="0"/>
              <w:jc w:val="center"/>
              <w:rPr>
                <w:rFonts w:ascii="楷体_GB2312" w:eastAsia="楷体_GB2312" w:hAnsi="宋体" w:cs="Times New Roman"/>
                <w:b/>
                <w:bCs/>
                <w:color w:val="000000"/>
                <w:sz w:val="28"/>
                <w:szCs w:val="28"/>
              </w:rPr>
            </w:pPr>
            <w:r w:rsidRPr="00B70EE2">
              <w:rPr>
                <w:rFonts w:ascii="楷体_GB2312" w:eastAsia="楷体_GB2312" w:hAnsi="宋体" w:cs="Times New Roman" w:hint="eastAsia"/>
                <w:b/>
                <w:bCs/>
                <w:color w:val="000000"/>
                <w:sz w:val="28"/>
                <w:szCs w:val="28"/>
              </w:rPr>
              <w:t>专业资格</w:t>
            </w:r>
          </w:p>
        </w:tc>
        <w:tc>
          <w:tcPr>
            <w:tcW w:w="2473" w:type="dxa"/>
            <w:vAlign w:val="center"/>
          </w:tcPr>
          <w:p w:rsidR="00336F17" w:rsidRPr="00B70EE2" w:rsidRDefault="00336F17" w:rsidP="00AE12BD">
            <w:pPr>
              <w:snapToGrid w:val="0"/>
              <w:jc w:val="center"/>
              <w:rPr>
                <w:rFonts w:ascii="楷体_GB2312" w:eastAsia="楷体_GB2312" w:hAnsi="宋体" w:cs="Times New Roman"/>
                <w:b/>
                <w:bCs/>
                <w:color w:val="000000"/>
                <w:sz w:val="28"/>
                <w:szCs w:val="28"/>
              </w:rPr>
            </w:pPr>
            <w:r w:rsidRPr="00B70EE2">
              <w:rPr>
                <w:rFonts w:ascii="楷体_GB2312" w:eastAsia="楷体_GB2312" w:hAnsi="宋体" w:cs="Times New Roman" w:hint="eastAsia"/>
                <w:b/>
                <w:bCs/>
                <w:color w:val="000000"/>
                <w:sz w:val="28"/>
                <w:szCs w:val="28"/>
              </w:rPr>
              <w:t>证书号</w:t>
            </w:r>
          </w:p>
        </w:tc>
        <w:tc>
          <w:tcPr>
            <w:tcW w:w="1874" w:type="dxa"/>
            <w:vAlign w:val="center"/>
          </w:tcPr>
          <w:p w:rsidR="00336F17" w:rsidRPr="00B70EE2" w:rsidRDefault="00336F17" w:rsidP="00AE12BD">
            <w:pPr>
              <w:snapToGrid w:val="0"/>
              <w:jc w:val="center"/>
              <w:rPr>
                <w:rFonts w:ascii="楷体_GB2312" w:eastAsia="楷体_GB2312" w:hAnsi="宋体" w:cs="Times New Roman"/>
                <w:b/>
                <w:bCs/>
                <w:color w:val="000000"/>
                <w:sz w:val="28"/>
                <w:szCs w:val="28"/>
              </w:rPr>
            </w:pPr>
            <w:r w:rsidRPr="00B70EE2">
              <w:rPr>
                <w:rFonts w:ascii="楷体_GB2312" w:eastAsia="楷体_GB2312" w:hAnsi="宋体" w:cs="Times New Roman" w:hint="eastAsia"/>
                <w:b/>
                <w:bCs/>
                <w:color w:val="000000"/>
                <w:sz w:val="28"/>
                <w:szCs w:val="28"/>
              </w:rPr>
              <w:t>从业年限</w:t>
            </w:r>
          </w:p>
        </w:tc>
      </w:tr>
      <w:tr w:rsidR="00336F17" w:rsidRPr="00B70EE2" w:rsidTr="00AE12BD">
        <w:trPr>
          <w:trHeight w:val="720"/>
          <w:jc w:val="center"/>
        </w:trPr>
        <w:tc>
          <w:tcPr>
            <w:tcW w:w="1706" w:type="dxa"/>
            <w:vAlign w:val="center"/>
          </w:tcPr>
          <w:p w:rsidR="00336F17" w:rsidRPr="00B70EE2" w:rsidRDefault="00336F17"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吴薇</w:t>
            </w:r>
          </w:p>
        </w:tc>
        <w:tc>
          <w:tcPr>
            <w:tcW w:w="2472" w:type="dxa"/>
            <w:vAlign w:val="center"/>
          </w:tcPr>
          <w:p w:rsidR="00336F17" w:rsidRPr="00B70EE2" w:rsidRDefault="00336F17"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房地产估价师</w:t>
            </w:r>
          </w:p>
          <w:p w:rsidR="00336F17" w:rsidRPr="00B70EE2" w:rsidRDefault="00336F17"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土地估价师</w:t>
            </w:r>
          </w:p>
        </w:tc>
        <w:tc>
          <w:tcPr>
            <w:tcW w:w="2473" w:type="dxa"/>
            <w:vAlign w:val="center"/>
          </w:tcPr>
          <w:p w:rsidR="00336F17" w:rsidRPr="00B70EE2" w:rsidRDefault="00336F17"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0003767</w:t>
            </w:r>
          </w:p>
          <w:p w:rsidR="00336F17" w:rsidRPr="00B70EE2" w:rsidRDefault="00336F17"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2002110125</w:t>
            </w:r>
          </w:p>
        </w:tc>
        <w:tc>
          <w:tcPr>
            <w:tcW w:w="1874" w:type="dxa"/>
            <w:vAlign w:val="center"/>
          </w:tcPr>
          <w:p w:rsidR="00336F17" w:rsidRPr="00B70EE2" w:rsidRDefault="00336F17" w:rsidP="00720A08">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1</w:t>
            </w:r>
            <w:r w:rsidR="00720A08" w:rsidRPr="00B70EE2">
              <w:rPr>
                <w:rFonts w:ascii="楷体_GB2312" w:eastAsia="楷体_GB2312" w:hAnsi="宋体" w:cs="Times New Roman" w:hint="eastAsia"/>
                <w:color w:val="000000"/>
                <w:sz w:val="28"/>
                <w:szCs w:val="28"/>
              </w:rPr>
              <w:t>7</w:t>
            </w:r>
            <w:r w:rsidRPr="00B70EE2">
              <w:rPr>
                <w:rFonts w:ascii="楷体_GB2312" w:eastAsia="楷体_GB2312" w:hAnsi="宋体" w:cs="Times New Roman" w:hint="eastAsia"/>
                <w:color w:val="000000"/>
                <w:sz w:val="28"/>
                <w:szCs w:val="28"/>
              </w:rPr>
              <w:t>年</w:t>
            </w:r>
          </w:p>
        </w:tc>
      </w:tr>
      <w:tr w:rsidR="0005439A" w:rsidRPr="00B70EE2" w:rsidTr="00AE12BD">
        <w:trPr>
          <w:trHeight w:val="720"/>
          <w:jc w:val="center"/>
        </w:trPr>
        <w:tc>
          <w:tcPr>
            <w:tcW w:w="1706"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崔锴</w:t>
            </w:r>
          </w:p>
        </w:tc>
        <w:tc>
          <w:tcPr>
            <w:tcW w:w="2472"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房地产估价师</w:t>
            </w:r>
          </w:p>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土地估价师</w:t>
            </w:r>
          </w:p>
        </w:tc>
        <w:tc>
          <w:tcPr>
            <w:tcW w:w="2473"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0022674</w:t>
            </w:r>
          </w:p>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2010110070</w:t>
            </w:r>
          </w:p>
        </w:tc>
        <w:tc>
          <w:tcPr>
            <w:tcW w:w="1874" w:type="dxa"/>
            <w:vAlign w:val="center"/>
          </w:tcPr>
          <w:p w:rsidR="0005439A" w:rsidRPr="00B70EE2" w:rsidRDefault="0005439A" w:rsidP="00720A08">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1</w:t>
            </w:r>
            <w:r w:rsidR="00720A08" w:rsidRPr="00B70EE2">
              <w:rPr>
                <w:rFonts w:ascii="楷体_GB2312" w:eastAsia="楷体_GB2312" w:hAnsi="宋体" w:cs="Times New Roman" w:hint="eastAsia"/>
                <w:color w:val="000000"/>
                <w:sz w:val="28"/>
                <w:szCs w:val="28"/>
              </w:rPr>
              <w:t>2</w:t>
            </w:r>
            <w:r w:rsidRPr="00B70EE2">
              <w:rPr>
                <w:rFonts w:ascii="楷体_GB2312" w:eastAsia="楷体_GB2312" w:hAnsi="宋体" w:cs="Times New Roman" w:hint="eastAsia"/>
                <w:color w:val="000000"/>
                <w:sz w:val="28"/>
                <w:szCs w:val="28"/>
              </w:rPr>
              <w:t>年</w:t>
            </w:r>
          </w:p>
        </w:tc>
      </w:tr>
      <w:tr w:rsidR="00720A08" w:rsidRPr="00B70EE2" w:rsidTr="00AE12BD">
        <w:trPr>
          <w:trHeight w:val="720"/>
          <w:jc w:val="center"/>
        </w:trPr>
        <w:tc>
          <w:tcPr>
            <w:tcW w:w="1706" w:type="dxa"/>
            <w:vAlign w:val="center"/>
          </w:tcPr>
          <w:p w:rsidR="00720A08" w:rsidRPr="00B70EE2" w:rsidRDefault="00720A08"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蔡春娜</w:t>
            </w:r>
          </w:p>
        </w:tc>
        <w:tc>
          <w:tcPr>
            <w:tcW w:w="2472" w:type="dxa"/>
            <w:vAlign w:val="center"/>
          </w:tcPr>
          <w:p w:rsidR="00720A08" w:rsidRPr="00B70EE2" w:rsidRDefault="00720A08"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估价员</w:t>
            </w:r>
          </w:p>
        </w:tc>
        <w:tc>
          <w:tcPr>
            <w:tcW w:w="2473" w:type="dxa"/>
            <w:vAlign w:val="center"/>
          </w:tcPr>
          <w:p w:rsidR="00720A08" w:rsidRPr="00B70EE2" w:rsidRDefault="00720A08" w:rsidP="00AE12BD">
            <w:pPr>
              <w:snapToGrid w:val="0"/>
              <w:jc w:val="center"/>
              <w:rPr>
                <w:rFonts w:ascii="楷体_GB2312" w:eastAsia="楷体_GB2312" w:hAnsi="宋体" w:cs="Times New Roman"/>
                <w:color w:val="000000"/>
                <w:sz w:val="28"/>
                <w:szCs w:val="28"/>
              </w:rPr>
            </w:pPr>
          </w:p>
        </w:tc>
        <w:tc>
          <w:tcPr>
            <w:tcW w:w="1874" w:type="dxa"/>
            <w:vAlign w:val="center"/>
          </w:tcPr>
          <w:p w:rsidR="00720A08" w:rsidRPr="00B70EE2" w:rsidRDefault="00720A08" w:rsidP="00720A08">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5年</w:t>
            </w:r>
          </w:p>
        </w:tc>
      </w:tr>
      <w:tr w:rsidR="0005439A" w:rsidRPr="00B70EE2" w:rsidTr="00AE12BD">
        <w:trPr>
          <w:trHeight w:val="720"/>
          <w:jc w:val="center"/>
        </w:trPr>
        <w:tc>
          <w:tcPr>
            <w:tcW w:w="1706"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钟姗</w:t>
            </w:r>
          </w:p>
        </w:tc>
        <w:tc>
          <w:tcPr>
            <w:tcW w:w="2472"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估价员</w:t>
            </w:r>
          </w:p>
        </w:tc>
        <w:tc>
          <w:tcPr>
            <w:tcW w:w="2473"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p>
        </w:tc>
        <w:tc>
          <w:tcPr>
            <w:tcW w:w="1874" w:type="dxa"/>
            <w:vAlign w:val="center"/>
          </w:tcPr>
          <w:p w:rsidR="0005439A" w:rsidRPr="00B70EE2" w:rsidRDefault="0005439A" w:rsidP="00AE12BD">
            <w:pPr>
              <w:snapToGrid w:val="0"/>
              <w:jc w:val="center"/>
              <w:rPr>
                <w:rFonts w:ascii="楷体_GB2312" w:eastAsia="楷体_GB2312" w:hAnsi="宋体" w:cs="Times New Roman"/>
                <w:color w:val="000000"/>
                <w:sz w:val="28"/>
                <w:szCs w:val="28"/>
              </w:rPr>
            </w:pPr>
            <w:r w:rsidRPr="00B70EE2">
              <w:rPr>
                <w:rFonts w:ascii="楷体_GB2312" w:eastAsia="楷体_GB2312" w:hAnsi="宋体" w:cs="Times New Roman" w:hint="eastAsia"/>
                <w:color w:val="000000"/>
                <w:sz w:val="28"/>
                <w:szCs w:val="28"/>
              </w:rPr>
              <w:t>3年</w:t>
            </w:r>
          </w:p>
        </w:tc>
      </w:tr>
    </w:tbl>
    <w:p w:rsidR="00606501" w:rsidRPr="00B70EE2" w:rsidRDefault="00606501" w:rsidP="00C70FB6">
      <w:pPr>
        <w:rPr>
          <w:rFonts w:ascii="楷体_GB2312" w:eastAsia="楷体_GB2312"/>
          <w:kern w:val="44"/>
        </w:rPr>
      </w:pPr>
    </w:p>
    <w:p w:rsidR="00C70FB6" w:rsidRPr="00B70EE2" w:rsidRDefault="00606501" w:rsidP="00606501">
      <w:pPr>
        <w:widowControl/>
        <w:jc w:val="left"/>
        <w:rPr>
          <w:rFonts w:ascii="楷体_GB2312" w:eastAsia="楷体_GB2312"/>
          <w:kern w:val="44"/>
        </w:rPr>
      </w:pPr>
      <w:r w:rsidRPr="00B70EE2">
        <w:rPr>
          <w:rFonts w:ascii="楷体_GB2312" w:eastAsia="楷体_GB2312" w:hint="eastAsia"/>
          <w:kern w:val="44"/>
        </w:rPr>
        <w:br w:type="page"/>
      </w:r>
    </w:p>
    <w:p w:rsidR="00CE1C53" w:rsidRPr="00B70EE2" w:rsidRDefault="0005439A" w:rsidP="0005439A">
      <w:pPr>
        <w:pStyle w:val="1"/>
        <w:spacing w:line="400" w:lineRule="exact"/>
        <w:rPr>
          <w:rFonts w:ascii="楷体_GB2312" w:eastAsia="楷体_GB2312"/>
          <w:sz w:val="32"/>
          <w:szCs w:val="32"/>
        </w:rPr>
      </w:pPr>
      <w:bookmarkStart w:id="12" w:name="_Toc524694630"/>
      <w:r w:rsidRPr="00B70EE2">
        <w:rPr>
          <w:rFonts w:ascii="楷体_GB2312" w:eastAsia="楷体_GB2312" w:hint="eastAsia"/>
          <w:sz w:val="32"/>
          <w:szCs w:val="32"/>
        </w:rPr>
        <w:lastRenderedPageBreak/>
        <w:t>三</w:t>
      </w:r>
      <w:r w:rsidR="00CE1C53" w:rsidRPr="00B70EE2">
        <w:rPr>
          <w:rFonts w:ascii="楷体_GB2312" w:eastAsia="楷体_GB2312" w:hint="eastAsia"/>
          <w:sz w:val="32"/>
          <w:szCs w:val="32"/>
        </w:rPr>
        <w:t>、</w:t>
      </w:r>
      <w:r w:rsidR="006D0D00" w:rsidRPr="00B70EE2">
        <w:rPr>
          <w:rFonts w:ascii="楷体_GB2312" w:eastAsia="楷体_GB2312" w:hint="eastAsia"/>
          <w:sz w:val="32"/>
          <w:szCs w:val="32"/>
        </w:rPr>
        <w:t>实施周期</w:t>
      </w:r>
      <w:bookmarkEnd w:id="12"/>
    </w:p>
    <w:p w:rsidR="003A0B20" w:rsidRPr="00B70EE2" w:rsidRDefault="003A0B20" w:rsidP="0005439A">
      <w:pPr>
        <w:spacing w:line="360" w:lineRule="auto"/>
        <w:ind w:rightChars="-94" w:right="-19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针对贵公司房地产评估的需求，我公司特制定了相应的操作流程，在勘察完现场，并且在委托方提供资料齐全的前提下保证</w:t>
      </w:r>
      <w:r w:rsidR="00043D92" w:rsidRPr="00B70EE2">
        <w:rPr>
          <w:rFonts w:ascii="楷体_GB2312" w:eastAsia="楷体_GB2312" w:hAnsi="Arial" w:cs="Arial" w:hint="eastAsia"/>
          <w:sz w:val="28"/>
          <w:szCs w:val="28"/>
        </w:rPr>
        <w:t>2</w:t>
      </w:r>
      <w:r w:rsidRPr="00B70EE2">
        <w:rPr>
          <w:rFonts w:ascii="楷体_GB2312" w:eastAsia="楷体_GB2312" w:hAnsi="Arial" w:cs="Arial" w:hint="eastAsia"/>
          <w:sz w:val="28"/>
          <w:szCs w:val="28"/>
        </w:rPr>
        <w:t>-7个工作日出具评估报告（或评估结果函），具体工作时间如下表：</w:t>
      </w:r>
    </w:p>
    <w:tbl>
      <w:tblPr>
        <w:tblW w:w="5000"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tblPr>
      <w:tblGrid>
        <w:gridCol w:w="587"/>
        <w:gridCol w:w="1648"/>
        <w:gridCol w:w="4767"/>
        <w:gridCol w:w="1520"/>
      </w:tblGrid>
      <w:tr w:rsidR="003A0B20" w:rsidRPr="00B70EE2" w:rsidTr="00FE155A">
        <w:trPr>
          <w:trHeight w:val="1125"/>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序号</w:t>
            </w:r>
          </w:p>
        </w:tc>
        <w:tc>
          <w:tcPr>
            <w:tcW w:w="96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工作流程</w:t>
            </w:r>
          </w:p>
        </w:tc>
        <w:tc>
          <w:tcPr>
            <w:tcW w:w="279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工作计划及内容</w:t>
            </w:r>
          </w:p>
        </w:tc>
        <w:tc>
          <w:tcPr>
            <w:tcW w:w="892"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工作进度</w:t>
            </w:r>
          </w:p>
        </w:tc>
      </w:tr>
      <w:tr w:rsidR="003A0B20" w:rsidRPr="00B70EE2" w:rsidTr="00FE155A">
        <w:trPr>
          <w:trHeight w:val="567"/>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1</w:t>
            </w:r>
          </w:p>
        </w:tc>
        <w:tc>
          <w:tcPr>
            <w:tcW w:w="967" w:type="pct"/>
            <w:vAlign w:val="center"/>
          </w:tcPr>
          <w:p w:rsidR="003A0B20" w:rsidRPr="00B70EE2" w:rsidRDefault="003A0B20" w:rsidP="00FE155A">
            <w:pPr>
              <w:rPr>
                <w:rFonts w:ascii="楷体_GB2312" w:eastAsia="楷体_GB2312" w:hAnsi="宋体" w:cs="Arial"/>
                <w:sz w:val="24"/>
              </w:rPr>
            </w:pPr>
            <w:r w:rsidRPr="00B70EE2">
              <w:rPr>
                <w:rFonts w:ascii="楷体_GB2312" w:eastAsia="楷体_GB2312" w:hAnsi="宋体" w:cs="Arial" w:hint="eastAsia"/>
                <w:sz w:val="24"/>
              </w:rPr>
              <w:t>接受委托及前期准备</w:t>
            </w:r>
          </w:p>
        </w:tc>
        <w:tc>
          <w:tcPr>
            <w:tcW w:w="2797" w:type="pct"/>
            <w:vAlign w:val="center"/>
          </w:tcPr>
          <w:p w:rsidR="003A0B20" w:rsidRPr="00B70EE2" w:rsidRDefault="003A0B20" w:rsidP="00FE155A">
            <w:pPr>
              <w:rPr>
                <w:rFonts w:ascii="楷体_GB2312" w:eastAsia="楷体_GB2312" w:hAnsi="宋体" w:cs="Arial"/>
                <w:sz w:val="24"/>
              </w:rPr>
            </w:pPr>
            <w:r w:rsidRPr="00B70EE2">
              <w:rPr>
                <w:rFonts w:ascii="楷体_GB2312" w:eastAsia="楷体_GB2312" w:hAnsi="宋体" w:cs="Arial" w:hint="eastAsia"/>
                <w:sz w:val="24"/>
              </w:rPr>
              <w:t>针对项目特点，优化小组人员配置，与委托方沟通制定工作方案，研究调查方案的可行性，并考虑可能遇到的特殊情况</w:t>
            </w:r>
          </w:p>
        </w:tc>
        <w:tc>
          <w:tcPr>
            <w:tcW w:w="892"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0～0.5工作日</w:t>
            </w:r>
          </w:p>
        </w:tc>
      </w:tr>
      <w:tr w:rsidR="003A0B20" w:rsidRPr="00B70EE2" w:rsidTr="00FE155A">
        <w:trPr>
          <w:trHeight w:val="567"/>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2</w:t>
            </w:r>
          </w:p>
        </w:tc>
        <w:tc>
          <w:tcPr>
            <w:tcW w:w="96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现场勘察及市场调查</w:t>
            </w:r>
          </w:p>
        </w:tc>
        <w:tc>
          <w:tcPr>
            <w:tcW w:w="279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对拟评估对象及其周边环境进行现场勘查，并对周边房地产市场状况进行详细调查</w:t>
            </w:r>
          </w:p>
        </w:tc>
        <w:tc>
          <w:tcPr>
            <w:tcW w:w="892"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0.5工作日</w:t>
            </w:r>
          </w:p>
          <w:p w:rsidR="003A0B20" w:rsidRPr="00B70EE2" w:rsidRDefault="003A0B20" w:rsidP="00FE155A">
            <w:pPr>
              <w:jc w:val="center"/>
              <w:rPr>
                <w:rFonts w:ascii="楷体_GB2312" w:eastAsia="楷体_GB2312" w:hAnsi="宋体" w:cs="Arial"/>
                <w:sz w:val="24"/>
              </w:rPr>
            </w:pPr>
          </w:p>
        </w:tc>
      </w:tr>
      <w:tr w:rsidR="003A0B20" w:rsidRPr="00B70EE2" w:rsidTr="00FE155A">
        <w:trPr>
          <w:trHeight w:val="567"/>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3</w:t>
            </w:r>
          </w:p>
        </w:tc>
        <w:tc>
          <w:tcPr>
            <w:tcW w:w="96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价格测算</w:t>
            </w:r>
          </w:p>
        </w:tc>
        <w:tc>
          <w:tcPr>
            <w:tcW w:w="279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整理调查结果，确定评估方案，并综合各种影响房地产价格的因素，估算</w:t>
            </w:r>
            <w:proofErr w:type="gramStart"/>
            <w:r w:rsidRPr="00B70EE2">
              <w:rPr>
                <w:rFonts w:ascii="楷体_GB2312" w:eastAsia="楷体_GB2312" w:hAnsi="宋体" w:cs="Arial" w:hint="eastAsia"/>
                <w:sz w:val="24"/>
              </w:rPr>
              <w:t>拟估对象</w:t>
            </w:r>
            <w:proofErr w:type="gramEnd"/>
            <w:r w:rsidRPr="00B70EE2">
              <w:rPr>
                <w:rFonts w:ascii="楷体_GB2312" w:eastAsia="楷体_GB2312" w:hAnsi="宋体" w:cs="Arial" w:hint="eastAsia"/>
                <w:sz w:val="24"/>
              </w:rPr>
              <w:t>价值</w:t>
            </w:r>
          </w:p>
        </w:tc>
        <w:tc>
          <w:tcPr>
            <w:tcW w:w="892"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0.5～1工作日</w:t>
            </w:r>
          </w:p>
        </w:tc>
      </w:tr>
      <w:tr w:rsidR="003A0B20" w:rsidRPr="00B70EE2" w:rsidTr="00FE155A">
        <w:trPr>
          <w:trHeight w:val="567"/>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4</w:t>
            </w:r>
          </w:p>
        </w:tc>
        <w:tc>
          <w:tcPr>
            <w:tcW w:w="96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价格审核</w:t>
            </w:r>
          </w:p>
        </w:tc>
        <w:tc>
          <w:tcPr>
            <w:tcW w:w="279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实行估算价格三级审核制度</w:t>
            </w:r>
          </w:p>
        </w:tc>
        <w:tc>
          <w:tcPr>
            <w:tcW w:w="892" w:type="pct"/>
            <w:vAlign w:val="center"/>
          </w:tcPr>
          <w:p w:rsidR="003A0B20" w:rsidRPr="00B70EE2" w:rsidRDefault="003A0B20" w:rsidP="00553F4A">
            <w:pPr>
              <w:jc w:val="center"/>
              <w:rPr>
                <w:rFonts w:ascii="楷体_GB2312" w:eastAsia="楷体_GB2312" w:hAnsi="宋体" w:cs="Arial"/>
                <w:sz w:val="24"/>
              </w:rPr>
            </w:pPr>
            <w:r w:rsidRPr="00B70EE2">
              <w:rPr>
                <w:rFonts w:ascii="楷体_GB2312" w:eastAsia="楷体_GB2312" w:hAnsi="宋体" w:cs="Arial" w:hint="eastAsia"/>
                <w:sz w:val="24"/>
              </w:rPr>
              <w:t>0.5工作日</w:t>
            </w:r>
          </w:p>
        </w:tc>
      </w:tr>
      <w:tr w:rsidR="003A0B20" w:rsidRPr="00B70EE2" w:rsidTr="00FE155A">
        <w:trPr>
          <w:trHeight w:val="567"/>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5</w:t>
            </w:r>
          </w:p>
        </w:tc>
        <w:tc>
          <w:tcPr>
            <w:tcW w:w="96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撰写报告</w:t>
            </w:r>
          </w:p>
        </w:tc>
        <w:tc>
          <w:tcPr>
            <w:tcW w:w="279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撰写评估报告</w:t>
            </w:r>
          </w:p>
        </w:tc>
        <w:tc>
          <w:tcPr>
            <w:tcW w:w="892" w:type="pct"/>
            <w:vAlign w:val="center"/>
          </w:tcPr>
          <w:p w:rsidR="003A0B20" w:rsidRPr="00B70EE2" w:rsidRDefault="003937FE" w:rsidP="00FE155A">
            <w:pPr>
              <w:jc w:val="center"/>
              <w:rPr>
                <w:rFonts w:ascii="楷体_GB2312" w:eastAsia="楷体_GB2312" w:hAnsi="宋体" w:cs="Arial"/>
                <w:sz w:val="24"/>
              </w:rPr>
            </w:pPr>
            <w:r w:rsidRPr="00B70EE2">
              <w:rPr>
                <w:rFonts w:ascii="楷体_GB2312" w:eastAsia="楷体_GB2312" w:hAnsi="宋体" w:cs="Arial" w:hint="eastAsia"/>
                <w:sz w:val="24"/>
              </w:rPr>
              <w:t>1</w:t>
            </w:r>
            <w:r w:rsidR="003A0B20" w:rsidRPr="00B70EE2">
              <w:rPr>
                <w:rFonts w:ascii="楷体_GB2312" w:eastAsia="楷体_GB2312" w:hAnsi="宋体" w:cs="Arial" w:hint="eastAsia"/>
                <w:sz w:val="24"/>
              </w:rPr>
              <w:t>工作日</w:t>
            </w:r>
          </w:p>
        </w:tc>
      </w:tr>
      <w:tr w:rsidR="003A0B20" w:rsidRPr="00B70EE2" w:rsidTr="00FE155A">
        <w:trPr>
          <w:trHeight w:val="567"/>
          <w:jc w:val="center"/>
        </w:trPr>
        <w:tc>
          <w:tcPr>
            <w:tcW w:w="344"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6</w:t>
            </w:r>
          </w:p>
        </w:tc>
        <w:tc>
          <w:tcPr>
            <w:tcW w:w="96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报告审核及装订</w:t>
            </w:r>
          </w:p>
        </w:tc>
        <w:tc>
          <w:tcPr>
            <w:tcW w:w="2797" w:type="pct"/>
            <w:vAlign w:val="center"/>
          </w:tcPr>
          <w:p w:rsidR="003A0B20" w:rsidRPr="00B70EE2" w:rsidRDefault="003A0B20" w:rsidP="00FE155A">
            <w:pPr>
              <w:jc w:val="center"/>
              <w:rPr>
                <w:rFonts w:ascii="楷体_GB2312" w:eastAsia="楷体_GB2312" w:hAnsi="宋体" w:cs="Arial"/>
                <w:sz w:val="24"/>
              </w:rPr>
            </w:pPr>
            <w:r w:rsidRPr="00B70EE2">
              <w:rPr>
                <w:rFonts w:ascii="楷体_GB2312" w:eastAsia="楷体_GB2312" w:hAnsi="宋体" w:cs="Arial" w:hint="eastAsia"/>
                <w:sz w:val="24"/>
              </w:rPr>
              <w:t>实行报告三级审核制度</w:t>
            </w:r>
          </w:p>
        </w:tc>
        <w:tc>
          <w:tcPr>
            <w:tcW w:w="892" w:type="pct"/>
            <w:vAlign w:val="center"/>
          </w:tcPr>
          <w:p w:rsidR="003A0B20" w:rsidRPr="00B70EE2" w:rsidRDefault="003937FE" w:rsidP="00FE155A">
            <w:pPr>
              <w:jc w:val="center"/>
              <w:rPr>
                <w:rFonts w:ascii="楷体_GB2312" w:eastAsia="楷体_GB2312" w:hAnsi="宋体" w:cs="Arial"/>
                <w:sz w:val="24"/>
              </w:rPr>
            </w:pPr>
            <w:r w:rsidRPr="00B70EE2">
              <w:rPr>
                <w:rFonts w:ascii="楷体_GB2312" w:eastAsia="楷体_GB2312" w:hAnsi="宋体" w:cs="Arial" w:hint="eastAsia"/>
                <w:sz w:val="24"/>
              </w:rPr>
              <w:t>1</w:t>
            </w:r>
            <w:r w:rsidR="003A0B20" w:rsidRPr="00B70EE2">
              <w:rPr>
                <w:rFonts w:ascii="楷体_GB2312" w:eastAsia="楷体_GB2312" w:hAnsi="宋体" w:cs="Arial" w:hint="eastAsia"/>
                <w:sz w:val="24"/>
              </w:rPr>
              <w:t>工作日</w:t>
            </w:r>
          </w:p>
        </w:tc>
      </w:tr>
      <w:tr w:rsidR="003A0B20" w:rsidRPr="00B70EE2" w:rsidTr="00FE155A">
        <w:trPr>
          <w:trHeight w:val="567"/>
          <w:jc w:val="center"/>
        </w:trPr>
        <w:tc>
          <w:tcPr>
            <w:tcW w:w="5000" w:type="pct"/>
            <w:gridSpan w:val="4"/>
            <w:vAlign w:val="center"/>
          </w:tcPr>
          <w:p w:rsidR="003A0B20" w:rsidRPr="00B70EE2" w:rsidRDefault="003A0B20" w:rsidP="00553F4A">
            <w:pPr>
              <w:jc w:val="center"/>
              <w:rPr>
                <w:rFonts w:ascii="楷体_GB2312" w:eastAsia="楷体_GB2312" w:hAnsi="宋体" w:cs="Arial"/>
                <w:sz w:val="24"/>
              </w:rPr>
            </w:pPr>
            <w:r w:rsidRPr="00B70EE2">
              <w:rPr>
                <w:rFonts w:ascii="楷体_GB2312" w:eastAsia="楷体_GB2312" w:hAnsi="宋体" w:cs="Arial" w:hint="eastAsia"/>
                <w:sz w:val="24"/>
              </w:rPr>
              <w:t>共计</w:t>
            </w:r>
            <w:r w:rsidR="00553F4A" w:rsidRPr="00B70EE2">
              <w:rPr>
                <w:rFonts w:ascii="楷体_GB2312" w:eastAsia="楷体_GB2312" w:hAnsi="宋体" w:cs="Arial" w:hint="eastAsia"/>
                <w:sz w:val="24"/>
              </w:rPr>
              <w:t>3</w:t>
            </w:r>
            <w:r w:rsidRPr="00B70EE2">
              <w:rPr>
                <w:rFonts w:ascii="楷体_GB2312" w:eastAsia="楷体_GB2312" w:hAnsi="宋体" w:cs="Arial" w:hint="eastAsia"/>
                <w:sz w:val="24"/>
              </w:rPr>
              <w:t>～</w:t>
            </w:r>
            <w:r w:rsidR="00553F4A" w:rsidRPr="00B70EE2">
              <w:rPr>
                <w:rFonts w:ascii="楷体_GB2312" w:eastAsia="楷体_GB2312" w:hAnsi="宋体" w:cs="Arial" w:hint="eastAsia"/>
                <w:sz w:val="24"/>
              </w:rPr>
              <w:t>5</w:t>
            </w:r>
            <w:r w:rsidRPr="00B70EE2">
              <w:rPr>
                <w:rFonts w:ascii="楷体_GB2312" w:eastAsia="楷体_GB2312" w:hAnsi="宋体" w:cs="Arial" w:hint="eastAsia"/>
                <w:sz w:val="24"/>
              </w:rPr>
              <w:t>个工作日</w:t>
            </w:r>
          </w:p>
        </w:tc>
      </w:tr>
    </w:tbl>
    <w:p w:rsidR="00606501" w:rsidRPr="00B70EE2" w:rsidRDefault="00606501" w:rsidP="00C70FB6">
      <w:pPr>
        <w:rPr>
          <w:rFonts w:ascii="楷体_GB2312" w:eastAsia="楷体_GB2312"/>
          <w:kern w:val="44"/>
        </w:rPr>
      </w:pPr>
    </w:p>
    <w:p w:rsidR="00C70FB6" w:rsidRPr="00B70EE2" w:rsidRDefault="00606501" w:rsidP="00606501">
      <w:pPr>
        <w:widowControl/>
        <w:jc w:val="left"/>
        <w:rPr>
          <w:rFonts w:ascii="楷体_GB2312" w:eastAsia="楷体_GB2312"/>
          <w:kern w:val="44"/>
        </w:rPr>
      </w:pPr>
      <w:r w:rsidRPr="00B70EE2">
        <w:rPr>
          <w:rFonts w:ascii="楷体_GB2312" w:eastAsia="楷体_GB2312" w:hint="eastAsia"/>
          <w:kern w:val="44"/>
        </w:rPr>
        <w:br w:type="page"/>
      </w:r>
    </w:p>
    <w:p w:rsidR="00CE1C53" w:rsidRPr="00B70EE2" w:rsidRDefault="0005439A" w:rsidP="003C06F3">
      <w:pPr>
        <w:pStyle w:val="1"/>
        <w:rPr>
          <w:rFonts w:ascii="楷体_GB2312" w:eastAsia="楷体_GB2312"/>
          <w:sz w:val="32"/>
          <w:szCs w:val="32"/>
        </w:rPr>
      </w:pPr>
      <w:bookmarkStart w:id="13" w:name="_Toc524694631"/>
      <w:r w:rsidRPr="00B70EE2">
        <w:rPr>
          <w:rFonts w:ascii="楷体_GB2312" w:eastAsia="楷体_GB2312" w:hint="eastAsia"/>
          <w:sz w:val="32"/>
          <w:szCs w:val="32"/>
        </w:rPr>
        <w:lastRenderedPageBreak/>
        <w:t>四</w:t>
      </w:r>
      <w:r w:rsidR="00CE1C53" w:rsidRPr="00B70EE2">
        <w:rPr>
          <w:rFonts w:ascii="楷体_GB2312" w:eastAsia="楷体_GB2312" w:hint="eastAsia"/>
          <w:sz w:val="32"/>
          <w:szCs w:val="32"/>
        </w:rPr>
        <w:t>、服务方式</w:t>
      </w:r>
      <w:bookmarkEnd w:id="13"/>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针对金融机构信贷业务房地产评估的需求，我公司特制定了相应的操作流程，在勘察完现场，并且在委托方提供资料齐全的前提下保证</w:t>
      </w:r>
      <w:r w:rsidR="003937FE" w:rsidRPr="00B70EE2">
        <w:rPr>
          <w:rFonts w:ascii="楷体_GB2312" w:eastAsia="楷体_GB2312" w:hAnsi="Arial" w:cs="Arial" w:hint="eastAsia"/>
          <w:sz w:val="28"/>
          <w:szCs w:val="28"/>
        </w:rPr>
        <w:t>2</w:t>
      </w:r>
      <w:r w:rsidR="00F64F63" w:rsidRPr="00B70EE2">
        <w:rPr>
          <w:rFonts w:ascii="楷体_GB2312" w:eastAsia="楷体_GB2312" w:hAnsi="Arial" w:cs="Arial" w:hint="eastAsia"/>
          <w:sz w:val="28"/>
          <w:szCs w:val="28"/>
        </w:rPr>
        <w:t>～7</w:t>
      </w:r>
      <w:r w:rsidRPr="00B70EE2">
        <w:rPr>
          <w:rFonts w:ascii="楷体_GB2312" w:eastAsia="楷体_GB2312" w:hAnsi="Arial" w:cs="Arial" w:hint="eastAsia"/>
          <w:sz w:val="28"/>
          <w:szCs w:val="28"/>
        </w:rPr>
        <w:t>个工作日出具评估报告（或评估结果函），具体操作流程如下：</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（1）承接评估业务</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由金融机构指定部门或人员将评估项目的坐落、贷款企业联系人及联系方式通知我公司业务承接人。</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（2）确定估价人员</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初步了解估价对象的基本情况，配备估价人员组成评估小组并明确相应的项目经理。</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（3）约定勘查现场日期</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在接到委托当天，由项目经理与企业联系人沟通联系，约定现场勘查时间，同时向企业提供《评估所需资料清单》及《评估附件样本》。</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（4）勘查现场</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1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①</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签订委托评估函</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按照规定的内容、格式，请委托方签订《委托评估函》。</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2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②</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收集评估所需资料</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1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）按照向委托方提供的《评估所需资料清单》及《评估附件样本》收集相关资料</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2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）根据估价对象的类型审核其权属文件的原件：</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国有土地使用权评估：《国有土地使用证》；</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lastRenderedPageBreak/>
        <w:t>在建工程评估：《国有土地使用证》和《建设工程规划许可证》</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已建成房地产评估：《国有土地使用证》和《房屋所有权证》</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3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iii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）根据项目实际情况需要补充评估资料的，需及时向委托方索要。</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3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③</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勘查现场</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1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）对照委托方提供的权属文件所标明的房屋坐落、楼号及房号进行实地核对，准确无误地确定估价对象实体与权属文件的对应关系。</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2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）对估价对象外立面、内部装修、设备、周围环境与配套设施等情况进行勘查、记录、拍照。</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3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iii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）向委托方了解估价对象基本情况，包括：开工时间、施工计划、建造标准、竣工时间等。</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4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iv</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）向委托方了解并确认估价对象市政基础设施情况。</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（ⅴ）调查了解估价对象周边同类项目的市场情况，包括租金、售价、销售经营、出租经营现状情况等。</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w:t>
      </w:r>
      <w:r w:rsidR="000F2F59" w:rsidRPr="00B70EE2">
        <w:rPr>
          <w:rFonts w:ascii="楷体_GB2312" w:eastAsia="楷体_GB2312" w:hAnsi="Arial" w:cs="Arial" w:hint="eastAsia"/>
          <w:sz w:val="28"/>
          <w:szCs w:val="28"/>
        </w:rPr>
        <w:fldChar w:fldCharType="begin"/>
      </w:r>
      <w:r w:rsidRPr="00B70EE2">
        <w:rPr>
          <w:rFonts w:ascii="楷体_GB2312" w:eastAsia="楷体_GB2312" w:hAnsi="Arial" w:cs="Arial" w:hint="eastAsia"/>
          <w:sz w:val="28"/>
          <w:szCs w:val="28"/>
        </w:rPr>
        <w:instrText xml:space="preserve"> = 7 \* roman </w:instrText>
      </w:r>
      <w:r w:rsidR="000F2F59" w:rsidRPr="00B70EE2">
        <w:rPr>
          <w:rFonts w:ascii="楷体_GB2312" w:eastAsia="楷体_GB2312" w:hAnsi="Arial" w:cs="Arial" w:hint="eastAsia"/>
          <w:sz w:val="28"/>
          <w:szCs w:val="28"/>
        </w:rPr>
        <w:fldChar w:fldCharType="separate"/>
      </w:r>
      <w:r w:rsidRPr="00B70EE2">
        <w:rPr>
          <w:rFonts w:ascii="楷体_GB2312" w:eastAsia="楷体_GB2312" w:hAnsi="Arial" w:cs="Arial" w:hint="eastAsia"/>
          <w:sz w:val="28"/>
          <w:szCs w:val="28"/>
        </w:rPr>
        <w:t>vi</w:t>
      </w:r>
      <w:r w:rsidR="000F2F59" w:rsidRPr="00B70EE2">
        <w:rPr>
          <w:rFonts w:ascii="楷体_GB2312" w:eastAsia="楷体_GB2312" w:hAnsi="Arial" w:cs="Arial" w:hint="eastAsia"/>
          <w:sz w:val="28"/>
          <w:szCs w:val="28"/>
        </w:rPr>
        <w:fldChar w:fldCharType="end"/>
      </w:r>
      <w:r w:rsidRPr="00B70EE2">
        <w:rPr>
          <w:rFonts w:ascii="楷体_GB2312" w:eastAsia="楷体_GB2312" w:hAnsi="Arial" w:cs="Arial" w:hint="eastAsia"/>
          <w:sz w:val="28"/>
          <w:szCs w:val="28"/>
        </w:rPr>
        <w:t>）调查了解估价对象周边公共交通状况。</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（5）评估测算</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根据估价对象的具体情况，合理确定估价方法与估价技术路线，进行评估测算。</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对于在测算过程中采用的房地产市场交易案例及报价案例、租金案例、土地使用权成交案例等均需打印纸质文档留存。</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（6）评估结果审核</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lastRenderedPageBreak/>
        <w:fldChar w:fldCharType="begin"/>
      </w:r>
      <w:r w:rsidR="00EC7371" w:rsidRPr="00B70EE2">
        <w:rPr>
          <w:rFonts w:ascii="楷体_GB2312" w:eastAsia="楷体_GB2312" w:hAnsi="Arial" w:cs="Arial" w:hint="eastAsia"/>
          <w:sz w:val="28"/>
          <w:szCs w:val="28"/>
        </w:rPr>
        <w:instrText xml:space="preserve"> = 1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①</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初审：评估测算完成后，由项目经理进行评估价格初级审核，并签字确认。</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2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②</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二审：评估结果通过初审后，由技术负责人进行价格二级审核，并签字确认。</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3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③</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终审：评估结果通过二审后，由公司技术总监进行价格终审，并签字确认。</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（7）撰写评估报告</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评估结果确定后，根据委托方或金融机构的要求，按照相应的报告版本认真撰写评估报告。</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（8）评估报告审核</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1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①</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初审：评估报告撰写完成由项目经理进行报告初级审核、校对并签字确认。报告撰写人对初审中标出的问题进行修改。</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2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②</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二级审核：评估报告经初审并修改后，由审核组人员进行二级审核、校对并签字，报告撰写人对二级审核中标出的问题进行修改。</w:t>
      </w:r>
    </w:p>
    <w:p w:rsidR="00EC7371" w:rsidRPr="00B70EE2" w:rsidRDefault="000F2F59"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fldChar w:fldCharType="begin"/>
      </w:r>
      <w:r w:rsidR="00EC7371" w:rsidRPr="00B70EE2">
        <w:rPr>
          <w:rFonts w:ascii="楷体_GB2312" w:eastAsia="楷体_GB2312" w:hAnsi="Arial" w:cs="Arial" w:hint="eastAsia"/>
          <w:sz w:val="28"/>
          <w:szCs w:val="28"/>
        </w:rPr>
        <w:instrText xml:space="preserve"> = 3 \* GB3 </w:instrText>
      </w:r>
      <w:r w:rsidRPr="00B70EE2">
        <w:rPr>
          <w:rFonts w:ascii="楷体_GB2312" w:eastAsia="楷体_GB2312" w:hAnsi="Arial" w:cs="Arial" w:hint="eastAsia"/>
          <w:sz w:val="28"/>
          <w:szCs w:val="28"/>
        </w:rPr>
        <w:fldChar w:fldCharType="separate"/>
      </w:r>
      <w:r w:rsidR="00EC7371" w:rsidRPr="00B70EE2">
        <w:rPr>
          <w:rFonts w:ascii="楷体_GB2312" w:eastAsia="楷体_GB2312" w:hAnsi="Arial" w:cs="Arial" w:hint="eastAsia"/>
          <w:sz w:val="28"/>
          <w:szCs w:val="28"/>
        </w:rPr>
        <w:t>③</w:t>
      </w:r>
      <w:r w:rsidRPr="00B70EE2">
        <w:rPr>
          <w:rFonts w:ascii="楷体_GB2312" w:eastAsia="楷体_GB2312" w:hAnsi="Arial" w:cs="Arial" w:hint="eastAsia"/>
          <w:sz w:val="28"/>
          <w:szCs w:val="28"/>
        </w:rPr>
        <w:fldChar w:fldCharType="end"/>
      </w:r>
      <w:r w:rsidR="00EC7371" w:rsidRPr="00B70EE2">
        <w:rPr>
          <w:rFonts w:ascii="楷体_GB2312" w:eastAsia="楷体_GB2312" w:hAnsi="Arial" w:cs="Arial" w:hint="eastAsia"/>
          <w:sz w:val="28"/>
          <w:szCs w:val="28"/>
        </w:rPr>
        <w:t xml:space="preserve"> 终审：评估报告经二级审核并修改后，由技术负责人进行报告终审、校对并签字，报告撰写人对终审中标出的问题进行修改。</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（9）报告装订</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将经过终审并修改完成的评估报告</w:t>
      </w:r>
      <w:proofErr w:type="gramStart"/>
      <w:r w:rsidRPr="00B70EE2">
        <w:rPr>
          <w:rFonts w:ascii="楷体_GB2312" w:eastAsia="楷体_GB2312" w:hAnsi="Arial" w:cs="Arial" w:hint="eastAsia"/>
          <w:sz w:val="28"/>
          <w:szCs w:val="28"/>
        </w:rPr>
        <w:t>交综合</w:t>
      </w:r>
      <w:proofErr w:type="gramEnd"/>
      <w:r w:rsidRPr="00B70EE2">
        <w:rPr>
          <w:rFonts w:ascii="楷体_GB2312" w:eastAsia="楷体_GB2312" w:hAnsi="Arial" w:cs="Arial" w:hint="eastAsia"/>
          <w:sz w:val="28"/>
          <w:szCs w:val="28"/>
        </w:rPr>
        <w:t>部装订人员进行复印装订，装订份数根据委托方及金融机构的要求确定。装订报告时要履行相应的签字手续。</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（10）评估报告对外提供</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一般在勘察现场并且评估资料齐全后3个工作日出具正式评估</w:t>
      </w:r>
      <w:r w:rsidRPr="00B70EE2">
        <w:rPr>
          <w:rFonts w:ascii="楷体_GB2312" w:eastAsia="楷体_GB2312" w:hAnsi="Arial" w:cs="Arial" w:hint="eastAsia"/>
          <w:sz w:val="28"/>
          <w:szCs w:val="28"/>
        </w:rPr>
        <w:lastRenderedPageBreak/>
        <w:t>报告，以快递方式向金融机构发送报告。</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（11）保存数据，资料存档</w:t>
      </w:r>
    </w:p>
    <w:p w:rsidR="00EC7371" w:rsidRPr="00B70EE2" w:rsidRDefault="00EC737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交付报告后将评估项目所有纸质及电子原始资料、测算过程与草稿、评估报告文字内容、评估项目照片资料全部归档、保存。</w:t>
      </w:r>
    </w:p>
    <w:p w:rsidR="00C70FB6" w:rsidRPr="00B70EE2" w:rsidRDefault="00C70FB6">
      <w:pPr>
        <w:widowControl/>
        <w:jc w:val="left"/>
        <w:rPr>
          <w:rFonts w:ascii="楷体_GB2312" w:eastAsia="楷体_GB2312"/>
          <w:b/>
          <w:bCs/>
          <w:kern w:val="44"/>
          <w:sz w:val="32"/>
          <w:szCs w:val="32"/>
        </w:rPr>
      </w:pPr>
      <w:r w:rsidRPr="00B70EE2">
        <w:rPr>
          <w:rFonts w:ascii="楷体_GB2312" w:eastAsia="楷体_GB2312" w:hint="eastAsia"/>
          <w:sz w:val="32"/>
          <w:szCs w:val="32"/>
        </w:rPr>
        <w:br w:type="page"/>
      </w:r>
    </w:p>
    <w:p w:rsidR="00CE1C53" w:rsidRPr="00B70EE2" w:rsidRDefault="0005439A" w:rsidP="003C06F3">
      <w:pPr>
        <w:pStyle w:val="1"/>
        <w:rPr>
          <w:rFonts w:ascii="楷体_GB2312" w:eastAsia="楷体_GB2312"/>
          <w:sz w:val="32"/>
          <w:szCs w:val="32"/>
        </w:rPr>
      </w:pPr>
      <w:bookmarkStart w:id="14" w:name="_Toc524694632"/>
      <w:r w:rsidRPr="00B70EE2">
        <w:rPr>
          <w:rFonts w:ascii="楷体_GB2312" w:eastAsia="楷体_GB2312" w:hint="eastAsia"/>
          <w:sz w:val="32"/>
          <w:szCs w:val="32"/>
        </w:rPr>
        <w:lastRenderedPageBreak/>
        <w:t>五</w:t>
      </w:r>
      <w:r w:rsidR="00CE1C53" w:rsidRPr="00B70EE2">
        <w:rPr>
          <w:rFonts w:ascii="楷体_GB2312" w:eastAsia="楷体_GB2312" w:hint="eastAsia"/>
          <w:sz w:val="32"/>
          <w:szCs w:val="32"/>
        </w:rPr>
        <w:t>、报价内容</w:t>
      </w:r>
      <w:bookmarkEnd w:id="14"/>
    </w:p>
    <w:p w:rsidR="004E40E1" w:rsidRPr="00B70EE2" w:rsidRDefault="004E40E1" w:rsidP="00C53487">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根据</w:t>
      </w:r>
      <w:r w:rsidR="00C53487" w:rsidRPr="00B70EE2">
        <w:rPr>
          <w:rFonts w:ascii="楷体_GB2312" w:eastAsia="楷体_GB2312" w:hAnsi="Arial" w:cs="Arial" w:hint="eastAsia"/>
          <w:sz w:val="28"/>
          <w:szCs w:val="28"/>
        </w:rPr>
        <w:t>国家计委、建设部发布的《国家计委、建设部关于房地产中介服务收费的通知》（</w:t>
      </w:r>
      <w:r w:rsidR="00CF35FC" w:rsidRPr="00B70EE2">
        <w:rPr>
          <w:rFonts w:ascii="楷体_GB2312" w:eastAsia="楷体_GB2312" w:hAnsi="Arial" w:cs="Arial" w:hint="eastAsia"/>
          <w:sz w:val="28"/>
          <w:szCs w:val="28"/>
        </w:rPr>
        <w:t>计价格[1995]971号</w:t>
      </w:r>
      <w:r w:rsidR="00C53487" w:rsidRPr="00B70EE2">
        <w:rPr>
          <w:rFonts w:ascii="楷体_GB2312" w:eastAsia="楷体_GB2312" w:hAnsi="Arial" w:cs="Arial" w:hint="eastAsia"/>
          <w:sz w:val="28"/>
          <w:szCs w:val="28"/>
        </w:rPr>
        <w:t>）相关规定</w:t>
      </w:r>
      <w:r w:rsidRPr="00B70EE2">
        <w:rPr>
          <w:rFonts w:ascii="楷体_GB2312" w:eastAsia="楷体_GB2312" w:hAnsi="Arial" w:cs="Arial" w:hint="eastAsia"/>
          <w:sz w:val="28"/>
          <w:szCs w:val="28"/>
        </w:rPr>
        <w:t>，房地产评估收费标准按照标的总额采取差额定率分档累进制。具体收费标准见下表：</w:t>
      </w:r>
    </w:p>
    <w:p w:rsidR="004E40E1" w:rsidRPr="00B70EE2" w:rsidRDefault="004E40E1" w:rsidP="00B22FEF">
      <w:pPr>
        <w:spacing w:line="360" w:lineRule="auto"/>
        <w:rPr>
          <w:rFonts w:ascii="楷体_GB2312" w:eastAsia="楷体_GB2312" w:hAnsi="Arial" w:cs="Arial"/>
          <w:b/>
          <w:sz w:val="22"/>
          <w:szCs w:val="28"/>
        </w:rPr>
      </w:pPr>
      <w:r w:rsidRPr="00B70EE2">
        <w:rPr>
          <w:rFonts w:ascii="楷体_GB2312" w:eastAsia="楷体_GB2312" w:hAnsi="Arial" w:cs="Arial" w:hint="eastAsia"/>
          <w:b/>
          <w:sz w:val="22"/>
          <w:szCs w:val="28"/>
        </w:rPr>
        <w:t>档次    标的总额（万元）   累进计费率（‰）   累进收费（万元）</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1       100以下（含100）        5               0.5</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2       101——1000              2.5             2.75</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3       1001——2000             1.5             4.25</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4       2001——5000             0.8             6.65</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5       5001——8000             0.4             7.85</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6       8001——10000            0.2             8.25</w:t>
      </w:r>
    </w:p>
    <w:p w:rsidR="004E40E1" w:rsidRPr="00B70EE2" w:rsidRDefault="004E40E1" w:rsidP="00C611FF">
      <w:pPr>
        <w:spacing w:line="360" w:lineRule="auto"/>
        <w:jc w:val="left"/>
        <w:rPr>
          <w:rFonts w:ascii="楷体_GB2312" w:eastAsia="楷体_GB2312" w:hAnsi="Arial" w:cs="Arial"/>
          <w:szCs w:val="28"/>
        </w:rPr>
      </w:pPr>
      <w:r w:rsidRPr="00B70EE2">
        <w:rPr>
          <w:rFonts w:ascii="楷体_GB2312" w:eastAsia="楷体_GB2312" w:hAnsi="Arial" w:cs="Arial" w:hint="eastAsia"/>
          <w:szCs w:val="28"/>
        </w:rPr>
        <w:t xml:space="preserve">7       10000以上               </w:t>
      </w:r>
      <w:r w:rsidR="000D0939" w:rsidRPr="00B70EE2">
        <w:rPr>
          <w:rFonts w:ascii="楷体_GB2312" w:eastAsia="楷体_GB2312" w:hAnsi="Arial" w:cs="Arial" w:hint="eastAsia"/>
          <w:szCs w:val="28"/>
        </w:rPr>
        <w:t xml:space="preserve"> </w:t>
      </w:r>
      <w:r w:rsidRPr="00B70EE2">
        <w:rPr>
          <w:rFonts w:ascii="楷体_GB2312" w:eastAsia="楷体_GB2312" w:hAnsi="Arial" w:cs="Arial" w:hint="eastAsia"/>
          <w:szCs w:val="28"/>
        </w:rPr>
        <w:t>0.1</w:t>
      </w:r>
    </w:p>
    <w:p w:rsidR="004E5E54" w:rsidRPr="00B70EE2" w:rsidRDefault="004E40E1"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作为中粮集团入围评估机构，我公司多年来一直与中粮旗下多家公司保持着友好合作。本着互惠互利、长期友好合作的原则，本次项</w:t>
      </w:r>
      <w:bookmarkStart w:id="15" w:name="_GoBack"/>
      <w:r w:rsidRPr="00B70EE2">
        <w:rPr>
          <w:rFonts w:ascii="楷体_GB2312" w:eastAsia="楷体_GB2312" w:hAnsi="Arial" w:cs="Arial" w:hint="eastAsia"/>
          <w:sz w:val="28"/>
          <w:szCs w:val="28"/>
        </w:rPr>
        <w:t>目我公司评估收费报价如下：</w:t>
      </w:r>
    </w:p>
    <w:tbl>
      <w:tblPr>
        <w:tblpPr w:leftFromText="180" w:rightFromText="180" w:vertAnchor="text" w:horzAnchor="page" w:tblpX="1515" w:tblpY="180"/>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580"/>
        <w:gridCol w:w="1418"/>
        <w:gridCol w:w="1559"/>
        <w:gridCol w:w="2381"/>
      </w:tblGrid>
      <w:tr w:rsidR="00DB655D" w:rsidRPr="003D0729" w:rsidTr="005910DE">
        <w:trPr>
          <w:trHeight w:val="685"/>
        </w:trPr>
        <w:tc>
          <w:tcPr>
            <w:tcW w:w="817" w:type="dxa"/>
            <w:vAlign w:val="center"/>
          </w:tcPr>
          <w:bookmarkEnd w:id="15"/>
          <w:p w:rsidR="00DB655D" w:rsidRPr="00023178" w:rsidRDefault="00DB655D" w:rsidP="005910DE">
            <w:pPr>
              <w:autoSpaceDE w:val="0"/>
              <w:autoSpaceDN w:val="0"/>
              <w:jc w:val="center"/>
              <w:rPr>
                <w:rFonts w:ascii="楷体_GB2312" w:eastAsia="楷体_GB2312" w:hAnsiTheme="minorEastAsia"/>
                <w:b/>
                <w:bCs/>
                <w:sz w:val="24"/>
                <w:szCs w:val="24"/>
              </w:rPr>
            </w:pPr>
            <w:r w:rsidRPr="00023178">
              <w:rPr>
                <w:rFonts w:ascii="楷体_GB2312" w:eastAsia="楷体_GB2312" w:hAnsiTheme="minorEastAsia" w:hint="eastAsia"/>
                <w:b/>
                <w:bCs/>
                <w:sz w:val="24"/>
                <w:szCs w:val="24"/>
              </w:rPr>
              <w:t>序号</w:t>
            </w:r>
          </w:p>
        </w:tc>
        <w:tc>
          <w:tcPr>
            <w:tcW w:w="2580" w:type="dxa"/>
            <w:vAlign w:val="center"/>
          </w:tcPr>
          <w:p w:rsidR="00DB655D" w:rsidRPr="00023178" w:rsidRDefault="00DB655D" w:rsidP="005910DE">
            <w:pPr>
              <w:autoSpaceDE w:val="0"/>
              <w:autoSpaceDN w:val="0"/>
              <w:jc w:val="center"/>
              <w:rPr>
                <w:rFonts w:ascii="楷体_GB2312" w:eastAsia="楷体_GB2312" w:hAnsiTheme="minorEastAsia"/>
                <w:b/>
                <w:bCs/>
                <w:sz w:val="24"/>
                <w:szCs w:val="24"/>
              </w:rPr>
            </w:pPr>
            <w:r w:rsidRPr="00023178">
              <w:rPr>
                <w:rFonts w:ascii="楷体_GB2312" w:eastAsia="楷体_GB2312" w:hAnsiTheme="minorEastAsia" w:hint="eastAsia"/>
                <w:b/>
                <w:bCs/>
                <w:sz w:val="24"/>
                <w:szCs w:val="24"/>
              </w:rPr>
              <w:t>项目名称</w:t>
            </w:r>
          </w:p>
        </w:tc>
        <w:tc>
          <w:tcPr>
            <w:tcW w:w="1418" w:type="dxa"/>
            <w:vAlign w:val="center"/>
          </w:tcPr>
          <w:p w:rsidR="00DB655D" w:rsidRPr="00023178" w:rsidRDefault="00DB655D" w:rsidP="005910DE">
            <w:pPr>
              <w:autoSpaceDE w:val="0"/>
              <w:autoSpaceDN w:val="0"/>
              <w:jc w:val="center"/>
              <w:rPr>
                <w:rFonts w:ascii="楷体_GB2312" w:eastAsia="楷体_GB2312" w:hAnsiTheme="minorEastAsia"/>
                <w:b/>
                <w:bCs/>
                <w:sz w:val="24"/>
                <w:szCs w:val="24"/>
              </w:rPr>
            </w:pPr>
            <w:r w:rsidRPr="00023178">
              <w:rPr>
                <w:rFonts w:ascii="楷体_GB2312" w:eastAsia="楷体_GB2312" w:hAnsiTheme="minorEastAsia" w:hint="eastAsia"/>
                <w:b/>
                <w:bCs/>
                <w:sz w:val="24"/>
                <w:szCs w:val="24"/>
              </w:rPr>
              <w:t>服务内容</w:t>
            </w:r>
          </w:p>
        </w:tc>
        <w:tc>
          <w:tcPr>
            <w:tcW w:w="1559" w:type="dxa"/>
            <w:vAlign w:val="center"/>
          </w:tcPr>
          <w:p w:rsidR="00DB655D" w:rsidRPr="00023178" w:rsidRDefault="00DB655D" w:rsidP="005910DE">
            <w:pPr>
              <w:autoSpaceDE w:val="0"/>
              <w:autoSpaceDN w:val="0"/>
              <w:jc w:val="center"/>
              <w:rPr>
                <w:rFonts w:ascii="楷体_GB2312" w:eastAsia="楷体_GB2312" w:hAnsiTheme="minorEastAsia"/>
                <w:b/>
                <w:bCs/>
                <w:sz w:val="24"/>
                <w:szCs w:val="24"/>
              </w:rPr>
            </w:pPr>
            <w:r w:rsidRPr="00023178">
              <w:rPr>
                <w:rFonts w:ascii="楷体_GB2312" w:eastAsia="楷体_GB2312" w:hAnsiTheme="minorEastAsia" w:hint="eastAsia"/>
                <w:b/>
                <w:bCs/>
                <w:sz w:val="24"/>
                <w:szCs w:val="24"/>
              </w:rPr>
              <w:t>报价</w:t>
            </w:r>
          </w:p>
        </w:tc>
        <w:tc>
          <w:tcPr>
            <w:tcW w:w="2381" w:type="dxa"/>
            <w:vAlign w:val="center"/>
          </w:tcPr>
          <w:p w:rsidR="00DB655D" w:rsidRPr="00023178" w:rsidRDefault="00DB655D" w:rsidP="005910DE">
            <w:pPr>
              <w:autoSpaceDE w:val="0"/>
              <w:autoSpaceDN w:val="0"/>
              <w:jc w:val="center"/>
              <w:rPr>
                <w:rFonts w:ascii="楷体_GB2312" w:eastAsia="楷体_GB2312" w:hAnsiTheme="minorEastAsia"/>
                <w:b/>
                <w:bCs/>
                <w:sz w:val="24"/>
                <w:szCs w:val="24"/>
              </w:rPr>
            </w:pPr>
            <w:r w:rsidRPr="00023178">
              <w:rPr>
                <w:rFonts w:ascii="楷体_GB2312" w:eastAsia="楷体_GB2312" w:hAnsiTheme="minorEastAsia" w:hint="eastAsia"/>
                <w:b/>
                <w:bCs/>
                <w:sz w:val="24"/>
                <w:szCs w:val="24"/>
              </w:rPr>
              <w:t>备注</w:t>
            </w:r>
          </w:p>
        </w:tc>
      </w:tr>
      <w:tr w:rsidR="00DB655D" w:rsidRPr="003D0729" w:rsidTr="005910DE">
        <w:trPr>
          <w:trHeight w:val="855"/>
        </w:trPr>
        <w:tc>
          <w:tcPr>
            <w:tcW w:w="817"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1</w:t>
            </w:r>
          </w:p>
        </w:tc>
        <w:tc>
          <w:tcPr>
            <w:tcW w:w="2580"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cs="Times New Roman" w:hint="eastAsia"/>
                <w:sz w:val="22"/>
                <w:szCs w:val="28"/>
              </w:rPr>
              <w:t>大连开发区海滨里72栋-2-16-1</w:t>
            </w:r>
            <w:proofErr w:type="gramStart"/>
            <w:r w:rsidRPr="00023178">
              <w:rPr>
                <w:rFonts w:ascii="楷体_GB2312" w:eastAsia="楷体_GB2312" w:hAnsiTheme="minorEastAsia" w:cs="Times New Roman" w:hint="eastAsia"/>
                <w:sz w:val="22"/>
                <w:szCs w:val="28"/>
              </w:rPr>
              <w:t>号</w:t>
            </w:r>
            <w:r w:rsidRPr="00023178">
              <w:rPr>
                <w:rFonts w:ascii="楷体_GB2312" w:eastAsia="楷体_GB2312" w:hAnsiTheme="minorEastAsia" w:hint="eastAsia"/>
                <w:color w:val="000000"/>
                <w:sz w:val="22"/>
                <w:szCs w:val="28"/>
              </w:rPr>
              <w:t>住宅</w:t>
            </w:r>
            <w:proofErr w:type="gramEnd"/>
            <w:r w:rsidRPr="00023178">
              <w:rPr>
                <w:rFonts w:ascii="楷体_GB2312" w:eastAsia="楷体_GB2312" w:hAnsiTheme="minorEastAsia" w:hint="eastAsia"/>
                <w:color w:val="000000"/>
                <w:sz w:val="22"/>
                <w:szCs w:val="28"/>
              </w:rPr>
              <w:t>用房</w:t>
            </w:r>
          </w:p>
        </w:tc>
        <w:tc>
          <w:tcPr>
            <w:tcW w:w="1418"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房地产市场价值评估</w:t>
            </w:r>
          </w:p>
        </w:tc>
        <w:tc>
          <w:tcPr>
            <w:tcW w:w="1559" w:type="dxa"/>
            <w:vAlign w:val="center"/>
          </w:tcPr>
          <w:p w:rsidR="00DB655D" w:rsidRPr="005321E3" w:rsidRDefault="00DB655D" w:rsidP="005910DE">
            <w:pPr>
              <w:autoSpaceDE w:val="0"/>
              <w:autoSpaceDN w:val="0"/>
              <w:jc w:val="center"/>
              <w:rPr>
                <w:rFonts w:ascii="楷体_GB2312" w:eastAsia="楷体_GB2312" w:hAnsiTheme="minorEastAsia"/>
                <w:b/>
                <w:bCs/>
                <w:sz w:val="22"/>
                <w:szCs w:val="24"/>
              </w:rPr>
            </w:pPr>
            <w:r w:rsidRPr="005321E3">
              <w:rPr>
                <w:rFonts w:ascii="楷体_GB2312" w:eastAsia="楷体_GB2312" w:hAnsiTheme="minorEastAsia"/>
                <w:b/>
                <w:bCs/>
                <w:sz w:val="22"/>
                <w:szCs w:val="24"/>
              </w:rPr>
              <w:t>2000</w:t>
            </w:r>
            <w:r w:rsidRPr="005321E3">
              <w:rPr>
                <w:rFonts w:ascii="楷体_GB2312" w:eastAsia="楷体_GB2312" w:hAnsiTheme="minorEastAsia" w:hint="eastAsia"/>
                <w:b/>
                <w:bCs/>
                <w:sz w:val="22"/>
                <w:szCs w:val="24"/>
              </w:rPr>
              <w:t>元</w:t>
            </w:r>
          </w:p>
        </w:tc>
        <w:tc>
          <w:tcPr>
            <w:tcW w:w="2381"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含差旅费、税费</w:t>
            </w:r>
          </w:p>
        </w:tc>
      </w:tr>
      <w:tr w:rsidR="00DB655D" w:rsidRPr="003D0729" w:rsidTr="005910DE">
        <w:trPr>
          <w:trHeight w:val="838"/>
        </w:trPr>
        <w:tc>
          <w:tcPr>
            <w:tcW w:w="817"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2</w:t>
            </w:r>
          </w:p>
        </w:tc>
        <w:tc>
          <w:tcPr>
            <w:tcW w:w="2580"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大连开发区海滨里72栋-2-16-2</w:t>
            </w:r>
            <w:proofErr w:type="gramStart"/>
            <w:r w:rsidRPr="00023178">
              <w:rPr>
                <w:rFonts w:ascii="楷体_GB2312" w:eastAsia="楷体_GB2312" w:hAnsiTheme="minorEastAsia" w:hint="eastAsia"/>
                <w:bCs/>
                <w:sz w:val="22"/>
                <w:szCs w:val="24"/>
              </w:rPr>
              <w:t>号住宅</w:t>
            </w:r>
            <w:proofErr w:type="gramEnd"/>
            <w:r w:rsidRPr="00023178">
              <w:rPr>
                <w:rFonts w:ascii="楷体_GB2312" w:eastAsia="楷体_GB2312" w:hAnsiTheme="minorEastAsia" w:hint="eastAsia"/>
                <w:bCs/>
                <w:sz w:val="22"/>
                <w:szCs w:val="24"/>
              </w:rPr>
              <w:t>用房</w:t>
            </w:r>
          </w:p>
        </w:tc>
        <w:tc>
          <w:tcPr>
            <w:tcW w:w="1418"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房地产市场价值评估</w:t>
            </w:r>
          </w:p>
        </w:tc>
        <w:tc>
          <w:tcPr>
            <w:tcW w:w="1559" w:type="dxa"/>
            <w:vAlign w:val="center"/>
          </w:tcPr>
          <w:p w:rsidR="00DB655D" w:rsidRPr="005321E3" w:rsidRDefault="00DB655D" w:rsidP="005910DE">
            <w:pPr>
              <w:autoSpaceDE w:val="0"/>
              <w:autoSpaceDN w:val="0"/>
              <w:jc w:val="center"/>
              <w:rPr>
                <w:rFonts w:ascii="楷体_GB2312" w:eastAsia="楷体_GB2312" w:hAnsiTheme="minorEastAsia"/>
                <w:b/>
                <w:bCs/>
                <w:sz w:val="22"/>
                <w:szCs w:val="24"/>
              </w:rPr>
            </w:pPr>
            <w:r w:rsidRPr="005321E3">
              <w:rPr>
                <w:rFonts w:ascii="楷体_GB2312" w:eastAsia="楷体_GB2312" w:hAnsiTheme="minorEastAsia"/>
                <w:b/>
                <w:bCs/>
                <w:sz w:val="22"/>
                <w:szCs w:val="24"/>
              </w:rPr>
              <w:t>2000</w:t>
            </w:r>
            <w:r w:rsidRPr="005321E3">
              <w:rPr>
                <w:rFonts w:ascii="楷体_GB2312" w:eastAsia="楷体_GB2312" w:hAnsiTheme="minorEastAsia" w:hint="eastAsia"/>
                <w:b/>
                <w:bCs/>
                <w:sz w:val="22"/>
                <w:szCs w:val="24"/>
              </w:rPr>
              <w:t>元</w:t>
            </w:r>
          </w:p>
        </w:tc>
        <w:tc>
          <w:tcPr>
            <w:tcW w:w="2381"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含差旅费、税费</w:t>
            </w:r>
          </w:p>
        </w:tc>
      </w:tr>
      <w:tr w:rsidR="00DB655D" w:rsidRPr="003D0729" w:rsidTr="005910DE">
        <w:trPr>
          <w:trHeight w:val="837"/>
        </w:trPr>
        <w:tc>
          <w:tcPr>
            <w:tcW w:w="817"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bCs/>
                <w:sz w:val="22"/>
                <w:szCs w:val="24"/>
              </w:rPr>
              <w:t>3</w:t>
            </w:r>
          </w:p>
        </w:tc>
        <w:tc>
          <w:tcPr>
            <w:tcW w:w="2580"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大连开发区海滨里72栋-2-16-3</w:t>
            </w:r>
            <w:proofErr w:type="gramStart"/>
            <w:r w:rsidRPr="00023178">
              <w:rPr>
                <w:rFonts w:ascii="楷体_GB2312" w:eastAsia="楷体_GB2312" w:hAnsiTheme="minorEastAsia" w:hint="eastAsia"/>
                <w:bCs/>
                <w:sz w:val="22"/>
                <w:szCs w:val="24"/>
              </w:rPr>
              <w:t>号住宅</w:t>
            </w:r>
            <w:proofErr w:type="gramEnd"/>
            <w:r w:rsidRPr="00023178">
              <w:rPr>
                <w:rFonts w:ascii="楷体_GB2312" w:eastAsia="楷体_GB2312" w:hAnsiTheme="minorEastAsia" w:hint="eastAsia"/>
                <w:bCs/>
                <w:sz w:val="22"/>
                <w:szCs w:val="24"/>
              </w:rPr>
              <w:t>用房</w:t>
            </w:r>
          </w:p>
        </w:tc>
        <w:tc>
          <w:tcPr>
            <w:tcW w:w="1418"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房地产市场价值评估</w:t>
            </w:r>
          </w:p>
        </w:tc>
        <w:tc>
          <w:tcPr>
            <w:tcW w:w="1559" w:type="dxa"/>
            <w:vAlign w:val="center"/>
          </w:tcPr>
          <w:p w:rsidR="00DB655D" w:rsidRPr="005321E3" w:rsidRDefault="00DB655D" w:rsidP="005910DE">
            <w:pPr>
              <w:autoSpaceDE w:val="0"/>
              <w:autoSpaceDN w:val="0"/>
              <w:jc w:val="center"/>
              <w:rPr>
                <w:rFonts w:ascii="楷体_GB2312" w:eastAsia="楷体_GB2312" w:hAnsiTheme="minorEastAsia"/>
                <w:b/>
                <w:bCs/>
                <w:sz w:val="22"/>
                <w:szCs w:val="24"/>
              </w:rPr>
            </w:pPr>
            <w:r w:rsidRPr="005321E3">
              <w:rPr>
                <w:rFonts w:ascii="楷体_GB2312" w:eastAsia="楷体_GB2312" w:hAnsiTheme="minorEastAsia"/>
                <w:b/>
                <w:bCs/>
                <w:sz w:val="22"/>
                <w:szCs w:val="24"/>
              </w:rPr>
              <w:t>2000</w:t>
            </w:r>
            <w:r w:rsidRPr="005321E3">
              <w:rPr>
                <w:rFonts w:ascii="楷体_GB2312" w:eastAsia="楷体_GB2312" w:hAnsiTheme="minorEastAsia" w:hint="eastAsia"/>
                <w:b/>
                <w:bCs/>
                <w:sz w:val="22"/>
                <w:szCs w:val="24"/>
              </w:rPr>
              <w:t>元</w:t>
            </w:r>
          </w:p>
        </w:tc>
        <w:tc>
          <w:tcPr>
            <w:tcW w:w="2381" w:type="dxa"/>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含差旅费、税费</w:t>
            </w:r>
          </w:p>
        </w:tc>
      </w:tr>
      <w:tr w:rsidR="00DB655D" w:rsidRPr="003D0729" w:rsidTr="005321E3">
        <w:trPr>
          <w:trHeight w:val="564"/>
        </w:trPr>
        <w:tc>
          <w:tcPr>
            <w:tcW w:w="817" w:type="dxa"/>
            <w:vAlign w:val="center"/>
          </w:tcPr>
          <w:p w:rsidR="00DB655D" w:rsidRPr="00154BAA" w:rsidRDefault="00DB655D" w:rsidP="005910DE">
            <w:pPr>
              <w:autoSpaceDE w:val="0"/>
              <w:autoSpaceDN w:val="0"/>
              <w:jc w:val="center"/>
              <w:rPr>
                <w:rFonts w:ascii="楷体_GB2312" w:eastAsia="楷体_GB2312" w:hAnsiTheme="minorEastAsia"/>
                <w:b/>
                <w:bCs/>
                <w:sz w:val="22"/>
                <w:szCs w:val="24"/>
              </w:rPr>
            </w:pPr>
            <w:r w:rsidRPr="00154BAA">
              <w:rPr>
                <w:rFonts w:ascii="楷体_GB2312" w:eastAsia="楷体_GB2312" w:hAnsiTheme="minorEastAsia" w:hint="eastAsia"/>
                <w:b/>
                <w:bCs/>
                <w:sz w:val="22"/>
                <w:szCs w:val="24"/>
              </w:rPr>
              <w:t>合计</w:t>
            </w:r>
          </w:p>
        </w:tc>
        <w:tc>
          <w:tcPr>
            <w:tcW w:w="7938" w:type="dxa"/>
            <w:gridSpan w:val="4"/>
            <w:vAlign w:val="center"/>
          </w:tcPr>
          <w:p w:rsidR="00DB655D" w:rsidRPr="005321E3" w:rsidRDefault="00DB655D" w:rsidP="005910DE">
            <w:pPr>
              <w:autoSpaceDE w:val="0"/>
              <w:autoSpaceDN w:val="0"/>
              <w:jc w:val="center"/>
              <w:rPr>
                <w:rFonts w:ascii="楷体_GB2312" w:eastAsia="楷体_GB2312" w:hAnsiTheme="minorEastAsia"/>
                <w:b/>
                <w:bCs/>
                <w:sz w:val="22"/>
                <w:szCs w:val="24"/>
              </w:rPr>
            </w:pPr>
            <w:r w:rsidRPr="005321E3">
              <w:rPr>
                <w:rFonts w:ascii="楷体_GB2312" w:eastAsia="楷体_GB2312" w:hAnsiTheme="minorEastAsia"/>
                <w:b/>
                <w:bCs/>
                <w:sz w:val="22"/>
                <w:szCs w:val="24"/>
              </w:rPr>
              <w:t>60</w:t>
            </w:r>
            <w:r w:rsidRPr="005321E3">
              <w:rPr>
                <w:rFonts w:ascii="楷体_GB2312" w:eastAsia="楷体_GB2312" w:hAnsiTheme="minorEastAsia" w:hint="eastAsia"/>
                <w:b/>
                <w:bCs/>
                <w:sz w:val="22"/>
                <w:szCs w:val="24"/>
              </w:rPr>
              <w:t>00元整（大写金额：陆仟元整）</w:t>
            </w:r>
          </w:p>
        </w:tc>
      </w:tr>
      <w:tr w:rsidR="00DB655D" w:rsidRPr="003D0729" w:rsidTr="005910DE">
        <w:trPr>
          <w:trHeight w:val="557"/>
        </w:trPr>
        <w:tc>
          <w:tcPr>
            <w:tcW w:w="817" w:type="dxa"/>
            <w:vAlign w:val="center"/>
          </w:tcPr>
          <w:p w:rsidR="00DB655D" w:rsidRPr="00154BAA" w:rsidRDefault="00DB655D" w:rsidP="005910DE">
            <w:pPr>
              <w:autoSpaceDE w:val="0"/>
              <w:autoSpaceDN w:val="0"/>
              <w:jc w:val="center"/>
              <w:rPr>
                <w:rFonts w:ascii="楷体_GB2312" w:eastAsia="楷体_GB2312" w:hAnsiTheme="minorEastAsia"/>
                <w:b/>
                <w:bCs/>
                <w:sz w:val="22"/>
                <w:szCs w:val="24"/>
              </w:rPr>
            </w:pPr>
            <w:r w:rsidRPr="00154BAA">
              <w:rPr>
                <w:rFonts w:ascii="楷体_GB2312" w:eastAsia="楷体_GB2312" w:hAnsiTheme="minorEastAsia" w:hint="eastAsia"/>
                <w:b/>
                <w:bCs/>
                <w:sz w:val="22"/>
                <w:szCs w:val="24"/>
              </w:rPr>
              <w:t xml:space="preserve">特殊 说明 </w:t>
            </w:r>
          </w:p>
        </w:tc>
        <w:tc>
          <w:tcPr>
            <w:tcW w:w="7938" w:type="dxa"/>
            <w:gridSpan w:val="4"/>
            <w:vAlign w:val="center"/>
          </w:tcPr>
          <w:p w:rsidR="00DB655D" w:rsidRPr="00023178" w:rsidRDefault="00DB655D" w:rsidP="005910DE">
            <w:pPr>
              <w:autoSpaceDE w:val="0"/>
              <w:autoSpaceDN w:val="0"/>
              <w:jc w:val="center"/>
              <w:rPr>
                <w:rFonts w:ascii="楷体_GB2312" w:eastAsia="楷体_GB2312" w:hAnsiTheme="minorEastAsia"/>
                <w:bCs/>
                <w:sz w:val="22"/>
                <w:szCs w:val="24"/>
              </w:rPr>
            </w:pPr>
            <w:r w:rsidRPr="00023178">
              <w:rPr>
                <w:rFonts w:ascii="楷体_GB2312" w:eastAsia="楷体_GB2312" w:hAnsiTheme="minorEastAsia" w:hint="eastAsia"/>
                <w:bCs/>
                <w:sz w:val="22"/>
                <w:szCs w:val="24"/>
              </w:rPr>
              <w:t>含差旅费、税费</w:t>
            </w:r>
          </w:p>
        </w:tc>
      </w:tr>
    </w:tbl>
    <w:p w:rsidR="007208C5" w:rsidRPr="00B70EE2" w:rsidRDefault="00FF4136" w:rsidP="004E5E54">
      <w:pPr>
        <w:pStyle w:val="1"/>
        <w:rPr>
          <w:rFonts w:ascii="楷体_GB2312" w:eastAsia="楷体_GB2312"/>
          <w:sz w:val="32"/>
          <w:szCs w:val="32"/>
        </w:rPr>
      </w:pPr>
      <w:bookmarkStart w:id="16" w:name="_Toc524694633"/>
      <w:r w:rsidRPr="00B70EE2">
        <w:rPr>
          <w:rFonts w:ascii="楷体_GB2312" w:eastAsia="楷体_GB2312" w:hint="eastAsia"/>
          <w:sz w:val="32"/>
          <w:szCs w:val="32"/>
        </w:rPr>
        <w:lastRenderedPageBreak/>
        <w:t>六</w:t>
      </w:r>
      <w:r w:rsidR="00CE1C53" w:rsidRPr="00B70EE2">
        <w:rPr>
          <w:rFonts w:ascii="楷体_GB2312" w:eastAsia="楷体_GB2312" w:hint="eastAsia"/>
          <w:sz w:val="32"/>
          <w:szCs w:val="32"/>
        </w:rPr>
        <w:t>、结款方式</w:t>
      </w:r>
      <w:bookmarkEnd w:id="16"/>
    </w:p>
    <w:p w:rsidR="009A1CB7" w:rsidRPr="00B70EE2" w:rsidRDefault="00F163A8"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1</w:t>
      </w:r>
      <w:r w:rsidR="00510C22" w:rsidRPr="00B70EE2">
        <w:rPr>
          <w:rFonts w:ascii="楷体_GB2312" w:eastAsia="楷体_GB2312" w:hAnsi="Arial" w:cs="Arial" w:hint="eastAsia"/>
          <w:sz w:val="28"/>
          <w:szCs w:val="28"/>
        </w:rPr>
        <w:t>.</w:t>
      </w:r>
      <w:r w:rsidR="003A7022" w:rsidRPr="00B70EE2">
        <w:rPr>
          <w:rFonts w:ascii="楷体_GB2312" w:eastAsia="楷体_GB2312" w:hAnsi="Arial" w:cs="Arial" w:hint="eastAsia"/>
          <w:sz w:val="28"/>
          <w:szCs w:val="28"/>
        </w:rPr>
        <w:t>我公司可接受现金、转账、支票等</w:t>
      </w:r>
      <w:r w:rsidR="00510C22" w:rsidRPr="00B70EE2">
        <w:rPr>
          <w:rFonts w:ascii="楷体_GB2312" w:eastAsia="楷体_GB2312" w:hAnsi="Arial" w:cs="Arial" w:hint="eastAsia"/>
          <w:sz w:val="28"/>
          <w:szCs w:val="28"/>
        </w:rPr>
        <w:t>支付方式</w:t>
      </w:r>
      <w:r w:rsidR="003A7022" w:rsidRPr="00B70EE2">
        <w:rPr>
          <w:rFonts w:ascii="楷体_GB2312" w:eastAsia="楷体_GB2312" w:hAnsi="Arial" w:cs="Arial" w:hint="eastAsia"/>
          <w:sz w:val="28"/>
          <w:szCs w:val="28"/>
        </w:rPr>
        <w:t>，并可开具等额发票。</w:t>
      </w:r>
    </w:p>
    <w:p w:rsidR="009A1CB7" w:rsidRPr="00B70EE2" w:rsidRDefault="00F163A8"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2</w:t>
      </w:r>
      <w:r w:rsidR="009A1CB7" w:rsidRPr="00B70EE2">
        <w:rPr>
          <w:rFonts w:ascii="楷体_GB2312" w:eastAsia="楷体_GB2312" w:hAnsi="Arial" w:cs="Arial" w:hint="eastAsia"/>
          <w:sz w:val="28"/>
          <w:szCs w:val="28"/>
        </w:rPr>
        <w:t>.</w:t>
      </w:r>
      <w:r w:rsidR="00510C22" w:rsidRPr="00B70EE2">
        <w:rPr>
          <w:rFonts w:ascii="楷体_GB2312" w:eastAsia="楷体_GB2312" w:hAnsi="Arial" w:cs="Arial" w:hint="eastAsia"/>
          <w:sz w:val="28"/>
          <w:szCs w:val="28"/>
        </w:rPr>
        <w:t>我公司</w:t>
      </w:r>
      <w:r w:rsidR="009A1CB7" w:rsidRPr="00B70EE2">
        <w:rPr>
          <w:rFonts w:ascii="楷体_GB2312" w:eastAsia="楷体_GB2312" w:hAnsi="Arial" w:cs="Arial" w:hint="eastAsia"/>
          <w:sz w:val="28"/>
          <w:szCs w:val="28"/>
        </w:rPr>
        <w:t>账号如下：</w:t>
      </w:r>
    </w:p>
    <w:p w:rsidR="009A1CB7" w:rsidRPr="00B70EE2" w:rsidRDefault="009A1CB7"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户    名：</w:t>
      </w:r>
      <w:proofErr w:type="gramStart"/>
      <w:r w:rsidRPr="00B70EE2">
        <w:rPr>
          <w:rFonts w:ascii="楷体_GB2312" w:eastAsia="楷体_GB2312" w:hAnsi="Arial" w:cs="Arial" w:hint="eastAsia"/>
          <w:sz w:val="28"/>
          <w:szCs w:val="28"/>
        </w:rPr>
        <w:t>北京康正宏</w:t>
      </w:r>
      <w:proofErr w:type="gramEnd"/>
      <w:r w:rsidRPr="00B70EE2">
        <w:rPr>
          <w:rFonts w:ascii="楷体_GB2312" w:eastAsia="楷体_GB2312" w:hAnsi="Arial" w:cs="Arial" w:hint="eastAsia"/>
          <w:sz w:val="28"/>
          <w:szCs w:val="28"/>
        </w:rPr>
        <w:t>基房地产评估有限公司</w:t>
      </w:r>
    </w:p>
    <w:p w:rsidR="009A1CB7" w:rsidRPr="00B70EE2" w:rsidRDefault="009A1CB7"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开户银行：交通银行北京中轴路支行</w:t>
      </w:r>
    </w:p>
    <w:p w:rsidR="009A1CB7" w:rsidRPr="00B70EE2" w:rsidRDefault="009A1CB7"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开户账号：110060739012015026873</w:t>
      </w:r>
    </w:p>
    <w:p w:rsidR="009A1CB7" w:rsidRPr="00B70EE2" w:rsidRDefault="009A1CB7" w:rsidP="00B22FEF">
      <w:pPr>
        <w:spacing w:line="360" w:lineRule="auto"/>
        <w:ind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行号：交739</w:t>
      </w:r>
    </w:p>
    <w:p w:rsidR="00553F4A" w:rsidRPr="00B70EE2" w:rsidRDefault="00553F4A" w:rsidP="00C70FB6">
      <w:pPr>
        <w:spacing w:line="360" w:lineRule="auto"/>
        <w:rPr>
          <w:rFonts w:ascii="楷体_GB2312" w:eastAsia="楷体_GB2312" w:hAnsi="Arial" w:cs="Arial"/>
          <w:sz w:val="28"/>
          <w:szCs w:val="28"/>
        </w:rPr>
      </w:pPr>
    </w:p>
    <w:p w:rsidR="00553F4A" w:rsidRPr="00B70EE2" w:rsidRDefault="00553F4A" w:rsidP="00B22FEF">
      <w:pPr>
        <w:spacing w:line="360" w:lineRule="auto"/>
        <w:ind w:firstLineChars="200" w:firstLine="560"/>
        <w:rPr>
          <w:rFonts w:ascii="楷体_GB2312" w:eastAsia="楷体_GB2312" w:hAnsi="Arial" w:cs="Arial"/>
          <w:sz w:val="28"/>
          <w:szCs w:val="28"/>
        </w:rPr>
      </w:pPr>
    </w:p>
    <w:p w:rsidR="00553F4A" w:rsidRPr="00B70EE2" w:rsidRDefault="00553F4A" w:rsidP="00B22FEF">
      <w:pPr>
        <w:spacing w:line="360" w:lineRule="auto"/>
        <w:ind w:firstLineChars="200" w:firstLine="560"/>
        <w:rPr>
          <w:rFonts w:ascii="楷体_GB2312" w:eastAsia="楷体_GB2312" w:hAnsi="Arial" w:cs="Arial"/>
          <w:sz w:val="28"/>
          <w:szCs w:val="28"/>
        </w:rPr>
      </w:pPr>
    </w:p>
    <w:p w:rsidR="00553F4A" w:rsidRPr="00B70EE2" w:rsidRDefault="00553F4A" w:rsidP="00B22FEF">
      <w:pPr>
        <w:spacing w:line="360" w:lineRule="auto"/>
        <w:ind w:firstLineChars="200" w:firstLine="560"/>
        <w:rPr>
          <w:rFonts w:ascii="楷体_GB2312" w:eastAsia="楷体_GB2312" w:hAnsi="Arial" w:cs="Arial"/>
          <w:sz w:val="28"/>
          <w:szCs w:val="28"/>
        </w:rPr>
      </w:pPr>
    </w:p>
    <w:p w:rsidR="00B22FEF" w:rsidRPr="00B70EE2" w:rsidRDefault="00B22FEF" w:rsidP="00B22FEF">
      <w:pPr>
        <w:spacing w:line="360" w:lineRule="auto"/>
        <w:ind w:firstLineChars="200" w:firstLine="560"/>
        <w:jc w:val="right"/>
        <w:rPr>
          <w:rFonts w:ascii="楷体_GB2312" w:eastAsia="楷体_GB2312" w:hAnsi="Arial" w:cs="Arial"/>
          <w:sz w:val="28"/>
          <w:szCs w:val="28"/>
        </w:rPr>
      </w:pPr>
      <w:proofErr w:type="gramStart"/>
      <w:r w:rsidRPr="00B70EE2">
        <w:rPr>
          <w:rFonts w:ascii="楷体_GB2312" w:eastAsia="楷体_GB2312" w:hAnsi="Arial" w:cs="Arial" w:hint="eastAsia"/>
          <w:sz w:val="28"/>
          <w:szCs w:val="28"/>
        </w:rPr>
        <w:t>北京康正宏</w:t>
      </w:r>
      <w:proofErr w:type="gramEnd"/>
      <w:r w:rsidRPr="00B70EE2">
        <w:rPr>
          <w:rFonts w:ascii="楷体_GB2312" w:eastAsia="楷体_GB2312" w:hAnsi="Arial" w:cs="Arial" w:hint="eastAsia"/>
          <w:sz w:val="28"/>
          <w:szCs w:val="28"/>
        </w:rPr>
        <w:t xml:space="preserve">基房地产评估有限公司   </w:t>
      </w:r>
    </w:p>
    <w:p w:rsidR="00B22FEF" w:rsidRPr="00B70EE2" w:rsidRDefault="00B22FEF" w:rsidP="00B22FEF">
      <w:pPr>
        <w:wordWrap w:val="0"/>
        <w:spacing w:line="360" w:lineRule="auto"/>
        <w:ind w:firstLineChars="200" w:firstLine="560"/>
        <w:jc w:val="right"/>
        <w:rPr>
          <w:rFonts w:ascii="楷体_GB2312" w:eastAsia="楷体_GB2312" w:hAnsi="Arial" w:cs="Arial"/>
          <w:sz w:val="28"/>
          <w:szCs w:val="28"/>
        </w:rPr>
      </w:pPr>
      <w:r w:rsidRPr="00B70EE2">
        <w:rPr>
          <w:rFonts w:ascii="楷体_GB2312" w:eastAsia="楷体_GB2312" w:hAnsi="Arial" w:cs="Arial" w:hint="eastAsia"/>
          <w:sz w:val="28"/>
          <w:szCs w:val="28"/>
        </w:rPr>
        <w:t>2018年</w:t>
      </w:r>
      <w:r w:rsidR="00720A08" w:rsidRPr="00B70EE2">
        <w:rPr>
          <w:rFonts w:ascii="楷体_GB2312" w:eastAsia="楷体_GB2312" w:hAnsi="Arial" w:cs="Arial" w:hint="eastAsia"/>
          <w:sz w:val="28"/>
          <w:szCs w:val="28"/>
        </w:rPr>
        <w:t>9</w:t>
      </w:r>
      <w:r w:rsidRPr="00B70EE2">
        <w:rPr>
          <w:rFonts w:ascii="楷体_GB2312" w:eastAsia="楷体_GB2312" w:hAnsi="Arial" w:cs="Arial" w:hint="eastAsia"/>
          <w:sz w:val="28"/>
          <w:szCs w:val="28"/>
        </w:rPr>
        <w:t>月</w:t>
      </w:r>
      <w:r w:rsidR="00720A08" w:rsidRPr="00B70EE2">
        <w:rPr>
          <w:rFonts w:ascii="楷体_GB2312" w:eastAsia="楷体_GB2312" w:hAnsi="Arial" w:cs="Arial" w:hint="eastAsia"/>
          <w:sz w:val="28"/>
          <w:szCs w:val="28"/>
        </w:rPr>
        <w:t>14</w:t>
      </w:r>
      <w:r w:rsidRPr="00B70EE2">
        <w:rPr>
          <w:rFonts w:ascii="楷体_GB2312" w:eastAsia="楷体_GB2312" w:hAnsi="Arial" w:cs="Arial" w:hint="eastAsia"/>
          <w:sz w:val="28"/>
          <w:szCs w:val="28"/>
        </w:rPr>
        <w:t xml:space="preserve">日      </w:t>
      </w:r>
    </w:p>
    <w:p w:rsidR="002676B9" w:rsidRPr="00B70EE2" w:rsidRDefault="002676B9" w:rsidP="004E5E54">
      <w:pPr>
        <w:spacing w:line="360" w:lineRule="auto"/>
        <w:ind w:firstLineChars="200" w:firstLine="480"/>
        <w:rPr>
          <w:rFonts w:ascii="楷体_GB2312" w:eastAsia="楷体_GB2312" w:hAnsi="宋体" w:cs="Arial"/>
          <w:sz w:val="24"/>
          <w:szCs w:val="24"/>
          <w:u w:val="single"/>
        </w:rPr>
      </w:pPr>
    </w:p>
    <w:sectPr w:rsidR="002676B9" w:rsidRPr="00B70EE2" w:rsidSect="00B973BB">
      <w:headerReference w:type="first" r:id="rId133"/>
      <w:footerReference w:type="first" r:id="rId134"/>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595" w:rsidRDefault="00F25595" w:rsidP="003B4FD3">
      <w:r>
        <w:separator/>
      </w:r>
    </w:p>
  </w:endnote>
  <w:endnote w:type="continuationSeparator" w:id="0">
    <w:p w:rsidR="00F25595" w:rsidRDefault="00F25595" w:rsidP="003B4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仿宋">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Calibri"/>
    <w:charset w:val="00"/>
    <w:family w:val="swiss"/>
    <w:pitch w:val="variable"/>
    <w:sig w:usb0="00000001"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altName w:val="等线"/>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Default="00B70EE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Pr="00A2068C" w:rsidRDefault="00B70EE2" w:rsidP="00A2068C">
    <w:pPr>
      <w:pStyle w:val="a5"/>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000F2F59" w:rsidRPr="004C1066">
      <w:rPr>
        <w:rFonts w:ascii="宋体" w:hAnsi="宋体"/>
      </w:rPr>
      <w:fldChar w:fldCharType="begin"/>
    </w:r>
    <w:r w:rsidRPr="004C1066">
      <w:rPr>
        <w:rFonts w:ascii="宋体" w:hAnsi="宋体"/>
      </w:rPr>
      <w:instrText xml:space="preserve"> PAGE   \* MERGEFORMAT </w:instrText>
    </w:r>
    <w:r w:rsidR="000F2F59" w:rsidRPr="004C1066">
      <w:rPr>
        <w:rFonts w:ascii="宋体" w:hAnsi="宋体"/>
      </w:rPr>
      <w:fldChar w:fldCharType="separate"/>
    </w:r>
    <w:r w:rsidR="005321E3" w:rsidRPr="005321E3">
      <w:rPr>
        <w:rFonts w:ascii="宋体" w:hAnsi="宋体"/>
        <w:noProof/>
        <w:lang w:val="zh-CN"/>
      </w:rPr>
      <w:t>25</w:t>
    </w:r>
    <w:r w:rsidR="000F2F59" w:rsidRPr="004C1066">
      <w:rPr>
        <w:rFonts w:ascii="宋体" w:hAnsi="宋体"/>
      </w:rPr>
      <w:fldChar w:fldCharType="end"/>
    </w:r>
    <w:r>
      <w:rPr>
        <w:rFonts w:ascii="宋体" w:hAnsi="宋体"/>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Default="00B70EE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Pr="005E52EE" w:rsidRDefault="00B70EE2" w:rsidP="005E52EE">
    <w:pPr>
      <w:pStyle w:val="a5"/>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000F2F59" w:rsidRPr="004C1066">
      <w:rPr>
        <w:rFonts w:ascii="宋体" w:hAnsi="宋体"/>
      </w:rPr>
      <w:fldChar w:fldCharType="begin"/>
    </w:r>
    <w:r w:rsidRPr="004C1066">
      <w:rPr>
        <w:rFonts w:ascii="宋体" w:hAnsi="宋体"/>
      </w:rPr>
      <w:instrText xml:space="preserve"> PAGE   \* MERGEFORMAT </w:instrText>
    </w:r>
    <w:r w:rsidR="000F2F59" w:rsidRPr="004C1066">
      <w:rPr>
        <w:rFonts w:ascii="宋体" w:hAnsi="宋体"/>
      </w:rPr>
      <w:fldChar w:fldCharType="separate"/>
    </w:r>
    <w:r w:rsidR="005321E3" w:rsidRPr="005321E3">
      <w:rPr>
        <w:rFonts w:ascii="宋体" w:hAnsi="宋体"/>
        <w:noProof/>
        <w:lang w:val="zh-CN"/>
      </w:rPr>
      <w:t>0</w:t>
    </w:r>
    <w:r w:rsidR="000F2F59" w:rsidRPr="004C1066">
      <w:rPr>
        <w:rFonts w:ascii="宋体" w:hAnsi="宋体"/>
      </w:rPr>
      <w:fldChar w:fldCharType="end"/>
    </w:r>
    <w:r>
      <w:rPr>
        <w:rFonts w:ascii="宋体" w:hAnsi="宋体"/>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595" w:rsidRDefault="00F25595" w:rsidP="003B4FD3">
      <w:r>
        <w:separator/>
      </w:r>
    </w:p>
  </w:footnote>
  <w:footnote w:type="continuationSeparator" w:id="0">
    <w:p w:rsidR="00F25595" w:rsidRDefault="00F25595" w:rsidP="003B4F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Default="00B70EE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Default="00B70EE2" w:rsidP="00A2068C">
    <w:pPr>
      <w:pStyle w:val="a4"/>
      <w:pBdr>
        <w:bottom w:val="none" w:sz="0" w:space="0" w:color="auto"/>
      </w:pBdr>
      <w:jc w:val="both"/>
    </w:pPr>
    <w:r>
      <w:rPr>
        <w:noProof/>
      </w:rPr>
      <w:drawing>
        <wp:inline distT="0" distB="0" distL="0" distR="0">
          <wp:extent cx="5274310" cy="283276"/>
          <wp:effectExtent l="0" t="0" r="0" b="0"/>
          <wp:docPr id="2" name="图片 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3276"/>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Default="00B70EE2">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E2" w:rsidRPr="005E52EE" w:rsidRDefault="00B70EE2" w:rsidP="001842A9">
    <w:pPr>
      <w:pStyle w:val="a4"/>
      <w:pBdr>
        <w:bottom w:val="none" w:sz="0" w:space="0" w:color="auto"/>
      </w:pBdr>
      <w:jc w:val="both"/>
    </w:pPr>
    <w:r>
      <w:rPr>
        <w:noProof/>
      </w:rPr>
      <w:drawing>
        <wp:inline distT="0" distB="0" distL="0" distR="0">
          <wp:extent cx="5274310" cy="283276"/>
          <wp:effectExtent l="0" t="0" r="0" b="0"/>
          <wp:docPr id="6" name="图片 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327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2A79"/>
    <w:multiLevelType w:val="hybridMultilevel"/>
    <w:tmpl w:val="45A67996"/>
    <w:lvl w:ilvl="0" w:tplc="45204BC6">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6395B5C"/>
    <w:multiLevelType w:val="hybridMultilevel"/>
    <w:tmpl w:val="A5B6C3DC"/>
    <w:lvl w:ilvl="0" w:tplc="8A3225E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nsid w:val="0BD94044"/>
    <w:multiLevelType w:val="hybridMultilevel"/>
    <w:tmpl w:val="B5BC78B8"/>
    <w:lvl w:ilvl="0" w:tplc="ECA4EA22">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18413678"/>
    <w:multiLevelType w:val="hybridMultilevel"/>
    <w:tmpl w:val="962A669E"/>
    <w:lvl w:ilvl="0" w:tplc="660A2A2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C6D3913"/>
    <w:multiLevelType w:val="multilevel"/>
    <w:tmpl w:val="1C6D3913"/>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0396246"/>
    <w:multiLevelType w:val="multilevel"/>
    <w:tmpl w:val="20396246"/>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07113B1"/>
    <w:multiLevelType w:val="hybridMultilevel"/>
    <w:tmpl w:val="4B649E2E"/>
    <w:lvl w:ilvl="0" w:tplc="ADA29FB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78A644D"/>
    <w:multiLevelType w:val="hybridMultilevel"/>
    <w:tmpl w:val="36BAD19C"/>
    <w:lvl w:ilvl="0" w:tplc="7A92BB48">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F31798C"/>
    <w:multiLevelType w:val="hybridMultilevel"/>
    <w:tmpl w:val="D67284B0"/>
    <w:lvl w:ilvl="0" w:tplc="70E2F552">
      <w:start w:val="5"/>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10B721C"/>
    <w:multiLevelType w:val="hybridMultilevel"/>
    <w:tmpl w:val="699C0136"/>
    <w:lvl w:ilvl="0" w:tplc="D5CA204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41A6459B"/>
    <w:multiLevelType w:val="hybridMultilevel"/>
    <w:tmpl w:val="A5B6C3DC"/>
    <w:lvl w:ilvl="0" w:tplc="8A3225E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nsid w:val="4329425F"/>
    <w:multiLevelType w:val="hybridMultilevel"/>
    <w:tmpl w:val="ABB4BB3C"/>
    <w:lvl w:ilvl="0" w:tplc="D48CAE20">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2C29F1"/>
    <w:multiLevelType w:val="hybridMultilevel"/>
    <w:tmpl w:val="582A97F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8F350A5"/>
    <w:multiLevelType w:val="hybridMultilevel"/>
    <w:tmpl w:val="C8E6A20E"/>
    <w:lvl w:ilvl="0" w:tplc="4286986A">
      <w:start w:val="1"/>
      <w:numFmt w:val="japaneseCounting"/>
      <w:lvlText w:val="%1、"/>
      <w:lvlJc w:val="left"/>
      <w:pPr>
        <w:ind w:left="1280" w:hanging="720"/>
      </w:pPr>
      <w:rPr>
        <w:rFonts w:hint="default"/>
      </w:rPr>
    </w:lvl>
    <w:lvl w:ilvl="1" w:tplc="6AE2FFD0">
      <w:start w:val="1"/>
      <w:numFmt w:val="decimal"/>
      <w:lvlText w:val="%2、"/>
      <w:lvlJc w:val="left"/>
      <w:pPr>
        <w:ind w:left="1700"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EB35E08"/>
    <w:multiLevelType w:val="hybridMultilevel"/>
    <w:tmpl w:val="D4625422"/>
    <w:lvl w:ilvl="0" w:tplc="CEF084BE">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5">
    <w:nsid w:val="4F7204C7"/>
    <w:multiLevelType w:val="hybridMultilevel"/>
    <w:tmpl w:val="04A45674"/>
    <w:lvl w:ilvl="0" w:tplc="30CA3E36">
      <w:start w:val="7"/>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607222E"/>
    <w:multiLevelType w:val="hybridMultilevel"/>
    <w:tmpl w:val="D4A65F56"/>
    <w:lvl w:ilvl="0" w:tplc="089CB31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A8861F9"/>
    <w:multiLevelType w:val="hybridMultilevel"/>
    <w:tmpl w:val="88A0E174"/>
    <w:lvl w:ilvl="0" w:tplc="B37ADADE">
      <w:start w:val="1"/>
      <w:numFmt w:val="decimal"/>
      <w:lvlText w:val="%1、"/>
      <w:lvlJc w:val="left"/>
      <w:pPr>
        <w:ind w:left="1280" w:hanging="720"/>
      </w:pPr>
      <w:rPr>
        <w:rFonts w:ascii="仿宋" w:eastAsia="仿宋" w:hAnsi="仿宋" w:cstheme="minorBid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5F2D7C01"/>
    <w:multiLevelType w:val="hybridMultilevel"/>
    <w:tmpl w:val="BF6C4B8A"/>
    <w:lvl w:ilvl="0" w:tplc="F5CAF79C">
      <w:start w:val="2"/>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60F867B6"/>
    <w:multiLevelType w:val="hybridMultilevel"/>
    <w:tmpl w:val="A5B6C3DC"/>
    <w:lvl w:ilvl="0" w:tplc="8A3225E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0">
    <w:nsid w:val="63797040"/>
    <w:multiLevelType w:val="hybridMultilevel"/>
    <w:tmpl w:val="722A1990"/>
    <w:lvl w:ilvl="0" w:tplc="8E6AE32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A3420E8"/>
    <w:multiLevelType w:val="hybridMultilevel"/>
    <w:tmpl w:val="18BAE566"/>
    <w:lvl w:ilvl="0" w:tplc="A37EA61C">
      <w:start w:val="3"/>
      <w:numFmt w:val="japaneseCounting"/>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92300D"/>
    <w:multiLevelType w:val="hybridMultilevel"/>
    <w:tmpl w:val="9C2E38F4"/>
    <w:lvl w:ilvl="0" w:tplc="611E1B9C">
      <w:start w:val="4"/>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72395013"/>
    <w:multiLevelType w:val="hybridMultilevel"/>
    <w:tmpl w:val="CFEAE2B2"/>
    <w:lvl w:ilvl="0" w:tplc="61E64AF4">
      <w:start w:val="1"/>
      <w:numFmt w:val="decimal"/>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D65CBA"/>
    <w:multiLevelType w:val="hybridMultilevel"/>
    <w:tmpl w:val="F6CC7BAA"/>
    <w:lvl w:ilvl="0" w:tplc="8BF82EB2">
      <w:start w:val="1"/>
      <w:numFmt w:val="decimal"/>
      <w:lvlText w:val="%1、"/>
      <w:lvlJc w:val="left"/>
      <w:pPr>
        <w:ind w:left="1710" w:hanging="1050"/>
      </w:pPr>
      <w:rPr>
        <w:rFonts w:ascii="仿宋" w:eastAsia="仿宋" w:hAnsi="仿宋" w:cstheme="minorBidi"/>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25">
    <w:nsid w:val="76D470F7"/>
    <w:multiLevelType w:val="multilevel"/>
    <w:tmpl w:val="76D470F7"/>
    <w:lvl w:ilvl="0">
      <w:start w:val="1"/>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9767501"/>
    <w:multiLevelType w:val="hybridMultilevel"/>
    <w:tmpl w:val="D8189B1A"/>
    <w:lvl w:ilvl="0" w:tplc="4AFAE4DE">
      <w:start w:val="3"/>
      <w:numFmt w:val="decimal"/>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A4C141A"/>
    <w:multiLevelType w:val="hybridMultilevel"/>
    <w:tmpl w:val="7DB2B1DC"/>
    <w:lvl w:ilvl="0" w:tplc="25849188">
      <w:start w:val="1"/>
      <w:numFmt w:val="japaneseCounting"/>
      <w:lvlText w:val="（%1）"/>
      <w:lvlJc w:val="left"/>
      <w:pPr>
        <w:ind w:left="1281" w:hanging="855"/>
      </w:pPr>
      <w:rPr>
        <w:rFonts w:hint="default"/>
      </w:rPr>
    </w:lvl>
    <w:lvl w:ilvl="1" w:tplc="C3562E0C">
      <w:start w:val="3"/>
      <w:numFmt w:val="decimal"/>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25"/>
  </w:num>
  <w:num w:numId="2">
    <w:abstractNumId w:val="4"/>
  </w:num>
  <w:num w:numId="3">
    <w:abstractNumId w:val="5"/>
  </w:num>
  <w:num w:numId="4">
    <w:abstractNumId w:val="2"/>
  </w:num>
  <w:num w:numId="5">
    <w:abstractNumId w:val="6"/>
  </w:num>
  <w:num w:numId="6">
    <w:abstractNumId w:val="20"/>
  </w:num>
  <w:num w:numId="7">
    <w:abstractNumId w:val="27"/>
  </w:num>
  <w:num w:numId="8">
    <w:abstractNumId w:val="14"/>
  </w:num>
  <w:num w:numId="9">
    <w:abstractNumId w:val="13"/>
  </w:num>
  <w:num w:numId="10">
    <w:abstractNumId w:val="10"/>
  </w:num>
  <w:num w:numId="11">
    <w:abstractNumId w:val="17"/>
  </w:num>
  <w:num w:numId="12">
    <w:abstractNumId w:val="19"/>
  </w:num>
  <w:num w:numId="13">
    <w:abstractNumId w:val="1"/>
  </w:num>
  <w:num w:numId="14">
    <w:abstractNumId w:val="3"/>
  </w:num>
  <w:num w:numId="15">
    <w:abstractNumId w:val="21"/>
  </w:num>
  <w:num w:numId="16">
    <w:abstractNumId w:val="24"/>
  </w:num>
  <w:num w:numId="17">
    <w:abstractNumId w:val="9"/>
  </w:num>
  <w:num w:numId="18">
    <w:abstractNumId w:val="22"/>
  </w:num>
  <w:num w:numId="19">
    <w:abstractNumId w:val="23"/>
  </w:num>
  <w:num w:numId="20">
    <w:abstractNumId w:val="16"/>
  </w:num>
  <w:num w:numId="21">
    <w:abstractNumId w:val="8"/>
  </w:num>
  <w:num w:numId="22">
    <w:abstractNumId w:val="26"/>
  </w:num>
  <w:num w:numId="23">
    <w:abstractNumId w:val="15"/>
  </w:num>
  <w:num w:numId="24">
    <w:abstractNumId w:val="11"/>
  </w:num>
  <w:num w:numId="25">
    <w:abstractNumId w:val="7"/>
  </w:num>
  <w:num w:numId="26">
    <w:abstractNumId w:val="0"/>
  </w:num>
  <w:num w:numId="27">
    <w:abstractNumId w:val="18"/>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22D6"/>
    <w:rsid w:val="00001898"/>
    <w:rsid w:val="00001B33"/>
    <w:rsid w:val="00002D62"/>
    <w:rsid w:val="00007C43"/>
    <w:rsid w:val="00027F2E"/>
    <w:rsid w:val="00032672"/>
    <w:rsid w:val="00043D92"/>
    <w:rsid w:val="00051704"/>
    <w:rsid w:val="00054065"/>
    <w:rsid w:val="0005439A"/>
    <w:rsid w:val="000579AA"/>
    <w:rsid w:val="000737E6"/>
    <w:rsid w:val="000838AF"/>
    <w:rsid w:val="00096A76"/>
    <w:rsid w:val="000B2962"/>
    <w:rsid w:val="000C3CCF"/>
    <w:rsid w:val="000C54D3"/>
    <w:rsid w:val="000D0939"/>
    <w:rsid w:val="000D580B"/>
    <w:rsid w:val="000E72E8"/>
    <w:rsid w:val="000E742A"/>
    <w:rsid w:val="000F2F59"/>
    <w:rsid w:val="000F66A0"/>
    <w:rsid w:val="000F6B97"/>
    <w:rsid w:val="00105599"/>
    <w:rsid w:val="00120CB0"/>
    <w:rsid w:val="00123627"/>
    <w:rsid w:val="00130A12"/>
    <w:rsid w:val="00131905"/>
    <w:rsid w:val="00132CBD"/>
    <w:rsid w:val="0013489C"/>
    <w:rsid w:val="00136548"/>
    <w:rsid w:val="00137F1D"/>
    <w:rsid w:val="00140B6A"/>
    <w:rsid w:val="00145697"/>
    <w:rsid w:val="00154BAA"/>
    <w:rsid w:val="00170DDB"/>
    <w:rsid w:val="00181944"/>
    <w:rsid w:val="00182451"/>
    <w:rsid w:val="001842A9"/>
    <w:rsid w:val="0018682A"/>
    <w:rsid w:val="00187AFC"/>
    <w:rsid w:val="001945A9"/>
    <w:rsid w:val="001A70DB"/>
    <w:rsid w:val="001B626C"/>
    <w:rsid w:val="001D0340"/>
    <w:rsid w:val="001D0870"/>
    <w:rsid w:val="001F1B27"/>
    <w:rsid w:val="001F5E8D"/>
    <w:rsid w:val="00203264"/>
    <w:rsid w:val="00206C1F"/>
    <w:rsid w:val="002110D2"/>
    <w:rsid w:val="00212E32"/>
    <w:rsid w:val="00235A95"/>
    <w:rsid w:val="00255239"/>
    <w:rsid w:val="002557B2"/>
    <w:rsid w:val="002676B9"/>
    <w:rsid w:val="00271366"/>
    <w:rsid w:val="00285C42"/>
    <w:rsid w:val="00290632"/>
    <w:rsid w:val="002A2E44"/>
    <w:rsid w:val="002A45C2"/>
    <w:rsid w:val="002B1959"/>
    <w:rsid w:val="002B3EFB"/>
    <w:rsid w:val="002B629C"/>
    <w:rsid w:val="002C29ED"/>
    <w:rsid w:val="002C64E2"/>
    <w:rsid w:val="002C739A"/>
    <w:rsid w:val="002C77C8"/>
    <w:rsid w:val="002C7AC9"/>
    <w:rsid w:val="002F249E"/>
    <w:rsid w:val="002F61F7"/>
    <w:rsid w:val="00312EBB"/>
    <w:rsid w:val="00316A89"/>
    <w:rsid w:val="00326A9E"/>
    <w:rsid w:val="00327AF3"/>
    <w:rsid w:val="00333F67"/>
    <w:rsid w:val="00336318"/>
    <w:rsid w:val="00336F17"/>
    <w:rsid w:val="00337B80"/>
    <w:rsid w:val="00351320"/>
    <w:rsid w:val="003638F2"/>
    <w:rsid w:val="0036436F"/>
    <w:rsid w:val="003721BC"/>
    <w:rsid w:val="003848DB"/>
    <w:rsid w:val="00385B58"/>
    <w:rsid w:val="00386F1B"/>
    <w:rsid w:val="00390692"/>
    <w:rsid w:val="003937FE"/>
    <w:rsid w:val="003A0B20"/>
    <w:rsid w:val="003A7022"/>
    <w:rsid w:val="003B1873"/>
    <w:rsid w:val="003B2A8B"/>
    <w:rsid w:val="003B4FD3"/>
    <w:rsid w:val="003B6161"/>
    <w:rsid w:val="003C06F3"/>
    <w:rsid w:val="003C71DF"/>
    <w:rsid w:val="003D0729"/>
    <w:rsid w:val="003E4162"/>
    <w:rsid w:val="003F5B23"/>
    <w:rsid w:val="004043F6"/>
    <w:rsid w:val="00404CD5"/>
    <w:rsid w:val="00420A7E"/>
    <w:rsid w:val="00436542"/>
    <w:rsid w:val="0044137E"/>
    <w:rsid w:val="00442B94"/>
    <w:rsid w:val="00445E0F"/>
    <w:rsid w:val="00457A15"/>
    <w:rsid w:val="00465FE6"/>
    <w:rsid w:val="0046706F"/>
    <w:rsid w:val="00494678"/>
    <w:rsid w:val="004A2CAB"/>
    <w:rsid w:val="004A3753"/>
    <w:rsid w:val="004B0CCA"/>
    <w:rsid w:val="004C34EB"/>
    <w:rsid w:val="004C5E6D"/>
    <w:rsid w:val="004E40E1"/>
    <w:rsid w:val="004E5E54"/>
    <w:rsid w:val="004F00FE"/>
    <w:rsid w:val="005008E9"/>
    <w:rsid w:val="00510C22"/>
    <w:rsid w:val="00516E96"/>
    <w:rsid w:val="00527623"/>
    <w:rsid w:val="005321E3"/>
    <w:rsid w:val="00552C63"/>
    <w:rsid w:val="00553F4A"/>
    <w:rsid w:val="00557B9E"/>
    <w:rsid w:val="00562982"/>
    <w:rsid w:val="00562FB9"/>
    <w:rsid w:val="00564240"/>
    <w:rsid w:val="00572BBC"/>
    <w:rsid w:val="005A0585"/>
    <w:rsid w:val="005B0BB5"/>
    <w:rsid w:val="005B0E38"/>
    <w:rsid w:val="005E52EE"/>
    <w:rsid w:val="00600748"/>
    <w:rsid w:val="00600DCF"/>
    <w:rsid w:val="00601324"/>
    <w:rsid w:val="00606501"/>
    <w:rsid w:val="00616626"/>
    <w:rsid w:val="00617A48"/>
    <w:rsid w:val="006322AA"/>
    <w:rsid w:val="00640381"/>
    <w:rsid w:val="0064695B"/>
    <w:rsid w:val="00660F92"/>
    <w:rsid w:val="0067024B"/>
    <w:rsid w:val="00675719"/>
    <w:rsid w:val="00683808"/>
    <w:rsid w:val="00690221"/>
    <w:rsid w:val="00691A37"/>
    <w:rsid w:val="006A4FE9"/>
    <w:rsid w:val="006C0A15"/>
    <w:rsid w:val="006D0D00"/>
    <w:rsid w:val="006D1344"/>
    <w:rsid w:val="006D2CA3"/>
    <w:rsid w:val="006D4EC9"/>
    <w:rsid w:val="006D599F"/>
    <w:rsid w:val="006E2131"/>
    <w:rsid w:val="006E4968"/>
    <w:rsid w:val="006E4D2C"/>
    <w:rsid w:val="006F0016"/>
    <w:rsid w:val="007208C5"/>
    <w:rsid w:val="00720A08"/>
    <w:rsid w:val="0072164C"/>
    <w:rsid w:val="007223D9"/>
    <w:rsid w:val="007266A6"/>
    <w:rsid w:val="007449E5"/>
    <w:rsid w:val="00751933"/>
    <w:rsid w:val="00752240"/>
    <w:rsid w:val="00757486"/>
    <w:rsid w:val="0078122A"/>
    <w:rsid w:val="00784B0F"/>
    <w:rsid w:val="00792E7C"/>
    <w:rsid w:val="007979C2"/>
    <w:rsid w:val="007B4216"/>
    <w:rsid w:val="007B43E6"/>
    <w:rsid w:val="007D4026"/>
    <w:rsid w:val="007E1BFC"/>
    <w:rsid w:val="008006A3"/>
    <w:rsid w:val="00814005"/>
    <w:rsid w:val="008211E8"/>
    <w:rsid w:val="00825613"/>
    <w:rsid w:val="0082628D"/>
    <w:rsid w:val="00836DE8"/>
    <w:rsid w:val="00843A81"/>
    <w:rsid w:val="008545C0"/>
    <w:rsid w:val="0086465A"/>
    <w:rsid w:val="008669F6"/>
    <w:rsid w:val="00870DB3"/>
    <w:rsid w:val="00871956"/>
    <w:rsid w:val="00886637"/>
    <w:rsid w:val="008A4A66"/>
    <w:rsid w:val="008A5B7A"/>
    <w:rsid w:val="008A62EF"/>
    <w:rsid w:val="008A7586"/>
    <w:rsid w:val="008B60AE"/>
    <w:rsid w:val="008C2997"/>
    <w:rsid w:val="008C31DD"/>
    <w:rsid w:val="008D0E5F"/>
    <w:rsid w:val="008D466A"/>
    <w:rsid w:val="008D5531"/>
    <w:rsid w:val="008E09FF"/>
    <w:rsid w:val="008E7B9F"/>
    <w:rsid w:val="008F0F22"/>
    <w:rsid w:val="008F2961"/>
    <w:rsid w:val="009048C8"/>
    <w:rsid w:val="00904F90"/>
    <w:rsid w:val="00915D8E"/>
    <w:rsid w:val="00922CA1"/>
    <w:rsid w:val="00931922"/>
    <w:rsid w:val="009431C8"/>
    <w:rsid w:val="0094564D"/>
    <w:rsid w:val="009468D5"/>
    <w:rsid w:val="009545F0"/>
    <w:rsid w:val="009622A6"/>
    <w:rsid w:val="00965C61"/>
    <w:rsid w:val="0097796B"/>
    <w:rsid w:val="00981F40"/>
    <w:rsid w:val="00990449"/>
    <w:rsid w:val="00992466"/>
    <w:rsid w:val="009925D4"/>
    <w:rsid w:val="0099542F"/>
    <w:rsid w:val="00996B21"/>
    <w:rsid w:val="009A0252"/>
    <w:rsid w:val="009A0CA7"/>
    <w:rsid w:val="009A1CB7"/>
    <w:rsid w:val="009A3873"/>
    <w:rsid w:val="009B6A44"/>
    <w:rsid w:val="009E22D6"/>
    <w:rsid w:val="009F4B62"/>
    <w:rsid w:val="00A16EA0"/>
    <w:rsid w:val="00A17771"/>
    <w:rsid w:val="00A2068C"/>
    <w:rsid w:val="00A25540"/>
    <w:rsid w:val="00A40619"/>
    <w:rsid w:val="00A74931"/>
    <w:rsid w:val="00A8362B"/>
    <w:rsid w:val="00A90556"/>
    <w:rsid w:val="00A90597"/>
    <w:rsid w:val="00AA0163"/>
    <w:rsid w:val="00AA1EA7"/>
    <w:rsid w:val="00AB3EF2"/>
    <w:rsid w:val="00AC0F70"/>
    <w:rsid w:val="00AC1F82"/>
    <w:rsid w:val="00AC42F3"/>
    <w:rsid w:val="00AC5D65"/>
    <w:rsid w:val="00AC5EA0"/>
    <w:rsid w:val="00AD04EF"/>
    <w:rsid w:val="00AD2867"/>
    <w:rsid w:val="00AE12BD"/>
    <w:rsid w:val="00B04398"/>
    <w:rsid w:val="00B13CF5"/>
    <w:rsid w:val="00B15FAB"/>
    <w:rsid w:val="00B16309"/>
    <w:rsid w:val="00B22077"/>
    <w:rsid w:val="00B22FEF"/>
    <w:rsid w:val="00B239F3"/>
    <w:rsid w:val="00B351F6"/>
    <w:rsid w:val="00B41FE3"/>
    <w:rsid w:val="00B47799"/>
    <w:rsid w:val="00B50CB7"/>
    <w:rsid w:val="00B70EE2"/>
    <w:rsid w:val="00B76DBD"/>
    <w:rsid w:val="00B973BB"/>
    <w:rsid w:val="00B978C4"/>
    <w:rsid w:val="00BA0778"/>
    <w:rsid w:val="00BB013F"/>
    <w:rsid w:val="00BB3EA7"/>
    <w:rsid w:val="00BB5762"/>
    <w:rsid w:val="00BB6241"/>
    <w:rsid w:val="00BB6D95"/>
    <w:rsid w:val="00BC62C7"/>
    <w:rsid w:val="00BD0663"/>
    <w:rsid w:val="00BD6563"/>
    <w:rsid w:val="00BE1EEC"/>
    <w:rsid w:val="00BF6ACC"/>
    <w:rsid w:val="00C070B2"/>
    <w:rsid w:val="00C25B40"/>
    <w:rsid w:val="00C27E12"/>
    <w:rsid w:val="00C34EF1"/>
    <w:rsid w:val="00C50E51"/>
    <w:rsid w:val="00C53487"/>
    <w:rsid w:val="00C54756"/>
    <w:rsid w:val="00C611FF"/>
    <w:rsid w:val="00C67F1C"/>
    <w:rsid w:val="00C70FB6"/>
    <w:rsid w:val="00C71564"/>
    <w:rsid w:val="00C75EF0"/>
    <w:rsid w:val="00C81C5F"/>
    <w:rsid w:val="00C836C9"/>
    <w:rsid w:val="00C94419"/>
    <w:rsid w:val="00C9555D"/>
    <w:rsid w:val="00C97178"/>
    <w:rsid w:val="00CA4913"/>
    <w:rsid w:val="00CB2F90"/>
    <w:rsid w:val="00CC4203"/>
    <w:rsid w:val="00CC7C8E"/>
    <w:rsid w:val="00CD0904"/>
    <w:rsid w:val="00CD0D7C"/>
    <w:rsid w:val="00CD4900"/>
    <w:rsid w:val="00CE1C53"/>
    <w:rsid w:val="00CF0094"/>
    <w:rsid w:val="00CF35FC"/>
    <w:rsid w:val="00CF4BE9"/>
    <w:rsid w:val="00D11C58"/>
    <w:rsid w:val="00D13292"/>
    <w:rsid w:val="00D16725"/>
    <w:rsid w:val="00D21EEC"/>
    <w:rsid w:val="00D25013"/>
    <w:rsid w:val="00D34A27"/>
    <w:rsid w:val="00D4214C"/>
    <w:rsid w:val="00D43F23"/>
    <w:rsid w:val="00D47831"/>
    <w:rsid w:val="00D6184C"/>
    <w:rsid w:val="00D71A9F"/>
    <w:rsid w:val="00D72D79"/>
    <w:rsid w:val="00D7308D"/>
    <w:rsid w:val="00D7339A"/>
    <w:rsid w:val="00D75553"/>
    <w:rsid w:val="00D86E03"/>
    <w:rsid w:val="00D9466E"/>
    <w:rsid w:val="00DA6181"/>
    <w:rsid w:val="00DB3018"/>
    <w:rsid w:val="00DB543A"/>
    <w:rsid w:val="00DB655D"/>
    <w:rsid w:val="00DD2168"/>
    <w:rsid w:val="00DD4583"/>
    <w:rsid w:val="00DD592C"/>
    <w:rsid w:val="00DE385D"/>
    <w:rsid w:val="00DE4AC8"/>
    <w:rsid w:val="00DE6D9B"/>
    <w:rsid w:val="00E00374"/>
    <w:rsid w:val="00E114BD"/>
    <w:rsid w:val="00E128D0"/>
    <w:rsid w:val="00E40D09"/>
    <w:rsid w:val="00E47981"/>
    <w:rsid w:val="00E52449"/>
    <w:rsid w:val="00E52D32"/>
    <w:rsid w:val="00E5353B"/>
    <w:rsid w:val="00E55F62"/>
    <w:rsid w:val="00E62E08"/>
    <w:rsid w:val="00E7305F"/>
    <w:rsid w:val="00E9180C"/>
    <w:rsid w:val="00EB5A6F"/>
    <w:rsid w:val="00EC6B80"/>
    <w:rsid w:val="00EC7371"/>
    <w:rsid w:val="00ED030D"/>
    <w:rsid w:val="00ED09A3"/>
    <w:rsid w:val="00ED67BD"/>
    <w:rsid w:val="00EE16AB"/>
    <w:rsid w:val="00EE1DA9"/>
    <w:rsid w:val="00EE698B"/>
    <w:rsid w:val="00EF0C51"/>
    <w:rsid w:val="00F012DC"/>
    <w:rsid w:val="00F06237"/>
    <w:rsid w:val="00F163A8"/>
    <w:rsid w:val="00F244B2"/>
    <w:rsid w:val="00F25595"/>
    <w:rsid w:val="00F32E16"/>
    <w:rsid w:val="00F57754"/>
    <w:rsid w:val="00F6032F"/>
    <w:rsid w:val="00F610F4"/>
    <w:rsid w:val="00F64F63"/>
    <w:rsid w:val="00F663F2"/>
    <w:rsid w:val="00F8538C"/>
    <w:rsid w:val="00F8556C"/>
    <w:rsid w:val="00F92369"/>
    <w:rsid w:val="00F96DEA"/>
    <w:rsid w:val="00FA7F4C"/>
    <w:rsid w:val="00FB3C40"/>
    <w:rsid w:val="00FB74B1"/>
    <w:rsid w:val="00FD790B"/>
    <w:rsid w:val="00FE155A"/>
    <w:rsid w:val="00FE1EA4"/>
    <w:rsid w:val="00FE30D7"/>
    <w:rsid w:val="00FE6D39"/>
    <w:rsid w:val="00FF4136"/>
    <w:rsid w:val="031127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Keyboard" w:uiPriority="0"/>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922"/>
    <w:pPr>
      <w:widowControl w:val="0"/>
      <w:jc w:val="both"/>
    </w:pPr>
    <w:rPr>
      <w:kern w:val="2"/>
      <w:sz w:val="21"/>
      <w:szCs w:val="22"/>
    </w:rPr>
  </w:style>
  <w:style w:type="paragraph" w:styleId="1">
    <w:name w:val="heading 1"/>
    <w:basedOn w:val="a"/>
    <w:next w:val="a"/>
    <w:link w:val="1Char"/>
    <w:uiPriority w:val="9"/>
    <w:qFormat/>
    <w:rsid w:val="003C06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571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751933"/>
    <w:rPr>
      <w:sz w:val="18"/>
      <w:szCs w:val="18"/>
    </w:rPr>
  </w:style>
  <w:style w:type="paragraph" w:customStyle="1" w:styleId="10">
    <w:name w:val="列出段落1"/>
    <w:basedOn w:val="a"/>
    <w:uiPriority w:val="34"/>
    <w:qFormat/>
    <w:rsid w:val="00751933"/>
    <w:pPr>
      <w:ind w:firstLineChars="200" w:firstLine="420"/>
    </w:pPr>
  </w:style>
  <w:style w:type="character" w:customStyle="1" w:styleId="Char">
    <w:name w:val="批注框文本 Char"/>
    <w:basedOn w:val="a0"/>
    <w:link w:val="a3"/>
    <w:uiPriority w:val="99"/>
    <w:semiHidden/>
    <w:rsid w:val="00751933"/>
    <w:rPr>
      <w:sz w:val="18"/>
      <w:szCs w:val="18"/>
    </w:rPr>
  </w:style>
  <w:style w:type="paragraph" w:styleId="a4">
    <w:name w:val="header"/>
    <w:basedOn w:val="a"/>
    <w:link w:val="Char0"/>
    <w:uiPriority w:val="99"/>
    <w:unhideWhenUsed/>
    <w:rsid w:val="003B4F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B4FD3"/>
    <w:rPr>
      <w:kern w:val="2"/>
      <w:sz w:val="18"/>
      <w:szCs w:val="18"/>
    </w:rPr>
  </w:style>
  <w:style w:type="paragraph" w:styleId="a5">
    <w:name w:val="footer"/>
    <w:basedOn w:val="a"/>
    <w:link w:val="Char1"/>
    <w:uiPriority w:val="99"/>
    <w:unhideWhenUsed/>
    <w:rsid w:val="003B4FD3"/>
    <w:pPr>
      <w:tabs>
        <w:tab w:val="center" w:pos="4153"/>
        <w:tab w:val="right" w:pos="8306"/>
      </w:tabs>
      <w:snapToGrid w:val="0"/>
      <w:jc w:val="left"/>
    </w:pPr>
    <w:rPr>
      <w:sz w:val="18"/>
      <w:szCs w:val="18"/>
    </w:rPr>
  </w:style>
  <w:style w:type="character" w:customStyle="1" w:styleId="Char1">
    <w:name w:val="页脚 Char"/>
    <w:basedOn w:val="a0"/>
    <w:link w:val="a5"/>
    <w:uiPriority w:val="99"/>
    <w:rsid w:val="003B4FD3"/>
    <w:rPr>
      <w:kern w:val="2"/>
      <w:sz w:val="18"/>
      <w:szCs w:val="18"/>
    </w:rPr>
  </w:style>
  <w:style w:type="paragraph" w:styleId="a6">
    <w:name w:val="List Paragraph"/>
    <w:basedOn w:val="a"/>
    <w:uiPriority w:val="34"/>
    <w:qFormat/>
    <w:rsid w:val="008D466A"/>
    <w:pPr>
      <w:widowControl/>
      <w:ind w:firstLine="420"/>
    </w:pPr>
    <w:rPr>
      <w:rFonts w:ascii="Calibri" w:eastAsia="宋体" w:hAnsi="Calibri" w:cs="宋体"/>
      <w:kern w:val="0"/>
      <w:szCs w:val="21"/>
    </w:rPr>
  </w:style>
  <w:style w:type="paragraph" w:styleId="a7">
    <w:name w:val="Date"/>
    <w:basedOn w:val="a"/>
    <w:next w:val="a"/>
    <w:link w:val="Char2"/>
    <w:uiPriority w:val="99"/>
    <w:semiHidden/>
    <w:unhideWhenUsed/>
    <w:rsid w:val="002A2E44"/>
    <w:pPr>
      <w:ind w:leftChars="2500" w:left="100"/>
    </w:pPr>
  </w:style>
  <w:style w:type="character" w:customStyle="1" w:styleId="Char2">
    <w:name w:val="日期 Char"/>
    <w:basedOn w:val="a0"/>
    <w:link w:val="a7"/>
    <w:uiPriority w:val="99"/>
    <w:semiHidden/>
    <w:rsid w:val="002A2E44"/>
    <w:rPr>
      <w:kern w:val="2"/>
      <w:sz w:val="21"/>
      <w:szCs w:val="22"/>
    </w:rPr>
  </w:style>
  <w:style w:type="character" w:styleId="a8">
    <w:name w:val="Hyperlink"/>
    <w:basedOn w:val="a0"/>
    <w:uiPriority w:val="99"/>
    <w:unhideWhenUsed/>
    <w:rsid w:val="0064695B"/>
    <w:rPr>
      <w:color w:val="0563C1" w:themeColor="hyperlink"/>
      <w:u w:val="single"/>
    </w:rPr>
  </w:style>
  <w:style w:type="character" w:customStyle="1" w:styleId="1Char">
    <w:name w:val="标题 1 Char"/>
    <w:basedOn w:val="a0"/>
    <w:link w:val="1"/>
    <w:uiPriority w:val="9"/>
    <w:rsid w:val="003C06F3"/>
    <w:rPr>
      <w:b/>
      <w:bCs/>
      <w:kern w:val="44"/>
      <w:sz w:val="44"/>
      <w:szCs w:val="44"/>
    </w:rPr>
  </w:style>
  <w:style w:type="paragraph" w:styleId="TOC">
    <w:name w:val="TOC Heading"/>
    <w:basedOn w:val="1"/>
    <w:next w:val="a"/>
    <w:uiPriority w:val="39"/>
    <w:semiHidden/>
    <w:unhideWhenUsed/>
    <w:qFormat/>
    <w:rsid w:val="003C06F3"/>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
    <w:next w:val="a"/>
    <w:autoRedefine/>
    <w:uiPriority w:val="39"/>
    <w:unhideWhenUsed/>
    <w:rsid w:val="003C06F3"/>
  </w:style>
  <w:style w:type="character" w:customStyle="1" w:styleId="Char3">
    <w:name w:val="结束语 Char"/>
    <w:link w:val="a9"/>
    <w:rsid w:val="003C06F3"/>
    <w:rPr>
      <w:rFonts w:ascii="仿宋_GB2312" w:eastAsia="仿宋_GB2312"/>
      <w:sz w:val="30"/>
      <w:szCs w:val="24"/>
    </w:rPr>
  </w:style>
  <w:style w:type="paragraph" w:styleId="a9">
    <w:name w:val="Closing"/>
    <w:basedOn w:val="a"/>
    <w:link w:val="Char3"/>
    <w:rsid w:val="003C06F3"/>
    <w:pPr>
      <w:ind w:leftChars="2100" w:left="2100"/>
    </w:pPr>
    <w:rPr>
      <w:rFonts w:ascii="仿宋_GB2312" w:eastAsia="仿宋_GB2312"/>
      <w:kern w:val="0"/>
      <w:sz w:val="30"/>
      <w:szCs w:val="24"/>
    </w:rPr>
  </w:style>
  <w:style w:type="character" w:customStyle="1" w:styleId="Char10">
    <w:name w:val="结束语 Char1"/>
    <w:basedOn w:val="a0"/>
    <w:uiPriority w:val="99"/>
    <w:semiHidden/>
    <w:rsid w:val="003C06F3"/>
    <w:rPr>
      <w:kern w:val="2"/>
      <w:sz w:val="21"/>
      <w:szCs w:val="22"/>
    </w:rPr>
  </w:style>
  <w:style w:type="character" w:customStyle="1" w:styleId="2Char">
    <w:name w:val="标题 2 Char"/>
    <w:basedOn w:val="a0"/>
    <w:link w:val="2"/>
    <w:uiPriority w:val="9"/>
    <w:rsid w:val="00675719"/>
    <w:rPr>
      <w:rFonts w:asciiTheme="majorHAnsi" w:eastAsiaTheme="majorEastAsia" w:hAnsiTheme="majorHAnsi" w:cstheme="majorBidi"/>
      <w:b/>
      <w:bCs/>
      <w:kern w:val="2"/>
      <w:sz w:val="32"/>
      <w:szCs w:val="32"/>
    </w:rPr>
  </w:style>
  <w:style w:type="paragraph" w:styleId="20">
    <w:name w:val="toc 2"/>
    <w:basedOn w:val="a"/>
    <w:next w:val="a"/>
    <w:autoRedefine/>
    <w:uiPriority w:val="39"/>
    <w:unhideWhenUsed/>
    <w:rsid w:val="00EC7371"/>
    <w:pPr>
      <w:ind w:leftChars="200" w:left="420"/>
    </w:pPr>
  </w:style>
  <w:style w:type="paragraph" w:customStyle="1" w:styleId="Char4">
    <w:name w:val="Char"/>
    <w:basedOn w:val="a"/>
    <w:rsid w:val="00336F17"/>
    <w:rPr>
      <w:rFonts w:ascii="宋体" w:eastAsia="宋体" w:hAnsi="宋体" w:cs="Courier New"/>
      <w:sz w:val="32"/>
      <w:szCs w:val="32"/>
    </w:rPr>
  </w:style>
  <w:style w:type="character" w:styleId="HTML">
    <w:name w:val="HTML Keyboard"/>
    <w:basedOn w:val="a0"/>
    <w:rsid w:val="00336F17"/>
    <w:rPr>
      <w:rFonts w:ascii="Courier New" w:hAnsi="Courier New" w:cs="Courier New"/>
      <w:sz w:val="20"/>
      <w:szCs w:val="20"/>
    </w:rPr>
  </w:style>
  <w:style w:type="paragraph" w:customStyle="1" w:styleId="Default">
    <w:name w:val="Default"/>
    <w:qFormat/>
    <w:rsid w:val="00606501"/>
    <w:pPr>
      <w:widowControl w:val="0"/>
      <w:autoSpaceDE w:val="0"/>
      <w:autoSpaceDN w:val="0"/>
      <w:adjustRightInd w:val="0"/>
    </w:pPr>
    <w:rPr>
      <w:rFonts w:ascii="宋体" w:eastAsia="宋体" w:hAnsi="Times New Roman" w:cs="宋体"/>
      <w:color w:val="000000"/>
      <w:sz w:val="24"/>
      <w:szCs w:val="24"/>
    </w:rPr>
  </w:style>
  <w:style w:type="character" w:customStyle="1" w:styleId="21">
    <w:name w:val="页脚 字符2"/>
    <w:uiPriority w:val="99"/>
    <w:rsid w:val="00FF4136"/>
    <w:rPr>
      <w:b/>
      <w:bCs/>
      <w:sz w:val="18"/>
      <w:szCs w:val="18"/>
    </w:rPr>
  </w:style>
</w:styles>
</file>

<file path=word/webSettings.xml><?xml version="1.0" encoding="utf-8"?>
<w:webSettings xmlns:r="http://schemas.openxmlformats.org/officeDocument/2006/relationships" xmlns:w="http://schemas.openxmlformats.org/wordprocessingml/2006/main">
  <w:divs>
    <w:div w:id="1133868658">
      <w:bodyDiv w:val="1"/>
      <w:marLeft w:val="0"/>
      <w:marRight w:val="0"/>
      <w:marTop w:val="0"/>
      <w:marBottom w:val="0"/>
      <w:divBdr>
        <w:top w:val="none" w:sz="0" w:space="0" w:color="auto"/>
        <w:left w:val="none" w:sz="0" w:space="0" w:color="auto"/>
        <w:bottom w:val="none" w:sz="0" w:space="0" w:color="auto"/>
        <w:right w:val="none" w:sz="0" w:space="0" w:color="auto"/>
      </w:divBdr>
    </w:div>
    <w:div w:id="1735279172">
      <w:bodyDiv w:val="1"/>
      <w:marLeft w:val="0"/>
      <w:marRight w:val="0"/>
      <w:marTop w:val="0"/>
      <w:marBottom w:val="0"/>
      <w:divBdr>
        <w:top w:val="none" w:sz="0" w:space="0" w:color="auto"/>
        <w:left w:val="none" w:sz="0" w:space="0" w:color="auto"/>
        <w:bottom w:val="none" w:sz="0" w:space="0" w:color="auto"/>
        <w:right w:val="none" w:sz="0" w:space="0" w:color="auto"/>
      </w:divBdr>
    </w:div>
    <w:div w:id="1994947634">
      <w:bodyDiv w:val="1"/>
      <w:marLeft w:val="0"/>
      <w:marRight w:val="0"/>
      <w:marTop w:val="0"/>
      <w:marBottom w:val="0"/>
      <w:divBdr>
        <w:top w:val="none" w:sz="0" w:space="0" w:color="auto"/>
        <w:left w:val="none" w:sz="0" w:space="0" w:color="auto"/>
        <w:bottom w:val="none" w:sz="0" w:space="0" w:color="auto"/>
        <w:right w:val="none" w:sz="0" w:space="0" w:color="auto"/>
      </w:divBdr>
      <w:divsChild>
        <w:div w:id="1320573331">
          <w:marLeft w:val="720"/>
          <w:marRight w:val="0"/>
          <w:marTop w:val="0"/>
          <w:marBottom w:val="0"/>
          <w:divBdr>
            <w:top w:val="none" w:sz="0" w:space="0" w:color="auto"/>
            <w:left w:val="none" w:sz="0" w:space="0" w:color="auto"/>
            <w:bottom w:val="none" w:sz="0" w:space="0" w:color="auto"/>
            <w:right w:val="none" w:sz="0" w:space="0" w:color="auto"/>
          </w:divBdr>
        </w:div>
        <w:div w:id="177354856">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eader" Target="header4.xml"/><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3.png"/><Relationship Id="rId13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jpe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jpeg"/><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jpeg"/><Relationship Id="rId136"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020C65-7A1D-4B42-B64B-8347361CC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1337</Words>
  <Characters>7624</Characters>
  <Application>Microsoft Office Word</Application>
  <DocSecurity>0</DocSecurity>
  <Lines>63</Lines>
  <Paragraphs>17</Paragraphs>
  <ScaleCrop>false</ScaleCrop>
  <Company>Microsoft</Company>
  <LinksUpToDate>false</LinksUpToDate>
  <CharactersWithSpaces>8944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李健</dc:creator>
  <cp:lastModifiedBy>USER</cp:lastModifiedBy>
  <cp:revision>2</cp:revision>
  <cp:lastPrinted>2018-05-15T01:47:00Z</cp:lastPrinted>
  <dcterms:created xsi:type="dcterms:W3CDTF">2018-09-14T06:13:00Z</dcterms:created>
  <dcterms:modified xsi:type="dcterms:W3CDTF">2018-09-14T06:13:00Z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