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关于《北京市</w:t>
      </w:r>
      <w:r w:rsidR="00317892">
        <w:rPr>
          <w:rFonts w:asciiTheme="minorEastAsia" w:eastAsiaTheme="minorEastAsia" w:hAnsiTheme="minorEastAsia" w:hint="eastAsia"/>
          <w:b/>
          <w:color w:val="000000"/>
          <w:sz w:val="30"/>
          <w:szCs w:val="30"/>
        </w:rPr>
        <w:t>西城区</w:t>
      </w:r>
      <w:r>
        <w:rPr>
          <w:rFonts w:asciiTheme="minorEastAsia" w:eastAsiaTheme="minorEastAsia" w:hAnsiTheme="minorEastAsia" w:hint="eastAsia"/>
          <w:b/>
          <w:color w:val="000000"/>
          <w:sz w:val="30"/>
          <w:szCs w:val="30"/>
        </w:rPr>
        <w:t>人民法院案件【</w:t>
      </w:r>
      <w:r w:rsidR="00317892" w:rsidRPr="00317892">
        <w:rPr>
          <w:rFonts w:asciiTheme="minorEastAsia" w:eastAsiaTheme="minorEastAsia" w:hAnsiTheme="minorEastAsia" w:hint="eastAsia"/>
          <w:b/>
          <w:color w:val="000000"/>
          <w:sz w:val="30"/>
          <w:szCs w:val="30"/>
        </w:rPr>
        <w:t>（2022）京0102民初13478号</w:t>
      </w:r>
      <w:r>
        <w:rPr>
          <w:rFonts w:asciiTheme="minorEastAsia" w:eastAsiaTheme="minorEastAsia" w:hAnsiTheme="minorEastAsia" w:hint="eastAsia"/>
          <w:b/>
          <w:color w:val="000000"/>
          <w:sz w:val="30"/>
          <w:szCs w:val="30"/>
        </w:rPr>
        <w:t>】涉及的房产评估》收费说明</w:t>
      </w:r>
    </w:p>
    <w:p w:rsidR="002A7744" w:rsidRDefault="00F24E2E">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北京市</w:t>
      </w:r>
      <w:r w:rsidR="00317892">
        <w:rPr>
          <w:rFonts w:asciiTheme="minorEastAsia" w:eastAsiaTheme="minorEastAsia" w:hAnsiTheme="minorEastAsia" w:hint="eastAsia"/>
          <w:color w:val="000000"/>
          <w:sz w:val="28"/>
          <w:szCs w:val="28"/>
        </w:rPr>
        <w:t>西城区</w:t>
      </w:r>
      <w:r>
        <w:rPr>
          <w:rFonts w:asciiTheme="minorEastAsia" w:eastAsiaTheme="minorEastAsia" w:hAnsiTheme="minorEastAsia" w:hint="eastAsia"/>
          <w:color w:val="000000"/>
          <w:sz w:val="28"/>
          <w:szCs w:val="28"/>
        </w:rPr>
        <w:t>人民法院：</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根据贵院出具的《鉴定评估委托书》【</w:t>
      </w:r>
      <w:r w:rsidR="00317892" w:rsidRPr="00317892">
        <w:rPr>
          <w:rFonts w:ascii="Arial" w:eastAsiaTheme="minorEastAsia" w:hAnsi="Arial" w:cs="Arial" w:hint="eastAsia"/>
          <w:color w:val="000000"/>
          <w:sz w:val="28"/>
          <w:szCs w:val="28"/>
        </w:rPr>
        <w:t>（</w:t>
      </w:r>
      <w:r w:rsidR="00317892" w:rsidRPr="00317892">
        <w:rPr>
          <w:rFonts w:ascii="Arial" w:eastAsiaTheme="minorEastAsia" w:hAnsi="Arial" w:cs="Arial" w:hint="eastAsia"/>
          <w:color w:val="000000"/>
          <w:sz w:val="28"/>
          <w:szCs w:val="28"/>
        </w:rPr>
        <w:t>2022</w:t>
      </w:r>
      <w:r w:rsidR="00317892" w:rsidRPr="00317892">
        <w:rPr>
          <w:rFonts w:ascii="Arial" w:eastAsiaTheme="minorEastAsia" w:hAnsi="Arial" w:cs="Arial" w:hint="eastAsia"/>
          <w:color w:val="000000"/>
          <w:sz w:val="28"/>
          <w:szCs w:val="28"/>
        </w:rPr>
        <w:t>）京</w:t>
      </w:r>
      <w:r w:rsidR="00317892" w:rsidRPr="00317892">
        <w:rPr>
          <w:rFonts w:ascii="Arial" w:eastAsiaTheme="minorEastAsia" w:hAnsi="Arial" w:cs="Arial" w:hint="eastAsia"/>
          <w:color w:val="000000"/>
          <w:sz w:val="28"/>
          <w:szCs w:val="28"/>
        </w:rPr>
        <w:t>0102</w:t>
      </w:r>
      <w:r w:rsidR="00317892" w:rsidRPr="00317892">
        <w:rPr>
          <w:rFonts w:ascii="Arial" w:eastAsiaTheme="minorEastAsia" w:hAnsi="Arial" w:cs="Arial" w:hint="eastAsia"/>
          <w:color w:val="000000"/>
          <w:sz w:val="28"/>
          <w:szCs w:val="28"/>
        </w:rPr>
        <w:t>民初</w:t>
      </w:r>
      <w:r w:rsidR="00317892" w:rsidRPr="00317892">
        <w:rPr>
          <w:rFonts w:ascii="Arial" w:eastAsiaTheme="minorEastAsia" w:hAnsi="Arial" w:cs="Arial" w:hint="eastAsia"/>
          <w:color w:val="000000"/>
          <w:sz w:val="28"/>
          <w:szCs w:val="28"/>
        </w:rPr>
        <w:t>13478</w:t>
      </w:r>
      <w:r w:rsidR="00317892" w:rsidRPr="00317892">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317892" w:rsidRPr="00317892">
        <w:rPr>
          <w:rFonts w:ascii="Arial" w:eastAsiaTheme="minorEastAsia" w:hAnsi="Arial" w:cs="Arial" w:hint="eastAsia"/>
          <w:color w:val="000000"/>
          <w:sz w:val="28"/>
          <w:szCs w:val="28"/>
        </w:rPr>
        <w:t>北京市宣武区（现西城区）枣林前街</w:t>
      </w:r>
      <w:r w:rsidR="00317892" w:rsidRPr="00317892">
        <w:rPr>
          <w:rFonts w:ascii="Arial" w:eastAsiaTheme="minorEastAsia" w:hAnsi="Arial" w:cs="Arial"/>
          <w:color w:val="000000"/>
          <w:sz w:val="28"/>
          <w:szCs w:val="28"/>
        </w:rPr>
        <w:t>119</w:t>
      </w:r>
      <w:r w:rsidR="00317892" w:rsidRPr="00317892">
        <w:rPr>
          <w:rFonts w:ascii="Arial" w:eastAsiaTheme="minorEastAsia" w:hAnsi="Arial" w:cs="Arial" w:hint="eastAsia"/>
          <w:color w:val="000000"/>
          <w:sz w:val="28"/>
          <w:szCs w:val="28"/>
        </w:rPr>
        <w:t>号</w:t>
      </w:r>
      <w:r w:rsidR="00317892" w:rsidRPr="00317892">
        <w:rPr>
          <w:rFonts w:ascii="Arial" w:eastAsiaTheme="minorEastAsia" w:hAnsi="Arial" w:cs="Arial"/>
          <w:color w:val="000000"/>
          <w:sz w:val="28"/>
          <w:szCs w:val="28"/>
        </w:rPr>
        <w:t>11</w:t>
      </w:r>
      <w:r w:rsidR="00317892" w:rsidRPr="00317892">
        <w:rPr>
          <w:rFonts w:ascii="Arial" w:eastAsiaTheme="minorEastAsia" w:hAnsi="Arial" w:cs="Arial" w:hint="eastAsia"/>
          <w:color w:val="000000"/>
          <w:sz w:val="28"/>
          <w:szCs w:val="28"/>
        </w:rPr>
        <w:t>层</w:t>
      </w:r>
      <w:r w:rsidR="00317892" w:rsidRPr="00317892">
        <w:rPr>
          <w:rFonts w:ascii="Arial" w:eastAsiaTheme="minorEastAsia" w:hAnsi="Arial" w:cs="Arial"/>
          <w:color w:val="000000"/>
          <w:sz w:val="28"/>
          <w:szCs w:val="28"/>
        </w:rPr>
        <w:t>1109</w:t>
      </w:r>
      <w:r w:rsidR="00317892" w:rsidRPr="00317892">
        <w:rPr>
          <w:rFonts w:ascii="Arial" w:eastAsiaTheme="minorEastAsia" w:hAnsi="Arial" w:cs="Arial" w:hint="eastAsia"/>
          <w:color w:val="000000"/>
          <w:sz w:val="28"/>
          <w:szCs w:val="28"/>
        </w:rPr>
        <w:t>住宅用房</w:t>
      </w:r>
      <w:r w:rsidR="00DF5959" w:rsidRPr="00DF5959">
        <w:rPr>
          <w:rFonts w:ascii="Arial" w:eastAsiaTheme="minorEastAsia" w:hAnsi="Arial" w:cs="Arial"/>
          <w:color w:val="000000"/>
          <w:sz w:val="28"/>
          <w:szCs w:val="28"/>
        </w:rPr>
        <w:t>房屋</w:t>
      </w:r>
      <w:r w:rsidRPr="00DF5959">
        <w:rPr>
          <w:rFonts w:ascii="Arial" w:eastAsiaTheme="minorEastAsia" w:hAnsi="Arial" w:cs="Arial"/>
          <w:color w:val="000000"/>
          <w:sz w:val="28"/>
          <w:szCs w:val="28"/>
        </w:rPr>
        <w:t>的</w:t>
      </w:r>
      <w:r w:rsidR="00A63B2B">
        <w:rPr>
          <w:rFonts w:ascii="Arial" w:eastAsiaTheme="minorEastAsia" w:hAnsi="Arial" w:cs="Arial" w:hint="eastAsia"/>
          <w:color w:val="000000"/>
          <w:sz w:val="28"/>
          <w:szCs w:val="28"/>
        </w:rPr>
        <w:t>市场</w:t>
      </w:r>
      <w:r w:rsidRPr="00DF5959">
        <w:rPr>
          <w:rFonts w:ascii="Arial" w:eastAsiaTheme="minorEastAsia" w:hAnsi="Arial" w:cs="Arial"/>
          <w:color w:val="000000"/>
          <w:sz w:val="28"/>
          <w:szCs w:val="28"/>
        </w:rPr>
        <w:t>价值</w:t>
      </w:r>
      <w:r w:rsidR="00DF5959" w:rsidRPr="00DF5959">
        <w:rPr>
          <w:rFonts w:ascii="Arial" w:eastAsiaTheme="minorEastAsia" w:hAnsi="Arial" w:cs="Arial"/>
          <w:color w:val="000000"/>
          <w:sz w:val="28"/>
          <w:szCs w:val="28"/>
        </w:rPr>
        <w:t>、</w:t>
      </w:r>
      <w:r w:rsidR="00317892" w:rsidRPr="00317892">
        <w:rPr>
          <w:rFonts w:ascii="Arial" w:eastAsiaTheme="minorEastAsia" w:hAnsi="Arial" w:cs="Arial" w:hint="eastAsia"/>
          <w:color w:val="000000"/>
          <w:sz w:val="28"/>
          <w:szCs w:val="28"/>
        </w:rPr>
        <w:t>北京市丰台区翠林一里</w:t>
      </w:r>
      <w:r w:rsidR="00317892" w:rsidRPr="00317892">
        <w:rPr>
          <w:rFonts w:ascii="Arial" w:eastAsiaTheme="minorEastAsia" w:hAnsi="Arial" w:cs="Arial" w:hint="eastAsia"/>
          <w:color w:val="000000"/>
          <w:sz w:val="28"/>
          <w:szCs w:val="28"/>
        </w:rPr>
        <w:t>2</w:t>
      </w:r>
      <w:r w:rsidR="00317892" w:rsidRPr="00317892">
        <w:rPr>
          <w:rFonts w:ascii="Arial" w:eastAsiaTheme="minorEastAsia" w:hAnsi="Arial" w:cs="Arial" w:hint="eastAsia"/>
          <w:color w:val="000000"/>
          <w:sz w:val="28"/>
          <w:szCs w:val="28"/>
        </w:rPr>
        <w:t>号楼</w:t>
      </w:r>
      <w:r w:rsidR="00317892" w:rsidRPr="00317892">
        <w:rPr>
          <w:rFonts w:ascii="Arial" w:eastAsiaTheme="minorEastAsia" w:hAnsi="Arial" w:cs="Arial" w:hint="eastAsia"/>
          <w:color w:val="000000"/>
          <w:sz w:val="28"/>
          <w:szCs w:val="28"/>
        </w:rPr>
        <w:t>1705</w:t>
      </w:r>
      <w:r w:rsidR="00317892" w:rsidRPr="00317892">
        <w:rPr>
          <w:rFonts w:ascii="Arial" w:eastAsiaTheme="minorEastAsia" w:hAnsi="Arial" w:cs="Arial" w:hint="eastAsia"/>
          <w:color w:val="000000"/>
          <w:sz w:val="28"/>
          <w:szCs w:val="28"/>
        </w:rPr>
        <w:t>号</w:t>
      </w:r>
      <w:r w:rsidR="00DF5959" w:rsidRPr="00DF5959">
        <w:rPr>
          <w:rFonts w:ascii="Arial" w:eastAsiaTheme="minorEastAsia" w:hAnsi="Arial" w:cs="Arial"/>
          <w:color w:val="000000"/>
          <w:sz w:val="28"/>
          <w:szCs w:val="28"/>
        </w:rPr>
        <w:t>的房屋</w:t>
      </w:r>
      <w:r w:rsidR="00A63B2B">
        <w:rPr>
          <w:rFonts w:ascii="Arial" w:eastAsiaTheme="minorEastAsia" w:hAnsi="Arial" w:cs="Arial" w:hint="eastAsia"/>
          <w:color w:val="000000"/>
          <w:sz w:val="28"/>
          <w:szCs w:val="28"/>
        </w:rPr>
        <w:t>的市场价值</w:t>
      </w:r>
      <w:r w:rsidRPr="00DF5959">
        <w:rPr>
          <w:rFonts w:ascii="Arial" w:eastAsiaTheme="minorEastAsia" w:hAnsi="Arial" w:cs="Arial"/>
          <w:color w:val="000000"/>
          <w:sz w:val="28"/>
          <w:szCs w:val="28"/>
        </w:rPr>
        <w:t>进行鉴定。</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测算，</w:t>
      </w:r>
      <w:r w:rsidR="00A63B2B">
        <w:rPr>
          <w:rFonts w:asciiTheme="minorEastAsia" w:eastAsiaTheme="minorEastAsia" w:hAnsiTheme="minorEastAsia" w:hint="eastAsia"/>
          <w:color w:val="000000"/>
          <w:sz w:val="28"/>
          <w:szCs w:val="28"/>
        </w:rPr>
        <w:t>该项目</w:t>
      </w:r>
      <w:r w:rsidR="00317892">
        <w:rPr>
          <w:rFonts w:asciiTheme="minorEastAsia" w:eastAsiaTheme="minorEastAsia" w:hAnsiTheme="minorEastAsia" w:hint="eastAsia"/>
          <w:color w:val="000000"/>
          <w:sz w:val="28"/>
          <w:szCs w:val="28"/>
        </w:rPr>
        <w:t>合计</w:t>
      </w:r>
      <w:r w:rsidR="00A63B2B">
        <w:rPr>
          <w:rFonts w:asciiTheme="minorEastAsia" w:eastAsiaTheme="minorEastAsia" w:hAnsiTheme="minorEastAsia" w:hint="eastAsia"/>
          <w:color w:val="000000"/>
          <w:sz w:val="28"/>
          <w:szCs w:val="28"/>
        </w:rPr>
        <w:t>应收费</w:t>
      </w:r>
      <w:r w:rsidR="00317892">
        <w:rPr>
          <w:rFonts w:asciiTheme="minorEastAsia" w:eastAsiaTheme="minorEastAsia" w:hAnsiTheme="minorEastAsia"/>
          <w:color w:val="000000"/>
          <w:sz w:val="28"/>
          <w:szCs w:val="28"/>
        </w:rPr>
        <w:t>40284</w:t>
      </w:r>
      <w:r w:rsidR="00A63B2B">
        <w:rPr>
          <w:rFonts w:asciiTheme="minorEastAsia" w:eastAsiaTheme="minorEastAsia" w:hAnsiTheme="minorEastAsia" w:hint="eastAsia"/>
          <w:color w:val="000000"/>
          <w:sz w:val="28"/>
          <w:szCs w:val="28"/>
        </w:rPr>
        <w:t>元（大写：</w:t>
      </w:r>
      <w:proofErr w:type="gramStart"/>
      <w:r w:rsidR="00317892">
        <w:rPr>
          <w:rFonts w:asciiTheme="minorEastAsia" w:eastAsiaTheme="minorEastAsia" w:hAnsiTheme="minorEastAsia" w:hint="eastAsia"/>
          <w:color w:val="000000"/>
          <w:sz w:val="28"/>
          <w:szCs w:val="28"/>
        </w:rPr>
        <w:t>肆万零贰佰捌拾肆</w:t>
      </w:r>
      <w:proofErr w:type="gramEnd"/>
      <w:r w:rsidR="00A63B2B">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w:t>
      </w:r>
      <w:bookmarkStart w:id="1" w:name="_GoBack"/>
      <w:bookmarkEnd w:id="1"/>
      <w:r>
        <w:rPr>
          <w:rFonts w:asciiTheme="minorEastAsia" w:eastAsiaTheme="minorEastAsia" w:hAnsiTheme="minorEastAsia" w:hint="eastAsia"/>
          <w:color w:val="000000"/>
          <w:sz w:val="28"/>
          <w:szCs w:val="28"/>
        </w:rPr>
        <w:t>平按照</w:t>
      </w:r>
      <w:r>
        <w:rPr>
          <w:rFonts w:asciiTheme="minorEastAsia" w:eastAsiaTheme="minorEastAsia" w:hAnsiTheme="minorEastAsia" w:hint="eastAsia"/>
          <w:color w:val="000000"/>
          <w:sz w:val="28"/>
          <w:szCs w:val="28"/>
        </w:rPr>
        <w:lastRenderedPageBreak/>
        <w:t>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202</w:t>
      </w:r>
      <w:r w:rsidR="00A63B2B">
        <w:rPr>
          <w:rFonts w:asciiTheme="minorEastAsia" w:eastAsiaTheme="minorEastAsia" w:hAnsiTheme="minorEastAsia"/>
          <w:b/>
          <w:color w:val="000000"/>
          <w:sz w:val="30"/>
          <w:szCs w:val="30"/>
        </w:rPr>
        <w:t>3</w:t>
      </w:r>
      <w:r>
        <w:rPr>
          <w:rFonts w:asciiTheme="minorEastAsia" w:eastAsiaTheme="minorEastAsia" w:hAnsiTheme="minorEastAsia" w:hint="eastAsia"/>
          <w:b/>
          <w:color w:val="000000"/>
          <w:sz w:val="30"/>
          <w:szCs w:val="30"/>
        </w:rPr>
        <w:t>年</w:t>
      </w:r>
      <w:r w:rsidR="00317892">
        <w:rPr>
          <w:rFonts w:asciiTheme="minorEastAsia" w:eastAsiaTheme="minorEastAsia" w:hAnsiTheme="minorEastAsia"/>
          <w:b/>
          <w:color w:val="000000"/>
          <w:sz w:val="30"/>
          <w:szCs w:val="30"/>
        </w:rPr>
        <w:t>6</w:t>
      </w:r>
      <w:r>
        <w:rPr>
          <w:rFonts w:asciiTheme="minorEastAsia" w:eastAsiaTheme="minorEastAsia" w:hAnsiTheme="minorEastAsia" w:hint="eastAsia"/>
          <w:b/>
          <w:color w:val="000000"/>
          <w:sz w:val="30"/>
          <w:szCs w:val="30"/>
        </w:rPr>
        <w:t>月</w:t>
      </w:r>
      <w:r w:rsidR="00317892">
        <w:rPr>
          <w:rFonts w:asciiTheme="minorEastAsia" w:eastAsiaTheme="minorEastAsia" w:hAnsiTheme="minorEastAsia"/>
          <w:b/>
          <w:color w:val="000000"/>
          <w:sz w:val="30"/>
          <w:szCs w:val="30"/>
        </w:rPr>
        <w:t>8</w:t>
      </w:r>
      <w:r>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172" w:rsidRDefault="003F2172">
      <w:r>
        <w:separator/>
      </w:r>
    </w:p>
  </w:endnote>
  <w:endnote w:type="continuationSeparator" w:id="0">
    <w:p w:rsidR="003F2172" w:rsidRDefault="003F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172" w:rsidRDefault="003F2172">
      <w:r>
        <w:separator/>
      </w:r>
    </w:p>
  </w:footnote>
  <w:footnote w:type="continuationSeparator" w:id="0">
    <w:p w:rsidR="003F2172" w:rsidRDefault="003F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17892"/>
    <w:rsid w:val="003412D8"/>
    <w:rsid w:val="00342F34"/>
    <w:rsid w:val="003635C1"/>
    <w:rsid w:val="0036481A"/>
    <w:rsid w:val="003704B3"/>
    <w:rsid w:val="003B10B7"/>
    <w:rsid w:val="003C1559"/>
    <w:rsid w:val="003F0885"/>
    <w:rsid w:val="003F2172"/>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367FD"/>
    <w:rsid w:val="00A60257"/>
    <w:rsid w:val="00A6332A"/>
    <w:rsid w:val="00A63B2B"/>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74E37"/>
    <w:rsid w:val="00EA6622"/>
    <w:rsid w:val="00EB4B2E"/>
    <w:rsid w:val="00EB664A"/>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F3741"/>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3ECF-A538-4E6C-8F5E-1C5F3BB9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92</Words>
  <Characters>528</Characters>
  <Application>Microsoft Office Word</Application>
  <DocSecurity>0</DocSecurity>
  <Lines>4</Lines>
  <Paragraphs>1</Paragraphs>
  <ScaleCrop>false</ScaleCrop>
  <Company>jia</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17</cp:revision>
  <cp:lastPrinted>2022-01-12T01:29:00Z</cp:lastPrinted>
  <dcterms:created xsi:type="dcterms:W3CDTF">2020-12-11T02:04:00Z</dcterms:created>
  <dcterms:modified xsi:type="dcterms:W3CDTF">2023-06-08T13:12:00Z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