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00"/>
        </w:tabs>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26632"/>
      <w:bookmarkStart w:id="1" w:name="_Toc6414"/>
      <w:bookmarkStart w:id="2" w:name="_Toc12631"/>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2021年</w:t>
      </w:r>
      <w:r>
        <w:rPr>
          <w:rFonts w:hint="eastAsia" w:ascii="Arial" w:hAnsi="Arial" w:cs="Arial"/>
          <w:b/>
          <w:color w:val="000000"/>
          <w:spacing w:val="60"/>
          <w:kern w:val="10"/>
          <w:sz w:val="36"/>
          <w:szCs w:val="36"/>
        </w:rPr>
        <w:t>8</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hint="eastAsia" w:ascii="Arial" w:hAnsi="Arial" w:cs="Arial"/>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日期：二零二一年</w:t>
      </w:r>
      <w:r>
        <w:rPr>
          <w:rFonts w:hint="eastAsia" w:ascii="Arial" w:hAnsi="Arial" w:cs="Arial"/>
          <w:b/>
          <w:color w:val="000000"/>
          <w:szCs w:val="21"/>
        </w:rPr>
        <w:t>九</w:t>
      </w:r>
      <w:r>
        <w:rPr>
          <w:rFonts w:ascii="Arial" w:hAnsi="Arial" w:cs="Arial"/>
          <w:b/>
          <w:color w:val="000000"/>
          <w:szCs w:val="21"/>
        </w:rPr>
        <w:t>月</w:t>
      </w:r>
      <w:r>
        <w:rPr>
          <w:rFonts w:hint="eastAsia" w:ascii="Arial" w:hAnsi="Arial" w:cs="Arial"/>
          <w:b/>
          <w:color w:val="000000"/>
          <w:szCs w:val="21"/>
        </w:rPr>
        <w:t>六</w:t>
      </w:r>
      <w:r>
        <w:rPr>
          <w:rFonts w:ascii="Arial" w:hAnsi="Arial" w:cs="Arial"/>
          <w:b/>
          <w:color w:val="000000"/>
          <w:szCs w:val="21"/>
        </w:rPr>
        <w:t>日</w:t>
      </w:r>
      <w:bookmarkEnd w:id="8"/>
    </w:p>
    <w:p>
      <w:pPr>
        <w:pStyle w:val="10"/>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Arial" w:hAnsi="Arial" w:cs="Arial"/>
          <w:b/>
          <w:bCs/>
          <w:sz w:val="28"/>
          <w:szCs w:val="28"/>
        </w:rPr>
      </w:pPr>
      <w:r>
        <w:rPr>
          <w:rFonts w:hint="eastAsia" w:ascii="Arial" w:hAnsi="Arial" w:cs="Arial"/>
          <w:b/>
          <w:bCs/>
          <w:sz w:val="28"/>
          <w:szCs w:val="28"/>
        </w:rPr>
        <w:t>目录</w:t>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sz w:val="21"/>
          <w:szCs w:val="21"/>
        </w:rPr>
        <w:fldChar w:fldCharType="begin"/>
      </w:r>
      <w:r>
        <w:rPr>
          <w:rStyle w:val="17"/>
          <w:rFonts w:ascii="Arial" w:hAnsi="Arial" w:cs="Arial"/>
          <w:sz w:val="21"/>
          <w:szCs w:val="21"/>
        </w:rPr>
        <w:instrText xml:space="preserve"> TOC \o "1-3" \h \z \u </w:instrText>
      </w:r>
      <w:r>
        <w:rPr>
          <w:rFonts w:ascii="Arial" w:hAnsi="Arial" w:cs="Arial"/>
          <w:sz w:val="21"/>
          <w:szCs w:val="21"/>
        </w:rPr>
        <w:fldChar w:fldCharType="separate"/>
      </w:r>
      <w:r>
        <w:rPr>
          <w:rFonts w:hint="eastAsia" w:ascii="Arial" w:hAnsi="Arial" w:eastAsia="宋体" w:cs="Arial"/>
          <w:kern w:val="0"/>
          <w:sz w:val="22"/>
          <w:szCs w:val="22"/>
          <w:lang w:val="en-US" w:eastAsia="zh-CN" w:bidi="ar-SA"/>
        </w:rPr>
        <w:fldChar w:fldCharType="begin"/>
      </w:r>
      <w:r>
        <w:rPr>
          <w:rFonts w:hint="eastAsia" w:ascii="Arial" w:hAnsi="Arial" w:eastAsia="宋体" w:cs="Arial"/>
          <w:kern w:val="0"/>
          <w:sz w:val="22"/>
          <w:szCs w:val="22"/>
          <w:lang w:val="en-US" w:eastAsia="zh-CN" w:bidi="ar-SA"/>
        </w:rPr>
        <w:instrText xml:space="preserve"> HYPERLINK \l _Toc12926 </w:instrText>
      </w:r>
      <w:r>
        <w:rPr>
          <w:rFonts w:hint="eastAsia" w:ascii="Arial" w:hAnsi="Arial" w:eastAsia="宋体" w:cs="Arial"/>
          <w:kern w:val="0"/>
          <w:sz w:val="22"/>
          <w:szCs w:val="22"/>
          <w:lang w:val="en-US" w:eastAsia="zh-CN" w:bidi="ar-SA"/>
        </w:rPr>
        <w:fldChar w:fldCharType="separate"/>
      </w:r>
      <w:r>
        <w:rPr>
          <w:rFonts w:hint="eastAsia" w:ascii="Arial" w:hAnsi="Arial" w:eastAsia="宋体" w:cs="Arial"/>
          <w:kern w:val="0"/>
          <w:sz w:val="22"/>
          <w:szCs w:val="22"/>
          <w:lang w:val="en-US" w:eastAsia="zh-CN" w:bidi="ar-SA"/>
        </w:rPr>
        <w:t>1项目基本情况介绍</w:t>
      </w:r>
      <w:r>
        <w:rPr>
          <w:rFonts w:hint="eastAsia" w:ascii="Arial" w:hAnsi="Arial" w:eastAsia="宋体" w:cs="Arial"/>
          <w:kern w:val="0"/>
          <w:sz w:val="22"/>
          <w:szCs w:val="22"/>
          <w:lang w:val="en-US" w:eastAsia="zh-CN" w:bidi="ar-SA"/>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_Toc12926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w:t>
      </w:r>
      <w:r>
        <w:rPr>
          <w:rFonts w:hint="default" w:ascii="Arial" w:hAnsi="Arial" w:eastAsia="宋体" w:cs="Arial"/>
          <w:kern w:val="0"/>
          <w:sz w:val="22"/>
          <w:szCs w:val="22"/>
          <w:lang w:val="en-US" w:eastAsia="zh-CN" w:bidi="ar-SA"/>
        </w:rPr>
        <w:fldChar w:fldCharType="end"/>
      </w:r>
      <w:r>
        <w:rPr>
          <w:rFonts w:hint="eastAsia" w:ascii="Arial" w:hAnsi="Arial" w:eastAsia="宋体" w:cs="Arial"/>
          <w:kern w:val="0"/>
          <w:sz w:val="22"/>
          <w:szCs w:val="22"/>
          <w:lang w:val="en-US" w:eastAsia="zh-CN" w:bidi="ar-SA"/>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_Toc3095 </w:instrText>
      </w:r>
      <w:r>
        <w:rPr>
          <w:rFonts w:ascii="Arial" w:hAnsi="Arial" w:cs="Arial"/>
          <w:sz w:val="22"/>
          <w:szCs w:val="22"/>
        </w:rPr>
        <w:fldChar w:fldCharType="separate"/>
      </w:r>
      <w:r>
        <w:rPr>
          <w:rFonts w:hint="eastAsia" w:ascii="Arial" w:hAnsi="Arial" w:eastAsia="宋体" w:cs="Arial"/>
          <w:kern w:val="0"/>
          <w:sz w:val="22"/>
          <w:szCs w:val="22"/>
          <w:lang w:val="en-US" w:eastAsia="zh-CN" w:bidi="ar-SA"/>
        </w:rPr>
        <w:t>2</w:t>
      </w:r>
      <w:r>
        <w:rPr>
          <w:rFonts w:ascii="Arial" w:hAnsi="Arial" w:cs="Arial"/>
          <w:sz w:val="22"/>
          <w:szCs w:val="22"/>
        </w:rPr>
        <w:t>重大事件披露</w:t>
      </w:r>
      <w:r>
        <w:rPr>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_Toc3095 \h </w:instrText>
      </w:r>
      <w:r>
        <w:rPr>
          <w:rFonts w:hint="default" w:ascii="Arial" w:hAnsi="Arial" w:cs="Arial"/>
          <w:sz w:val="22"/>
          <w:szCs w:val="22"/>
        </w:rPr>
        <w:fldChar w:fldCharType="separate"/>
      </w:r>
      <w:r>
        <w:rPr>
          <w:rFonts w:hint="default" w:ascii="Arial" w:hAnsi="Arial" w:cs="Arial"/>
          <w:sz w:val="22"/>
          <w:szCs w:val="22"/>
        </w:rPr>
        <w:t>2</w:t>
      </w:r>
      <w:r>
        <w:rPr>
          <w:rFonts w:hint="default" w:ascii="Arial" w:hAnsi="Arial" w:cs="Arial"/>
          <w:sz w:val="22"/>
          <w:szCs w:val="22"/>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_Toc9056 </w:instrText>
      </w:r>
      <w:r>
        <w:rPr>
          <w:rFonts w:ascii="Arial" w:hAnsi="Arial" w:cs="Arial"/>
          <w:sz w:val="22"/>
          <w:szCs w:val="22"/>
        </w:rPr>
        <w:fldChar w:fldCharType="separate"/>
      </w:r>
      <w:r>
        <w:rPr>
          <w:rFonts w:hint="eastAsia" w:ascii="Arial" w:hAnsi="Arial" w:eastAsia="宋体" w:cs="Arial"/>
          <w:kern w:val="0"/>
          <w:sz w:val="22"/>
          <w:szCs w:val="22"/>
          <w:lang w:val="en-US" w:eastAsia="zh-CN" w:bidi="ar-SA"/>
        </w:rPr>
        <w:t>3</w:t>
      </w:r>
      <w:r>
        <w:rPr>
          <w:rFonts w:ascii="Arial" w:hAnsi="Arial" w:cs="Arial"/>
          <w:sz w:val="22"/>
          <w:szCs w:val="22"/>
        </w:rPr>
        <w:t>工程进度</w:t>
      </w:r>
      <w:r>
        <w:rPr>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_Toc9056 \h </w:instrText>
      </w:r>
      <w:r>
        <w:rPr>
          <w:rFonts w:hint="default" w:ascii="Arial" w:hAnsi="Arial" w:cs="Arial"/>
          <w:sz w:val="22"/>
          <w:szCs w:val="22"/>
        </w:rPr>
        <w:fldChar w:fldCharType="separate"/>
      </w:r>
      <w:r>
        <w:rPr>
          <w:rFonts w:hint="default" w:ascii="Arial" w:hAnsi="Arial" w:cs="Arial"/>
          <w:sz w:val="22"/>
          <w:szCs w:val="22"/>
        </w:rPr>
        <w:t>3</w:t>
      </w:r>
      <w:r>
        <w:rPr>
          <w:rFonts w:hint="default" w:ascii="Arial" w:hAnsi="Arial" w:cs="Arial"/>
          <w:sz w:val="22"/>
          <w:szCs w:val="22"/>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_Toc20030 </w:instrText>
      </w:r>
      <w:r>
        <w:rPr>
          <w:rFonts w:ascii="Arial" w:hAnsi="Arial" w:cs="Arial"/>
          <w:sz w:val="22"/>
          <w:szCs w:val="22"/>
        </w:rPr>
        <w:fldChar w:fldCharType="separate"/>
      </w:r>
      <w:r>
        <w:rPr>
          <w:rFonts w:hint="eastAsia" w:ascii="Arial" w:hAnsi="Arial" w:eastAsia="宋体" w:cs="Arial"/>
          <w:kern w:val="0"/>
          <w:sz w:val="22"/>
          <w:szCs w:val="22"/>
          <w:lang w:val="en-US" w:eastAsia="zh-CN" w:bidi="ar-SA"/>
        </w:rPr>
        <w:t xml:space="preserve">3.1 </w:t>
      </w:r>
      <w:r>
        <w:rPr>
          <w:rFonts w:eastAsia="宋体" w:cs="Arial"/>
          <w:sz w:val="22"/>
          <w:szCs w:val="22"/>
        </w:rPr>
        <w:t xml:space="preserve"> </w:t>
      </w:r>
      <w:r>
        <w:rPr>
          <w:rFonts w:hint="eastAsia" w:ascii="Arial" w:hAnsi="Arial" w:eastAsia="宋体" w:cs="Arial"/>
          <w:kern w:val="0"/>
          <w:sz w:val="22"/>
          <w:szCs w:val="22"/>
          <w:lang w:val="en-US" w:eastAsia="zh-CN" w:bidi="ar-SA"/>
        </w:rPr>
        <w:t>2021</w:t>
      </w:r>
      <w:bookmarkStart w:id="131" w:name="_GoBack"/>
      <w:bookmarkEnd w:id="131"/>
      <w:r>
        <w:rPr>
          <w:rFonts w:cs="Arial" w:eastAsiaTheme="minorEastAsia"/>
          <w:kern w:val="44"/>
          <w:sz w:val="22"/>
          <w:szCs w:val="22"/>
        </w:rPr>
        <w:t>年</w:t>
      </w:r>
      <w:r>
        <w:rPr>
          <w:rFonts w:hint="eastAsia" w:ascii="Arial" w:hAnsi="Arial" w:eastAsia="宋体" w:cs="Arial"/>
          <w:kern w:val="0"/>
          <w:sz w:val="22"/>
          <w:szCs w:val="22"/>
          <w:lang w:val="en-US" w:eastAsia="zh-CN" w:bidi="ar-SA"/>
        </w:rPr>
        <w:t>8</w:t>
      </w:r>
      <w:r>
        <w:rPr>
          <w:rFonts w:cs="Arial" w:eastAsiaTheme="minorEastAsia"/>
          <w:kern w:val="44"/>
          <w:sz w:val="22"/>
          <w:szCs w:val="22"/>
        </w:rPr>
        <w:t>月项目现场情况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_Toc20030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3</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_Toc9386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3.2</w:t>
      </w:r>
      <w:r>
        <w:rPr>
          <w:rFonts w:eastAsia="宋体" w:cs="Arial"/>
          <w:sz w:val="22"/>
          <w:szCs w:val="22"/>
        </w:rPr>
        <w:t>证照办理情况说明</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_Toc9386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6</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_Toc24769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4</w:t>
      </w:r>
      <w:r>
        <w:rPr>
          <w:rFonts w:ascii="Arial" w:hAnsi="Arial" w:cs="Arial"/>
          <w:sz w:val="22"/>
          <w:szCs w:val="22"/>
        </w:rPr>
        <w:t>资金情况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_Toc24769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7</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_Toc24852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4.1</w:t>
      </w:r>
      <w:r>
        <w:rPr>
          <w:rFonts w:eastAsia="宋体" w:cs="Arial"/>
          <w:sz w:val="22"/>
          <w:szCs w:val="22"/>
        </w:rPr>
        <w:t>资金流出情况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_Toc24852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7</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_Toc10816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4.2</w:t>
      </w:r>
      <w:r>
        <w:rPr>
          <w:rFonts w:eastAsia="宋体" w:cs="Arial"/>
          <w:sz w:val="22"/>
          <w:szCs w:val="22"/>
        </w:rPr>
        <w:t>资金流入情况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_Toc10816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13</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_Toc30847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5</w:t>
      </w:r>
      <w:r>
        <w:rPr>
          <w:rFonts w:ascii="Arial" w:hAnsi="Arial" w:cs="Arial"/>
          <w:sz w:val="22"/>
          <w:szCs w:val="22"/>
        </w:rPr>
        <w:t>项目销售情况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_Toc30847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14</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rFonts w:hint="default" w:ascii="Arial" w:hAnsi="Arial" w:eastAsia="宋体" w:cs="Arial"/>
          <w:kern w:val="0"/>
          <w:sz w:val="22"/>
          <w:szCs w:val="22"/>
          <w:lang w:val="en-US" w:eastAsia="zh-CN" w:bidi="ar-SA"/>
        </w:rPr>
      </w:pP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HYPERLINK \l _Toc14313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6印章、证照使用情况</w:t>
      </w:r>
      <w:r>
        <w:rPr>
          <w:rFonts w:hint="default" w:ascii="Arial" w:hAnsi="Arial" w:eastAsia="宋体" w:cs="Arial"/>
          <w:kern w:val="0"/>
          <w:sz w:val="22"/>
          <w:szCs w:val="22"/>
          <w:lang w:val="en-US" w:eastAsia="zh-CN" w:bidi="ar-SA"/>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_Toc14313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15</w:t>
      </w:r>
      <w:r>
        <w:rPr>
          <w:rFonts w:hint="default" w:ascii="Arial" w:hAnsi="Arial" w:eastAsia="宋体" w:cs="Arial"/>
          <w:kern w:val="0"/>
          <w:sz w:val="22"/>
          <w:szCs w:val="22"/>
          <w:lang w:val="en-US" w:eastAsia="zh-CN" w:bidi="ar-SA"/>
        </w:rPr>
        <w:fldChar w:fldCharType="end"/>
      </w:r>
      <w:r>
        <w:rPr>
          <w:rFonts w:hint="default" w:ascii="Arial" w:hAnsi="Arial" w:eastAsia="宋体" w:cs="Arial"/>
          <w:kern w:val="0"/>
          <w:sz w:val="22"/>
          <w:szCs w:val="22"/>
          <w:lang w:val="en-US" w:eastAsia="zh-CN" w:bidi="ar-SA"/>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_Toc17641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7</w:t>
      </w:r>
      <w:r>
        <w:rPr>
          <w:rFonts w:ascii="Arial" w:hAnsi="Arial" w:cs="Arial"/>
          <w:sz w:val="22"/>
          <w:szCs w:val="22"/>
        </w:rPr>
        <w:t>合同签订情况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_Toc17641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17</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_Toc7972 </w:instrText>
      </w:r>
      <w:r>
        <w:rPr>
          <w:rFonts w:ascii="Arial" w:hAnsi="Arial" w:cs="Arial"/>
          <w:sz w:val="22"/>
          <w:szCs w:val="22"/>
        </w:rPr>
        <w:fldChar w:fldCharType="separate"/>
      </w:r>
      <w:r>
        <w:rPr>
          <w:rFonts w:hint="default" w:ascii="Arial" w:hAnsi="Arial" w:eastAsia="宋体" w:cs="Arial"/>
          <w:kern w:val="0"/>
          <w:sz w:val="22"/>
          <w:szCs w:val="22"/>
          <w:lang w:val="en-US" w:eastAsia="zh-CN" w:bidi="ar-SA"/>
        </w:rPr>
        <w:t>8</w:t>
      </w:r>
      <w:r>
        <w:rPr>
          <w:rFonts w:ascii="Arial" w:hAnsi="Arial" w:cs="Arial"/>
          <w:sz w:val="22"/>
          <w:szCs w:val="22"/>
        </w:rPr>
        <w:t>资金结算</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_Toc7972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18</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_Toc9198 </w:instrText>
      </w:r>
      <w:r>
        <w:rPr>
          <w:rFonts w:ascii="Arial" w:hAnsi="Arial" w:cs="Arial"/>
          <w:sz w:val="22"/>
          <w:szCs w:val="22"/>
        </w:rPr>
        <w:fldChar w:fldCharType="separate"/>
      </w:r>
      <w:r>
        <w:rPr>
          <w:rFonts w:hint="default" w:ascii="Arial" w:hAnsi="Arial" w:eastAsia="宋体" w:cs="Arial"/>
          <w:sz w:val="22"/>
          <w:szCs w:val="22"/>
        </w:rPr>
        <w:t>8.1</w:t>
      </w:r>
      <w:r>
        <w:rPr>
          <w:rFonts w:cs="Arial" w:eastAsiaTheme="minorEastAsia"/>
          <w:kern w:val="44"/>
          <w:sz w:val="22"/>
          <w:szCs w:val="22"/>
        </w:rPr>
        <w:t>丹龙置业常州有限公司各资金账户流量情况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_Toc9198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18</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_Toc21903 </w:instrText>
      </w:r>
      <w:r>
        <w:rPr>
          <w:rFonts w:ascii="Arial" w:hAnsi="Arial" w:cs="Arial"/>
          <w:sz w:val="22"/>
          <w:szCs w:val="22"/>
        </w:rPr>
        <w:fldChar w:fldCharType="separate"/>
      </w:r>
      <w:r>
        <w:rPr>
          <w:rFonts w:hint="default" w:ascii="Arial" w:hAnsi="Arial" w:eastAsia="宋体" w:cs="Arial"/>
          <w:sz w:val="22"/>
          <w:szCs w:val="22"/>
        </w:rPr>
        <w:t>8.2</w:t>
      </w:r>
      <w:r>
        <w:rPr>
          <w:rFonts w:cs="Arial" w:eastAsiaTheme="minorEastAsia"/>
          <w:kern w:val="44"/>
          <w:sz w:val="22"/>
          <w:szCs w:val="22"/>
        </w:rPr>
        <w:t>预算使用情况说明</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_Toc21903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19</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_Toc20838 </w:instrText>
      </w:r>
      <w:r>
        <w:rPr>
          <w:rFonts w:ascii="Arial" w:hAnsi="Arial" w:cs="Arial"/>
          <w:sz w:val="22"/>
          <w:szCs w:val="22"/>
        </w:rPr>
        <w:fldChar w:fldCharType="separate"/>
      </w:r>
      <w:r>
        <w:rPr>
          <w:rFonts w:hint="default" w:ascii="Arial" w:hAnsi="Arial" w:eastAsia="宋体" w:cs="Arial"/>
          <w:sz w:val="22"/>
          <w:szCs w:val="22"/>
        </w:rPr>
        <w:t>8.3</w:t>
      </w:r>
      <w:r>
        <w:rPr>
          <w:rFonts w:cs="Arial" w:eastAsiaTheme="minorEastAsia"/>
          <w:kern w:val="44"/>
          <w:sz w:val="22"/>
          <w:szCs w:val="22"/>
        </w:rPr>
        <w:t>收取各类保证金余额</w:t>
      </w:r>
      <w:r>
        <w:rPr>
          <w:rFonts w:eastAsia="宋体" w:cs="Arial"/>
          <w:sz w:val="22"/>
          <w:szCs w:val="22"/>
        </w:rPr>
        <w:t>情况</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_Toc20838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20</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0"/>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_Toc31135 </w:instrText>
      </w:r>
      <w:r>
        <w:rPr>
          <w:rFonts w:ascii="Arial" w:hAnsi="Arial" w:cs="Arial"/>
          <w:sz w:val="22"/>
          <w:szCs w:val="22"/>
        </w:rPr>
        <w:fldChar w:fldCharType="separate"/>
      </w:r>
      <w:r>
        <w:rPr>
          <w:rFonts w:ascii="Arial" w:hAnsi="Arial" w:cs="Arial"/>
          <w:sz w:val="22"/>
          <w:szCs w:val="22"/>
        </w:rPr>
        <w:t>附件</w:t>
      </w:r>
      <w:r>
        <w:rPr>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_Toc31135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22</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rFonts w:ascii="Arial" w:hAnsi="Arial" w:cs="Arial"/>
          <w:color w:val="000000"/>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HYPERLINK \l _Toc996 </w:instrText>
      </w:r>
      <w:r>
        <w:rPr>
          <w:rFonts w:ascii="Arial" w:hAnsi="Arial" w:cs="Arial"/>
          <w:color w:val="000000"/>
          <w:sz w:val="22"/>
          <w:szCs w:val="22"/>
        </w:rPr>
        <w:fldChar w:fldCharType="separate"/>
      </w:r>
      <w:r>
        <w:rPr>
          <w:rFonts w:ascii="Arial" w:hAnsi="Arial" w:cs="Arial"/>
          <w:color w:val="000000"/>
          <w:sz w:val="22"/>
          <w:szCs w:val="22"/>
        </w:rPr>
        <w:t>附件一 销售明细表</w:t>
      </w:r>
      <w:r>
        <w:rPr>
          <w:rFonts w:ascii="Arial" w:hAnsi="Arial" w:cs="Arial"/>
          <w:color w:val="000000"/>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_Toc996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22</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HYPERLINK \l _Toc6581 </w:instrText>
      </w:r>
      <w:r>
        <w:rPr>
          <w:rFonts w:ascii="Arial" w:hAnsi="Arial" w:cs="Arial"/>
          <w:color w:val="000000"/>
          <w:sz w:val="22"/>
          <w:szCs w:val="22"/>
        </w:rPr>
        <w:fldChar w:fldCharType="separate"/>
      </w:r>
      <w:r>
        <w:rPr>
          <w:rFonts w:ascii="Arial" w:hAnsi="Arial" w:cs="Arial"/>
          <w:color w:val="000000"/>
          <w:sz w:val="22"/>
          <w:szCs w:val="22"/>
        </w:rPr>
        <w:t>附件二 银行对账单</w:t>
      </w:r>
      <w:r>
        <w:rPr>
          <w:rFonts w:ascii="Arial" w:hAnsi="Arial" w:cs="Arial"/>
          <w:color w:val="000000"/>
          <w:sz w:val="22"/>
          <w:szCs w:val="22"/>
        </w:rPr>
        <w:tab/>
      </w:r>
      <w:r>
        <w:rPr>
          <w:rFonts w:hint="default" w:ascii="Arial" w:hAnsi="Arial" w:eastAsia="宋体" w:cs="Arial"/>
          <w:kern w:val="0"/>
          <w:sz w:val="22"/>
          <w:szCs w:val="22"/>
          <w:lang w:val="en-US" w:eastAsia="zh-CN" w:bidi="ar-SA"/>
        </w:rPr>
        <w:fldChar w:fldCharType="begin"/>
      </w:r>
      <w:r>
        <w:rPr>
          <w:rFonts w:hint="default" w:ascii="Arial" w:hAnsi="Arial" w:eastAsia="宋体" w:cs="Arial"/>
          <w:kern w:val="0"/>
          <w:sz w:val="22"/>
          <w:szCs w:val="22"/>
          <w:lang w:val="en-US" w:eastAsia="zh-CN" w:bidi="ar-SA"/>
        </w:rPr>
        <w:instrText xml:space="preserve"> PAGEREF _Toc6581 \h </w:instrText>
      </w:r>
      <w:r>
        <w:rPr>
          <w:rFonts w:hint="default" w:ascii="Arial" w:hAnsi="Arial" w:eastAsia="宋体" w:cs="Arial"/>
          <w:kern w:val="0"/>
          <w:sz w:val="22"/>
          <w:szCs w:val="22"/>
          <w:lang w:val="en-US" w:eastAsia="zh-CN" w:bidi="ar-SA"/>
        </w:rPr>
        <w:fldChar w:fldCharType="separate"/>
      </w:r>
      <w:r>
        <w:rPr>
          <w:rFonts w:hint="default" w:ascii="Arial" w:hAnsi="Arial" w:eastAsia="宋体" w:cs="Arial"/>
          <w:kern w:val="0"/>
          <w:sz w:val="22"/>
          <w:szCs w:val="22"/>
          <w:lang w:val="en-US" w:eastAsia="zh-CN" w:bidi="ar-SA"/>
        </w:rPr>
        <w:t>47</w:t>
      </w:r>
      <w:r>
        <w:rPr>
          <w:rFonts w:hint="default" w:ascii="Arial" w:hAnsi="Arial" w:eastAsia="宋体" w:cs="Arial"/>
          <w:kern w:val="0"/>
          <w:sz w:val="22"/>
          <w:szCs w:val="22"/>
          <w:lang w:val="en-US" w:eastAsia="zh-CN" w:bidi="ar-SA"/>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rPr>
          <w:sz w:val="22"/>
          <w:szCs w:val="22"/>
        </w:rPr>
      </w:pPr>
      <w:r>
        <w:rPr>
          <w:rFonts w:ascii="Arial" w:hAnsi="Arial" w:cs="Arial"/>
          <w:color w:val="000000"/>
          <w:sz w:val="22"/>
          <w:szCs w:val="22"/>
        </w:rPr>
        <w:fldChar w:fldCharType="begin"/>
      </w:r>
      <w:r>
        <w:rPr>
          <w:rFonts w:ascii="Arial" w:hAnsi="Arial" w:cs="Arial"/>
          <w:sz w:val="22"/>
          <w:szCs w:val="22"/>
        </w:rPr>
        <w:instrText xml:space="preserve"> HYPERLINK \l _Toc16919 </w:instrText>
      </w:r>
      <w:r>
        <w:rPr>
          <w:rFonts w:ascii="Arial" w:hAnsi="Arial" w:cs="Arial"/>
          <w:sz w:val="22"/>
          <w:szCs w:val="22"/>
        </w:rPr>
        <w:fldChar w:fldCharType="separate"/>
      </w:r>
      <w:r>
        <w:rPr>
          <w:rFonts w:eastAsia="宋体" w:cs="Arial"/>
          <w:sz w:val="22"/>
          <w:szCs w:val="22"/>
        </w:rPr>
        <w:t>附件三 月度资金预算使用表</w:t>
      </w:r>
      <w:r>
        <w:rPr>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_Toc16919 \h </w:instrText>
      </w:r>
      <w:r>
        <w:rPr>
          <w:rFonts w:hint="default" w:ascii="Arial" w:hAnsi="Arial" w:cs="Arial"/>
          <w:sz w:val="22"/>
          <w:szCs w:val="22"/>
        </w:rPr>
        <w:fldChar w:fldCharType="separate"/>
      </w:r>
      <w:r>
        <w:rPr>
          <w:rFonts w:hint="default" w:ascii="Arial" w:hAnsi="Arial" w:cs="Arial"/>
          <w:sz w:val="22"/>
          <w:szCs w:val="22"/>
        </w:rPr>
        <w:t>53</w:t>
      </w:r>
      <w:r>
        <w:rPr>
          <w:rFonts w:hint="default" w:ascii="Arial" w:hAnsi="Arial" w:cs="Arial"/>
          <w:sz w:val="22"/>
          <w:szCs w:val="22"/>
        </w:rPr>
        <w:fldChar w:fldCharType="end"/>
      </w:r>
      <w:r>
        <w:rPr>
          <w:rFonts w:ascii="Arial" w:hAnsi="Arial" w:cs="Arial"/>
          <w:color w:val="000000"/>
          <w:sz w:val="22"/>
          <w:szCs w:val="22"/>
        </w:rPr>
        <w:fldChar w:fldCharType="end"/>
      </w:r>
    </w:p>
    <w:p>
      <w:pPr>
        <w:pStyle w:val="11"/>
        <w:keepNext w:val="0"/>
        <w:keepLines w:val="0"/>
        <w:pageBreakBefore w:val="0"/>
        <w:widowControl/>
        <w:tabs>
          <w:tab w:val="right" w:leader="dot" w:pos="9298"/>
          <w:tab w:val="clear" w:pos="8302"/>
        </w:tabs>
        <w:kinsoku/>
        <w:wordWrap/>
        <w:overflowPunct/>
        <w:topLinePunct w:val="0"/>
        <w:autoSpaceDE/>
        <w:autoSpaceDN/>
        <w:bidi w:val="0"/>
        <w:adjustRightInd/>
        <w:snapToGrid/>
        <w:spacing w:line="360" w:lineRule="auto"/>
        <w:jc w:val="center"/>
        <w:textAlignment w:val="auto"/>
      </w:pPr>
      <w:r>
        <w:rPr>
          <w:rFonts w:ascii="Arial" w:hAnsi="Arial" w:cs="Arial"/>
          <w:color w:val="000000"/>
          <w:sz w:val="22"/>
          <w:szCs w:val="22"/>
        </w:rPr>
        <w:fldChar w:fldCharType="begin"/>
      </w:r>
      <w:r>
        <w:rPr>
          <w:rFonts w:ascii="Arial" w:hAnsi="Arial" w:cs="Arial"/>
          <w:sz w:val="22"/>
          <w:szCs w:val="22"/>
        </w:rPr>
        <w:instrText xml:space="preserve"> HYPERLINK \l _Toc13408 </w:instrText>
      </w:r>
      <w:r>
        <w:rPr>
          <w:rFonts w:ascii="Arial" w:hAnsi="Arial" w:cs="Arial"/>
          <w:sz w:val="22"/>
          <w:szCs w:val="22"/>
        </w:rPr>
        <w:fldChar w:fldCharType="separate"/>
      </w:r>
      <w:r>
        <w:rPr>
          <w:rFonts w:eastAsia="宋体" w:cs="Arial"/>
          <w:sz w:val="22"/>
          <w:szCs w:val="22"/>
        </w:rPr>
        <w:t>附件四 各类资金使用统计表</w:t>
      </w:r>
      <w:r>
        <w:rPr>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_Toc13408 \h </w:instrText>
      </w:r>
      <w:r>
        <w:rPr>
          <w:rFonts w:hint="default" w:ascii="Arial" w:hAnsi="Arial" w:cs="Arial"/>
          <w:sz w:val="22"/>
          <w:szCs w:val="22"/>
        </w:rPr>
        <w:fldChar w:fldCharType="separate"/>
      </w:r>
      <w:r>
        <w:rPr>
          <w:rFonts w:hint="default" w:ascii="Arial" w:hAnsi="Arial" w:cs="Arial"/>
          <w:sz w:val="22"/>
          <w:szCs w:val="22"/>
        </w:rPr>
        <w:t>54</w:t>
      </w:r>
      <w:r>
        <w:rPr>
          <w:rFonts w:hint="default" w:ascii="Arial" w:hAnsi="Arial" w:cs="Arial"/>
          <w:sz w:val="22"/>
          <w:szCs w:val="22"/>
        </w:rPr>
        <w:fldChar w:fldCharType="end"/>
      </w:r>
      <w:r>
        <w:rPr>
          <w:rFonts w:ascii="Arial" w:hAnsi="Arial" w:cs="Arial"/>
          <w:color w:val="000000"/>
          <w:sz w:val="22"/>
          <w:szCs w:val="22"/>
        </w:rPr>
        <w:fldChar w:fldCharType="end"/>
      </w:r>
    </w:p>
    <w:p>
      <w:pPr>
        <w:pStyle w:val="10"/>
        <w:tabs>
          <w:tab w:val="right" w:leader="dot" w:pos="9298"/>
          <w:tab w:val="clear" w:pos="8302"/>
        </w:tabs>
        <w:rPr>
          <w:rFonts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color w:val="000000"/>
          <w:sz w:val="24"/>
          <w:szCs w:val="24"/>
        </w:rPr>
      </w:pPr>
      <w:bookmarkStart w:id="10" w:name="_Toc31281"/>
      <w:bookmarkStart w:id="11" w:name="_Toc23934"/>
      <w:bookmarkStart w:id="12" w:name="_Toc12926"/>
      <w:bookmarkStart w:id="13" w:name="_Toc535570748"/>
      <w:bookmarkStart w:id="14" w:name="_Toc535580021"/>
      <w:bookmarkStart w:id="15" w:name="_Toc535508634"/>
      <w:bookmarkStart w:id="16" w:name="_Toc535580089"/>
      <w:bookmarkStart w:id="17" w:name="_Toc532281655"/>
      <w:r>
        <w:rPr>
          <w:rFonts w:ascii="Arial" w:hAnsi="Arial" w:cs="Arial"/>
          <w:color w:val="000000"/>
          <w:sz w:val="24"/>
          <w:szCs w:val="24"/>
        </w:rPr>
        <w:t>1项目基本情况介绍</w:t>
      </w:r>
      <w:bookmarkEnd w:id="10"/>
      <w:bookmarkEnd w:id="11"/>
      <w:bookmarkEnd w:id="12"/>
    </w:p>
    <w:p>
      <w:pPr>
        <w:rPr>
          <w:rFonts w:ascii="Arial" w:hAnsi="Arial" w:cs="Arial"/>
          <w:color w:val="000000"/>
          <w:sz w:val="24"/>
        </w:rPr>
      </w:pPr>
      <w:r>
        <w:rPr>
          <w:rFonts w:ascii="Arial" w:hAnsi="Arial" w:cs="Arial"/>
          <w:color w:val="000000"/>
          <w:sz w:val="24"/>
        </w:rPr>
        <w:drawing>
          <wp:inline distT="0" distB="0" distL="0" distR="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04230" cy="3741420"/>
                    </a:xfrm>
                    <a:prstGeom prst="rect">
                      <a:avLst/>
                    </a:prstGeom>
                  </pic:spPr>
                </pic:pic>
              </a:graphicData>
            </a:graphic>
          </wp:inline>
        </w:drawing>
      </w:r>
    </w:p>
    <w:p>
      <w:pPr>
        <w:rPr>
          <w:rFonts w:ascii="Arial" w:hAnsi="Arial" w:cs="Arial"/>
        </w:rPr>
      </w:pPr>
    </w:p>
    <w:p>
      <w:pPr>
        <w:spacing w:line="480" w:lineRule="auto"/>
        <w:ind w:firstLine="420" w:firstLineChars="200"/>
        <w:rPr>
          <w:rFonts w:ascii="Arial" w:hAnsi="Arial" w:cs="Arial"/>
          <w:b/>
          <w:bCs/>
        </w:rPr>
      </w:pPr>
      <w:r>
        <w:rPr>
          <w:rFonts w:ascii="Arial" w:hAnsi="Arial" w:cs="Arial"/>
          <w:bCs/>
          <w:szCs w:val="21"/>
        </w:rPr>
        <w:t>标的项目为</w:t>
      </w:r>
      <w:r>
        <w:rPr>
          <w:rFonts w:ascii="Arial" w:hAnsi="Arial" w:cs="Arial"/>
          <w:bCs/>
          <w:kern w:val="44"/>
          <w:szCs w:val="21"/>
        </w:rPr>
        <w:t>项目公司开发的“绿城﹒江南里”项目（又名：月桂江南里），项目</w:t>
      </w:r>
      <w:r>
        <w:rPr>
          <w:rFonts w:ascii="Arial" w:hAnsi="Arial" w:cs="Arial"/>
          <w:bCs/>
          <w:szCs w:val="21"/>
        </w:rPr>
        <w:t>位于江苏省常州市武进经济开发区四桥头东北角。项目公司于2011年11月14日与常州市国土资源局武进分局签订了《国有建设用地使用权出让合同》【合同编号：3204832011CR0188】取得了宗地编号210-210274-001（标的项目地块）出让用地使用权。土地用途为其他商服用地、廉租住房用地、中低价位及中小套型普通商品住房用地、其他普通商品住房用地，出让用地面积为177,208.6平方米。合同约定建筑容积率不高于1.87，建筑总面积331,380.0820平方米。标的项目实际分为A、B两地块开发建设，其中A地块（四期、五期）土地面积为64,929.45m</w:t>
      </w:r>
      <w:r>
        <w:rPr>
          <w:rFonts w:ascii="Arial" w:hAnsi="Arial" w:cs="Arial"/>
          <w:bCs/>
          <w:szCs w:val="21"/>
          <w:vertAlign w:val="superscript"/>
        </w:rPr>
        <w:t>2</w:t>
      </w:r>
      <w:r>
        <w:rPr>
          <w:rFonts w:ascii="Arial" w:hAnsi="Arial" w:cs="Arial"/>
          <w:bCs/>
          <w:szCs w:val="21"/>
        </w:rPr>
        <w:t>，目前仅取得《不动产权证书》；B地块（一至三期）土地面积为112,263.56m</w:t>
      </w:r>
      <w:r>
        <w:rPr>
          <w:rFonts w:ascii="Arial" w:hAnsi="Arial" w:cs="Arial"/>
          <w:bCs/>
          <w:szCs w:val="21"/>
          <w:vertAlign w:val="superscript"/>
        </w:rPr>
        <w:t>2</w:t>
      </w:r>
      <w:r>
        <w:rPr>
          <w:rFonts w:ascii="Arial" w:hAnsi="Arial" w:cs="Arial"/>
          <w:bCs/>
          <w:szCs w:val="21"/>
        </w:rPr>
        <w:t>，已取得《不动产权证书》、《建设用地规划许可证》、《建设工程规划许可证》、《建筑工程施工许可证》，大部分楼幢已取得《商品房预售许可证》。项目详细经济指标见下表：</w:t>
      </w:r>
    </w:p>
    <w:p>
      <w:pPr>
        <w:ind w:firstLine="422" w:firstLineChars="200"/>
        <w:jc w:val="center"/>
        <w:rPr>
          <w:rFonts w:ascii="Arial" w:hAnsi="Arial" w:cs="Arial"/>
          <w:b/>
          <w:bCs/>
        </w:rPr>
      </w:pPr>
      <w:r>
        <w:rPr>
          <w:rFonts w:ascii="Arial" w:hAnsi="Arial" w:cs="Arial"/>
          <w:b/>
          <w:bCs/>
        </w:rPr>
        <w:t>项目各项经济指标</w:t>
      </w:r>
    </w:p>
    <w:tbl>
      <w:tblPr>
        <w:tblStyle w:val="13"/>
        <w:tblW w:w="10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201"/>
        <w:gridCol w:w="1300"/>
        <w:gridCol w:w="1200"/>
        <w:gridCol w:w="1213"/>
        <w:gridCol w:w="1187"/>
        <w:gridCol w:w="13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B一期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112,263.56</w:t>
            </w:r>
          </w:p>
        </w:tc>
        <w:tc>
          <w:tcPr>
            <w:tcW w:w="13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101,489.07</w:t>
            </w:r>
          </w:p>
        </w:tc>
        <w:tc>
          <w:tcPr>
            <w:tcW w:w="12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67,792.07</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sz w:val="18"/>
                <w:szCs w:val="18"/>
              </w:rPr>
              <w:t>61,752.77</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119,243</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分为一标段、二标段建设</w:t>
            </w:r>
            <w:r>
              <w:rPr>
                <w:rFonts w:hint="eastAsia" w:ascii="Arial" w:hAnsi="Arial" w:cs="Arial" w:eastAsiaTheme="minorEastAsia"/>
                <w:color w:val="000000"/>
                <w:sz w:val="18"/>
                <w:szCs w:val="18"/>
              </w:rPr>
              <w:t>（除会所外所有楼栋均已取得预售证）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B二期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83,268.77</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59,482.55</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57,230.27</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100,470</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除</w:t>
            </w:r>
            <w:r>
              <w:rPr>
                <w:rFonts w:ascii="Arial" w:hAnsi="Arial" w:cs="Arial" w:eastAsiaTheme="minorEastAsia"/>
                <w:color w:val="000000"/>
                <w:sz w:val="18"/>
                <w:szCs w:val="18"/>
              </w:rPr>
              <w:t>41#</w:t>
            </w:r>
            <w:r>
              <w:rPr>
                <w:rFonts w:hint="eastAsia" w:ascii="Arial" w:hAnsi="Arial" w:cs="Arial" w:eastAsiaTheme="minorEastAsia"/>
                <w:color w:val="000000"/>
                <w:sz w:val="18"/>
                <w:szCs w:val="18"/>
              </w:rPr>
              <w:t>外所有楼栋均已取得预售证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B三期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60,744.8</w:t>
            </w:r>
          </w:p>
        </w:tc>
        <w:tc>
          <w:tcPr>
            <w:tcW w:w="1200" w:type="dxa"/>
            <w:vAlign w:val="center"/>
          </w:tcPr>
          <w:p>
            <w:pPr>
              <w:jc w:val="center"/>
              <w:textAlignment w:val="center"/>
            </w:pPr>
            <w:r>
              <w:rPr>
                <w:rFonts w:hint="eastAsia" w:ascii="Arial" w:hAnsi="Arial" w:cs="Arial" w:eastAsiaTheme="minorEastAsia"/>
                <w:color w:val="000000"/>
                <w:sz w:val="18"/>
                <w:szCs w:val="18"/>
              </w:rPr>
              <w:t>42,044.98</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37,169.13</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59,938</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A四期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64,929.45</w:t>
            </w:r>
          </w:p>
        </w:tc>
        <w:tc>
          <w:tcPr>
            <w:tcW w:w="1300"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sum(G18:H18)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221,465.78</w:t>
            </w:r>
            <w:r>
              <w:rPr>
                <w:rFonts w:ascii="Arial" w:hAnsi="Arial" w:cs="Arial" w:eastAsiaTheme="minorEastAsia"/>
                <w:color w:val="000000"/>
                <w:sz w:val="18"/>
                <w:szCs w:val="18"/>
              </w:rPr>
              <w:fldChar w:fldCharType="end"/>
            </w:r>
          </w:p>
        </w:tc>
        <w:tc>
          <w:tcPr>
            <w:tcW w:w="1200"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162,030.47</w:t>
            </w: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79,006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120,090.4</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高层、公寓、办公楼、商业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A五期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Merge w:val="continue"/>
            <w:vAlign w:val="center"/>
          </w:tcPr>
          <w:p>
            <w:pPr>
              <w:jc w:val="center"/>
              <w:textAlignment w:val="center"/>
              <w:rPr>
                <w:rFonts w:ascii="Arial" w:hAnsi="Arial" w:cs="Arial" w:eastAsiaTheme="minorEastAsia"/>
                <w:color w:val="000000"/>
                <w:sz w:val="18"/>
                <w:szCs w:val="18"/>
              </w:rPr>
            </w:pPr>
          </w:p>
        </w:tc>
        <w:tc>
          <w:tcPr>
            <w:tcW w:w="1200" w:type="dxa"/>
            <w:vMerge w:val="continue"/>
            <w:vAlign w:val="center"/>
          </w:tcPr>
          <w:p>
            <w:pPr>
              <w:jc w:val="center"/>
              <w:textAlignment w:val="center"/>
              <w:rPr>
                <w:rFonts w:ascii="Arial" w:hAnsi="Arial" w:cs="Arial" w:eastAsiaTheme="minorEastAsia"/>
                <w:color w:val="000000"/>
                <w:sz w:val="18"/>
                <w:szCs w:val="18"/>
              </w:rPr>
            </w:pP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81,0</w:t>
            </w:r>
            <w:r>
              <w:rPr>
                <w:rFonts w:hint="eastAsia" w:ascii="Arial" w:hAnsi="Arial" w:cs="Arial" w:eastAsiaTheme="minorEastAsia"/>
                <w:color w:val="000000"/>
                <w:sz w:val="18"/>
                <w:szCs w:val="18"/>
              </w:rPr>
              <w:t>7</w:t>
            </w:r>
            <w:r>
              <w:rPr>
                <w:rFonts w:ascii="Arial" w:hAnsi="Arial" w:cs="Arial" w:eastAsiaTheme="minorEastAsia"/>
                <w:color w:val="000000"/>
                <w:sz w:val="18"/>
                <w:szCs w:val="18"/>
              </w:rPr>
              <w:t>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113,493.14</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高层、公寓、商业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合计</w:t>
            </w:r>
          </w:p>
        </w:tc>
        <w:tc>
          <w:tcPr>
            <w:tcW w:w="1201"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177,193.01</w:t>
            </w:r>
          </w:p>
        </w:tc>
        <w:tc>
          <w:tcPr>
            <w:tcW w:w="1300"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466,968.42</w:t>
            </w:r>
          </w:p>
        </w:tc>
        <w:tc>
          <w:tcPr>
            <w:tcW w:w="1200"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331,350.07</w:t>
            </w:r>
          </w:p>
        </w:tc>
        <w:tc>
          <w:tcPr>
            <w:tcW w:w="1213" w:type="dxa"/>
            <w:vAlign w:val="center"/>
          </w:tcPr>
          <w:p>
            <w:pPr>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315,896.21</w:t>
            </w:r>
          </w:p>
        </w:tc>
        <w:tc>
          <w:tcPr>
            <w:tcW w:w="1187" w:type="dxa"/>
            <w:vAlign w:val="center"/>
          </w:tcPr>
          <w:p>
            <w:pPr>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513,234.54</w:t>
            </w:r>
          </w:p>
        </w:tc>
        <w:tc>
          <w:tcPr>
            <w:tcW w:w="1310" w:type="dxa"/>
            <w:vAlign w:val="center"/>
          </w:tcPr>
          <w:p>
            <w:pPr>
              <w:jc w:val="center"/>
              <w:textAlignment w:val="center"/>
              <w:rPr>
                <w:rFonts w:ascii="Arial" w:hAnsi="Arial" w:cs="Arial" w:eastAsiaTheme="minorEastAsia"/>
                <w:b/>
                <w:bCs/>
                <w:color w:val="000000"/>
                <w:sz w:val="18"/>
                <w:szCs w:val="18"/>
              </w:rPr>
            </w:pPr>
          </w:p>
        </w:tc>
        <w:tc>
          <w:tcPr>
            <w:tcW w:w="1240" w:type="dxa"/>
            <w:vAlign w:val="center"/>
          </w:tcPr>
          <w:p>
            <w:pPr>
              <w:jc w:val="center"/>
              <w:textAlignment w:val="center"/>
              <w:rPr>
                <w:rFonts w:ascii="Arial" w:hAnsi="Arial" w:cs="Arial" w:eastAsiaTheme="minorEastAsia"/>
                <w:b/>
                <w:bCs/>
                <w:color w:val="000000"/>
                <w:sz w:val="18"/>
                <w:szCs w:val="18"/>
              </w:rPr>
            </w:pPr>
          </w:p>
        </w:tc>
      </w:tr>
    </w:tbl>
    <w:p>
      <w:pPr>
        <w:rPr>
          <w:rFonts w:ascii="Arial" w:hAnsi="Arial" w:cs="Arial" w:eastAsiaTheme="minorEastAsia"/>
          <w:kern w:val="0"/>
          <w:sz w:val="18"/>
          <w:szCs w:val="18"/>
        </w:rPr>
      </w:pPr>
      <w:r>
        <w:rPr>
          <w:rFonts w:ascii="Arial" w:hAnsi="Arial" w:cs="Arial" w:eastAsiaTheme="minorEastAsia"/>
          <w:kern w:val="0"/>
          <w:sz w:val="18"/>
          <w:szCs w:val="18"/>
        </w:rPr>
        <w:t>注：1、上述B地块（一至三期）建筑面积、计容建筑面积以已取得《建设工程规划许可证》为依据；A地块建筑面积、计容面积以项目公司申报《建设工程规划许可证》的明细表为依据。</w:t>
      </w:r>
    </w:p>
    <w:p>
      <w:pPr>
        <w:ind w:firstLine="360" w:firstLineChars="200"/>
        <w:rPr>
          <w:rFonts w:ascii="Arial" w:hAnsi="Arial" w:cs="Arial" w:eastAsiaTheme="minorEastAsia"/>
          <w:kern w:val="0"/>
          <w:sz w:val="18"/>
          <w:szCs w:val="18"/>
        </w:rPr>
      </w:pPr>
      <w:r>
        <w:rPr>
          <w:rFonts w:ascii="Arial" w:hAnsi="Arial" w:cs="Arial" w:eastAsiaTheme="minorEastAsia"/>
          <w:kern w:val="0"/>
          <w:sz w:val="18"/>
          <w:szCs w:val="18"/>
        </w:rPr>
        <w:t>2、一期</w:t>
      </w:r>
      <w:r>
        <w:rPr>
          <w:rFonts w:hint="eastAsia" w:ascii="Arial" w:hAnsi="Arial" w:cs="Arial" w:eastAsiaTheme="minorEastAsia"/>
          <w:kern w:val="0"/>
          <w:sz w:val="18"/>
          <w:szCs w:val="18"/>
        </w:rPr>
        <w:t>、二期可售面积以已取得</w:t>
      </w:r>
      <w:r>
        <w:rPr>
          <w:rFonts w:ascii="Arial" w:hAnsi="Arial" w:cs="Arial" w:eastAsiaTheme="minorEastAsia"/>
          <w:kern w:val="0"/>
          <w:sz w:val="18"/>
          <w:szCs w:val="18"/>
        </w:rPr>
        <w:t>《</w:t>
      </w:r>
      <w:r>
        <w:rPr>
          <w:rFonts w:hint="eastAsia" w:ascii="Arial" w:hAnsi="Arial" w:cs="Arial" w:eastAsiaTheme="minorEastAsia"/>
          <w:kern w:val="0"/>
          <w:sz w:val="18"/>
          <w:szCs w:val="18"/>
        </w:rPr>
        <w:t>商品房预售</w:t>
      </w:r>
      <w:r>
        <w:rPr>
          <w:rFonts w:ascii="Arial" w:hAnsi="Arial" w:cs="Arial" w:eastAsiaTheme="minorEastAsia"/>
          <w:kern w:val="0"/>
          <w:sz w:val="18"/>
          <w:szCs w:val="18"/>
        </w:rPr>
        <w:t>许可证》</w:t>
      </w:r>
      <w:r>
        <w:rPr>
          <w:rFonts w:hint="eastAsia" w:ascii="Arial" w:hAnsi="Arial" w:cs="Arial" w:eastAsiaTheme="minorEastAsia"/>
          <w:kern w:val="0"/>
          <w:sz w:val="18"/>
          <w:szCs w:val="18"/>
        </w:rPr>
        <w:t>及</w:t>
      </w:r>
      <w:r>
        <w:rPr>
          <w:rFonts w:ascii="Arial" w:hAnsi="Arial" w:cs="Arial" w:eastAsiaTheme="minorEastAsia"/>
          <w:kern w:val="0"/>
          <w:sz w:val="18"/>
          <w:szCs w:val="18"/>
        </w:rPr>
        <w:t>《</w:t>
      </w:r>
      <w:r>
        <w:rPr>
          <w:rFonts w:hint="eastAsia" w:ascii="Arial" w:hAnsi="Arial" w:cs="Arial" w:eastAsiaTheme="minorEastAsia"/>
          <w:kern w:val="0"/>
          <w:sz w:val="18"/>
          <w:szCs w:val="18"/>
        </w:rPr>
        <w:t>建设工程规划许可证》为依据；三期可售面积</w:t>
      </w:r>
      <w:r>
        <w:rPr>
          <w:rFonts w:ascii="Arial" w:hAnsi="Arial" w:cs="Arial" w:eastAsiaTheme="minorEastAsia"/>
          <w:kern w:val="0"/>
          <w:sz w:val="18"/>
          <w:szCs w:val="18"/>
        </w:rPr>
        <w:t>以已取得《</w:t>
      </w:r>
      <w:r>
        <w:rPr>
          <w:rFonts w:hint="eastAsia" w:ascii="Arial" w:hAnsi="Arial" w:cs="Arial" w:eastAsiaTheme="minorEastAsia"/>
          <w:kern w:val="0"/>
          <w:sz w:val="18"/>
          <w:szCs w:val="18"/>
        </w:rPr>
        <w:t>商品房预售</w:t>
      </w:r>
      <w:r>
        <w:rPr>
          <w:rFonts w:ascii="Arial" w:hAnsi="Arial" w:cs="Arial" w:eastAsiaTheme="minorEastAsia"/>
          <w:kern w:val="0"/>
          <w:sz w:val="18"/>
          <w:szCs w:val="18"/>
        </w:rPr>
        <w:t>许可证》为依据；</w:t>
      </w:r>
      <w:r>
        <w:rPr>
          <w:rFonts w:hint="eastAsia" w:ascii="Arial" w:hAnsi="Arial" w:cs="Arial" w:eastAsiaTheme="minorEastAsia"/>
          <w:kern w:val="0"/>
          <w:sz w:val="18"/>
          <w:szCs w:val="18"/>
        </w:rPr>
        <w:t>四期、</w:t>
      </w:r>
      <w:r>
        <w:rPr>
          <w:rFonts w:ascii="Arial" w:hAnsi="Arial" w:cs="Arial" w:eastAsiaTheme="minorEastAsia"/>
          <w:kern w:val="0"/>
          <w:sz w:val="18"/>
          <w:szCs w:val="18"/>
        </w:rPr>
        <w:t>五期</w:t>
      </w:r>
      <w:r>
        <w:rPr>
          <w:rFonts w:hint="eastAsia" w:ascii="Arial" w:hAnsi="Arial" w:cs="Arial" w:eastAsiaTheme="minorEastAsia"/>
          <w:kern w:val="0"/>
          <w:sz w:val="18"/>
          <w:szCs w:val="18"/>
        </w:rPr>
        <w:t>可售面积</w:t>
      </w:r>
      <w:r>
        <w:rPr>
          <w:rFonts w:ascii="Arial" w:hAnsi="Arial" w:cs="Arial" w:eastAsiaTheme="minorEastAsia"/>
          <w:kern w:val="0"/>
          <w:sz w:val="18"/>
          <w:szCs w:val="18"/>
        </w:rPr>
        <w:t>以</w:t>
      </w:r>
      <w:r>
        <w:rPr>
          <w:rFonts w:hint="eastAsia" w:ascii="Arial" w:hAnsi="Arial" w:cs="Arial" w:eastAsiaTheme="minorEastAsia"/>
          <w:kern w:val="0"/>
          <w:sz w:val="18"/>
          <w:szCs w:val="18"/>
        </w:rPr>
        <w:t>项目公司2021年02月25日</w:t>
      </w:r>
      <w:r>
        <w:rPr>
          <w:rFonts w:ascii="Arial" w:hAnsi="Arial" w:cs="Arial" w:eastAsiaTheme="minorEastAsia"/>
          <w:kern w:val="0"/>
          <w:sz w:val="18"/>
          <w:szCs w:val="18"/>
        </w:rPr>
        <w:t>提报道诚基金的常州江南里项目</w:t>
      </w:r>
      <w:r>
        <w:rPr>
          <w:rFonts w:hint="eastAsia" w:ascii="Arial" w:hAnsi="Arial" w:cs="Arial" w:eastAsiaTheme="minorEastAsia"/>
          <w:kern w:val="0"/>
          <w:sz w:val="18"/>
          <w:szCs w:val="18"/>
        </w:rPr>
        <w:t>四五期方案版目标成本</w:t>
      </w:r>
      <w:r>
        <w:rPr>
          <w:rFonts w:ascii="Arial" w:hAnsi="Arial" w:cs="Arial" w:eastAsiaTheme="minorEastAsia"/>
          <w:kern w:val="0"/>
          <w:sz w:val="18"/>
          <w:szCs w:val="18"/>
        </w:rPr>
        <w:t>为依据；总货值分期数据以项目公司提报道诚基金的</w:t>
      </w:r>
      <w:r>
        <w:rPr>
          <w:rFonts w:hint="eastAsia" w:ascii="Arial" w:hAnsi="Arial" w:cs="Arial" w:eastAsiaTheme="minorEastAsia"/>
          <w:kern w:val="0"/>
          <w:sz w:val="18"/>
          <w:szCs w:val="18"/>
        </w:rPr>
        <w:t>一期施工图版目标成本（</w:t>
      </w:r>
      <w:r>
        <w:rPr>
          <w:rFonts w:ascii="Arial" w:hAnsi="Arial" w:cs="Arial" w:eastAsiaTheme="minorEastAsia"/>
          <w:kern w:val="0"/>
          <w:sz w:val="18"/>
          <w:szCs w:val="18"/>
        </w:rPr>
        <w:t>2020年</w:t>
      </w:r>
      <w:r>
        <w:rPr>
          <w:rFonts w:hint="eastAsia" w:ascii="Arial" w:hAnsi="Arial" w:cs="Arial" w:eastAsiaTheme="minorEastAsia"/>
          <w:kern w:val="0"/>
          <w:sz w:val="18"/>
          <w:szCs w:val="18"/>
        </w:rPr>
        <w:t>05</w:t>
      </w:r>
      <w:r>
        <w:rPr>
          <w:rFonts w:ascii="Arial" w:hAnsi="Arial" w:cs="Arial" w:eastAsiaTheme="minorEastAsia"/>
          <w:kern w:val="0"/>
          <w:sz w:val="18"/>
          <w:szCs w:val="18"/>
        </w:rPr>
        <w:t>月</w:t>
      </w:r>
      <w:r>
        <w:rPr>
          <w:rFonts w:hint="eastAsia" w:ascii="Arial" w:hAnsi="Arial" w:cs="Arial" w:eastAsiaTheme="minorEastAsia"/>
          <w:kern w:val="0"/>
          <w:sz w:val="18"/>
          <w:szCs w:val="18"/>
        </w:rPr>
        <w:t>21日）、二三期施工图版目标成本（</w:t>
      </w:r>
      <w:r>
        <w:rPr>
          <w:rFonts w:ascii="Arial" w:hAnsi="Arial" w:cs="Arial" w:eastAsiaTheme="minorEastAsia"/>
          <w:kern w:val="0"/>
          <w:sz w:val="18"/>
          <w:szCs w:val="18"/>
        </w:rPr>
        <w:t>2020年</w:t>
      </w:r>
      <w:r>
        <w:rPr>
          <w:rFonts w:hint="eastAsia" w:ascii="Arial" w:hAnsi="Arial" w:cs="Arial" w:eastAsiaTheme="minorEastAsia"/>
          <w:kern w:val="0"/>
          <w:sz w:val="18"/>
          <w:szCs w:val="18"/>
        </w:rPr>
        <w:t>06</w:t>
      </w:r>
      <w:r>
        <w:rPr>
          <w:rFonts w:ascii="Arial" w:hAnsi="Arial" w:cs="Arial" w:eastAsiaTheme="minorEastAsia"/>
          <w:kern w:val="0"/>
          <w:sz w:val="18"/>
          <w:szCs w:val="18"/>
        </w:rPr>
        <w:t>月</w:t>
      </w:r>
      <w:r>
        <w:rPr>
          <w:rFonts w:hint="eastAsia" w:ascii="Arial" w:hAnsi="Arial" w:cs="Arial" w:eastAsiaTheme="minorEastAsia"/>
          <w:kern w:val="0"/>
          <w:sz w:val="18"/>
          <w:szCs w:val="18"/>
        </w:rPr>
        <w:t>24日）、四五期方案版目标成本（</w:t>
      </w:r>
      <w:r>
        <w:rPr>
          <w:rFonts w:ascii="Arial" w:hAnsi="Arial" w:cs="Arial" w:eastAsiaTheme="minorEastAsia"/>
          <w:kern w:val="0"/>
          <w:sz w:val="18"/>
          <w:szCs w:val="18"/>
        </w:rPr>
        <w:t>202</w:t>
      </w:r>
      <w:r>
        <w:rPr>
          <w:rFonts w:hint="eastAsia" w:ascii="Arial" w:hAnsi="Arial" w:cs="Arial" w:eastAsiaTheme="minorEastAsia"/>
          <w:kern w:val="0"/>
          <w:sz w:val="18"/>
          <w:szCs w:val="18"/>
        </w:rPr>
        <w:t>1</w:t>
      </w:r>
      <w:r>
        <w:rPr>
          <w:rFonts w:ascii="Arial" w:hAnsi="Arial" w:cs="Arial" w:eastAsiaTheme="minorEastAsia"/>
          <w:kern w:val="0"/>
          <w:sz w:val="18"/>
          <w:szCs w:val="18"/>
        </w:rPr>
        <w:t>年</w:t>
      </w:r>
      <w:r>
        <w:rPr>
          <w:rFonts w:hint="eastAsia" w:ascii="Arial" w:hAnsi="Arial" w:cs="Arial" w:eastAsiaTheme="minorEastAsia"/>
          <w:kern w:val="0"/>
          <w:sz w:val="18"/>
          <w:szCs w:val="18"/>
        </w:rPr>
        <w:t>02</w:t>
      </w:r>
      <w:r>
        <w:rPr>
          <w:rFonts w:ascii="Arial" w:hAnsi="Arial" w:cs="Arial" w:eastAsiaTheme="minorEastAsia"/>
          <w:kern w:val="0"/>
          <w:sz w:val="18"/>
          <w:szCs w:val="18"/>
        </w:rPr>
        <w:t>月</w:t>
      </w:r>
      <w:r>
        <w:rPr>
          <w:rFonts w:hint="eastAsia" w:ascii="Arial" w:hAnsi="Arial" w:cs="Arial" w:eastAsiaTheme="minorEastAsia"/>
          <w:kern w:val="0"/>
          <w:sz w:val="18"/>
          <w:szCs w:val="18"/>
        </w:rPr>
        <w:t>25日）</w:t>
      </w:r>
      <w:r>
        <w:rPr>
          <w:rFonts w:ascii="Arial" w:hAnsi="Arial" w:cs="Arial" w:eastAsiaTheme="minorEastAsia"/>
          <w:kern w:val="0"/>
          <w:sz w:val="18"/>
          <w:szCs w:val="18"/>
        </w:rPr>
        <w:t xml:space="preserve">为依据。     </w:t>
      </w:r>
    </w:p>
    <w:p>
      <w:pPr>
        <w:pStyle w:val="2"/>
        <w:keepNext w:val="0"/>
        <w:keepLines w:val="0"/>
        <w:spacing w:before="300" w:after="300" w:line="360" w:lineRule="exact"/>
        <w:jc w:val="left"/>
        <w:rPr>
          <w:rFonts w:ascii="Arial" w:hAnsi="Arial" w:cs="Arial"/>
        </w:rPr>
      </w:pPr>
      <w:bookmarkStart w:id="18" w:name="_Toc6895"/>
      <w:bookmarkStart w:id="19" w:name="_Toc3095"/>
      <w:r>
        <w:rPr>
          <w:rFonts w:ascii="Arial" w:hAnsi="Arial" w:cs="Arial"/>
          <w:sz w:val="24"/>
          <w:szCs w:val="24"/>
        </w:rPr>
        <w:t>2重大事件披露</w:t>
      </w:r>
      <w:bookmarkEnd w:id="13"/>
      <w:bookmarkEnd w:id="14"/>
      <w:bookmarkEnd w:id="15"/>
      <w:bookmarkEnd w:id="16"/>
      <w:bookmarkEnd w:id="17"/>
      <w:bookmarkEnd w:id="18"/>
      <w:bookmarkEnd w:id="19"/>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2021年8月27日支付项目二三期总包工程款（7月份农民工工资）7,459,027.77元。</w:t>
      </w:r>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2021）苏0412民初2672号关于公司决议撤销纠纷，已于6月22日下午2点第二次开庭，2021年7月28日收到法院判决，法院支持原告富源盛邦撤销股东会决议的请求，合作律所梳理相关上诉材料，于8月5日提交至原法院移送中院。</w:t>
      </w:r>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（2021）苏0412民初3263号关于公司决议效力确认纠纷，已于5月13日上午9点开庭，2021年6月8日收到法院判决，驳回原告富源盛邦全部诉讼请求，原告富源盛邦已向常州中级人民法院提起上诉，法院已于 2021年07月21日立案受理，案号为(2021)苏04民终3912号，公司于2021年8月26日收到法院传票，二审于2021年9月29日下午3点开庭，公司与合作律所做好相关应诉准备工作。</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rPr>
      </w:pPr>
      <w:bookmarkStart w:id="20" w:name="_Toc9056"/>
      <w:bookmarkStart w:id="21" w:name="_Toc18518"/>
      <w:r>
        <w:rPr>
          <w:rFonts w:ascii="Arial" w:hAnsi="Arial" w:cs="Arial"/>
          <w:sz w:val="24"/>
          <w:szCs w:val="24"/>
        </w:rPr>
        <w:t>3工程进度</w:t>
      </w:r>
      <w:bookmarkEnd w:id="20"/>
    </w:p>
    <w:p>
      <w:pPr>
        <w:pStyle w:val="3"/>
        <w:keepNext w:val="0"/>
        <w:keepLines w:val="0"/>
        <w:spacing w:before="300" w:after="300" w:line="360" w:lineRule="exact"/>
        <w:jc w:val="left"/>
        <w:rPr>
          <w:rFonts w:eastAsia="宋体" w:cs="Arial"/>
          <w:sz w:val="24"/>
          <w:szCs w:val="24"/>
        </w:rPr>
      </w:pPr>
      <w:bookmarkStart w:id="22" w:name="_Toc21163"/>
      <w:bookmarkStart w:id="23" w:name="_Toc21090"/>
      <w:bookmarkStart w:id="24" w:name="_Toc61422665"/>
      <w:bookmarkStart w:id="25" w:name="_Toc18351"/>
      <w:bookmarkStart w:id="26" w:name="_Toc20030"/>
      <w:r>
        <w:rPr>
          <w:rFonts w:eastAsia="宋体" w:cs="Arial"/>
          <w:sz w:val="24"/>
          <w:szCs w:val="24"/>
        </w:rPr>
        <w:t xml:space="preserve">3.1  </w:t>
      </w:r>
      <w:r>
        <w:rPr>
          <w:rFonts w:cs="Arial" w:eastAsiaTheme="minorEastAsia"/>
          <w:kern w:val="44"/>
          <w:sz w:val="24"/>
          <w:szCs w:val="24"/>
        </w:rPr>
        <w:t>2021年</w:t>
      </w:r>
      <w:r>
        <w:rPr>
          <w:rFonts w:hint="eastAsia" w:cs="Arial" w:eastAsiaTheme="minorEastAsia"/>
          <w:kern w:val="44"/>
          <w:sz w:val="24"/>
          <w:szCs w:val="24"/>
        </w:rPr>
        <w:t>8</w:t>
      </w:r>
      <w:r>
        <w:rPr>
          <w:rFonts w:cs="Arial" w:eastAsiaTheme="minorEastAsia"/>
          <w:kern w:val="44"/>
          <w:sz w:val="24"/>
          <w:szCs w:val="24"/>
        </w:rPr>
        <w:t>月项目现场情况</w:t>
      </w:r>
      <w:bookmarkEnd w:id="22"/>
      <w:bookmarkEnd w:id="23"/>
      <w:bookmarkEnd w:id="24"/>
      <w:bookmarkEnd w:id="25"/>
      <w:bookmarkEnd w:id="26"/>
    </w:p>
    <w:p>
      <w:pPr>
        <w:spacing w:line="480" w:lineRule="auto"/>
        <w:ind w:firstLine="420" w:firstLineChars="200"/>
        <w:rPr>
          <w:rFonts w:ascii="Arial" w:hAnsi="Arial" w:cs="Arial"/>
          <w:szCs w:val="21"/>
        </w:rPr>
      </w:pPr>
      <w:r>
        <w:rPr>
          <w:rFonts w:ascii="Arial" w:hAnsi="Arial" w:cs="Arial"/>
          <w:szCs w:val="21"/>
        </w:rPr>
        <w:t>截止至</w:t>
      </w:r>
      <w:r>
        <w:rPr>
          <w:rFonts w:hint="eastAsia" w:ascii="Arial" w:hAnsi="Arial" w:cs="Arial"/>
          <w:szCs w:val="21"/>
        </w:rPr>
        <w:t>8</w:t>
      </w:r>
      <w:r>
        <w:rPr>
          <w:rFonts w:ascii="Arial" w:hAnsi="Arial" w:cs="Arial"/>
          <w:szCs w:val="21"/>
        </w:rPr>
        <w:t>月</w:t>
      </w:r>
      <w:r>
        <w:rPr>
          <w:rFonts w:hint="eastAsia" w:ascii="Arial" w:hAnsi="Arial" w:cs="Arial"/>
          <w:szCs w:val="21"/>
        </w:rPr>
        <w:t>31</w:t>
      </w:r>
      <w:r>
        <w:rPr>
          <w:rFonts w:ascii="Arial" w:hAnsi="Arial" w:cs="Arial"/>
          <w:szCs w:val="21"/>
        </w:rPr>
        <w:t>日，B地块项目</w:t>
      </w:r>
      <w:r>
        <w:rPr>
          <w:rFonts w:hint="eastAsia" w:ascii="Arial" w:hAnsi="Arial" w:cs="Arial"/>
          <w:szCs w:val="21"/>
        </w:rPr>
        <w:t>：</w:t>
      </w:r>
    </w:p>
    <w:p>
      <w:pPr>
        <w:numPr>
          <w:ilvl w:val="0"/>
          <w:numId w:val="2"/>
        </w:numPr>
        <w:spacing w:line="480" w:lineRule="auto"/>
        <w:ind w:left="0" w:firstLine="420" w:firstLineChars="200"/>
        <w:rPr>
          <w:rFonts w:ascii="Arial" w:hAnsi="Arial" w:cs="Arial"/>
          <w:szCs w:val="21"/>
        </w:rPr>
      </w:pPr>
      <w:r>
        <w:rPr>
          <w:rFonts w:ascii="Arial" w:hAnsi="Arial" w:cs="Arial"/>
          <w:szCs w:val="21"/>
        </w:rPr>
        <w:t>一期一标段</w:t>
      </w:r>
      <w:r>
        <w:rPr>
          <w:rFonts w:hint="eastAsia" w:ascii="Arial" w:hAnsi="Arial" w:cs="Arial"/>
          <w:szCs w:val="21"/>
        </w:rPr>
        <w:t>地下室清理、抽水，户内分户验收问题整改完成50%，地下室固化完成40%，主楼内渗漏维修50%，天井施工完成，地下室渗漏修补完成80%，门窗修补完成30%，39#楼消火栓施工完成，39#东侧道路石材铺装完成80%，40#北侧道路石材铺装完成，44#北侧道路石材铺装完成50%，45#北侧道路石材铺装完成30%，雨污水视频检测完成，小高层广电穿线施工完成；</w:t>
      </w:r>
    </w:p>
    <w:p>
      <w:pPr>
        <w:numPr>
          <w:ilvl w:val="0"/>
          <w:numId w:val="2"/>
        </w:numPr>
        <w:spacing w:line="480" w:lineRule="auto"/>
        <w:ind w:left="0" w:firstLine="420" w:firstLineChars="200"/>
        <w:rPr>
          <w:rFonts w:ascii="Arial" w:hAnsi="Arial" w:cs="Arial"/>
          <w:szCs w:val="21"/>
        </w:rPr>
      </w:pPr>
      <w:r>
        <w:rPr>
          <w:rFonts w:ascii="Arial" w:hAnsi="Arial" w:cs="Arial"/>
          <w:szCs w:val="21"/>
        </w:rPr>
        <w:t>一期二标段</w:t>
      </w:r>
      <w:r>
        <w:rPr>
          <w:rFonts w:hint="eastAsia" w:ascii="Arial" w:hAnsi="Arial" w:cs="Arial"/>
          <w:szCs w:val="21"/>
        </w:rPr>
        <w:t>合院区域围墙基础压顶浇筑；</w:t>
      </w:r>
      <w:r>
        <w:rPr>
          <w:rFonts w:ascii="Arial" w:hAnsi="Arial" w:cs="Arial"/>
          <w:szCs w:val="21"/>
        </w:rPr>
        <w:t>一期二标段</w:t>
      </w:r>
      <w:r>
        <w:rPr>
          <w:rFonts w:hint="eastAsia" w:ascii="Arial" w:hAnsi="Arial" w:cs="Arial"/>
          <w:szCs w:val="21"/>
        </w:rPr>
        <w:t>叠墅区域门窗打胶完成90%，防火门安装完成，进户门安装完成70%，户内粉刷整改，户内渗漏检查及整改，进户电缆完成50%，剩余栏杆安装完成，中央水巷水景碎石垫层、砼垫层施工中，庭院整平中，28#南侧巷道硬化施工中，29#、30#、31#楼北侧巷道碎石垫层、钢筋绑扎、砼浇筑完成；</w:t>
      </w:r>
    </w:p>
    <w:p>
      <w:pPr>
        <w:numPr>
          <w:ilvl w:val="0"/>
          <w:numId w:val="2"/>
        </w:numPr>
        <w:spacing w:line="480" w:lineRule="auto"/>
        <w:ind w:left="0" w:firstLine="420" w:firstLineChars="200"/>
        <w:rPr>
          <w:rFonts w:ascii="Arial" w:hAnsi="Arial" w:cs="Arial"/>
          <w:szCs w:val="21"/>
        </w:rPr>
      </w:pPr>
      <w:r>
        <w:rPr>
          <w:rFonts w:hint="eastAsia" w:ascii="Arial" w:hAnsi="Arial" w:cs="Arial"/>
          <w:szCs w:val="21"/>
        </w:rPr>
        <w:t>一期已开始进行正式电通电建设；</w:t>
      </w:r>
    </w:p>
    <w:p>
      <w:pPr>
        <w:numPr>
          <w:ilvl w:val="0"/>
          <w:numId w:val="2"/>
        </w:numPr>
        <w:spacing w:line="480" w:lineRule="auto"/>
        <w:ind w:left="0" w:firstLine="420" w:firstLineChars="200"/>
        <w:rPr>
          <w:rFonts w:ascii="Arial" w:hAnsi="Arial" w:cs="Arial"/>
          <w:szCs w:val="21"/>
        </w:rPr>
      </w:pPr>
      <w:r>
        <w:rPr>
          <w:rFonts w:ascii="Arial" w:hAnsi="Arial" w:cs="Arial"/>
          <w:szCs w:val="21"/>
        </w:rPr>
        <w:t>二</w:t>
      </w:r>
      <w:r>
        <w:rPr>
          <w:rFonts w:hint="eastAsia" w:ascii="Arial" w:hAnsi="Arial" w:cs="Arial"/>
          <w:szCs w:val="21"/>
        </w:rPr>
        <w:t>期合院屋面刚防护层完成；二期叠墅室内粉刷工程正在施工中、室内地坪浇筑基本完成、门窗套安装正在施工中、屋面瓦铺设工程正在施工中；二期小高层外墙保温工程基本完成、除41#楼外其余外架已全部拆除、公区地砖正在施工中、门窗安装正在施工中；</w:t>
      </w:r>
    </w:p>
    <w:p>
      <w:pPr>
        <w:numPr>
          <w:ilvl w:val="0"/>
          <w:numId w:val="2"/>
        </w:numPr>
        <w:spacing w:line="480" w:lineRule="auto"/>
        <w:ind w:left="0" w:firstLine="420" w:firstLineChars="200"/>
        <w:rPr>
          <w:rFonts w:ascii="Arial" w:hAnsi="Arial" w:cs="Arial"/>
          <w:szCs w:val="21"/>
        </w:rPr>
      </w:pPr>
      <w:r>
        <w:rPr>
          <w:rFonts w:ascii="Arial" w:hAnsi="Arial" w:cs="Arial"/>
          <w:szCs w:val="21"/>
        </w:rPr>
        <w:t>三期</w:t>
      </w:r>
      <w:r>
        <w:rPr>
          <w:rFonts w:hint="eastAsia" w:ascii="Arial" w:hAnsi="Arial" w:cs="Arial"/>
          <w:szCs w:val="21"/>
        </w:rPr>
        <w:t>小高层阳台栏板玻璃安装完成90%、门窗安装工程正在施工中、管井防火门安装完成40%、公区墙地砖正在施工中、木工吊顶正在施工中；</w:t>
      </w:r>
    </w:p>
    <w:p>
      <w:pPr>
        <w:numPr>
          <w:ilvl w:val="0"/>
          <w:numId w:val="2"/>
        </w:numPr>
        <w:spacing w:line="480" w:lineRule="auto"/>
        <w:ind w:left="0" w:firstLine="420" w:firstLineChars="200"/>
        <w:rPr>
          <w:rFonts w:ascii="Arial" w:hAnsi="Arial" w:cs="Arial"/>
          <w:szCs w:val="21"/>
        </w:rPr>
      </w:pPr>
      <w:r>
        <w:rPr>
          <w:rFonts w:hint="eastAsia" w:ascii="Arial" w:hAnsi="Arial" w:cs="Arial"/>
          <w:szCs w:val="21"/>
        </w:rPr>
        <w:t>B地块临时用水已转接为正式用水。</w:t>
      </w:r>
    </w:p>
    <w:p>
      <w:pPr>
        <w:spacing w:line="480" w:lineRule="auto"/>
        <w:ind w:firstLine="420" w:firstLineChars="200"/>
        <w:rPr>
          <w:rFonts w:ascii="Arial" w:hAnsi="Arial" w:cs="Arial"/>
          <w:szCs w:val="21"/>
        </w:rPr>
      </w:pPr>
      <w:r>
        <w:rPr>
          <w:rFonts w:ascii="Arial" w:hAnsi="Arial" w:cs="Arial"/>
          <w:szCs w:val="21"/>
        </w:rPr>
        <w:t>A地块</w:t>
      </w:r>
      <w:r>
        <w:rPr>
          <w:rFonts w:hint="eastAsia" w:ascii="Arial" w:hAnsi="Arial" w:cs="Arial"/>
          <w:szCs w:val="21"/>
        </w:rPr>
        <w:t>《建设工程规划许可证》办理</w:t>
      </w:r>
      <w:bookmarkStart w:id="27" w:name="_Toc18774"/>
      <w:bookmarkStart w:id="28" w:name="_Toc22949"/>
      <w:bookmarkStart w:id="29" w:name="_Toc14087"/>
      <w:r>
        <w:rPr>
          <w:rFonts w:hint="eastAsia" w:ascii="Arial" w:hAnsi="Arial" w:cs="Arial"/>
          <w:szCs w:val="21"/>
        </w:rPr>
        <w:t>进度因项目周围居民阻挠停滞不前，项目公司已两次发函催促西太湖管委会加快A地块工程规划许可证审批，目前暂未开工。</w:t>
      </w:r>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p>
    <w:p>
      <w:pPr>
        <w:widowControl/>
        <w:jc w:val="left"/>
        <w:rPr>
          <w:rFonts w:ascii="Arial" w:hAnsi="Arial" w:cs="Arial"/>
          <w:b/>
          <w:bCs/>
          <w:kern w:val="44"/>
          <w:szCs w:val="21"/>
        </w:rPr>
      </w:pPr>
      <w:r>
        <w:rPr>
          <w:rFonts w:ascii="Arial" w:hAnsi="Arial" w:cs="Arial"/>
          <w:b/>
          <w:bCs/>
          <w:kern w:val="44"/>
          <w:szCs w:val="21"/>
        </w:rPr>
        <w:br w:type="page"/>
      </w:r>
    </w:p>
    <w:p>
      <w:pPr>
        <w:spacing w:line="360" w:lineRule="auto"/>
        <w:rPr>
          <w:rFonts w:ascii="Arial" w:hAnsi="Arial" w:cs="Arial"/>
          <w:b/>
          <w:bCs/>
          <w:kern w:val="44"/>
          <w:szCs w:val="21"/>
        </w:rPr>
      </w:pPr>
      <w:r>
        <w:rPr>
          <w:rFonts w:hint="eastAsia" w:ascii="Arial" w:hAnsi="Arial" w:cs="Arial"/>
          <w:b/>
          <w:bCs/>
          <w:kern w:val="44"/>
          <w:szCs w:val="21"/>
        </w:rPr>
        <w:t>A</w:t>
      </w:r>
      <w:r>
        <w:rPr>
          <w:rFonts w:ascii="Arial" w:hAnsi="Arial" w:cs="Arial"/>
          <w:b/>
          <w:bCs/>
          <w:kern w:val="44"/>
          <w:szCs w:val="21"/>
        </w:rPr>
        <w:t>地块现</w:t>
      </w:r>
      <w:r>
        <w:rPr>
          <w:rFonts w:hint="eastAsia" w:ascii="Arial" w:hAnsi="Arial" w:cs="Arial"/>
          <w:b/>
          <w:bCs/>
          <w:kern w:val="44"/>
          <w:szCs w:val="21"/>
        </w:rPr>
        <w:t>状</w:t>
      </w:r>
      <w:r>
        <w:rPr>
          <w:rFonts w:ascii="Arial" w:hAnsi="Arial" w:cs="Arial"/>
          <w:b/>
          <w:bCs/>
          <w:kern w:val="44"/>
          <w:szCs w:val="21"/>
        </w:rPr>
        <w:t>照片</w:t>
      </w:r>
    </w:p>
    <w:p>
      <w:pPr>
        <w:spacing w:line="480" w:lineRule="auto"/>
        <w:ind w:firstLine="420" w:firstLineChars="200"/>
        <w:jc w:val="left"/>
        <w:rPr>
          <w:rFonts w:ascii="Arial" w:hAnsi="Arial" w:cs="Arial"/>
          <w:szCs w:val="21"/>
        </w:rPr>
      </w:pPr>
      <w:r>
        <w:rPr>
          <w:rFonts w:hint="eastAsia" w:ascii="Arial" w:hAnsi="Arial" w:cs="Arial"/>
          <w:szCs w:val="21"/>
        </w:rPr>
        <w:drawing>
          <wp:inline distT="0" distB="0" distL="114300" distR="114300">
            <wp:extent cx="5150485" cy="3493135"/>
            <wp:effectExtent l="0" t="0" r="635" b="12065"/>
            <wp:docPr id="11" name="图片 11" descr="G:\江苏常州项目\交接\03-周报\现场照片(用于复核周报)\2021.08.26现场照片\正常\正常\DJI_0312.jpgDJI_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江苏常州项目\交接\03-周报\现场照片(用于复核周报)\2021.08.26现场照片\正常\正常\DJI_0312.jpgDJI_0312"/>
                    <pic:cNvPicPr>
                      <a:picLocks noChangeAspect="1"/>
                    </pic:cNvPicPr>
                  </pic:nvPicPr>
                  <pic:blipFill>
                    <a:blip r:embed="rId10"/>
                    <a:srcRect t="12128" r="2822"/>
                    <a:stretch>
                      <a:fillRect/>
                    </a:stretch>
                  </pic:blipFill>
                  <pic:spPr>
                    <a:xfrm>
                      <a:off x="0" y="0"/>
                      <a:ext cx="5150485" cy="3493135"/>
                    </a:xfrm>
                    <a:prstGeom prst="rect">
                      <a:avLst/>
                    </a:prstGeom>
                  </pic:spPr>
                </pic:pic>
              </a:graphicData>
            </a:graphic>
          </wp:inline>
        </w:drawing>
      </w:r>
    </w:p>
    <w:p>
      <w:pPr>
        <w:spacing w:line="360" w:lineRule="auto"/>
        <w:rPr>
          <w:rFonts w:ascii="Arial" w:hAnsi="Arial" w:cs="Arial"/>
          <w:b/>
          <w:bCs/>
          <w:kern w:val="44"/>
          <w:szCs w:val="21"/>
        </w:rPr>
      </w:pPr>
    </w:p>
    <w:p>
      <w:pPr>
        <w:widowControl/>
        <w:jc w:val="left"/>
        <w:rPr>
          <w:rFonts w:ascii="Arial" w:hAnsi="Arial" w:cs="Arial"/>
          <w:b/>
          <w:bCs/>
          <w:kern w:val="44"/>
          <w:szCs w:val="21"/>
        </w:rPr>
      </w:pPr>
      <w:r>
        <w:rPr>
          <w:rFonts w:ascii="Arial" w:hAnsi="Arial" w:cs="Arial"/>
          <w:b/>
          <w:bCs/>
          <w:kern w:val="44"/>
          <w:szCs w:val="21"/>
        </w:rPr>
        <w:t>B地块现场照片</w:t>
      </w:r>
      <w:bookmarkEnd w:id="27"/>
      <w:bookmarkEnd w:id="28"/>
      <w:bookmarkEnd w:id="29"/>
    </w:p>
    <w:p>
      <w:pPr>
        <w:rPr>
          <w:rFonts w:ascii="Arial" w:hAnsi="Arial" w:cs="Arial" w:eastAsiaTheme="minorEastAsia"/>
          <w:sz w:val="18"/>
          <w:szCs w:val="18"/>
        </w:rPr>
      </w:pPr>
      <w:r>
        <w:rPr>
          <w:rFonts w:ascii="Arial" w:hAnsi="Arial" w:cs="Arial" w:eastAsiaTheme="minorEastAsia"/>
          <w:sz w:val="18"/>
          <w:szCs w:val="18"/>
        </w:rPr>
        <w:drawing>
          <wp:inline distT="0" distB="0" distL="114300" distR="114300">
            <wp:extent cx="2684145" cy="2013585"/>
            <wp:effectExtent l="0" t="0" r="13335" b="13335"/>
            <wp:docPr id="18" name="图片 18" descr="G:\江苏常州项目\交接\04-月报\20210901现场照片\IMG_20210901_162551.jpgIMG_20210901_162551"/>
            <wp:cNvGraphicFramePr/>
            <a:graphic xmlns:a="http://schemas.openxmlformats.org/drawingml/2006/main">
              <a:graphicData uri="http://schemas.openxmlformats.org/drawingml/2006/picture">
                <pic:pic xmlns:pic="http://schemas.openxmlformats.org/drawingml/2006/picture">
                  <pic:nvPicPr>
                    <pic:cNvPr id="18" name="图片 18" descr="G:\江苏常州项目\交接\04-月报\20210901现场照片\IMG_20210901_162551.jpgIMG_20210901_162551"/>
                    <pic:cNvPicPr/>
                  </pic:nvPicPr>
                  <pic:blipFill>
                    <a:blip r:embed="rId11"/>
                    <a:srcRect/>
                    <a:stretch>
                      <a:fillRect/>
                    </a:stretch>
                  </pic:blipFill>
                  <pic:spPr>
                    <a:xfrm>
                      <a:off x="0" y="0"/>
                      <a:ext cx="2684145" cy="2013585"/>
                    </a:xfrm>
                    <a:prstGeom prst="rect">
                      <a:avLst/>
                    </a:prstGeom>
                  </pic:spPr>
                </pic:pic>
              </a:graphicData>
            </a:graphic>
          </wp:inline>
        </w:drawing>
      </w:r>
      <w:r>
        <w:rPr>
          <w:rFonts w:ascii="Arial" w:hAnsi="Arial" w:cs="Arial" w:eastAsiaTheme="minorEastAsia"/>
          <w:sz w:val="18"/>
          <w:szCs w:val="18"/>
        </w:rPr>
        <w:t xml:space="preserve">   </w:t>
      </w:r>
      <w:r>
        <w:rPr>
          <w:rFonts w:hint="eastAsia" w:ascii="Arial" w:hAnsi="Arial" w:cs="Arial" w:eastAsiaTheme="minorEastAsia"/>
          <w:sz w:val="18"/>
          <w:szCs w:val="18"/>
        </w:rPr>
        <w:drawing>
          <wp:inline distT="0" distB="0" distL="114300" distR="114300">
            <wp:extent cx="2687320" cy="2015490"/>
            <wp:effectExtent l="0" t="0" r="10160" b="11430"/>
            <wp:docPr id="20" name="图片 20" descr="G:\江苏常州项目\交接\04-月报\20210901现场照片\IMG_20210901_163647.jpgIMG_20210901_163647"/>
            <wp:cNvGraphicFramePr/>
            <a:graphic xmlns:a="http://schemas.openxmlformats.org/drawingml/2006/main">
              <a:graphicData uri="http://schemas.openxmlformats.org/drawingml/2006/picture">
                <pic:pic xmlns:pic="http://schemas.openxmlformats.org/drawingml/2006/picture">
                  <pic:nvPicPr>
                    <pic:cNvPr id="20" name="图片 20" descr="G:\江苏常州项目\交接\04-月报\20210901现场照片\IMG_20210901_163647.jpgIMG_20210901_163647"/>
                    <pic:cNvPicPr/>
                  </pic:nvPicPr>
                  <pic:blipFill>
                    <a:blip r:embed="rId12"/>
                    <a:srcRect/>
                    <a:stretch>
                      <a:fillRect/>
                    </a:stretch>
                  </pic:blipFill>
                  <pic:spPr>
                    <a:xfrm>
                      <a:off x="0" y="0"/>
                      <a:ext cx="2687320" cy="2015490"/>
                    </a:xfrm>
                    <a:prstGeom prst="rect">
                      <a:avLst/>
                    </a:prstGeom>
                  </pic:spPr>
                </pic:pic>
              </a:graphicData>
            </a:graphic>
          </wp:inline>
        </w:drawing>
      </w:r>
    </w:p>
    <w:p>
      <w:pPr>
        <w:jc w:val="left"/>
        <w:rPr>
          <w:rFonts w:ascii="Arial" w:hAnsi="Arial" w:cs="Arial" w:eastAsiaTheme="minorEastAsia"/>
          <w:sz w:val="18"/>
        </w:rPr>
      </w:pPr>
      <w:bookmarkStart w:id="30" w:name="_Toc3551"/>
      <w:bookmarkStart w:id="31" w:name="_Toc29345"/>
      <w:bookmarkStart w:id="32" w:name="_Toc23446"/>
      <w:r>
        <w:rPr>
          <w:rFonts w:ascii="Arial" w:hAnsi="Arial" w:cs="Arial" w:eastAsiaTheme="minorEastAsia"/>
          <w:sz w:val="18"/>
          <w:szCs w:val="18"/>
        </w:rPr>
        <w:t>1、</w:t>
      </w:r>
      <w:r>
        <w:rPr>
          <w:rFonts w:hint="eastAsia" w:ascii="Arial" w:hAnsi="Arial" w:cs="Arial" w:eastAsiaTheme="minorEastAsia"/>
          <w:sz w:val="18"/>
          <w:szCs w:val="18"/>
        </w:rPr>
        <w:t>44#北侧道路石材铺装完成50%</w:t>
      </w:r>
      <w:r>
        <w:rPr>
          <w:rFonts w:ascii="Arial" w:hAnsi="Arial" w:cs="Arial" w:eastAsiaTheme="minorEastAsia"/>
          <w:sz w:val="18"/>
          <w:szCs w:val="18"/>
        </w:rPr>
        <w:t xml:space="preserve">              </w:t>
      </w:r>
      <w:r>
        <w:rPr>
          <w:rFonts w:hint="eastAsia" w:ascii="Arial" w:hAnsi="Arial" w:cs="Arial" w:eastAsiaTheme="minorEastAsia"/>
          <w:sz w:val="18"/>
          <w:szCs w:val="18"/>
        </w:rPr>
        <w:t xml:space="preserve">     </w:t>
      </w:r>
      <w:r>
        <w:rPr>
          <w:rFonts w:ascii="Arial" w:hAnsi="Arial" w:cs="Arial" w:eastAsiaTheme="minorEastAsia"/>
          <w:sz w:val="18"/>
          <w:szCs w:val="18"/>
        </w:rPr>
        <w:t>2、</w:t>
      </w:r>
      <w:bookmarkEnd w:id="30"/>
      <w:bookmarkEnd w:id="31"/>
      <w:bookmarkEnd w:id="32"/>
      <w:bookmarkStart w:id="33" w:name="_Toc29900"/>
      <w:r>
        <w:rPr>
          <w:rFonts w:ascii="Arial" w:hAnsi="Arial" w:cs="Arial" w:eastAsiaTheme="minorEastAsia"/>
          <w:sz w:val="18"/>
          <w:szCs w:val="18"/>
        </w:rPr>
        <w:t>一期二标段</w:t>
      </w:r>
      <w:r>
        <w:rPr>
          <w:rFonts w:hint="eastAsia" w:ascii="Arial" w:hAnsi="Arial" w:cs="Arial" w:eastAsiaTheme="minorEastAsia"/>
          <w:sz w:val="18"/>
          <w:szCs w:val="18"/>
        </w:rPr>
        <w:t>合院区域围墙基础压顶浇筑</w:t>
      </w:r>
      <w:r>
        <w:rPr>
          <w:rFonts w:ascii="Arial" w:hAnsi="Arial" w:cs="Arial" w:eastAsiaTheme="minorEastAsia"/>
          <w:sz w:val="18"/>
          <w:szCs w:val="18"/>
        </w:rPr>
        <w:t xml:space="preserve"> </w:t>
      </w:r>
    </w:p>
    <w:bookmarkEnd w:id="33"/>
    <w:p>
      <w:pPr>
        <w:rPr>
          <w:rFonts w:ascii="Arial" w:hAnsi="Arial" w:cs="Arial" w:eastAsiaTheme="minorEastAsia"/>
          <w:sz w:val="18"/>
          <w:szCs w:val="18"/>
        </w:rPr>
      </w:pPr>
      <w:r>
        <w:rPr>
          <w:rFonts w:ascii="Arial" w:hAnsi="Arial" w:cs="Arial" w:eastAsiaTheme="minorEastAsia"/>
          <w:sz w:val="18"/>
          <w:szCs w:val="18"/>
        </w:rPr>
        <w:drawing>
          <wp:inline distT="0" distB="0" distL="114300" distR="114300">
            <wp:extent cx="2687320" cy="2015490"/>
            <wp:effectExtent l="0" t="0" r="10160" b="11430"/>
            <wp:docPr id="13" name="图片 13" descr="G:\江苏常州项目\交接\04-月报\20210901现场照片\IMG_20210901_162848.jpgIMG_20210901_162848"/>
            <wp:cNvGraphicFramePr/>
            <a:graphic xmlns:a="http://schemas.openxmlformats.org/drawingml/2006/main">
              <a:graphicData uri="http://schemas.openxmlformats.org/drawingml/2006/picture">
                <pic:pic xmlns:pic="http://schemas.openxmlformats.org/drawingml/2006/picture">
                  <pic:nvPicPr>
                    <pic:cNvPr id="13" name="图片 13" descr="G:\江苏常州项目\交接\04-月报\20210901现场照片\IMG_20210901_162848.jpgIMG_20210901_162848"/>
                    <pic:cNvPicPr/>
                  </pic:nvPicPr>
                  <pic:blipFill>
                    <a:blip r:embed="rId13"/>
                    <a:srcRect/>
                    <a:stretch>
                      <a:fillRect/>
                    </a:stretch>
                  </pic:blipFill>
                  <pic:spPr>
                    <a:xfrm>
                      <a:off x="0" y="0"/>
                      <a:ext cx="2687320" cy="2015490"/>
                    </a:xfrm>
                    <a:prstGeom prst="rect">
                      <a:avLst/>
                    </a:prstGeom>
                  </pic:spPr>
                </pic:pic>
              </a:graphicData>
            </a:graphic>
          </wp:inline>
        </w:drawing>
      </w:r>
      <w:r>
        <w:rPr>
          <w:rFonts w:ascii="Arial" w:hAnsi="Arial" w:cs="Arial" w:eastAsiaTheme="minorEastAsia"/>
          <w:sz w:val="18"/>
          <w:szCs w:val="18"/>
        </w:rPr>
        <w:t xml:space="preserve">   </w:t>
      </w:r>
      <w:r>
        <w:rPr>
          <w:rFonts w:ascii="Arial" w:hAnsi="Arial" w:cs="Arial" w:eastAsiaTheme="minorEastAsia"/>
          <w:sz w:val="18"/>
          <w:szCs w:val="18"/>
        </w:rPr>
        <w:drawing>
          <wp:inline distT="0" distB="0" distL="114300" distR="114300">
            <wp:extent cx="2684145" cy="2013585"/>
            <wp:effectExtent l="0" t="0" r="13335" b="13335"/>
            <wp:docPr id="14" name="图片 14" descr="G:\江苏常州项目\交接\04-月报\20210901现场照片\IMG_20210901_163041.jpgIMG_20210901_163041"/>
            <wp:cNvGraphicFramePr/>
            <a:graphic xmlns:a="http://schemas.openxmlformats.org/drawingml/2006/main">
              <a:graphicData uri="http://schemas.openxmlformats.org/drawingml/2006/picture">
                <pic:pic xmlns:pic="http://schemas.openxmlformats.org/drawingml/2006/picture">
                  <pic:nvPicPr>
                    <pic:cNvPr id="14" name="图片 14" descr="G:\江苏常州项目\交接\04-月报\20210901现场照片\IMG_20210901_163041.jpgIMG_20210901_163041"/>
                    <pic:cNvPicPr/>
                  </pic:nvPicPr>
                  <pic:blipFill>
                    <a:blip r:embed="rId14"/>
                    <a:srcRect/>
                    <a:stretch>
                      <a:fillRect/>
                    </a:stretch>
                  </pic:blipFill>
                  <pic:spPr>
                    <a:xfrm>
                      <a:off x="0" y="0"/>
                      <a:ext cx="2684145" cy="2013585"/>
                    </a:xfrm>
                    <a:prstGeom prst="rect">
                      <a:avLst/>
                    </a:prstGeom>
                  </pic:spPr>
                </pic:pic>
              </a:graphicData>
            </a:graphic>
          </wp:inline>
        </w:drawing>
      </w:r>
    </w:p>
    <w:p>
      <w:pPr>
        <w:spacing w:line="360" w:lineRule="auto"/>
        <w:jc w:val="left"/>
        <w:rPr>
          <w:rFonts w:ascii="Arial" w:hAnsi="Arial" w:cs="Arial" w:eastAsiaTheme="minorEastAsia"/>
          <w:sz w:val="18"/>
          <w:szCs w:val="18"/>
        </w:rPr>
      </w:pPr>
      <w:bookmarkStart w:id="34" w:name="_Toc18028"/>
      <w:bookmarkStart w:id="35" w:name="_Toc164"/>
      <w:r>
        <w:rPr>
          <w:rFonts w:hint="eastAsia" w:ascii="Arial" w:hAnsi="Arial" w:cs="Arial" w:eastAsiaTheme="minorEastAsia"/>
          <w:sz w:val="18"/>
          <w:szCs w:val="18"/>
        </w:rPr>
        <w:t xml:space="preserve">3、28#南侧巷道硬化     </w:t>
      </w:r>
      <w:r>
        <w:rPr>
          <w:rFonts w:ascii="Arial" w:hAnsi="Arial" w:cs="Arial" w:eastAsiaTheme="minorEastAsia"/>
          <w:sz w:val="18"/>
          <w:szCs w:val="18"/>
        </w:rPr>
        <w:t xml:space="preserve">   </w:t>
      </w:r>
      <w:r>
        <w:rPr>
          <w:rFonts w:hint="eastAsia" w:ascii="Arial" w:hAnsi="Arial" w:cs="Arial" w:eastAsiaTheme="minorEastAsia"/>
          <w:sz w:val="18"/>
          <w:szCs w:val="18"/>
        </w:rPr>
        <w:t xml:space="preserve">                        </w:t>
      </w:r>
      <w:r>
        <w:rPr>
          <w:rFonts w:ascii="Arial" w:hAnsi="Arial" w:cs="Arial" w:eastAsiaTheme="minorEastAsia"/>
          <w:sz w:val="18"/>
          <w:szCs w:val="18"/>
        </w:rPr>
        <w:t>4、</w:t>
      </w:r>
      <w:bookmarkEnd w:id="34"/>
      <w:bookmarkEnd w:id="35"/>
      <w:bookmarkStart w:id="36" w:name="_Toc17430"/>
      <w:r>
        <w:rPr>
          <w:rFonts w:hint="eastAsia" w:ascii="Arial" w:hAnsi="Arial" w:cs="Arial" w:eastAsiaTheme="minorEastAsia"/>
          <w:sz w:val="18"/>
          <w:szCs w:val="18"/>
        </w:rPr>
        <w:t>一期二标叠墅区域中央水巷水景垫层施工中</w:t>
      </w:r>
      <w:r>
        <w:rPr>
          <w:rFonts w:hint="eastAsia" w:ascii="Arial" w:hAnsi="Arial" w:cs="Arial" w:eastAsiaTheme="minorEastAsia"/>
          <w:sz w:val="18"/>
          <w:szCs w:val="18"/>
        </w:rPr>
        <w:drawing>
          <wp:inline distT="0" distB="0" distL="114300" distR="114300">
            <wp:extent cx="2687320" cy="2015490"/>
            <wp:effectExtent l="0" t="0" r="10160" b="11430"/>
            <wp:docPr id="8" name="图片 8" descr="G:\江苏常州项目\交接\03-周报\现场照片(用于复核周报)\2021.08.26现场照片\低飞\低飞\DJI_0365.JPGDJI_0365"/>
            <wp:cNvGraphicFramePr/>
            <a:graphic xmlns:a="http://schemas.openxmlformats.org/drawingml/2006/main">
              <a:graphicData uri="http://schemas.openxmlformats.org/drawingml/2006/picture">
                <pic:pic xmlns:pic="http://schemas.openxmlformats.org/drawingml/2006/picture">
                  <pic:nvPicPr>
                    <pic:cNvPr id="8" name="图片 8" descr="G:\江苏常州项目\交接\03-周报\现场照片(用于复核周报)\2021.08.26现场照片\低飞\低飞\DJI_0365.JPGDJI_0365"/>
                    <pic:cNvPicPr/>
                  </pic:nvPicPr>
                  <pic:blipFill>
                    <a:blip r:embed="rId15"/>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sz w:val="18"/>
          <w:szCs w:val="18"/>
        </w:rPr>
        <w:t xml:space="preserve">   </w:t>
      </w:r>
      <w:r>
        <w:rPr>
          <w:rFonts w:hint="eastAsia" w:ascii="Arial" w:hAnsi="Arial" w:cs="Arial" w:eastAsiaTheme="minorEastAsia"/>
          <w:sz w:val="18"/>
          <w:szCs w:val="18"/>
        </w:rPr>
        <w:drawing>
          <wp:inline distT="0" distB="0" distL="114300" distR="114300">
            <wp:extent cx="2687320" cy="2015490"/>
            <wp:effectExtent l="0" t="0" r="10160" b="11430"/>
            <wp:docPr id="7" name="图片 7" descr="G:\江苏常州项目\交接\04-月报\20210901现场照片\IMG_20210901_164204.jpgIMG_20210901_164204"/>
            <wp:cNvGraphicFramePr/>
            <a:graphic xmlns:a="http://schemas.openxmlformats.org/drawingml/2006/main">
              <a:graphicData uri="http://schemas.openxmlformats.org/drawingml/2006/picture">
                <pic:pic xmlns:pic="http://schemas.openxmlformats.org/drawingml/2006/picture">
                  <pic:nvPicPr>
                    <pic:cNvPr id="7" name="图片 7" descr="G:\江苏常州项目\交接\04-月报\20210901现场照片\IMG_20210901_164204.jpgIMG_20210901_164204"/>
                    <pic:cNvPicPr/>
                  </pic:nvPicPr>
                  <pic:blipFill>
                    <a:blip r:embed="rId16"/>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sz w:val="18"/>
          <w:szCs w:val="18"/>
        </w:rPr>
        <w:t xml:space="preserve">  </w:t>
      </w:r>
    </w:p>
    <w:p>
      <w:pPr>
        <w:spacing w:line="360" w:lineRule="auto"/>
        <w:jc w:val="left"/>
        <w:rPr>
          <w:rFonts w:ascii="Arial" w:hAnsi="Arial" w:cs="Arial" w:eastAsiaTheme="minorEastAsia"/>
          <w:sz w:val="18"/>
          <w:szCs w:val="18"/>
        </w:rPr>
      </w:pPr>
      <w:r>
        <w:rPr>
          <w:rFonts w:hint="eastAsia" w:ascii="Arial" w:hAnsi="Arial" w:cs="Arial" w:eastAsiaTheme="minorEastAsia"/>
          <w:sz w:val="18"/>
          <w:szCs w:val="18"/>
        </w:rPr>
        <w:t>5、二期合院屋面刚防护层完成                       6、二期叠墅门窗套安装正在施工中</w:t>
      </w:r>
    </w:p>
    <w:p>
      <w:pPr>
        <w:spacing w:line="360" w:lineRule="auto"/>
        <w:rPr>
          <w:rFonts w:ascii="Arial" w:hAnsi="Arial" w:cs="Arial" w:eastAsiaTheme="minorEastAsia"/>
          <w:sz w:val="18"/>
          <w:szCs w:val="18"/>
        </w:rPr>
      </w:pPr>
      <w:r>
        <w:rPr>
          <w:rFonts w:hint="eastAsia" w:ascii="Arial" w:hAnsi="Arial" w:cs="Arial" w:eastAsiaTheme="minorEastAsia"/>
          <w:sz w:val="18"/>
          <w:szCs w:val="18"/>
        </w:rPr>
        <w:drawing>
          <wp:inline distT="0" distB="0" distL="114300" distR="114300">
            <wp:extent cx="2687320" cy="2015490"/>
            <wp:effectExtent l="0" t="0" r="10160" b="11430"/>
            <wp:docPr id="3" name="图片 3" descr="G:\江苏常州项目\交接\04-月报\20210901现场照片\IMG_20210901_164318.jpgIMG_20210901_164318"/>
            <wp:cNvGraphicFramePr/>
            <a:graphic xmlns:a="http://schemas.openxmlformats.org/drawingml/2006/main">
              <a:graphicData uri="http://schemas.openxmlformats.org/drawingml/2006/picture">
                <pic:pic xmlns:pic="http://schemas.openxmlformats.org/drawingml/2006/picture">
                  <pic:nvPicPr>
                    <pic:cNvPr id="3" name="图片 3" descr="G:\江苏常州项目\交接\04-月报\20210901现场照片\IMG_20210901_164318.jpgIMG_20210901_164318"/>
                    <pic:cNvPicPr/>
                  </pic:nvPicPr>
                  <pic:blipFill>
                    <a:blip r:embed="rId17"/>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sz w:val="18"/>
          <w:szCs w:val="18"/>
        </w:rPr>
        <w:t xml:space="preserve">    </w:t>
      </w:r>
      <w:r>
        <w:rPr>
          <w:rFonts w:hint="eastAsia" w:ascii="Arial" w:hAnsi="Arial" w:cs="Arial" w:eastAsiaTheme="minorEastAsia"/>
          <w:sz w:val="18"/>
          <w:szCs w:val="18"/>
        </w:rPr>
        <w:drawing>
          <wp:inline distT="0" distB="0" distL="114300" distR="114300">
            <wp:extent cx="2684145" cy="2013585"/>
            <wp:effectExtent l="0" t="0" r="13335" b="13335"/>
            <wp:docPr id="5" name="图片 5" descr="G:\江苏常州项目\交接\04-月报\20210901现场照片\IMG_20210901_164143.jpgIMG_20210901_164143"/>
            <wp:cNvGraphicFramePr/>
            <a:graphic xmlns:a="http://schemas.openxmlformats.org/drawingml/2006/main">
              <a:graphicData uri="http://schemas.openxmlformats.org/drawingml/2006/picture">
                <pic:pic xmlns:pic="http://schemas.openxmlformats.org/drawingml/2006/picture">
                  <pic:nvPicPr>
                    <pic:cNvPr id="5" name="图片 5" descr="G:\江苏常州项目\交接\04-月报\20210901现场照片\IMG_20210901_164143.jpgIMG_20210901_164143"/>
                    <pic:cNvPicPr/>
                  </pic:nvPicPr>
                  <pic:blipFill>
                    <a:blip r:embed="rId18"/>
                    <a:srcRect/>
                    <a:stretch>
                      <a:fillRect/>
                    </a:stretch>
                  </pic:blipFill>
                  <pic:spPr>
                    <a:xfrm>
                      <a:off x="0" y="0"/>
                      <a:ext cx="2684145" cy="2013585"/>
                    </a:xfrm>
                    <a:prstGeom prst="rect">
                      <a:avLst/>
                    </a:prstGeom>
                  </pic:spPr>
                </pic:pic>
              </a:graphicData>
            </a:graphic>
          </wp:inline>
        </w:drawing>
      </w:r>
      <w:r>
        <w:rPr>
          <w:rFonts w:hint="eastAsia" w:ascii="Arial" w:hAnsi="Arial" w:cs="Arial" w:eastAsiaTheme="minorEastAsia"/>
          <w:sz w:val="18"/>
          <w:szCs w:val="18"/>
        </w:rPr>
        <w:t xml:space="preserve">  </w:t>
      </w:r>
    </w:p>
    <w:p>
      <w:pPr>
        <w:spacing w:line="360" w:lineRule="auto"/>
        <w:jc w:val="left"/>
        <w:rPr>
          <w:rFonts w:ascii="Arial" w:hAnsi="Arial" w:cs="Arial" w:eastAsiaTheme="minorEastAsia"/>
          <w:sz w:val="18"/>
          <w:szCs w:val="18"/>
        </w:rPr>
      </w:pPr>
      <w:r>
        <w:rPr>
          <w:rFonts w:hint="eastAsia" w:ascii="Arial" w:hAnsi="Arial" w:cs="Arial" w:eastAsiaTheme="minorEastAsia"/>
          <w:sz w:val="18"/>
          <w:szCs w:val="18"/>
        </w:rPr>
        <w:t>7、二期小高层仅剩41#外架未拆除                    8、三期小高层阳台栏板玻璃安装完成90%</w:t>
      </w:r>
    </w:p>
    <w:p>
      <w:pPr>
        <w:spacing w:line="360" w:lineRule="auto"/>
        <w:rPr>
          <w:rFonts w:ascii="Arial" w:hAnsi="Arial" w:cs="Arial" w:eastAsiaTheme="minorEastAsia"/>
          <w:sz w:val="18"/>
          <w:szCs w:val="18"/>
        </w:rPr>
      </w:pPr>
      <w:bookmarkStart w:id="37" w:name="_Toc7621"/>
      <w:bookmarkStart w:id="38" w:name="_Toc14782"/>
      <w:r>
        <w:rPr>
          <w:rFonts w:hint="eastAsia" w:ascii="Arial" w:hAnsi="Arial" w:cs="Arial" w:eastAsiaTheme="minorEastAsia"/>
          <w:sz w:val="18"/>
          <w:szCs w:val="18"/>
        </w:rPr>
        <w:t xml:space="preserve">   </w:t>
      </w:r>
      <w:bookmarkEnd w:id="36"/>
      <w:bookmarkEnd w:id="37"/>
      <w:r>
        <w:rPr>
          <w:rFonts w:hint="eastAsia" w:ascii="Arial" w:hAnsi="Arial" w:cs="Arial" w:eastAsiaTheme="minorEastAsia"/>
          <w:sz w:val="18"/>
          <w:szCs w:val="18"/>
        </w:rPr>
        <w:t xml:space="preserve"> </w:t>
      </w:r>
      <w:bookmarkEnd w:id="38"/>
      <w:r>
        <w:rPr>
          <w:rFonts w:hint="eastAsia" w:ascii="Arial" w:hAnsi="Arial" w:cs="Arial" w:eastAsiaTheme="minorEastAsia"/>
          <w:sz w:val="18"/>
          <w:szCs w:val="18"/>
        </w:rPr>
        <w:t xml:space="preserve">      </w:t>
      </w:r>
    </w:p>
    <w:p>
      <w:pPr>
        <w:spacing w:line="360" w:lineRule="auto"/>
        <w:jc w:val="left"/>
        <w:rPr>
          <w:rFonts w:ascii="Arial" w:hAnsi="Arial" w:cs="Arial" w:eastAsiaTheme="minorEastAsia"/>
          <w:sz w:val="18"/>
          <w:szCs w:val="18"/>
        </w:rPr>
      </w:pPr>
      <w:bookmarkStart w:id="39" w:name="_Toc15966"/>
      <w:bookmarkStart w:id="40" w:name="_Toc17067"/>
      <w:r>
        <w:rPr>
          <w:rFonts w:hint="eastAsia" w:ascii="Arial" w:hAnsi="Arial" w:cs="Arial" w:eastAsiaTheme="minorEastAsia"/>
          <w:sz w:val="18"/>
          <w:szCs w:val="18"/>
        </w:rPr>
        <w:t xml:space="preserve">   </w:t>
      </w: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tabs>
          <w:tab w:val="left" w:pos="2644"/>
        </w:tabs>
        <w:spacing w:line="360" w:lineRule="auto"/>
        <w:jc w:val="left"/>
        <w:rPr>
          <w:rFonts w:ascii="Arial" w:hAnsi="Arial" w:cs="Arial" w:eastAsiaTheme="minorEastAsia"/>
          <w:sz w:val="18"/>
          <w:szCs w:val="18"/>
        </w:rPr>
      </w:pPr>
      <w:r>
        <w:rPr>
          <w:rFonts w:hint="eastAsia" w:ascii="Arial" w:hAnsi="Arial" w:cs="Arial" w:eastAsiaTheme="minorEastAsia"/>
          <w:sz w:val="18"/>
          <w:szCs w:val="18"/>
        </w:rPr>
        <w:tab/>
      </w: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eastAsiaTheme="minorEastAsia"/>
          <w:sz w:val="18"/>
          <w:szCs w:val="18"/>
        </w:rPr>
      </w:pPr>
    </w:p>
    <w:p>
      <w:pPr>
        <w:spacing w:line="360" w:lineRule="auto"/>
        <w:jc w:val="left"/>
        <w:rPr>
          <w:rFonts w:ascii="Arial" w:hAnsi="Arial" w:cs="Arial"/>
          <w:b/>
          <w:bCs/>
          <w:kern w:val="44"/>
          <w:szCs w:val="21"/>
        </w:rPr>
      </w:pPr>
      <w:r>
        <w:rPr>
          <w:rFonts w:hint="eastAsia" w:ascii="Arial" w:hAnsi="Arial" w:cs="Arial" w:eastAsiaTheme="minorEastAsia"/>
          <w:sz w:val="18"/>
          <w:szCs w:val="18"/>
        </w:rPr>
        <w:t xml:space="preserve">            </w:t>
      </w:r>
      <w:bookmarkEnd w:id="39"/>
      <w:bookmarkEnd w:id="40"/>
    </w:p>
    <w:p>
      <w:pPr>
        <w:pStyle w:val="3"/>
        <w:keepNext w:val="0"/>
        <w:keepLines w:val="0"/>
        <w:spacing w:before="300" w:after="300" w:line="360" w:lineRule="exact"/>
        <w:jc w:val="left"/>
        <w:rPr>
          <w:rFonts w:eastAsia="宋体" w:cs="Arial"/>
          <w:sz w:val="24"/>
          <w:szCs w:val="24"/>
        </w:rPr>
      </w:pPr>
      <w:bookmarkStart w:id="41" w:name="_Toc9386"/>
      <w:r>
        <w:rPr>
          <w:rFonts w:eastAsia="宋体" w:cs="Arial"/>
          <w:sz w:val="24"/>
          <w:szCs w:val="24"/>
        </w:rPr>
        <w:t>3.2证照办理情况说明</w:t>
      </w:r>
      <w:bookmarkEnd w:id="21"/>
      <w:bookmarkEnd w:id="41"/>
    </w:p>
    <w:p>
      <w:pPr>
        <w:spacing w:before="240" w:beforeLines="100"/>
        <w:jc w:val="center"/>
        <w:rPr>
          <w:rFonts w:ascii="Arial" w:hAnsi="Arial" w:cs="Arial"/>
          <w:b/>
          <w:color w:val="000000"/>
          <w:sz w:val="24"/>
        </w:rPr>
      </w:pPr>
      <w:bookmarkStart w:id="42" w:name="_Toc13681"/>
      <w:bookmarkStart w:id="43" w:name="_Toc22226"/>
      <w:r>
        <w:rPr>
          <w:rFonts w:ascii="Arial" w:hAnsi="Arial" w:cs="Arial"/>
          <w:b/>
          <w:color w:val="000000"/>
          <w:sz w:val="24"/>
        </w:rPr>
        <w:t>证照办理计划及进度表</w:t>
      </w:r>
      <w:bookmarkEnd w:id="42"/>
      <w:bookmarkEnd w:id="43"/>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blPrEx>
          <w:tblCellMar>
            <w:top w:w="0" w:type="dxa"/>
            <w:left w:w="0" w:type="dxa"/>
            <w:bottom w:w="0" w:type="dxa"/>
            <w:right w:w="0" w:type="dxa"/>
          </w:tblCellMar>
        </w:tblPrEx>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A、B地块《不动产权证书》</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A地块：2020年12月17日换发《不动产权证书》完成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A</w:t>
            </w:r>
            <w:r>
              <w:rPr>
                <w:rFonts w:ascii="Arial" w:hAnsi="Arial" w:cs="Arial" w:eastAsiaTheme="minorEastAsia"/>
                <w:color w:val="000000"/>
                <w:kern w:val="0"/>
                <w:sz w:val="18"/>
                <w:szCs w:val="18"/>
              </w:rPr>
              <w:t>地块：20</w:t>
            </w:r>
            <w:r>
              <w:rPr>
                <w:rFonts w:hint="eastAsia" w:ascii="Arial" w:hAnsi="Arial" w:cs="Arial" w:eastAsiaTheme="minorEastAsia"/>
                <w:color w:val="000000"/>
                <w:kern w:val="0"/>
                <w:sz w:val="18"/>
                <w:szCs w:val="18"/>
              </w:rPr>
              <w:t>20</w:t>
            </w:r>
            <w:r>
              <w:rPr>
                <w:rFonts w:ascii="Arial" w:hAnsi="Arial" w:cs="Arial" w:eastAsiaTheme="minorEastAsia"/>
                <w:color w:val="000000"/>
                <w:kern w:val="0"/>
                <w:sz w:val="18"/>
                <w:szCs w:val="18"/>
              </w:rPr>
              <w:t>年</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17</w:t>
            </w:r>
            <w:r>
              <w:rPr>
                <w:rFonts w:ascii="Arial" w:hAnsi="Arial" w:cs="Arial" w:eastAsiaTheme="minorEastAsia"/>
                <w:color w:val="000000"/>
                <w:kern w:val="0"/>
                <w:sz w:val="18"/>
                <w:szCs w:val="18"/>
              </w:rPr>
              <w:t>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2021年4月28日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一期二标段1#-7#、13#-15#、18#、19#、22#-24#、28#-31#：2020年6月17日已取得；</w:t>
            </w:r>
          </w:p>
        </w:tc>
      </w:tr>
      <w:tr>
        <w:tblPrEx>
          <w:tblCellMar>
            <w:top w:w="0" w:type="dxa"/>
            <w:left w:w="0" w:type="dxa"/>
            <w:bottom w:w="0" w:type="dxa"/>
            <w:right w:w="0" w:type="dxa"/>
          </w:tblCellMar>
        </w:tblPrEx>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三期（43#、49#楼）：2020年7月10日已取得；二期48#：2020年7月28日已取得；二期（42#楼）：2020年8月29日已取得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二三期12#、36#、37#、38#、4</w:t>
            </w:r>
            <w:r>
              <w:rPr>
                <w:rFonts w:hint="eastAsia" w:ascii="Arial" w:hAnsi="Arial" w:cs="Arial" w:eastAsiaTheme="minorEastAsia"/>
                <w:color w:val="000000"/>
                <w:sz w:val="18"/>
                <w:szCs w:val="18"/>
              </w:rPr>
              <w:t>6</w:t>
            </w:r>
            <w:r>
              <w:rPr>
                <w:rFonts w:ascii="Arial" w:hAnsi="Arial" w:cs="Arial" w:eastAsiaTheme="minorEastAsia"/>
                <w:color w:val="000000"/>
                <w:sz w:val="18"/>
                <w:szCs w:val="18"/>
              </w:rPr>
              <w:t>#、4</w:t>
            </w:r>
            <w:r>
              <w:rPr>
                <w:rFonts w:hint="eastAsia" w:ascii="Arial" w:hAnsi="Arial" w:cs="Arial" w:eastAsiaTheme="minorEastAsia"/>
                <w:color w:val="000000"/>
                <w:sz w:val="18"/>
                <w:szCs w:val="18"/>
              </w:rPr>
              <w:t>7</w:t>
            </w:r>
            <w:r>
              <w:rPr>
                <w:rFonts w:ascii="Arial" w:hAnsi="Arial" w:cs="Arial" w:eastAsiaTheme="minorEastAsia"/>
                <w:color w:val="000000"/>
                <w:sz w:val="18"/>
                <w:szCs w:val="18"/>
              </w:rPr>
              <w:t>#楼：2020年11月27日已取得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二期合院（8#、9#、10#、11#）</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二期合院（8#、9#、10#、11#）</w:t>
            </w:r>
            <w:r>
              <w:rPr>
                <w:rFonts w:hint="eastAsia" w:ascii="Arial" w:hAnsi="Arial" w:cs="Arial" w:eastAsiaTheme="minorEastAsia"/>
                <w:color w:val="000000"/>
                <w:kern w:val="0"/>
                <w:sz w:val="18"/>
                <w:szCs w:val="18"/>
              </w:rPr>
              <w:t>：2021年4月29日已取得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二期叠墅（16#、17#、20#、21#、25#</w:t>
            </w:r>
            <w:r>
              <w:rPr>
                <w:rFonts w:hint="eastAsia" w:ascii="Arial" w:hAnsi="Arial" w:cs="Arial" w:eastAsiaTheme="minorEastAsia"/>
                <w:color w:val="000000"/>
                <w:kern w:val="0"/>
                <w:sz w:val="18"/>
                <w:szCs w:val="18"/>
              </w:rPr>
              <w:t>-</w:t>
            </w:r>
            <w:r>
              <w:rPr>
                <w:rFonts w:ascii="Arial" w:hAnsi="Arial" w:cs="Arial" w:eastAsiaTheme="minorEastAsia"/>
                <w:color w:val="000000"/>
                <w:kern w:val="0"/>
                <w:sz w:val="18"/>
                <w:szCs w:val="18"/>
              </w:rPr>
              <w:t>27#、32#-34#）</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二期叠墅（16#、17#、20#、21#、25#</w:t>
            </w:r>
            <w:r>
              <w:rPr>
                <w:rFonts w:hint="eastAsia" w:ascii="Arial" w:hAnsi="Arial" w:cs="Arial" w:eastAsiaTheme="minorEastAsia"/>
                <w:color w:val="000000"/>
                <w:kern w:val="0"/>
                <w:sz w:val="18"/>
                <w:szCs w:val="18"/>
              </w:rPr>
              <w:t>-</w:t>
            </w:r>
            <w:r>
              <w:rPr>
                <w:rFonts w:ascii="Arial" w:hAnsi="Arial" w:cs="Arial" w:eastAsiaTheme="minorEastAsia"/>
                <w:color w:val="000000"/>
                <w:kern w:val="0"/>
                <w:sz w:val="18"/>
                <w:szCs w:val="18"/>
              </w:rPr>
              <w:t>27#、32#-34#）</w:t>
            </w:r>
            <w:r>
              <w:rPr>
                <w:rFonts w:hint="eastAsia" w:ascii="Arial" w:hAnsi="Arial" w:cs="Arial" w:eastAsiaTheme="minorEastAsia"/>
                <w:color w:val="000000"/>
                <w:kern w:val="0"/>
                <w:sz w:val="18"/>
                <w:szCs w:val="18"/>
              </w:rPr>
              <w:t>：2021年4月29日已取得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二期小高层（41#）</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高层</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2021年11月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12月30日提报道诚基金的《2021年度项目开发计划》为依据。</w:t>
      </w:r>
    </w:p>
    <w:bookmarkEnd w:id="9"/>
    <w:p>
      <w:pPr>
        <w:widowControl/>
        <w:jc w:val="left"/>
        <w:rPr>
          <w:rFonts w:ascii="Arial" w:hAnsi="Arial" w:cs="Arial"/>
          <w:b/>
          <w:bCs/>
          <w:color w:val="000000"/>
          <w:kern w:val="44"/>
          <w:sz w:val="24"/>
        </w:rPr>
      </w:pPr>
      <w:bookmarkStart w:id="44" w:name="_Toc2447"/>
      <w:bookmarkStart w:id="45" w:name="_Toc532281660"/>
      <w:bookmarkStart w:id="46" w:name="_Toc535580026"/>
      <w:bookmarkStart w:id="47" w:name="_Toc535580094"/>
      <w:bookmarkStart w:id="48" w:name="_Toc535570753"/>
      <w:bookmarkStart w:id="49" w:name="_Toc535508639"/>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50" w:name="_Toc24769"/>
      <w:r>
        <w:rPr>
          <w:rFonts w:ascii="Arial" w:hAnsi="Arial" w:cs="Arial"/>
          <w:color w:val="000000"/>
          <w:sz w:val="24"/>
          <w:szCs w:val="24"/>
        </w:rPr>
        <w:t>4资金情况</w:t>
      </w:r>
      <w:bookmarkEnd w:id="44"/>
      <w:bookmarkEnd w:id="50"/>
    </w:p>
    <w:p>
      <w:pPr>
        <w:pStyle w:val="3"/>
        <w:keepNext w:val="0"/>
        <w:keepLines w:val="0"/>
        <w:tabs>
          <w:tab w:val="center" w:pos="4649"/>
        </w:tabs>
        <w:spacing w:before="300" w:after="300" w:line="360" w:lineRule="exact"/>
        <w:jc w:val="left"/>
        <w:rPr>
          <w:rFonts w:cs="Arial"/>
          <w:b w:val="0"/>
          <w:color w:val="000000"/>
          <w:sz w:val="24"/>
        </w:rPr>
      </w:pPr>
      <w:bookmarkStart w:id="51" w:name="_Toc16091"/>
      <w:bookmarkStart w:id="52" w:name="_Toc24852"/>
      <w:r>
        <w:rPr>
          <w:rFonts w:eastAsia="宋体" w:cs="Arial"/>
          <w:sz w:val="24"/>
        </w:rPr>
        <w:t>4.1资金流出情况</w:t>
      </w:r>
      <w:bookmarkEnd w:id="51"/>
      <w:bookmarkEnd w:id="52"/>
      <w:bookmarkStart w:id="53" w:name="_Toc23371"/>
      <w:bookmarkStart w:id="54" w:name="_Toc30107"/>
    </w:p>
    <w:p>
      <w:pPr>
        <w:spacing w:before="240" w:beforeLines="100"/>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8</w:t>
      </w:r>
      <w:r>
        <w:rPr>
          <w:rFonts w:ascii="Arial" w:hAnsi="Arial" w:cs="Arial"/>
          <w:b/>
          <w:color w:val="000000"/>
          <w:sz w:val="24"/>
        </w:rPr>
        <w:t>月资金流出情况表</w:t>
      </w:r>
      <w:bookmarkEnd w:id="53"/>
      <w:bookmarkEnd w:id="54"/>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rPr>
          <w:cantSplit/>
          <w:trHeight w:val="9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2021年7月份员工公积金扣款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115,174.00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支付常州凯迪广告20年11月份常规物料结算费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常州凯迪广告有限公司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38,435.61</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支付常州博纳文化户外大牌尾款（延政路与湖滨路2021.03.15-2021.06.14）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常州博纳文化传播有限公司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115,500.00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预付常州欧艾项目工地打印机租赁费（2021.07-2021.09）及超出费用（2021.04-2021.06）</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1,772.00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支付江苏东方建设项目一期合院、会所、叠墅工程监理款（付至合同价60%）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江苏东方建设项目管理咨询有限公司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沈娜报销营销管理部6月份快递费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丁玲报销员工家属慰问费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杨晓君报销临时交通费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239.42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高钰龙报销奥迪维修费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3,815.00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2,865.00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2,686.80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47"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2,768.00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2,977.00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97"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2021年7月电信电话费扣款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4,470.00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2021年7月份员工个人所得税扣款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78,535.38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支付2021年7月非营销人员工资及半年度绩效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全体员工（非营销）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1,458,433.90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项目地块电费（2021.7.1-2021.7.31）</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135,829.28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项目地块电费（2021.7.1-2021.7.31）</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项目地块水费（2021.7.5-2021.8.5）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64,610.87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支付奥迪、别克、哈佛三辆公车2021年7月份油卡充值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支付武进区礼河卫生院核酸检测费（营销管理部）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常州市武进区礼河卫生院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3,680.00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周怡青报销营销管理部核酸检测费（魏超、朱颖冰）</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蓝城北方工程管理费（2021年3月）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支付江河港武水务临水预存水费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支付常州市武进房地产测绘项目一期地下车库（1号车库）预测绘费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常州市武进房地产测绘有限公司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14,666.00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346"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支付江苏大禹水务项目一期接入市政污水主管网服务费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江苏大禹水务有限公司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550,395.36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预付江苏大禹水务项目施工保证金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江苏大禹水务有限公司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支付常州市天龙设备安装项目二三期临时供水费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常州市武进天龙设备安装工程有限公司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22,572.20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支付江苏众益智能安防项目一期可燃气体泄漏报警控制系统安装费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江苏众益智能安防有限公司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459,600.00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支付北京磐博2021年8月份代缴员工社保、公积金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75,990.97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营销人员2021年7月份工资及佣金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350,219.06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支付常州市中级人民法院公司决议撤销纠纷一案上诉费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江苏省常州市中级人民法院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支付钟楼北港花无缺花艺营销中心绿植租赁费（2020.12.20-2021.03.19）</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钟楼区北港花无缺花艺中心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8,962.00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支付常州市威臣广告常房网网络广告费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常州市威臣广告有限公司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支付常州拓睿达广告发光字制作安装质保金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常州拓睿达广告有限公司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479.00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支付常州拓睿达广告LED显示屏质保金费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常州拓睿达广告有限公司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支付常州和平环卫营销中心垃圾处理费（2021.07-2022.07）</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常州和平环卫服务有限公司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7,200.00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支付上海市三之田模型设计项目沙盘模型制作安装质保金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上海市山之田模型设计有限公司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19,500.00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支付常州市同飞商贸营销中心打印机租赁费（2021.04.23-2021.07.22）</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3,042.00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预付常州欧艾营销中心二楼北区打印机租赁费（2021.08-2021.10）及超出费用（2021.05-2021.07）</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朱颖冰报销微信公证号年审费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朱颖冰</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杨晓君报销项目总经理徐志刚住宿费（2021.06.08-2021.07.07）</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4,133.01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2,055.00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2,835.00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2,658.00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2,703.00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2,103.00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支付2021年7月份员工社保扣款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114,078.10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支付2021年7月份员工社保扣款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48,505.51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预付常州市武进广播电视项目一期有限数字电视建设工程款（预付合同价款50%）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常州市武进广播电视信息网络有限责任公司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515,995.50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支付江苏大禹水务项目一期雨污水管网工程管道数字化检查款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江苏大禹水务有限公司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支付浙江中亚园林项目一期室外景观园林及配套工程款（付至已完工程造价75%）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浙江中亚园林集团有限公司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3,334,942.88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2021年7月份增值税、城建税、教育费附加、地方教育费附加扣款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1,425,379.82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2021年7月份预缴土地增值税扣款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899,346.79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2021年7月份合同印花税申报扣款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192.80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支付常州智森标识营销中心标识标牌质保金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常州智森标识有限公司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5,530.00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支付新北区薛家瓴悦日用品百货营销中心6月份物业类易耗品采购费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7,726.40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支付武进开元广告项目精神堡垒制作安装质保金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常州市武进开元广告装璜有限公司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4,150.00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支付常州博纳文化户外大牌第一笔款（延政路与湖滨路2021.06.15-2021.09.14）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常州博纳文化传播有限公司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49,500.00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支付常州市同飞商贸营销中心电脑配件修理费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支付常州市武进区礼河卫生院工程管理部员工核酸检测费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常州市武进区礼河卫生院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715.00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预付浙江中亚园林项目一期室外电缆及管沟建设工程款（合同总价的10%）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浙江中亚园林集团有限公司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396,431.06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支付上海三菱电梯项目一期叠墅电梯安装费（13#楼付至合同价100%）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38,600.00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支付江苏东方建设项目二三期监理工程费（付至合同金额30%）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江苏东方建设项目管理咨询有限公司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644,516.60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沈娜报销7月份营销中心快递费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蔡婷婷报销工程部团建费（2021.06-2021.07）</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蔡婷婷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1,618.00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1,649.70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周怡青报销21年员工‘夏日送清凉’福利费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9,526.67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丁玲报销办公用品费（工作笔记本）</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4,260.00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周怡青报销营销中心二楼饮用水费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高钰龙报销办公杂项费（夏日送清凉横幅）</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高钰龙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125.00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杨晓君报销车辆轮胎更换费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1,306.00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杨晓君报销临时停车费（2021.05.09-2021.07.31）</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2,974.00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2,914.00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2,880.00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2,980.00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支付杭州必扬装饰项目一期样板房软装设计与采购（付至结算价95%）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杭州必扬装饰工程有限公司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92,500.00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2021年8月26日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支付常州二建项目二三期总包工程款（7月份农民工工资）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常州二建建设有限公司建筑工人工资专户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7,459,027.77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对公短信通知服务费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中国银行江苏省分行收费业务专用账号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支付前锦网络前程无忧招聘网站信息服务费（2021.08.31-2022.09.15）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前锦网络信息技术（上海）有限公司武汉分公司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6,080.00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预付上海三菱电梯项目一期叠墅电梯安装款（除13号楼样板梯外的25台电梯50%）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482,500.00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预付上海三菱电梯项目一期39#、40#、44#、45#电梯安装款（39-45号楼除39号楼样板梯外的11台电梯50%）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上海三菱电梯有限公司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244,640.00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p>
            <w:pPr>
              <w:jc w:val="center"/>
            </w:pPr>
            <w:r>
              <w:rPr>
                <w:rFonts w:hint="eastAsia"/>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支付武进经发区永之旺水果店营销中心6月份水果费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武进经发区永之旺水果店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5,300.00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eastAsiaTheme="minorEastAsia"/>
                <w:b/>
                <w:bCs/>
                <w:color w:val="000000"/>
                <w:kern w:val="0"/>
                <w:sz w:val="18"/>
                <w:szCs w:val="18"/>
              </w:rPr>
              <w:t>21,861,518.46</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注：电信公司电话费、员工社保、公积金、税金等为银行托管项目，银行根据申报金额自动扣款;</w:t>
      </w:r>
    </w:p>
    <w:p>
      <w:pPr>
        <w:pStyle w:val="3"/>
        <w:keepNext w:val="0"/>
        <w:keepLines w:val="0"/>
        <w:tabs>
          <w:tab w:val="center" w:pos="4649"/>
        </w:tabs>
        <w:spacing w:before="300" w:after="300" w:line="360" w:lineRule="exact"/>
        <w:jc w:val="left"/>
        <w:rPr>
          <w:rFonts w:eastAsia="宋体" w:cs="Arial"/>
          <w:sz w:val="24"/>
        </w:rPr>
      </w:pPr>
      <w:bookmarkStart w:id="55" w:name="_Toc19840"/>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widowControl/>
        <w:jc w:val="left"/>
        <w:rPr>
          <w:rFonts w:ascii="Arial" w:hAnsi="Arial" w:cs="Arial"/>
          <w:b/>
          <w:bCs/>
          <w:sz w:val="24"/>
          <w:szCs w:val="32"/>
        </w:rPr>
      </w:pPr>
      <w:r>
        <w:rPr>
          <w:rFonts w:cs="Arial"/>
          <w:sz w:val="24"/>
        </w:rPr>
        <w:br w:type="page"/>
      </w:r>
    </w:p>
    <w:p>
      <w:pPr>
        <w:pStyle w:val="3"/>
        <w:keepNext w:val="0"/>
        <w:keepLines w:val="0"/>
        <w:tabs>
          <w:tab w:val="center" w:pos="4649"/>
        </w:tabs>
        <w:spacing w:before="300" w:after="300" w:line="360" w:lineRule="exact"/>
        <w:jc w:val="left"/>
        <w:rPr>
          <w:rFonts w:eastAsia="宋体" w:cs="Arial"/>
          <w:sz w:val="24"/>
        </w:rPr>
      </w:pPr>
      <w:bookmarkStart w:id="56" w:name="_Toc10816"/>
      <w:r>
        <w:rPr>
          <w:rFonts w:eastAsia="宋体" w:cs="Arial"/>
          <w:sz w:val="24"/>
        </w:rPr>
        <w:t>4.2资金流入情况</w:t>
      </w:r>
      <w:bookmarkEnd w:id="55"/>
      <w:bookmarkEnd w:id="56"/>
    </w:p>
    <w:p>
      <w:pPr>
        <w:spacing w:before="300" w:after="300" w:line="360" w:lineRule="exact"/>
        <w:jc w:val="left"/>
        <w:rPr>
          <w:rFonts w:ascii="Arial" w:hAnsi="Arial" w:cs="Arial"/>
          <w:b/>
          <w:sz w:val="24"/>
        </w:rPr>
      </w:pPr>
      <w:r>
        <w:rPr>
          <w:rFonts w:ascii="Arial" w:hAnsi="Arial" w:cs="Arial"/>
          <w:b/>
          <w:sz w:val="24"/>
        </w:rPr>
        <w:t>4.2.1销售回款流入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2021年</w:t>
      </w:r>
      <w:r>
        <w:rPr>
          <w:rFonts w:hint="eastAsia" w:ascii="Arial" w:hAnsi="Arial" w:cs="Arial"/>
          <w:bCs/>
          <w:kern w:val="44"/>
          <w:szCs w:val="21"/>
        </w:rPr>
        <w:t>8</w:t>
      </w:r>
      <w:r>
        <w:rPr>
          <w:rFonts w:ascii="Arial" w:hAnsi="Arial" w:cs="Arial"/>
          <w:bCs/>
          <w:kern w:val="44"/>
          <w:szCs w:val="21"/>
        </w:rPr>
        <w:t>月项目公司销售回款应收总计</w:t>
      </w:r>
      <w:r>
        <w:rPr>
          <w:rFonts w:hint="eastAsia" w:ascii="Arial" w:hAnsi="Arial" w:cs="Arial"/>
          <w:bCs/>
          <w:kern w:val="44"/>
          <w:szCs w:val="21"/>
        </w:rPr>
        <w:t>50,292,073.00</w:t>
      </w:r>
      <w:r>
        <w:rPr>
          <w:rFonts w:ascii="Arial" w:hAnsi="Arial" w:cs="Arial"/>
          <w:bCs/>
          <w:kern w:val="44"/>
          <w:szCs w:val="21"/>
        </w:rPr>
        <w:t>元，房款应收款</w:t>
      </w:r>
      <w:r>
        <w:rPr>
          <w:rFonts w:hint="eastAsia" w:ascii="Arial" w:hAnsi="Arial" w:cs="Arial" w:eastAsiaTheme="minorEastAsia"/>
          <w:bCs/>
          <w:szCs w:val="21"/>
        </w:rPr>
        <w:t>4,492,073.00</w:t>
      </w:r>
      <w:r>
        <w:rPr>
          <w:rFonts w:ascii="Arial" w:hAnsi="Arial" w:cs="Arial"/>
          <w:bCs/>
          <w:kern w:val="44"/>
          <w:szCs w:val="21"/>
        </w:rPr>
        <w:t>元，银行按揭放款到第三方正泰托管账户金额</w:t>
      </w:r>
      <w:r>
        <w:rPr>
          <w:rFonts w:hint="eastAsia" w:ascii="Arial" w:hAnsi="Arial" w:cs="Arial" w:eastAsiaTheme="minorEastAsia"/>
          <w:bCs/>
          <w:szCs w:val="21"/>
        </w:rPr>
        <w:t>45,800,000.00</w:t>
      </w:r>
      <w:r>
        <w:rPr>
          <w:rFonts w:ascii="Arial" w:hAnsi="Arial" w:cs="Arial"/>
          <w:bCs/>
          <w:kern w:val="44"/>
          <w:szCs w:val="21"/>
        </w:rPr>
        <w:t>元；扣除银行手续费及按揭放款到第三方正泰托管账户未解款至邮储银行金额后项目公司银行账户实际入账</w:t>
      </w:r>
      <w:r>
        <w:rPr>
          <w:rFonts w:hint="eastAsia" w:ascii="Arial" w:hAnsi="Arial" w:cs="Arial" w:eastAsiaTheme="minorEastAsia"/>
          <w:bCs/>
          <w:szCs w:val="21"/>
        </w:rPr>
        <w:t>37,029,497.00</w:t>
      </w:r>
      <w:r>
        <w:rPr>
          <w:rFonts w:hint="eastAsia" w:ascii="Arial" w:hAnsi="Arial" w:cs="Arial"/>
          <w:bCs/>
          <w:kern w:val="44"/>
          <w:szCs w:val="21"/>
        </w:rPr>
        <w:t>元</w:t>
      </w:r>
      <w:r>
        <w:rPr>
          <w:rFonts w:ascii="Arial" w:hAnsi="Arial" w:cs="Arial"/>
          <w:bCs/>
          <w:kern w:val="44"/>
          <w:szCs w:val="21"/>
        </w:rPr>
        <w:t>，各银行销售回款情况如下：</w:t>
      </w:r>
    </w:p>
    <w:p>
      <w:pPr>
        <w:spacing w:before="240" w:beforeLines="100"/>
        <w:jc w:val="center"/>
        <w:rPr>
          <w:rFonts w:ascii="Arial" w:hAnsi="Arial" w:cs="Arial"/>
          <w:b/>
          <w:color w:val="000000"/>
          <w:sz w:val="24"/>
        </w:rPr>
      </w:pPr>
      <w:bookmarkStart w:id="57" w:name="_Toc29763"/>
      <w:r>
        <w:rPr>
          <w:rFonts w:ascii="Arial" w:hAnsi="Arial" w:cs="Arial"/>
          <w:b/>
          <w:color w:val="000000"/>
          <w:sz w:val="24"/>
        </w:rPr>
        <w:t>2021年</w:t>
      </w:r>
      <w:r>
        <w:rPr>
          <w:rFonts w:hint="eastAsia" w:ascii="Arial" w:hAnsi="Arial" w:cs="Arial"/>
          <w:b/>
          <w:color w:val="000000"/>
          <w:sz w:val="24"/>
        </w:rPr>
        <w:t>8</w:t>
      </w:r>
      <w:r>
        <w:rPr>
          <w:rFonts w:ascii="Arial" w:hAnsi="Arial" w:cs="Arial"/>
          <w:b/>
          <w:color w:val="000000"/>
          <w:sz w:val="24"/>
        </w:rPr>
        <w:t>月销售回款情况表</w:t>
      </w:r>
      <w:bookmarkEnd w:id="57"/>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410,000.00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2,060,000.00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2,022,037.00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36.00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2,022,073.00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9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bCs/>
                <w:color w:val="000000" w:themeColor="text1"/>
                <w:kern w:val="0"/>
                <w:sz w:val="18"/>
                <w:szCs w:val="18"/>
                <w14:textFill>
                  <w14:solidFill>
                    <w14:schemeClr w14:val="tx1"/>
                  </w14:solidFill>
                </w14:textFill>
              </w:rPr>
              <w:t>4,492,037.00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36.00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4,492,073.00</w:t>
            </w:r>
          </w:p>
        </w:tc>
      </w:tr>
      <w:tr>
        <w:tblPrEx>
          <w:tblCellMar>
            <w:top w:w="0" w:type="dxa"/>
            <w:left w:w="0" w:type="dxa"/>
            <w:bottom w:w="0" w:type="dxa"/>
            <w:right w:w="0" w:type="dxa"/>
          </w:tblCellMar>
        </w:tblPrEx>
        <w:trPr>
          <w:trHeight w:val="9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第三方托管解款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32,537,460.00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32,537,460.00</w:t>
            </w:r>
          </w:p>
        </w:tc>
      </w:tr>
      <w:tr>
        <w:tblPrEx>
          <w:tblCellMar>
            <w:top w:w="0" w:type="dxa"/>
            <w:left w:w="0" w:type="dxa"/>
            <w:bottom w:w="0" w:type="dxa"/>
            <w:right w:w="0" w:type="dxa"/>
          </w:tblCellMar>
        </w:tblPrEx>
        <w:trPr>
          <w:trHeight w:val="90" w:hRule="atLeast"/>
        </w:trPr>
        <w:tc>
          <w:tcPr>
            <w:tcW w:w="175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32,537,460.00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32,537,460.00</w:t>
            </w:r>
          </w:p>
        </w:tc>
      </w:tr>
      <w:tr>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eastAsiaTheme="minorEastAsia"/>
                <w:color w:val="000000"/>
                <w:sz w:val="18"/>
                <w:szCs w:val="18"/>
              </w:rPr>
            </w:pPr>
            <w:r>
              <w:rPr>
                <w:rFonts w:hint="eastAsia" w:ascii="Arial" w:hAnsi="Arial" w:cs="Arial" w:eastAsiaTheme="minorEastAsia"/>
                <w:b/>
                <w:bCs/>
                <w:color w:val="000000" w:themeColor="text1"/>
                <w:kern w:val="0"/>
                <w:sz w:val="18"/>
                <w:szCs w:val="18"/>
                <w14:textFill>
                  <w14:solidFill>
                    <w14:schemeClr w14:val="tx1"/>
                  </w14:solidFill>
                </w14:textFill>
              </w:rPr>
              <w:t>37,029,497.00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36.00</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b/>
                <w:bCs/>
                <w:color w:val="000000" w:themeColor="text1"/>
                <w:kern w:val="0"/>
                <w:sz w:val="18"/>
                <w:szCs w:val="18"/>
                <w14:textFill>
                  <w14:solidFill>
                    <w14:schemeClr w14:val="tx1"/>
                  </w14:solidFill>
                </w14:textFill>
              </w:rPr>
              <w:t>37,029,533.00</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22,620,000.00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22,620,000.00</w:t>
            </w:r>
          </w:p>
        </w:tc>
      </w:tr>
      <w:tr>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建设银行（常州分行）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建设银行（丰乐支行）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农业银行（锦绣路支行）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7,190,000.00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7,190,000.00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华夏银行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5,700,000.00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5,700,000.00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江南银行（前黄支行）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2,980,000.00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2,980,000.00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江南银行（高新区支行）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7,310,000.00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7,310,000.00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45,800,000.00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bCs/>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hint="eastAsia" w:ascii="Arial" w:hAnsi="Arial" w:cs="Arial" w:eastAsiaTheme="minorEastAsia"/>
                <w:b/>
                <w:color w:val="000000"/>
                <w:sz w:val="18"/>
                <w:szCs w:val="18"/>
              </w:rPr>
              <w:t>45,800,000.00</w:t>
            </w:r>
          </w:p>
        </w:tc>
      </w:tr>
    </w:tbl>
    <w:p>
      <w:pPr>
        <w:spacing w:before="300" w:after="300" w:line="360" w:lineRule="exact"/>
        <w:jc w:val="left"/>
        <w:rPr>
          <w:rFonts w:ascii="Arial" w:hAnsi="Arial" w:cs="Arial"/>
          <w:b/>
          <w:sz w:val="24"/>
        </w:rPr>
      </w:pPr>
      <w:r>
        <w:rPr>
          <w:rFonts w:ascii="Arial" w:hAnsi="Arial" w:cs="Arial"/>
          <w:b/>
          <w:sz w:val="24"/>
        </w:rPr>
        <w:t>4.2.2其他资金流入</w:t>
      </w:r>
    </w:p>
    <w:p>
      <w:pPr>
        <w:spacing w:before="120" w:beforeLines="50" w:after="120" w:afterLines="50"/>
        <w:jc w:val="center"/>
        <w:rPr>
          <w:rFonts w:ascii="Arial" w:hAnsi="Arial" w:cs="Arial"/>
          <w:b/>
          <w:color w:val="000000"/>
          <w:sz w:val="24"/>
        </w:rPr>
      </w:pPr>
      <w:bookmarkStart w:id="58" w:name="_Toc1505"/>
      <w:bookmarkStart w:id="59" w:name="_Toc5432"/>
      <w:r>
        <w:rPr>
          <w:rFonts w:ascii="Arial" w:hAnsi="Arial" w:cs="Arial"/>
          <w:b/>
          <w:color w:val="000000"/>
          <w:sz w:val="24"/>
        </w:rPr>
        <w:t>2021年</w:t>
      </w:r>
      <w:r>
        <w:rPr>
          <w:rFonts w:hint="eastAsia" w:ascii="Arial" w:hAnsi="Arial" w:cs="Arial"/>
          <w:b/>
          <w:color w:val="000000"/>
          <w:sz w:val="24"/>
        </w:rPr>
        <w:t>8</w:t>
      </w:r>
      <w:r>
        <w:rPr>
          <w:rFonts w:ascii="Arial" w:hAnsi="Arial" w:cs="Arial"/>
          <w:b/>
          <w:color w:val="000000"/>
          <w:sz w:val="24"/>
        </w:rPr>
        <w:t>月其他资金流入情况表</w:t>
      </w:r>
      <w:bookmarkEnd w:id="58"/>
      <w:bookmarkEnd w:id="59"/>
    </w:p>
    <w:tbl>
      <w:tblPr>
        <w:tblStyle w:val="13"/>
        <w:tblW w:w="9345" w:type="dxa"/>
        <w:tblInd w:w="0" w:type="dxa"/>
        <w:tblLayout w:type="fixed"/>
        <w:tblCellMar>
          <w:top w:w="0" w:type="dxa"/>
          <w:left w:w="0" w:type="dxa"/>
          <w:bottom w:w="0" w:type="dxa"/>
          <w:right w:w="0" w:type="dxa"/>
        </w:tblCellMar>
      </w:tblPr>
      <w:tblGrid>
        <w:gridCol w:w="393"/>
        <w:gridCol w:w="2124"/>
        <w:gridCol w:w="2159"/>
        <w:gridCol w:w="1490"/>
        <w:gridCol w:w="1722"/>
        <w:gridCol w:w="1457"/>
      </w:tblGrid>
      <w:tr>
        <w:tblPrEx>
          <w:tblCellMar>
            <w:top w:w="0" w:type="dxa"/>
            <w:left w:w="0" w:type="dxa"/>
            <w:bottom w:w="0" w:type="dxa"/>
            <w:right w:w="0" w:type="dxa"/>
          </w:tblCellMar>
        </w:tblPrEx>
        <w:trPr>
          <w:trHeight w:val="373" w:hRule="atLeast"/>
          <w:tblHeader/>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收到劳动就业补贴</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eastAsiaTheme="minorEastAsia"/>
                <w:color w:val="000000"/>
                <w:sz w:val="18"/>
                <w:szCs w:val="18"/>
              </w:rPr>
              <w:t>其他代理业务资金代付劳动就业补贴</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2021年5月8日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收到浙江中亚园林集团有限公司履约保证金</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浙江中亚园林集团有限公司</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396,431.06</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邮储银行存款利</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43,897.85</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邮储银行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邮储银行存款利</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1,211.39</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2021年5月11日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邮储银行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邮储银行存款利</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5,654.21</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2021年5月12日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邮储银行</w:t>
            </w:r>
          </w:p>
        </w:tc>
      </w:tr>
      <w:tr>
        <w:tblPrEx>
          <w:tblCellMar>
            <w:top w:w="0" w:type="dxa"/>
            <w:left w:w="0" w:type="dxa"/>
            <w:bottom w:w="0" w:type="dxa"/>
            <w:right w:w="0" w:type="dxa"/>
          </w:tblCellMar>
        </w:tblPrEx>
        <w:trPr>
          <w:trHeight w:val="448" w:hRule="atLeast"/>
        </w:trPr>
        <w:tc>
          <w:tcPr>
            <w:tcW w:w="467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b/>
                <w:bCs/>
                <w:color w:val="000000"/>
                <w:kern w:val="0"/>
                <w:sz w:val="18"/>
                <w:szCs w:val="18"/>
                <w:lang w:bidi="ar"/>
              </w:rPr>
              <w:t>452,194.51</w:t>
            </w:r>
          </w:p>
        </w:tc>
      </w:tr>
    </w:tbl>
    <w:p>
      <w:pPr>
        <w:spacing w:before="300" w:after="300" w:line="360" w:lineRule="exact"/>
        <w:jc w:val="left"/>
        <w:outlineLvl w:val="0"/>
        <w:rPr>
          <w:rStyle w:val="27"/>
          <w:rFonts w:ascii="Arial" w:hAnsi="Arial" w:cs="Arial"/>
          <w:sz w:val="24"/>
          <w:szCs w:val="24"/>
        </w:rPr>
      </w:pPr>
      <w:bookmarkStart w:id="60" w:name="_Toc2468"/>
      <w:bookmarkStart w:id="61" w:name="_Toc30847"/>
      <w:r>
        <w:rPr>
          <w:rStyle w:val="27"/>
          <w:rFonts w:ascii="Arial" w:hAnsi="Arial" w:cs="Arial"/>
          <w:sz w:val="24"/>
          <w:szCs w:val="24"/>
        </w:rPr>
        <w:t>5项目销售情况</w:t>
      </w:r>
      <w:bookmarkEnd w:id="60"/>
      <w:bookmarkEnd w:id="61"/>
    </w:p>
    <w:p>
      <w:pPr>
        <w:spacing w:line="480" w:lineRule="auto"/>
        <w:ind w:firstLine="420" w:firstLineChars="200"/>
        <w:rPr>
          <w:rFonts w:ascii="Arial" w:hAnsi="Arial" w:cs="Arial"/>
          <w:bCs/>
          <w:kern w:val="44"/>
          <w:szCs w:val="21"/>
        </w:rPr>
      </w:pPr>
      <w:bookmarkStart w:id="62" w:name="_Toc9611"/>
      <w:bookmarkStart w:id="63" w:name="_Toc22045"/>
      <w:r>
        <w:rPr>
          <w:rFonts w:ascii="Arial" w:hAnsi="Arial" w:cs="Arial"/>
          <w:bCs/>
          <w:kern w:val="44"/>
          <w:szCs w:val="21"/>
        </w:rPr>
        <w:t>根据项目公司提供的2021年</w:t>
      </w:r>
      <w:r>
        <w:rPr>
          <w:rFonts w:hint="eastAsia" w:ascii="Arial" w:hAnsi="Arial" w:cs="Arial"/>
          <w:bCs/>
          <w:kern w:val="44"/>
          <w:szCs w:val="21"/>
        </w:rPr>
        <w:t>8</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日月桂江南里销售台账，项目已取得可售套数共计</w:t>
      </w:r>
      <w:r>
        <w:rPr>
          <w:rFonts w:hint="eastAsia" w:ascii="Arial" w:hAnsi="Arial" w:cs="Arial"/>
          <w:bCs/>
          <w:kern w:val="44"/>
          <w:szCs w:val="21"/>
        </w:rPr>
        <w:t>918</w:t>
      </w:r>
      <w:r>
        <w:rPr>
          <w:rFonts w:ascii="Arial" w:hAnsi="Arial" w:cs="Arial"/>
          <w:bCs/>
          <w:kern w:val="44"/>
          <w:szCs w:val="21"/>
        </w:rPr>
        <w:t>套（包括5套样板间39号楼丙单元401室、39号楼丙单元402室、3号楼101室、13号楼107室、13号楼307室），可售面积共计</w:t>
      </w:r>
      <w:r>
        <w:rPr>
          <w:rFonts w:hint="eastAsia" w:ascii="Arial" w:hAnsi="Arial" w:cs="Arial"/>
          <w:bCs/>
          <w:kern w:val="44"/>
          <w:szCs w:val="21"/>
        </w:rPr>
        <w:t>146,075.18</w:t>
      </w:r>
      <w:r>
        <w:rPr>
          <w:rFonts w:ascii="Arial" w:hAnsi="Arial" w:cs="Arial"/>
          <w:bCs/>
          <w:kern w:val="44"/>
          <w:szCs w:val="21"/>
        </w:rPr>
        <w:t>㎡；已认购、签约套数共计</w:t>
      </w:r>
      <w:r>
        <w:rPr>
          <w:rFonts w:hint="eastAsia" w:ascii="Arial" w:hAnsi="Arial" w:cs="Arial"/>
          <w:bCs/>
          <w:kern w:val="44"/>
          <w:szCs w:val="21"/>
        </w:rPr>
        <w:t>888</w:t>
      </w:r>
      <w:r>
        <w:rPr>
          <w:rFonts w:ascii="Arial" w:hAnsi="Arial" w:cs="Arial"/>
          <w:bCs/>
          <w:kern w:val="44"/>
          <w:szCs w:val="21"/>
        </w:rPr>
        <w:t>套，其中认购套数</w:t>
      </w:r>
      <w:r>
        <w:rPr>
          <w:rFonts w:hint="eastAsia" w:ascii="Arial" w:hAnsi="Arial" w:cs="Arial"/>
          <w:bCs/>
          <w:kern w:val="44"/>
          <w:szCs w:val="21"/>
        </w:rPr>
        <w:t>6</w:t>
      </w:r>
      <w:r>
        <w:rPr>
          <w:rFonts w:ascii="Arial" w:hAnsi="Arial" w:cs="Arial"/>
          <w:bCs/>
          <w:kern w:val="44"/>
          <w:szCs w:val="21"/>
        </w:rPr>
        <w:t>套，签约套数</w:t>
      </w:r>
      <w:r>
        <w:rPr>
          <w:rFonts w:hint="eastAsia" w:ascii="Arial" w:hAnsi="Arial" w:cs="Arial"/>
          <w:bCs/>
          <w:kern w:val="44"/>
          <w:szCs w:val="21"/>
        </w:rPr>
        <w:t>882</w:t>
      </w:r>
      <w:r>
        <w:rPr>
          <w:rFonts w:ascii="Arial" w:hAnsi="Arial" w:cs="Arial"/>
          <w:bCs/>
          <w:kern w:val="44"/>
          <w:szCs w:val="21"/>
        </w:rPr>
        <w:t>套；已认购、签约面积共计</w:t>
      </w:r>
      <w:r>
        <w:rPr>
          <w:rFonts w:hint="eastAsia" w:ascii="Arial" w:hAnsi="Arial" w:cs="Arial"/>
          <w:bCs/>
          <w:kern w:val="44"/>
          <w:szCs w:val="21"/>
        </w:rPr>
        <w:t>140,320.02</w:t>
      </w:r>
      <w:r>
        <w:rPr>
          <w:rFonts w:ascii="Arial" w:hAnsi="Arial" w:cs="Arial"/>
          <w:bCs/>
          <w:kern w:val="44"/>
          <w:szCs w:val="21"/>
        </w:rPr>
        <w:t>㎡，占已取得可售面积的</w:t>
      </w:r>
      <w:r>
        <w:rPr>
          <w:rFonts w:hint="eastAsia" w:ascii="Arial" w:hAnsi="Arial" w:cs="Arial"/>
          <w:bCs/>
          <w:kern w:val="44"/>
          <w:szCs w:val="21"/>
        </w:rPr>
        <w:t>96.06</w:t>
      </w:r>
      <w:r>
        <w:rPr>
          <w:rFonts w:ascii="Arial" w:hAnsi="Arial" w:cs="Arial"/>
          <w:bCs/>
          <w:kern w:val="44"/>
          <w:szCs w:val="21"/>
        </w:rPr>
        <w:t>%，其中认购面积</w:t>
      </w:r>
      <w:r>
        <w:rPr>
          <w:rFonts w:hint="eastAsia" w:ascii="Arial" w:hAnsi="Arial" w:cs="Arial"/>
          <w:bCs/>
          <w:kern w:val="44"/>
          <w:szCs w:val="21"/>
        </w:rPr>
        <w:t>1,120.62</w:t>
      </w:r>
      <w:r>
        <w:rPr>
          <w:rFonts w:ascii="Arial" w:hAnsi="Arial" w:cs="Arial"/>
          <w:bCs/>
          <w:kern w:val="44"/>
          <w:szCs w:val="21"/>
        </w:rPr>
        <w:t>㎡，签约面积</w:t>
      </w:r>
      <w:r>
        <w:rPr>
          <w:rFonts w:hint="eastAsia" w:ascii="Arial" w:hAnsi="Arial" w:cs="Arial"/>
          <w:bCs/>
          <w:kern w:val="44"/>
          <w:szCs w:val="21"/>
        </w:rPr>
        <w:t>139,199.4</w:t>
      </w:r>
      <w:r>
        <w:rPr>
          <w:rFonts w:ascii="Arial" w:hAnsi="Arial" w:cs="Arial"/>
          <w:bCs/>
          <w:kern w:val="44"/>
          <w:szCs w:val="21"/>
        </w:rPr>
        <w:t>㎡；累计认购、签约合同总价</w:t>
      </w:r>
      <w:r>
        <w:rPr>
          <w:rFonts w:hint="eastAsia" w:ascii="Arial" w:hAnsi="Arial" w:cs="Arial"/>
          <w:bCs/>
          <w:kern w:val="44"/>
          <w:szCs w:val="21"/>
        </w:rPr>
        <w:t>2,610,125,639.00</w:t>
      </w:r>
      <w:r>
        <w:rPr>
          <w:rFonts w:ascii="Arial" w:hAnsi="Arial" w:cs="Arial"/>
          <w:bCs/>
          <w:kern w:val="44"/>
          <w:szCs w:val="21"/>
        </w:rPr>
        <w:t>元，其中认购合同总价</w:t>
      </w:r>
      <w:r>
        <w:rPr>
          <w:rFonts w:hint="eastAsia" w:ascii="Arial" w:hAnsi="Arial" w:cs="Arial"/>
          <w:bCs/>
          <w:kern w:val="44"/>
          <w:szCs w:val="21"/>
        </w:rPr>
        <w:t>23,585,321.00</w:t>
      </w:r>
      <w:r>
        <w:rPr>
          <w:rFonts w:ascii="Arial" w:hAnsi="Arial" w:cs="Arial"/>
          <w:bCs/>
          <w:kern w:val="44"/>
          <w:szCs w:val="21"/>
        </w:rPr>
        <w:t>元，签约合同总价</w:t>
      </w:r>
      <w:r>
        <w:rPr>
          <w:rFonts w:hint="eastAsia" w:ascii="Arial" w:hAnsi="Arial" w:cs="Arial"/>
          <w:bCs/>
          <w:kern w:val="44"/>
          <w:szCs w:val="21"/>
        </w:rPr>
        <w:t>2,586,540,318.00</w:t>
      </w:r>
      <w:r>
        <w:rPr>
          <w:rFonts w:ascii="Arial" w:hAnsi="Arial" w:cs="Arial"/>
          <w:bCs/>
          <w:kern w:val="44"/>
          <w:szCs w:val="21"/>
        </w:rPr>
        <w:t>元；累计收款额</w:t>
      </w:r>
      <w:r>
        <w:rPr>
          <w:rFonts w:hint="eastAsia" w:ascii="Arial" w:hAnsi="Arial" w:cs="Arial"/>
          <w:bCs/>
          <w:kern w:val="44"/>
          <w:szCs w:val="21"/>
        </w:rPr>
        <w:t>2,531,990,723.00</w:t>
      </w:r>
      <w:r>
        <w:rPr>
          <w:rFonts w:ascii="Arial" w:hAnsi="Arial" w:cs="Arial"/>
          <w:bCs/>
          <w:kern w:val="44"/>
          <w:szCs w:val="21"/>
        </w:rPr>
        <w:t>元，其中认购收款额</w:t>
      </w:r>
      <w:r>
        <w:rPr>
          <w:rFonts w:hint="eastAsia" w:ascii="Arial" w:hAnsi="Arial" w:cs="Arial"/>
          <w:bCs/>
          <w:kern w:val="44"/>
          <w:szCs w:val="21"/>
        </w:rPr>
        <w:t>1,970,000.00</w:t>
      </w:r>
      <w:r>
        <w:rPr>
          <w:rFonts w:ascii="Arial" w:hAnsi="Arial" w:cs="Arial"/>
          <w:bCs/>
          <w:kern w:val="44"/>
          <w:szCs w:val="21"/>
        </w:rPr>
        <w:t>元，签约收款额</w:t>
      </w:r>
      <w:r>
        <w:rPr>
          <w:rFonts w:hint="eastAsia" w:ascii="Arial" w:hAnsi="Arial" w:cs="Arial"/>
          <w:bCs/>
          <w:kern w:val="44"/>
          <w:szCs w:val="21"/>
        </w:rPr>
        <w:t>2,530,020,723.00</w:t>
      </w:r>
      <w:r>
        <w:rPr>
          <w:rFonts w:ascii="Arial" w:hAnsi="Arial" w:cs="Arial"/>
          <w:bCs/>
          <w:kern w:val="44"/>
          <w:szCs w:val="21"/>
        </w:rPr>
        <w:t>元（详见附件一）。</w:t>
      </w:r>
    </w:p>
    <w:bookmarkEnd w:id="62"/>
    <w:bookmarkEnd w:id="63"/>
    <w:p>
      <w:pPr>
        <w:spacing w:before="120" w:beforeLines="50" w:after="120" w:afterLines="50"/>
        <w:jc w:val="center"/>
        <w:rPr>
          <w:rFonts w:ascii="Arial" w:hAnsi="Arial" w:cs="Arial"/>
          <w:b/>
          <w:color w:val="000000"/>
          <w:sz w:val="24"/>
        </w:rPr>
      </w:pPr>
      <w:bookmarkStart w:id="64" w:name="_Toc492"/>
      <w:r>
        <w:rPr>
          <w:rFonts w:ascii="Arial" w:hAnsi="Arial" w:cs="Arial"/>
          <w:b/>
          <w:color w:val="000000"/>
          <w:sz w:val="24"/>
        </w:rPr>
        <w:t>截至2021年</w:t>
      </w:r>
      <w:r>
        <w:rPr>
          <w:rFonts w:hint="eastAsia" w:ascii="Arial" w:hAnsi="Arial" w:cs="Arial"/>
          <w:b/>
          <w:color w:val="000000"/>
          <w:sz w:val="24"/>
        </w:rPr>
        <w:t>8</w:t>
      </w:r>
      <w:r>
        <w:rPr>
          <w:rFonts w:ascii="Arial" w:hAnsi="Arial" w:cs="Arial"/>
          <w:b/>
          <w:color w:val="000000"/>
          <w:sz w:val="24"/>
        </w:rPr>
        <w:t>月</w:t>
      </w:r>
      <w:r>
        <w:rPr>
          <w:rFonts w:hint="eastAsia" w:ascii="Arial" w:hAnsi="Arial" w:cs="Arial"/>
          <w:b/>
          <w:color w:val="000000"/>
          <w:sz w:val="24"/>
        </w:rPr>
        <w:t>31</w:t>
      </w:r>
      <w:r>
        <w:rPr>
          <w:rFonts w:ascii="Arial" w:hAnsi="Arial" w:cs="Arial"/>
          <w:b/>
          <w:color w:val="000000"/>
          <w:sz w:val="24"/>
        </w:rPr>
        <w:t>日销售情况表</w:t>
      </w:r>
    </w:p>
    <w:tbl>
      <w:tblPr>
        <w:tblStyle w:val="13"/>
        <w:tblW w:w="9447" w:type="dxa"/>
        <w:tblInd w:w="-122" w:type="dxa"/>
        <w:tblLayout w:type="fixed"/>
        <w:tblCellMar>
          <w:top w:w="0" w:type="dxa"/>
          <w:left w:w="0" w:type="dxa"/>
          <w:bottom w:w="0" w:type="dxa"/>
          <w:right w:w="0" w:type="dxa"/>
        </w:tblCellMar>
      </w:tblPr>
      <w:tblGrid>
        <w:gridCol w:w="785"/>
        <w:gridCol w:w="934"/>
        <w:gridCol w:w="934"/>
        <w:gridCol w:w="1528"/>
        <w:gridCol w:w="1224"/>
        <w:gridCol w:w="750"/>
        <w:gridCol w:w="1456"/>
        <w:gridCol w:w="1836"/>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1,120.62</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23,585,321.00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1,970,000.00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882</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139,199.4</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2,586,540,318.00</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kern w:val="0"/>
                <w:sz w:val="18"/>
                <w:szCs w:val="18"/>
              </w:rPr>
            </w:pPr>
            <w:r>
              <w:rPr>
                <w:rFonts w:hint="eastAsia" w:ascii="Arial" w:hAnsi="Arial" w:cs="Arial" w:eastAsiaTheme="minorEastAsia"/>
                <w:kern w:val="0"/>
                <w:sz w:val="18"/>
                <w:szCs w:val="18"/>
              </w:rPr>
              <w:t>217,153,400.00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873,008,570.00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hint="eastAsia" w:ascii="Arial" w:hAnsi="Arial" w:cs="Arial" w:eastAsiaTheme="minorEastAsia"/>
                <w:color w:val="000000"/>
                <w:kern w:val="0"/>
                <w:sz w:val="18"/>
                <w:szCs w:val="18"/>
              </w:rPr>
              <w:t>1,439,858,753.00</w:t>
            </w:r>
            <w:r>
              <w:rPr>
                <w:rFonts w:ascii="Arial" w:hAnsi="Arial" w:cs="Arial" w:eastAsiaTheme="minorEastAsia"/>
                <w:color w:val="000000"/>
                <w:kern w:val="0"/>
                <w:sz w:val="18"/>
                <w:szCs w:val="18"/>
              </w:rPr>
              <w:t xml:space="preserve"> </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2,530,020,723.00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888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bCs/>
                <w:color w:val="000000"/>
                <w:sz w:val="18"/>
                <w:szCs w:val="18"/>
              </w:rPr>
              <w:t>140,320.02</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2,610,125,639.00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bCs/>
                <w:color w:val="000000"/>
                <w:sz w:val="18"/>
                <w:szCs w:val="18"/>
              </w:rPr>
              <w:t>2,531,990,723.00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outlineLvl w:val="0"/>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p>
    <w:p>
      <w:pPr>
        <w:spacing w:before="300" w:after="300" w:line="360" w:lineRule="exact"/>
        <w:jc w:val="left"/>
        <w:outlineLvl w:val="0"/>
        <w:rPr>
          <w:rStyle w:val="27"/>
          <w:rFonts w:ascii="Arial" w:hAnsi="Arial" w:cs="Arial"/>
          <w:sz w:val="24"/>
          <w:szCs w:val="24"/>
        </w:rPr>
      </w:pPr>
      <w:bookmarkStart w:id="65" w:name="_Toc14313"/>
      <w:r>
        <w:rPr>
          <w:rStyle w:val="27"/>
          <w:rFonts w:ascii="Arial" w:hAnsi="Arial" w:cs="Arial"/>
          <w:sz w:val="24"/>
          <w:szCs w:val="24"/>
        </w:rPr>
        <w:t>6印章、证照使用情况</w:t>
      </w:r>
      <w:bookmarkEnd w:id="64"/>
      <w:bookmarkEnd w:id="65"/>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sz w:val="24"/>
        </w:rPr>
      </w:pPr>
      <w:r>
        <w:rPr>
          <w:rFonts w:ascii="Arial" w:hAnsi="Arial" w:cs="Arial"/>
          <w:b/>
          <w:sz w:val="24"/>
        </w:rPr>
        <w:t>2021年</w:t>
      </w:r>
      <w:r>
        <w:rPr>
          <w:rFonts w:hint="eastAsia" w:ascii="Arial" w:hAnsi="Arial" w:cs="Arial"/>
          <w:b/>
          <w:sz w:val="24"/>
        </w:rPr>
        <w:t>8</w:t>
      </w:r>
      <w:r>
        <w:rPr>
          <w:rFonts w:ascii="Arial" w:hAnsi="Arial" w:cs="Arial"/>
          <w:b/>
          <w:sz w:val="24"/>
        </w:rPr>
        <w:t>月印鉴使用登记表</w:t>
      </w:r>
    </w:p>
    <w:tbl>
      <w:tblPr>
        <w:tblStyle w:val="13"/>
        <w:tblW w:w="970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2562"/>
        <w:gridCol w:w="2609"/>
        <w:gridCol w:w="1094"/>
        <w:gridCol w:w="708"/>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日期</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事由</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材料</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印鉴名称及使用次数</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申请人</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bookmarkStart w:id="66" w:name="_Toc9261"/>
            <w:r>
              <w:rPr>
                <w:rFonts w:ascii="Arial" w:hAnsi="Arial" w:cs="Arial" w:eastAsiaTheme="minorEastAsia"/>
                <w:bCs/>
                <w:sz w:val="18"/>
                <w:szCs w:val="18"/>
              </w:rPr>
              <w:t>2021年8月2日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关于项目一期室外电缆及管沟建设工程合同的用印申请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一期室外电缆及管沟建设工程合同</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公章（50）</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法人章（20）</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顾晔芸</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一期二标及二三期工程项目安全生产标准自评表的用印申请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一期二标与二三期工程项目安全生产标准化自评表（7月）</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蔡婷婷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关于项目一期邮政单项验收所需材料的用印申请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1.一期工规证2.公安编号批复3.住宅楼房申请投递表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公章（5）</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关于《企业疫情防控承诺书》的用印申请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企业疫情防控承诺书</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公章（2）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周怡青</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关于华兴门窗营销中心纱窗采购安装工程款支付报审表的用印申请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华兴门窗营销中心纱窗采购安装工程款《工程款支付报审表》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王效明</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关于二三期外装饰分包工程招标投标书面报告、招标代理评价意见表盖章的用印申请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二三期外装饰分包工程招标投标书面报告、招标代理评价意见表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公章（6）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张震宇</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关于常州江南里项目地下室门厅入口处铝格栅吊顶做样工程联系单的用印申请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关于常州江南里项目地下室门厅入口处铝格栅吊顶做样工程联系单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杨波</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关于一期二标叠墅区地下室清理事宜的工程通知单的用印申请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关于一期二标叠墅区地下室清理事宜的工程通知单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王效明</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关于公司决议撤销案上诉状的用印申请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民事上诉状</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公章（8）</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周怡青</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关于二三期外装饰分包工程合同的用印申请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二三期外装饰分包工程合同</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公章（6）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张震宇</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关于一期室外景观园林及配套工程2021年7月份进度款《工程款支付报审表》的用印申请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一期室外景观园林及配套工程2021年7月份进度款《工程款支付报审表》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张震宇</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关于一期一标分户验收问题通知单的用印申请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关于一期一标分户验收问题通知单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石钜聪</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关于中国银行协定存款合同续签的用印申请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中国银行协定存款合同</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公章（7）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姜莉</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关于办理公司社保CA证书换证的资料的用印申请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营业执照副本复印件、徐婷身份证复印件</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关于报送西太湖管委会项目A地块加快规划审批的报告文件的用印申请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关于报送西太湖管委会项目A地块加快规划审批的报告</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邵景健</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关于二三期公共部位精装修工程招标控制价封面的用印申请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二三期公共部位精装修工程招标控制价封面</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公章（3）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张震宇</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二三期建筑工程施工整改完成报告的用印申请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二三期《建筑工程施工整改完成报告（施工单位）》</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公章（4）</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蔡婷婷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工程项目安全生产标准化自评表的用印申请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《工程项目安全生产标准化自评表》（一期二标段合院部分2021年7月）</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蔡婷婷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关于一期二标建设工程终止施工安全监督事宜材料的用印申请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建设工程终止施工安全监督申请书（1-7#）、建设工程施工结束证明（1-7#）、建设工程终止施工安全监督申请书（13-15#、18#、19#、22-24#、28-31#、35-50#）、建设工程施工结束证明（13-15#、18#、19#、22-24#、28-31#、35-50#）、工程概况及建设各方责任主体基本情况、建设工程施工安全标准化管理资料</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公章（18）</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王效明</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关于申请项目一期车位预测面积数据楼盘搭建所需材料的用印申请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预测绘报告、授权委托书、营业执照</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公章（6）</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邵景健</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一期室外电缆及管沟建设工程开工通知的用印申请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一期室外电缆及管沟建设工程的开工通知</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孙源</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关于中国邮政储蓄银行协定存款业务及现金管理服务协议的用印申请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中国邮政银行人民币单位协定存款协议、单位公函、单位账户业务委托授权书、机构客户签约/解约/结算账户变更/资料变更申请书、姜莉身份证复印件、袁聚宝身份证复印件、营业执照正本复印件、开户许可证复印件、现金管理服务协议、现金管理服务费用表、定期一本通子账户特殊计息维护申请书、智能资金池维护申请书、章程、中国邮政储蓄银行江苏省分行银行结算账户综合服务协议（企业银行结算账户版）、单位客户信息采集表、单位银行账户印鉴共用申请书、中国邮政储蓄银行非自然人客户关联自然人信息登记表、机构税收居民身份生命文件、开立单位定期存款账户申请书、变更单位银行结算账户申请书、中国邮政储蓄银行协定存款提前取消设定申请书、</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公章（48）法人章（15）财务章（7）</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姜莉</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关于常州江南里项目2021年业主全家福拍摄活动结算单的用印申请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常州江南里项目2021年业主全家福拍摄活动结算单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郭泽龙</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关于常州江南里项目2021年3-4月业主圈层活动结算单的用印申请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常州江南里项目2021年3-4月业主圈层活动结算单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郭泽龙</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关于常州江南里项目2020年12月物料类结算单的用印申请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常州江南里项目2020年12月物料类结算单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朱颖冰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关于常州江南里项目2021年1月物料类结算单的用印申请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常州江南里项目2021年1月物料类结算单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朱颖冰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关于常州江南里项目2021年8月案场物料类预算单的用印申请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常州江南里项目2021年8月案场物料类预算单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朱颖冰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rPr>
              <w:t>关于一期室外电缆及管沟工程预付款《工程款支付报审表》的用印申请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一期室外电缆及管沟工程预付款《工程款支付报审表》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孙源</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关于一期二标合院、叠墅《工程项目安全生产标准化考评申报表》的用印申请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一期二标合院、叠墅《工程项目安全生产标准化考评申报表》</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蔡婷婷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二三期电通变-2-01的设计变更审批及工程联系单的用印申请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二三期电通变-2-01的设计变更事宜工程联系单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王进</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关于39#4层样板房改造工程联系单的用印申请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关于39#4层样板房改造的工程联系单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石钜聪</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项目一期39#、40#、44#、45#楼及叠墅电梯安装工程开工通知的用印申请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项目一期39#、40#、44#、45#楼及叠墅电梯安装工程开工通知</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工程章（8）</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陈政</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关于常州江南里项目2021年7月物料类结算单的用印申请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常州江南里项目2021年7月物料类结算单（围挡制作及喷绘）</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公章（1）</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朱颖冰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关于常州江南里项目2021年8月印刷物料类预算单的用印申请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常州江南里项目2021年8月印刷物料类预算单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朱颖冰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关于续签前程无忧服务合同的用印申</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前程无忧服务合同（续签）</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合同章（6）</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徐婷</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关于营销管理部员工魏超收入证明的用印申请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收入证明（魏超）</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魏超</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二三期商铺预留管道管径变更的工程联系单的用印申请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二三期商铺预留管道管径变更的工程联系单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工程章（3）</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王进</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2021年8月25日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关于项目B地块41#楼价格备案申报情况报告的用印申请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关于项目本次房源价格备案的情况报告</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公章（4）</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邵景健</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关于常州江南里项目一期10kv居配工程资产移交协议的用印申请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关于常州江南里项目一期10kv居配工程资产移交协议</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公章（12）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法人章（4）</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陈政</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常州江南里二三期海绵城市施工图设计技术审查回复单的用印申请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常州江南里二三期海绵城市施工图设计技术审查回复单</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徐杰</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二三期景观园林及配套工程招标事项相关文件的用印申请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二三期景观园林及配套工程招标事项相关文件</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 xml:space="preserve">公章（72）   </w:t>
            </w:r>
            <w:r>
              <w:rPr>
                <w:rFonts w:ascii="Arial" w:hAnsi="Arial" w:cs="Arial" w:eastAsiaTheme="minorEastAsia"/>
                <w:bCs/>
                <w:kern w:val="0"/>
                <w:sz w:val="18"/>
                <w:szCs w:val="18"/>
              </w:rPr>
              <w:br w:type="textWrapping"/>
            </w:r>
            <w:r>
              <w:rPr>
                <w:rFonts w:ascii="Arial" w:hAnsi="Arial" w:cs="Arial" w:eastAsiaTheme="minorEastAsia"/>
                <w:bCs/>
                <w:kern w:val="0"/>
                <w:sz w:val="18"/>
                <w:szCs w:val="18"/>
              </w:rPr>
              <w:t>法人章（72）</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顾晔芸</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sz w:val="18"/>
                <w:szCs w:val="18"/>
              </w:rPr>
            </w:pPr>
            <w:r>
              <w:rPr>
                <w:rFonts w:ascii="Arial" w:hAnsi="Arial" w:cs="Arial" w:eastAsiaTheme="minorEastAsia"/>
                <w:bCs/>
                <w:sz w:val="18"/>
                <w:szCs w:val="18"/>
              </w:rPr>
              <w:t>2021年8月31日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关于一期一标段质量管理及进度控制的函的用印申请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关于一期一标段质量管理及进度控制的函</w:t>
            </w:r>
          </w:p>
        </w:tc>
        <w:tc>
          <w:tcPr>
            <w:tcW w:w="109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公章（6）</w:t>
            </w:r>
          </w:p>
        </w:tc>
        <w:tc>
          <w:tcPr>
            <w:tcW w:w="708"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石钜聪</w:t>
            </w:r>
          </w:p>
        </w:tc>
        <w:tc>
          <w:tcPr>
            <w:tcW w:w="107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Cs/>
                <w:kern w:val="0"/>
                <w:sz w:val="18"/>
                <w:szCs w:val="18"/>
              </w:rPr>
            </w:pPr>
            <w:r>
              <w:rPr>
                <w:rFonts w:ascii="Arial" w:hAnsi="Arial" w:cs="Arial" w:eastAsiaTheme="minorEastAsia"/>
                <w:bCs/>
                <w:kern w:val="0"/>
                <w:sz w:val="18"/>
                <w:szCs w:val="18"/>
              </w:rPr>
              <w:t>袁聚宝OA</w:t>
            </w:r>
          </w:p>
        </w:tc>
      </w:tr>
    </w:tbl>
    <w:p>
      <w:pPr>
        <w:pStyle w:val="2"/>
        <w:keepNext w:val="0"/>
        <w:keepLines w:val="0"/>
        <w:spacing w:before="300" w:after="300" w:line="360" w:lineRule="exact"/>
        <w:jc w:val="left"/>
        <w:rPr>
          <w:rFonts w:ascii="Arial" w:hAnsi="Arial" w:cs="Arial"/>
          <w:sz w:val="24"/>
          <w:szCs w:val="24"/>
        </w:rPr>
      </w:pPr>
    </w:p>
    <w:p>
      <w:pPr>
        <w:pStyle w:val="2"/>
        <w:keepNext w:val="0"/>
        <w:keepLines w:val="0"/>
        <w:spacing w:before="300" w:after="300" w:line="360" w:lineRule="exact"/>
        <w:jc w:val="left"/>
        <w:rPr>
          <w:rFonts w:ascii="Arial" w:hAnsi="Arial" w:cs="Arial"/>
          <w:sz w:val="24"/>
          <w:szCs w:val="24"/>
        </w:rPr>
      </w:pPr>
      <w:bookmarkStart w:id="67" w:name="_Toc17641"/>
      <w:r>
        <w:rPr>
          <w:rFonts w:ascii="Arial" w:hAnsi="Arial" w:cs="Arial"/>
          <w:sz w:val="24"/>
          <w:szCs w:val="24"/>
        </w:rPr>
        <w:t>7合同签订情况</w:t>
      </w:r>
      <w:bookmarkEnd w:id="66"/>
      <w:bookmarkEnd w:id="67"/>
    </w:p>
    <w:p>
      <w:pPr>
        <w:spacing w:line="480" w:lineRule="auto"/>
        <w:ind w:firstLine="420" w:firstLineChars="200"/>
        <w:rPr>
          <w:rFonts w:ascii="Arial" w:hAnsi="Arial" w:cs="Arial"/>
          <w:bCs/>
          <w:kern w:val="44"/>
          <w:szCs w:val="21"/>
        </w:rPr>
      </w:pPr>
      <w:r>
        <w:rPr>
          <w:rFonts w:hint="eastAsia" w:ascii="Arial" w:hAnsi="Arial" w:cs="Arial"/>
          <w:bCs/>
          <w:kern w:val="44"/>
          <w:szCs w:val="21"/>
        </w:rPr>
        <w:t>2021年8月项目公司共签订了6份合同，其中3份财务类合同，2份施工类合同，1份行政类合同，合同具体情况如下表：</w:t>
      </w:r>
    </w:p>
    <w:p>
      <w:pPr>
        <w:spacing w:before="240" w:beforeLines="100"/>
        <w:jc w:val="center"/>
        <w:rPr>
          <w:rFonts w:ascii="Arial" w:hAnsi="Arial" w:cs="Arial"/>
          <w:b/>
          <w:sz w:val="24"/>
        </w:rPr>
      </w:pPr>
      <w:r>
        <w:rPr>
          <w:rFonts w:ascii="Arial" w:hAnsi="Arial" w:cs="Arial"/>
          <w:b/>
          <w:sz w:val="24"/>
        </w:rPr>
        <w:t>2021年</w:t>
      </w:r>
      <w:r>
        <w:rPr>
          <w:rFonts w:hint="eastAsia" w:ascii="Arial" w:hAnsi="Arial" w:cs="Arial"/>
          <w:b/>
          <w:sz w:val="24"/>
        </w:rPr>
        <w:t>8</w:t>
      </w:r>
      <w:r>
        <w:rPr>
          <w:rFonts w:ascii="Arial" w:hAnsi="Arial" w:cs="Arial"/>
          <w:b/>
          <w:sz w:val="24"/>
        </w:rPr>
        <w:t>月合同签订情况表</w:t>
      </w:r>
    </w:p>
    <w:tbl>
      <w:tblPr>
        <w:tblStyle w:val="13"/>
        <w:tblW w:w="9321" w:type="dxa"/>
        <w:tblInd w:w="0" w:type="dxa"/>
        <w:tblLayout w:type="fixed"/>
        <w:tblCellMar>
          <w:top w:w="0" w:type="dxa"/>
          <w:left w:w="0" w:type="dxa"/>
          <w:bottom w:w="0" w:type="dxa"/>
          <w:right w:w="0" w:type="dxa"/>
        </w:tblCellMar>
      </w:tblPr>
      <w:tblGrid>
        <w:gridCol w:w="1696"/>
        <w:gridCol w:w="1860"/>
        <w:gridCol w:w="1729"/>
        <w:gridCol w:w="2667"/>
        <w:gridCol w:w="1369"/>
      </w:tblGrid>
      <w:tr>
        <w:tblPrEx>
          <w:tblCellMar>
            <w:top w:w="0" w:type="dxa"/>
            <w:left w:w="0" w:type="dxa"/>
            <w:bottom w:w="0" w:type="dxa"/>
            <w:right w:w="0" w:type="dxa"/>
          </w:tblCellMar>
        </w:tblPrEx>
        <w:trPr>
          <w:cantSplit/>
          <w:trHeight w:val="450" w:hRule="atLeast"/>
          <w:tblHeader/>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签约日期</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合同文件名称</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合同内容</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sz w:val="18"/>
                <w:szCs w:val="18"/>
              </w:rPr>
            </w:pPr>
            <w:r>
              <w:rPr>
                <w:rFonts w:ascii="Arial" w:hAnsi="Arial" w:cs="Arial" w:eastAsiaTheme="minorEastAsia"/>
                <w:b/>
                <w:kern w:val="0"/>
                <w:sz w:val="18"/>
                <w:szCs w:val="18"/>
              </w:rPr>
              <w:t>合同金额（万元）</w:t>
            </w:r>
          </w:p>
        </w:tc>
      </w:tr>
      <w:tr>
        <w:tblPrEx>
          <w:tblCellMar>
            <w:top w:w="0" w:type="dxa"/>
            <w:left w:w="0" w:type="dxa"/>
            <w:bottom w:w="0" w:type="dxa"/>
            <w:right w:w="0" w:type="dxa"/>
          </w:tblCellMar>
        </w:tblPrEx>
        <w:trPr>
          <w:cantSplit/>
          <w:trHeight w:val="83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2021年8月2日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浙江中亚园林集团有限公司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一期室外电缆及管沟建设工程合同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工程内容：图纸及工程量清单（含编制说明）内的全部工程内容。</w:t>
            </w:r>
          </w:p>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计划竣工日期2021年09月15日</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sz w:val="18"/>
                <w:szCs w:val="18"/>
              </w:rPr>
              <w:t>396.431057</w:t>
            </w:r>
          </w:p>
        </w:tc>
      </w:tr>
      <w:tr>
        <w:tblPrEx>
          <w:tblCellMar>
            <w:top w:w="0" w:type="dxa"/>
            <w:left w:w="0" w:type="dxa"/>
            <w:bottom w:w="0" w:type="dxa"/>
            <w:right w:w="0" w:type="dxa"/>
          </w:tblCellMar>
        </w:tblPrEx>
        <w:trPr>
          <w:cantSplit/>
          <w:trHeight w:val="83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2021年8月9日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浙江中南建设集团有限公司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常州江南里项目二三期外装饰分包工程合同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分包单位承包范围：二三期大区（8-12#、16#、17#、20#、21#、25#-27#、32#-34#主体外部仿古装饰及其门头仿古装饰，院门，围墙以及景观工程中的半亭，歇山亭等工程）图纸（含局部图纸深化）及工程量清单内的外装饰工程（全部木作、砖细、石材、水泥预制品、铝合金制品、围墙古建、古建院门等图纸及清单范围内所有外装饰工作内容的制作、运输、安装、油漆、维保等全部工作内容）</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sz w:val="18"/>
                <w:szCs w:val="18"/>
              </w:rPr>
              <w:t>2</w:t>
            </w:r>
            <w:r>
              <w:rPr>
                <w:rFonts w:hint="eastAsia" w:ascii="Arial" w:hAnsi="Arial" w:cs="Arial" w:eastAsiaTheme="minorEastAsia"/>
                <w:sz w:val="18"/>
                <w:szCs w:val="18"/>
              </w:rPr>
              <w:t>,</w:t>
            </w:r>
            <w:r>
              <w:rPr>
                <w:rFonts w:ascii="Arial" w:hAnsi="Arial" w:cs="Arial" w:eastAsiaTheme="minorEastAsia"/>
                <w:sz w:val="18"/>
                <w:szCs w:val="18"/>
              </w:rPr>
              <w:t>363.051153</w:t>
            </w:r>
          </w:p>
        </w:tc>
      </w:tr>
      <w:tr>
        <w:tblPrEx>
          <w:tblCellMar>
            <w:top w:w="0" w:type="dxa"/>
            <w:left w:w="0" w:type="dxa"/>
            <w:bottom w:w="0" w:type="dxa"/>
            <w:right w:w="0" w:type="dxa"/>
          </w:tblCellMar>
        </w:tblPrEx>
        <w:trPr>
          <w:cantSplit/>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2021年8月11日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中国银行股份有限公司武进分行（支行）</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u w:val="single"/>
              </w:rPr>
            </w:pPr>
            <w:r>
              <w:rPr>
                <w:rFonts w:hint="eastAsia" w:asciiTheme="minorEastAsia" w:hAnsiTheme="minorEastAsia" w:eastAsiaTheme="minorEastAsia" w:cstheme="minorEastAsia"/>
                <w:sz w:val="18"/>
                <w:szCs w:val="18"/>
              </w:rPr>
              <w:t>中国银行股份有限公司人民币单位协定存款合同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丹龙置业在约定银行设立人民币结算户，协定存款起存金额50万元（合同期：2021.8.11-2022.8.10）</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w:t>
            </w:r>
          </w:p>
        </w:tc>
      </w:tr>
      <w:tr>
        <w:tblPrEx>
          <w:tblCellMar>
            <w:top w:w="0" w:type="dxa"/>
            <w:left w:w="0" w:type="dxa"/>
            <w:bottom w:w="0" w:type="dxa"/>
            <w:right w:w="0" w:type="dxa"/>
          </w:tblCellMar>
        </w:tblPrEx>
        <w:trPr>
          <w:cantSplit/>
          <w:trHeight w:val="6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2021年8月17日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中国邮政储蓄银行股份有限公司常州市分行</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中国邮政储蓄银行人民币单位协定存款合同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丹龙置业在约定银行设立人民币结算户，协定存款基本留存金额5万元</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w:t>
            </w:r>
          </w:p>
        </w:tc>
      </w:tr>
      <w:tr>
        <w:tblPrEx>
          <w:tblCellMar>
            <w:top w:w="0" w:type="dxa"/>
            <w:left w:w="0" w:type="dxa"/>
            <w:bottom w:w="0" w:type="dxa"/>
            <w:right w:w="0" w:type="dxa"/>
          </w:tblCellMar>
        </w:tblPrEx>
        <w:trPr>
          <w:cantSplit/>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2021年8月17日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中国邮政储蓄银行股份有限公司常州市分行</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现金管理服务协议</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乙方向甲方提供以下服务：1、账户管理 2、结算业务 3、流动性管理 4、投融资服务 5、信息服务 6、其他经双方经书面约定的其他现金管理服务</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w:t>
            </w:r>
          </w:p>
        </w:tc>
      </w:tr>
      <w:tr>
        <w:tblPrEx>
          <w:tblCellMar>
            <w:top w:w="0" w:type="dxa"/>
            <w:left w:w="0" w:type="dxa"/>
            <w:bottom w:w="0" w:type="dxa"/>
            <w:right w:w="0" w:type="dxa"/>
          </w:tblCellMar>
        </w:tblPrEx>
        <w:trPr>
          <w:cantSplit/>
          <w:trHeight w:val="824"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rPr>
              <w:t>2021年8月24日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前锦网络信息技术（上海）有限公司武汉分公司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前程无忧服务合同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丹龙置业在前程无忧平台发布相关招聘信息，服务期限为2021.8.31-2022.9.15</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sz w:val="18"/>
                <w:szCs w:val="18"/>
              </w:rPr>
              <w:t>0.608</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themeColor="text1"/>
          <w:sz w:val="24"/>
          <w:szCs w:val="24"/>
          <w14:textFill>
            <w14:solidFill>
              <w14:schemeClr w14:val="tx1"/>
            </w14:solidFill>
          </w14:textFill>
        </w:rPr>
      </w:pPr>
      <w:bookmarkStart w:id="68" w:name="_Toc10385"/>
      <w:bookmarkStart w:id="69" w:name="_Toc7972"/>
      <w:r>
        <w:rPr>
          <w:rFonts w:ascii="Arial" w:hAnsi="Arial" w:cs="Arial"/>
          <w:color w:val="000000" w:themeColor="text1"/>
          <w:sz w:val="24"/>
          <w:szCs w:val="24"/>
          <w14:textFill>
            <w14:solidFill>
              <w14:schemeClr w14:val="tx1"/>
            </w14:solidFill>
          </w14:textFill>
        </w:rPr>
        <w:t>8资金结算</w:t>
      </w:r>
      <w:bookmarkEnd w:id="68"/>
      <w:bookmarkEnd w:id="69"/>
    </w:p>
    <w:p>
      <w:pPr>
        <w:pStyle w:val="3"/>
        <w:keepNext w:val="0"/>
        <w:keepLines w:val="0"/>
        <w:tabs>
          <w:tab w:val="center" w:pos="4649"/>
        </w:tabs>
        <w:spacing w:before="300" w:after="300" w:line="360" w:lineRule="exact"/>
        <w:jc w:val="left"/>
        <w:rPr>
          <w:rFonts w:eastAsia="宋体" w:cs="Arial"/>
        </w:rPr>
      </w:pPr>
      <w:bookmarkStart w:id="70" w:name="_Toc29855"/>
      <w:bookmarkStart w:id="71" w:name="_Toc9198"/>
      <w:r>
        <w:rPr>
          <w:rFonts w:eastAsia="宋体" w:cs="Arial"/>
          <w:sz w:val="24"/>
        </w:rPr>
        <w:t>8.1</w:t>
      </w:r>
      <w:r>
        <w:rPr>
          <w:rFonts w:cs="Arial" w:eastAsiaTheme="minorEastAsia"/>
          <w:kern w:val="44"/>
          <w:sz w:val="24"/>
          <w:szCs w:val="24"/>
        </w:rPr>
        <w:t>丹龙置业常州有限公司各资金账户流量情况</w:t>
      </w:r>
      <w:bookmarkEnd w:id="70"/>
      <w:bookmarkEnd w:id="71"/>
    </w:p>
    <w:p>
      <w:pPr>
        <w:spacing w:line="480" w:lineRule="auto"/>
        <w:ind w:firstLine="420" w:firstLineChars="200"/>
        <w:rPr>
          <w:rFonts w:ascii="Arial" w:hAnsi="Arial" w:cs="Arial"/>
          <w:bCs/>
          <w:kern w:val="44"/>
          <w:szCs w:val="21"/>
        </w:rPr>
      </w:pPr>
      <w:r>
        <w:rPr>
          <w:rFonts w:hint="eastAsia" w:ascii="Arial" w:hAnsi="Arial" w:cs="Arial"/>
          <w:bCs/>
          <w:kern w:val="44"/>
          <w:szCs w:val="21"/>
        </w:rPr>
        <w:t>2021</w:t>
      </w:r>
      <w:r>
        <w:rPr>
          <w:rFonts w:ascii="Arial" w:hAnsi="Arial" w:cs="Arial"/>
          <w:bCs/>
          <w:kern w:val="44"/>
          <w:szCs w:val="21"/>
        </w:rPr>
        <w:t>年</w:t>
      </w:r>
      <w:r>
        <w:rPr>
          <w:rFonts w:hint="eastAsia" w:ascii="Arial" w:hAnsi="Arial" w:cs="Arial"/>
          <w:bCs/>
          <w:kern w:val="44"/>
          <w:szCs w:val="21"/>
        </w:rPr>
        <w:t>8</w:t>
      </w:r>
      <w:r>
        <w:rPr>
          <w:rFonts w:ascii="Arial" w:hAnsi="Arial" w:cs="Arial"/>
          <w:bCs/>
          <w:kern w:val="44"/>
          <w:szCs w:val="21"/>
        </w:rPr>
        <w:t>月项目公司资金流出合计</w:t>
      </w:r>
      <w:r>
        <w:rPr>
          <w:rFonts w:hint="eastAsia" w:ascii="Arial" w:hAnsi="Arial" w:cs="Arial"/>
          <w:bCs/>
          <w:kern w:val="44"/>
          <w:szCs w:val="21"/>
        </w:rPr>
        <w:t>21,861,518.46</w:t>
      </w:r>
      <w:r>
        <w:rPr>
          <w:rFonts w:ascii="Arial" w:hAnsi="Arial" w:cs="Arial"/>
          <w:bCs/>
          <w:kern w:val="44"/>
          <w:szCs w:val="21"/>
        </w:rPr>
        <w:t>元，</w:t>
      </w:r>
      <w:r>
        <w:rPr>
          <w:rFonts w:hint="eastAsia" w:ascii="Arial" w:hAnsi="Arial" w:cs="Arial"/>
          <w:bCs/>
          <w:kern w:val="44"/>
          <w:szCs w:val="21"/>
        </w:rPr>
        <w:t>均</w:t>
      </w:r>
      <w:r>
        <w:rPr>
          <w:rFonts w:ascii="Arial" w:hAnsi="Arial" w:cs="Arial"/>
          <w:bCs/>
          <w:kern w:val="44"/>
          <w:szCs w:val="21"/>
        </w:rPr>
        <w:t>发生在中国银行常州武进支行的基本户中；截至2021年</w:t>
      </w:r>
      <w:r>
        <w:rPr>
          <w:rFonts w:hint="eastAsia" w:ascii="Arial" w:hAnsi="Arial" w:cs="Arial"/>
          <w:bCs/>
          <w:kern w:val="44"/>
          <w:szCs w:val="21"/>
        </w:rPr>
        <w:t>8</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 xml:space="preserve">日，项目公司各资金账户余额情况见下表。各账户资金流量情况详见银行对账单（附件二）。    </w:t>
      </w:r>
    </w:p>
    <w:p>
      <w:pPr>
        <w:spacing w:before="240" w:beforeLines="100"/>
        <w:jc w:val="center"/>
        <w:rPr>
          <w:rFonts w:ascii="Arial" w:hAnsi="Arial" w:cs="Arial"/>
          <w:b/>
          <w:color w:val="000000"/>
          <w:sz w:val="24"/>
        </w:rPr>
      </w:pPr>
      <w:bookmarkStart w:id="72" w:name="_Toc30582"/>
      <w:bookmarkStart w:id="73" w:name="_Toc5956"/>
      <w:r>
        <w:rPr>
          <w:rFonts w:ascii="Arial" w:hAnsi="Arial" w:cs="Arial"/>
          <w:b/>
          <w:color w:val="000000"/>
          <w:sz w:val="24"/>
        </w:rPr>
        <w:t>截至2021年</w:t>
      </w:r>
      <w:r>
        <w:rPr>
          <w:rFonts w:hint="eastAsia" w:ascii="Arial" w:hAnsi="Arial" w:cs="Arial"/>
          <w:b/>
          <w:color w:val="000000"/>
          <w:sz w:val="24"/>
        </w:rPr>
        <w:t>8</w:t>
      </w:r>
      <w:r>
        <w:rPr>
          <w:rFonts w:ascii="Arial" w:hAnsi="Arial" w:cs="Arial"/>
          <w:b/>
          <w:color w:val="000000"/>
          <w:sz w:val="24"/>
        </w:rPr>
        <w:t>月</w:t>
      </w:r>
      <w:r>
        <w:rPr>
          <w:rFonts w:hint="eastAsia" w:ascii="Arial" w:hAnsi="Arial" w:cs="Arial"/>
          <w:b/>
          <w:color w:val="000000"/>
          <w:sz w:val="24"/>
        </w:rPr>
        <w:t>31</w:t>
      </w:r>
      <w:r>
        <w:rPr>
          <w:rFonts w:ascii="Arial" w:hAnsi="Arial" w:cs="Arial"/>
          <w:b/>
          <w:color w:val="000000"/>
          <w:sz w:val="24"/>
        </w:rPr>
        <w:t>日项目公司各资金账户余额情况表</w:t>
      </w:r>
      <w:bookmarkEnd w:id="72"/>
      <w:bookmarkEnd w:id="73"/>
    </w:p>
    <w:tbl>
      <w:tblPr>
        <w:tblStyle w:val="13"/>
        <w:tblW w:w="9020" w:type="dxa"/>
        <w:tblInd w:w="0" w:type="dxa"/>
        <w:tblLayout w:type="fixed"/>
        <w:tblCellMar>
          <w:top w:w="0" w:type="dxa"/>
          <w:left w:w="0" w:type="dxa"/>
          <w:bottom w:w="0" w:type="dxa"/>
          <w:right w:w="0" w:type="dxa"/>
        </w:tblCellMar>
      </w:tblPr>
      <w:tblGrid>
        <w:gridCol w:w="3023"/>
        <w:gridCol w:w="938"/>
        <w:gridCol w:w="2334"/>
        <w:gridCol w:w="1638"/>
        <w:gridCol w:w="1087"/>
      </w:tblGrid>
      <w:tr>
        <w:tblPrEx>
          <w:tblCellMar>
            <w:top w:w="0" w:type="dxa"/>
            <w:left w:w="0" w:type="dxa"/>
            <w:bottom w:w="0" w:type="dxa"/>
            <w:right w:w="0" w:type="dxa"/>
          </w:tblCellMar>
        </w:tblPrEx>
        <w:trPr>
          <w:trHeight w:val="342" w:hRule="atLeast"/>
          <w:tblHeader/>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 xml:space="preserve">143,595,940.97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 xml:space="preserve">10,142,460.66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 xml:space="preserve">4,804,935.88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 xml:space="preserve">98,464,203.68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83"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 xml:space="preserve">149,733,140.37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tblPrEx>
          <w:tblCellMar>
            <w:top w:w="0" w:type="dxa"/>
            <w:left w:w="0" w:type="dxa"/>
            <w:bottom w:w="0" w:type="dxa"/>
            <w:right w:w="0" w:type="dxa"/>
          </w:tblCellMar>
        </w:tblPrEx>
        <w:trPr>
          <w:trHeight w:val="444" w:hRule="atLeast"/>
        </w:trPr>
        <w:tc>
          <w:tcPr>
            <w:tcW w:w="62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b/>
                <w:bCs/>
                <w:color w:val="000000"/>
                <w:kern w:val="0"/>
                <w:sz w:val="18"/>
                <w:szCs w:val="18"/>
              </w:rPr>
              <w:t xml:space="preserve">406,740,681.67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bCs/>
                <w:color w:val="000000"/>
                <w:sz w:val="18"/>
                <w:szCs w:val="18"/>
              </w:rPr>
            </w:pPr>
          </w:p>
        </w:tc>
      </w:tr>
    </w:tbl>
    <w:p>
      <w:pPr>
        <w:pStyle w:val="3"/>
        <w:keepNext w:val="0"/>
        <w:keepLines w:val="0"/>
        <w:spacing w:before="300" w:after="300" w:line="360" w:lineRule="exact"/>
        <w:jc w:val="left"/>
        <w:rPr>
          <w:rFonts w:cs="Arial" w:eastAsiaTheme="minorEastAsia"/>
          <w:kern w:val="44"/>
          <w:sz w:val="24"/>
          <w:szCs w:val="24"/>
        </w:rPr>
      </w:pPr>
      <w:bookmarkStart w:id="74" w:name="_Toc21903"/>
      <w:r>
        <w:rPr>
          <w:rFonts w:eastAsia="宋体" w:cs="Arial"/>
          <w:sz w:val="24"/>
        </w:rPr>
        <w:t>8.2</w:t>
      </w:r>
      <w:r>
        <w:rPr>
          <w:rFonts w:cs="Arial" w:eastAsiaTheme="minorEastAsia"/>
          <w:kern w:val="44"/>
          <w:sz w:val="24"/>
          <w:szCs w:val="24"/>
        </w:rPr>
        <w:t>预算使用情况说明</w:t>
      </w:r>
      <w:bookmarkEnd w:id="74"/>
    </w:p>
    <w:p>
      <w:pPr>
        <w:spacing w:line="480" w:lineRule="auto"/>
        <w:rPr>
          <w:rFonts w:ascii="Arial" w:hAnsi="Arial" w:cs="Arial"/>
          <w:bCs/>
          <w:kern w:val="44"/>
          <w:szCs w:val="21"/>
        </w:rPr>
      </w:pPr>
      <w:r>
        <w:rPr>
          <w:rFonts w:ascii="Arial" w:hAnsi="Arial" w:cs="Arial" w:eastAsiaTheme="minorEastAsia"/>
          <w:kern w:val="44"/>
          <w:sz w:val="24"/>
        </w:rPr>
        <w:t xml:space="preserve">   </w:t>
      </w:r>
      <w:r>
        <w:rPr>
          <w:rFonts w:ascii="Arial" w:hAnsi="Arial" w:cs="Arial"/>
          <w:bCs/>
          <w:kern w:val="44"/>
          <w:szCs w:val="21"/>
        </w:rPr>
        <w:t>项目公司2021年</w:t>
      </w:r>
      <w:r>
        <w:rPr>
          <w:rFonts w:hint="eastAsia" w:ascii="Arial" w:hAnsi="Arial" w:cs="Arial"/>
          <w:bCs/>
          <w:kern w:val="44"/>
          <w:szCs w:val="21"/>
        </w:rPr>
        <w:t>8</w:t>
      </w:r>
      <w:r>
        <w:rPr>
          <w:rFonts w:ascii="Arial" w:hAnsi="Arial" w:cs="Arial"/>
          <w:bCs/>
          <w:kern w:val="44"/>
          <w:szCs w:val="21"/>
        </w:rPr>
        <w:t>月共计支出</w:t>
      </w:r>
      <w:r>
        <w:rPr>
          <w:rFonts w:hint="eastAsia" w:ascii="Arial" w:hAnsi="Arial" w:cs="Arial"/>
          <w:bCs/>
          <w:kern w:val="44"/>
          <w:szCs w:val="21"/>
        </w:rPr>
        <w:t>21,861,518.46</w:t>
      </w:r>
      <w:r>
        <w:rPr>
          <w:rFonts w:ascii="Arial" w:hAnsi="Arial" w:cs="Arial"/>
          <w:bCs/>
          <w:kern w:val="44"/>
          <w:szCs w:val="21"/>
        </w:rPr>
        <w:t>元，</w:t>
      </w:r>
      <w:r>
        <w:rPr>
          <w:rFonts w:hint="eastAsia" w:ascii="Arial" w:hAnsi="Arial" w:cs="Arial"/>
          <w:bCs/>
          <w:kern w:val="44"/>
          <w:szCs w:val="21"/>
        </w:rPr>
        <w:t>本月支出费用除管理费用超出月度资金计划但未超出年度资金计划外其他用款均在月度资金计划内，未超出预算金额</w:t>
      </w:r>
      <w:r>
        <w:rPr>
          <w:rFonts w:ascii="Arial" w:hAnsi="Arial" w:cs="Arial"/>
          <w:bCs/>
          <w:kern w:val="44"/>
          <w:szCs w:val="21"/>
        </w:rPr>
        <w:t>。</w:t>
      </w:r>
      <w:r>
        <w:rPr>
          <w:rFonts w:hint="eastAsia" w:ascii="Arial" w:hAnsi="Arial" w:cs="Arial"/>
          <w:bCs/>
          <w:kern w:val="44"/>
          <w:szCs w:val="21"/>
        </w:rPr>
        <w:t>截至2021年8月31日各税金及附加合计支付金额为5,806.46万元，已占本年度预算金额6</w:t>
      </w:r>
      <w:r>
        <w:rPr>
          <w:rFonts w:ascii="Arial" w:hAnsi="Arial" w:cs="Arial"/>
          <w:bCs/>
          <w:kern w:val="44"/>
          <w:szCs w:val="21"/>
        </w:rPr>
        <w:t>,</w:t>
      </w:r>
      <w:r>
        <w:rPr>
          <w:rFonts w:hint="eastAsia" w:ascii="Arial" w:hAnsi="Arial" w:cs="Arial"/>
          <w:bCs/>
          <w:kern w:val="44"/>
          <w:szCs w:val="21"/>
        </w:rPr>
        <w:t>994.98万元的83%，相差1,188.52万元，后续可能会超出本年度资金预算，因此项费用不需我司审核支付，由银行直接划扣，我司会持续关注此项费用的扣款情况，如有超出及时向贵司汇报。</w:t>
      </w:r>
      <w:r>
        <w:rPr>
          <w:rFonts w:ascii="Arial" w:hAnsi="Arial" w:cs="Arial"/>
          <w:bCs/>
          <w:kern w:val="44"/>
          <w:szCs w:val="21"/>
        </w:rPr>
        <w:t>后续我司审核支付时，严格关注资金使用情况，发现有超出现象或者已经超出资金预算的及时向贵司进行汇报（详见附件三）。</w:t>
      </w:r>
    </w:p>
    <w:p>
      <w:pPr>
        <w:spacing w:line="480" w:lineRule="auto"/>
        <w:rPr>
          <w:rFonts w:ascii="Arial" w:hAnsi="Arial" w:cs="Arial"/>
          <w:bCs/>
          <w:kern w:val="44"/>
          <w:szCs w:val="21"/>
        </w:rPr>
      </w:pPr>
    </w:p>
    <w:bookmarkEnd w:id="45"/>
    <w:bookmarkEnd w:id="46"/>
    <w:bookmarkEnd w:id="47"/>
    <w:bookmarkEnd w:id="48"/>
    <w:bookmarkEnd w:id="49"/>
    <w:p>
      <w:pPr>
        <w:pStyle w:val="3"/>
        <w:keepNext w:val="0"/>
        <w:keepLines w:val="0"/>
        <w:spacing w:before="300" w:after="300" w:line="360" w:lineRule="exact"/>
        <w:jc w:val="left"/>
        <w:rPr>
          <w:rFonts w:eastAsia="宋体" w:cs="Arial"/>
          <w:sz w:val="24"/>
        </w:rPr>
      </w:pPr>
      <w:bookmarkStart w:id="75" w:name="_Toc19007753"/>
      <w:bookmarkStart w:id="76" w:name="_Toc29874"/>
      <w:bookmarkStart w:id="77" w:name="_Toc535580031"/>
      <w:bookmarkStart w:id="78" w:name="_Toc535508644"/>
      <w:bookmarkStart w:id="79" w:name="_Toc535580099"/>
      <w:bookmarkStart w:id="80" w:name="_Toc535570758"/>
      <w:bookmarkStart w:id="81" w:name="_Toc535580097"/>
      <w:bookmarkStart w:id="82" w:name="_Toc5700907"/>
      <w:bookmarkStart w:id="83" w:name="_Toc532281663"/>
      <w:bookmarkStart w:id="84" w:name="_Toc373309851"/>
      <w:bookmarkStart w:id="85" w:name="_Toc535508642"/>
      <w:bookmarkStart w:id="86" w:name="_Toc411430359"/>
      <w:bookmarkStart w:id="87" w:name="_Toc535570756"/>
      <w:bookmarkStart w:id="88" w:name="_Toc535580029"/>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widowControl/>
        <w:jc w:val="left"/>
        <w:rPr>
          <w:rFonts w:ascii="Arial" w:hAnsi="Arial" w:cs="Arial"/>
          <w:b/>
          <w:bCs/>
          <w:sz w:val="24"/>
          <w:szCs w:val="32"/>
        </w:rPr>
      </w:pPr>
      <w:r>
        <w:rPr>
          <w:rFonts w:cs="Arial"/>
          <w:sz w:val="24"/>
        </w:rPr>
        <w:br w:type="page"/>
      </w:r>
    </w:p>
    <w:p>
      <w:pPr>
        <w:pStyle w:val="3"/>
        <w:keepNext w:val="0"/>
        <w:keepLines w:val="0"/>
        <w:spacing w:before="300" w:after="300" w:line="360" w:lineRule="exact"/>
        <w:jc w:val="left"/>
        <w:rPr>
          <w:rFonts w:eastAsia="宋体" w:cs="Arial"/>
          <w:sz w:val="24"/>
        </w:rPr>
      </w:pPr>
      <w:bookmarkStart w:id="89" w:name="_Toc20838"/>
      <w:r>
        <w:rPr>
          <w:rFonts w:eastAsia="宋体" w:cs="Arial"/>
          <w:sz w:val="24"/>
        </w:rPr>
        <w:t>8.3</w:t>
      </w:r>
      <w:r>
        <w:rPr>
          <w:rFonts w:cs="Arial" w:eastAsiaTheme="minorEastAsia"/>
          <w:kern w:val="44"/>
          <w:sz w:val="24"/>
          <w:szCs w:val="24"/>
        </w:rPr>
        <w:t>收取各类保证金余额</w:t>
      </w:r>
      <w:r>
        <w:rPr>
          <w:rFonts w:eastAsia="宋体" w:cs="Arial"/>
          <w:sz w:val="24"/>
        </w:rPr>
        <w:t>情况</w:t>
      </w:r>
      <w:bookmarkEnd w:id="75"/>
      <w:bookmarkEnd w:id="76"/>
      <w:bookmarkEnd w:id="89"/>
    </w:p>
    <w:bookmarkEnd w:id="77"/>
    <w:bookmarkEnd w:id="78"/>
    <w:bookmarkEnd w:id="79"/>
    <w:bookmarkEnd w:id="80"/>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w:t>
      </w:r>
      <w:r>
        <w:rPr>
          <w:rFonts w:hint="eastAsia" w:ascii="Arial" w:hAnsi="Arial" w:cs="Arial" w:eastAsiaTheme="minorEastAsia"/>
          <w:color w:val="000000"/>
          <w:szCs w:val="21"/>
        </w:rPr>
        <w:t>2021年8月5日收到浙江中亚园林集团有限公司履约保证金396,431.06元，</w:t>
      </w:r>
      <w:r>
        <w:rPr>
          <w:rFonts w:ascii="Arial" w:hAnsi="Arial" w:cs="Arial" w:eastAsiaTheme="minorEastAsia"/>
          <w:color w:val="000000"/>
          <w:szCs w:val="21"/>
        </w:rPr>
        <w:t>该资金具体情况如下表：</w:t>
      </w:r>
    </w:p>
    <w:bookmarkEnd w:id="81"/>
    <w:bookmarkEnd w:id="82"/>
    <w:bookmarkEnd w:id="83"/>
    <w:bookmarkEnd w:id="84"/>
    <w:bookmarkEnd w:id="85"/>
    <w:bookmarkEnd w:id="86"/>
    <w:bookmarkEnd w:id="87"/>
    <w:bookmarkEnd w:id="88"/>
    <w:p>
      <w:pPr>
        <w:spacing w:before="240" w:beforeLines="100"/>
        <w:jc w:val="center"/>
        <w:rPr>
          <w:rFonts w:ascii="Arial" w:hAnsi="Arial" w:cs="Arial"/>
          <w:b/>
          <w:color w:val="000000"/>
          <w:sz w:val="24"/>
        </w:rPr>
      </w:pPr>
      <w:bookmarkStart w:id="90" w:name="_Toc25505"/>
      <w:bookmarkStart w:id="91" w:name="_Toc26480"/>
      <w:r>
        <w:rPr>
          <w:rFonts w:ascii="Arial" w:hAnsi="Arial" w:cs="Arial"/>
          <w:b/>
          <w:color w:val="000000"/>
          <w:sz w:val="24"/>
        </w:rPr>
        <w:t>保证金基本情况表</w:t>
      </w:r>
      <w:bookmarkEnd w:id="90"/>
      <w:bookmarkEnd w:id="91"/>
    </w:p>
    <w:tbl>
      <w:tblPr>
        <w:tblStyle w:val="13"/>
        <w:tblW w:w="9589" w:type="dxa"/>
        <w:tblInd w:w="-96" w:type="dxa"/>
        <w:tblLayout w:type="fixed"/>
        <w:tblCellMar>
          <w:top w:w="0" w:type="dxa"/>
          <w:left w:w="0" w:type="dxa"/>
          <w:bottom w:w="0" w:type="dxa"/>
          <w:right w:w="0" w:type="dxa"/>
        </w:tblCellMar>
      </w:tblPr>
      <w:tblGrid>
        <w:gridCol w:w="3697"/>
        <w:gridCol w:w="1377"/>
        <w:gridCol w:w="1254"/>
        <w:gridCol w:w="1621"/>
        <w:gridCol w:w="1640"/>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2021年4月14日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2021年4月14日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899,643.65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899,643.65</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2021年2月3日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苏州复荣古建园林工程有限公司履约保证金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587,902.68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江苏东方建设项目管理咨询有限公司二期、三期履约保证金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322,258.30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宜兴市江南桥梁工程有限公司桥梁工程投标保证金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2020年8月20日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2021年2月1日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常州市给排水工程有限公司桥梁工程投标保证金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2020年8月21日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2021年3月9日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江苏康建建设工程有限公司履约保证金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2020年10月12日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2021年1月15日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常州市给排水工程有限公司桥梁工程履约保证金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63,082.29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2021年2月7日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苏州思成古建园林工程有限公司履约保证金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880,434.4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收到浙江中亚园林集团有限公司履约保证金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eastAsiaTheme="minorEastAsia"/>
                <w:color w:val="000000"/>
                <w:kern w:val="0"/>
                <w:sz w:val="18"/>
                <w:szCs w:val="18"/>
              </w:rPr>
              <w:t>2,098,082.47</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收到上海度量衡履约保证金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184,274.10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杭州联铂电子科技有限公司履约保证金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53,369.80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2021年5月28日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广东坚朗五金制品股份有限公司保证金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19,920.00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新多集团一期39#、40#、44#、45#入户门供货安装履约保证金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67,940.27</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2021年6月16日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收到浙江中亚园林集团有限公司履约保证金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396,431.06</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2021年8月5日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Arial" w:hAnsi="Arial" w:cs="Arial" w:eastAsiaTheme="minorEastAsia"/>
                <w:b/>
                <w:bCs/>
                <w:color w:val="000000"/>
                <w:kern w:val="0"/>
                <w:sz w:val="18"/>
                <w:szCs w:val="18"/>
              </w:rPr>
              <w:t>57,363,054.21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eastAsiaTheme="minorEastAsia"/>
                <w:b/>
                <w:bCs/>
                <w:color w:val="000000"/>
                <w:kern w:val="0"/>
                <w:sz w:val="18"/>
                <w:szCs w:val="18"/>
              </w:rPr>
              <w:t>3,</w:t>
            </w:r>
            <w:r>
              <w:rPr>
                <w:rFonts w:hint="eastAsia" w:ascii="Arial" w:hAnsi="Arial" w:cs="Arial" w:eastAsiaTheme="minorEastAsia"/>
                <w:b/>
                <w:bCs/>
                <w:color w:val="000000"/>
                <w:kern w:val="0"/>
                <w:sz w:val="18"/>
                <w:szCs w:val="18"/>
              </w:rPr>
              <w:t>54</w:t>
            </w:r>
            <w:r>
              <w:rPr>
                <w:rFonts w:ascii="Arial" w:hAnsi="Arial" w:cs="Arial" w:eastAsiaTheme="minorEastAsia"/>
                <w:b/>
                <w:bCs/>
                <w:color w:val="000000"/>
                <w:kern w:val="0"/>
                <w:sz w:val="18"/>
                <w:szCs w:val="18"/>
              </w:rPr>
              <w:t>9,643.65</w:t>
            </w:r>
          </w:p>
        </w:tc>
        <w:tc>
          <w:tcPr>
            <w:tcW w:w="32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kern w:val="0"/>
                <w:sz w:val="18"/>
                <w:szCs w:val="18"/>
              </w:rPr>
              <w:t>53,813,410.56</w:t>
            </w:r>
          </w:p>
        </w:tc>
        <w:tc>
          <w:tcPr>
            <w:tcW w:w="32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w:t>
            </w:r>
          </w:p>
        </w:tc>
      </w:tr>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bookmarkStart w:id="92" w:name="_Toc14319"/>
      <w:bookmarkStart w:id="93" w:name="_Toc31135"/>
      <w:r>
        <w:rPr>
          <w:rFonts w:ascii="Arial" w:hAnsi="Arial" w:cs="Arial"/>
          <w:color w:val="000000"/>
          <w:sz w:val="24"/>
          <w:szCs w:val="24"/>
        </w:rPr>
        <w:t>附件</w:t>
      </w:r>
      <w:bookmarkEnd w:id="92"/>
      <w:bookmarkEnd w:id="93"/>
      <w:bookmarkStart w:id="94" w:name="_Toc7482"/>
      <w:bookmarkStart w:id="95" w:name="_Toc5600"/>
    </w:p>
    <w:p>
      <w:pPr>
        <w:pStyle w:val="2"/>
        <w:keepNext w:val="0"/>
        <w:keepLines w:val="0"/>
        <w:spacing w:before="300" w:after="300" w:line="360" w:lineRule="exact"/>
        <w:jc w:val="left"/>
        <w:rPr>
          <w:rFonts w:ascii="Arial" w:hAnsi="Arial" w:cs="Arial"/>
          <w:sz w:val="24"/>
        </w:rPr>
      </w:pPr>
      <w:bookmarkStart w:id="96" w:name="_Toc996"/>
      <w:r>
        <w:rPr>
          <w:rFonts w:ascii="Arial" w:hAnsi="Arial" w:cs="Arial"/>
          <w:sz w:val="24"/>
        </w:rPr>
        <w:t>附件一 销售明细表</w:t>
      </w:r>
      <w:bookmarkEnd w:id="94"/>
      <w:bookmarkEnd w:id="96"/>
    </w:p>
    <w:tbl>
      <w:tblPr>
        <w:tblStyle w:val="13"/>
        <w:tblW w:w="9493" w:type="dxa"/>
        <w:jc w:val="center"/>
        <w:tblLayout w:type="fixed"/>
        <w:tblCellMar>
          <w:top w:w="0" w:type="dxa"/>
          <w:left w:w="108" w:type="dxa"/>
          <w:bottom w:w="0" w:type="dxa"/>
          <w:right w:w="108" w:type="dxa"/>
        </w:tblCellMar>
      </w:tblPr>
      <w:tblGrid>
        <w:gridCol w:w="500"/>
        <w:gridCol w:w="432"/>
        <w:gridCol w:w="844"/>
        <w:gridCol w:w="1471"/>
        <w:gridCol w:w="846"/>
        <w:gridCol w:w="1193"/>
        <w:gridCol w:w="1193"/>
        <w:gridCol w:w="1193"/>
        <w:gridCol w:w="1099"/>
        <w:gridCol w:w="722"/>
      </w:tblGrid>
      <w:tr>
        <w:tblPrEx>
          <w:tblCellMar>
            <w:top w:w="0" w:type="dxa"/>
            <w:left w:w="108" w:type="dxa"/>
            <w:bottom w:w="0" w:type="dxa"/>
            <w:right w:w="108" w:type="dxa"/>
          </w:tblCellMar>
        </w:tblPrEx>
        <w:trPr>
          <w:cantSplit/>
          <w:trHeight w:val="278" w:hRule="atLeast"/>
          <w:tblHeader/>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序号</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楼号</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房号</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客户姓名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面积（㎡）</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备案价（元）</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合同价（元）</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已收金额（元）</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未收金额（元）</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销售状态</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徐旻</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张红云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严文玉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刘晓英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吴仲华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薛研、施辉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李向魁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曹庆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张腊根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贡晶晶、杨俊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李敏、裴秀萍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邱瑞泓</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孙剑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朱政君,傅科雯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任启双、乔如</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李志华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邵义、郭佳丽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戴燕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郑翌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闻丽芬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徐利菊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姜欣宇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何兰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张远芳、卢桂珍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柳波、言新芳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罗杜洋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凌玉萍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钱小虎、孙晔隽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谢锋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胡启柱、龚溢林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陈斌、吴金洪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闵珂琦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孙傅芸</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李承宏、纪佩来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符彩琴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张姝馨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王文伟,滕亚仙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夏丽君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李朵、徐洋龙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陶亚燕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张小超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潘莉晶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干建萍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陈锡东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陈莲锁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蒋海红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顾静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李光舟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周守明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程伟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干叶飞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44-甲-1001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聂敬忠</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徐不畏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蒋春燕、张兴大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韩俊容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吕城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许军立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丁小洁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贺翠兰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苏琳、孙斌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曾献华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傅伟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黎宏平、甘秋菊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朱婷、郭彤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林丹光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刘建国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毕勇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谢才强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邹琳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赵斌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濮泽昱、濮小波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黄洪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张鹏程、胥敏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张苏洋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44-乙-502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周芷涵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44-乙-402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薛云鹏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瞿晓犇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黄梅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甘俊杰、娄晓静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彭海琴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刘兰英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夏大清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陆启浩、董永珍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潘文君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何煚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刘锋朱泽莲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田秋兴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周冬艳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钱兰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张姝馨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韩海烽、张云亚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查建芳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丁云、李岳峰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张薇雯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余霞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管欧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壮能、金星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史荣升、沈丹萍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张彬、郭昆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曹晓东,唐丽雅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高静怡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沈克文、周琴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马益飞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朱振、周晓慧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壮琪、周敏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赵娇华、高旭东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赵伟、韩茂林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秦超、王晶雨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周玲、徐正峰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赵颖</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恽晓明、苏秋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高玲玲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肖红霞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杨勇、赵红梅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吴飞龙、饶文红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王晓伟、上小英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刘康、刘丹纯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潘杨、陆娟芬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李赟、丁路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董小娟、解平毅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李刚、王丙芳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刘伟明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高江东、刘玲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栾巍、牟娇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赵亮、李梅英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杨玲玉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薛时杰、杨梦璐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万琴娣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徐晓燕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罗婷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万梨花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胡宗留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孙靖、严丽娟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陶为华、齐欣欣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周岩旺、胡路露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严嘉、邵洁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沈建明、朱永姝、沈鸿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柳杨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朱成明、张亚萍、朱迪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王夏衍、李梦营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周茜、刘凯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郑小风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徐小军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陆晓飞、朱杭金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王钱浪、张小丽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薛芬、吴凯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彭广民、周海萍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张浩、杨佳静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陈飞、胡惠蓉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张文斌、汪霞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王杰、吴晓蓉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唐春玲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郭琦、金科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王希、莫泓霖</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杨晓光、虞新燕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王卓越、褚张霞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蒋磊、何琦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薛源、蒋琳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戈丽娜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周佳炜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王海美、蒋飞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沈小霞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廖新化</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邓可明、李玲月、邓毅超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薛兴旭、夏敏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吴佳铭、陈志菊、吴国兴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赵晓泽、钱水平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许胜、马红梅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仰志辉、王凤弟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朱海元、张国进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蒋志龙、孙红娣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夏伦杰、赵洁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钱孙广、杨佳媛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陈刚、杨莉亚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蒋建伟、吴春花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胡来元</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芦婷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王护平、陈家克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姜洪峰、张小亚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卢伟、韦妙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何凯、蒋敏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曹海燕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曾国科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梁花容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龙卫丽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陆晨、朱丽霞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徐兰英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杨蕊、杨学良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浦亚方、李杰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徐艺嘉、李安康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邓科、王瑞英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游欢欢、吴彬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王斌、陆雁容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朱凯明、陈丽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恽洁华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徐兰英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吴杰笑子、王芳冰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白禹、李琰芬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壮锋、孙晓琴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蒋逸波、王政欢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吴珂、管健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徐晶、马成果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王鸿璋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8,725,000.00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1,521,859.00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朱建华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史静华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张姝馨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左永红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蒋蓝燕、王志峰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绪文娟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潘柯君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刘奕钢、刘云帆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吴俊洁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刘晶、巢澄</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吕刚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安丰玲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金加洪、黄一虹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郑文科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卢建刚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程秋梁、顾箫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王铭浩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陆利明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胡丹清、陈焕琴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陶亚燕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陈建纲、汪志南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陆春红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李增超、王菲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翟晓纯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严文玉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吴德斌、张敬敬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王辉、严小燕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钱金、徐娟霞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丁虹予</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壮卓、马心慧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毛伟新、盛琴芬、毛佳凝</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肖灿灿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朱晓明、高盘君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许逸豪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刘庆辉、吴园园</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钱新、朱春燕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4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徐娴、EGERVARI JURGENFRANZ</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许逸雯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陈成、张益群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戎易</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4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徐娴、EGERVARI JURGENFRANZ</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冯民、杭小芬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王仁虎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张亮、曹大娟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周建国,周伟英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巢玲群、须协成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徐波、尹丽君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张文婷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吴淏、贾李春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杭震立、刘春燕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苏虹、李小飞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方文平、缪亚萍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陆林、杨益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葛宜艳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蔡丽花、杨波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王守波、张娜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骆乾、薛一宁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蔡鸿男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汪蕾、陈建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盛昌润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沈雷、何霞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盛汪、沈燕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何秋平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王华春、王玉芳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薛时杰、杨梦璐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季燕萍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戚虎林、恽洁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陈叶华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陈晓波、蒋霄燕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谢道林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唐小泉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贾春、陈妍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俞俊杰、朱雪萍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陈敏、刘志刚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金加洪、黄一虹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王常青、丁爱平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凌霄</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李辉贤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徐丽文、徐小青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施丽珏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蒋珍、叶卢宇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杨玉娇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刘洪江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陈丽珏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李晓东、李文英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陈小俊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许妍琦、周春强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张建红、恽德伟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史悦熙、黄秉慧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仇腾飞、王香丽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颜锦龙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朱银娣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龚黎菊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刘凯、王霞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林俊、董晨婷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杨国军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缪立斌、张湘倩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陶黎清、李小俊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吴洪涛、刘娜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陆阳、史燕静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陈一奇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苏永飞、于文琴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王加一</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刘银媛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赵科汇、张林华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张芝玉、吴红成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张芝兰、刘晓明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秦建红、姚一如</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夏阿大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岳炜、沈燕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毛建杰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黄旭华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王卫琴、陈小明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赵婷婷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沈艳、丁梓轩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潘松、蔡英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刘奕钢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王振宇、傅婷婷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杜嘉骏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蒋婷、周园</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刘长生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张凤乐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邓达、蒋红波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王爱莲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王晓丽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曹磊、田司琪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刘瑞杰、魏伟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蒋培荣、蒋淑英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万伟东、邵菊芬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孙维娜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陈梁、周捷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潘凌栋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李鸿峰、赵婧琦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刘玉飞、张美荣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邵骏飞、邓珍妮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蒋雨辰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冷亚华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4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储旻辉、郭婉、储青、裴福美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张语涵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徐春燕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别东远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张卫美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李沁莹、史俊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唐丽君、金虎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徐茜、徐内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陆阳、史燕静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张峰磊、姚瑶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朱荷芬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张慧、费国超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王金福、张海涛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臧彦姣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莫惠芬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缪苗、汪金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乔楠、陈奕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庄源琳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储群、卢庆、卢尧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卞秀芬、张建强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倪恺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时晓芬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潘凌栋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周威廉、梅丽萍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王英、蒋斌松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丁文斌、丁梦琦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石晓荣、张敏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高祎玥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金怡、吴丁平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万琴娣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杨欢、闵敏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张雷、石建云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柳超、刘英杰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杨桂兰、薛金荣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戴文君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王杏琴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洪森、陈井玉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李建忠</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徐洪华、高文雅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胡启洋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孙剑、汪蓓红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朱玉霞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蒋晔冰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刘本成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孙剑、汪蓓红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陈益、潘海方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薛然之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王志方、王伟秀</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刘培军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庄玲云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包国波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万阿香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刘晓丽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胡荫俊、刘沛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壮雨婕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万阿香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赵韩斌、赵姝婷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殷炜晟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唐仲良、钱荷英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尹箭娇、沈飞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丁晶、顾行宪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罗毓琪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周国东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牟文洪、洪红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谈安琳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蒋和平、蒋熹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陆俊,徐珊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方敏青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吴伟中</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周秋芬、张琳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吉才相</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汪礼刚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贺建东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吴品旭</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路蓉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邵俊阳、章杨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杨用淘</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邹志军、葛金花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张春萍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李善臻、苏小燕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姜开芳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汪周萍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蒋文杰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陶珠</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王冕、王滢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邓伟、王亚华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张炎斌、张亚红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蒋智春、李海燕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蒋沂含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封全翠</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48-丙-501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符梦娜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王文杰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张婷、赵鑫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胡金杰、庄玲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岳志龙、马洁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强美真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张传强、蔡静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魏玲玲、刘双全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苏伟娟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夏金龙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戚枫捷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万益峰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强海波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周小燕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芮黎阳、陈素娟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闻丹、庄源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朱志刚、孙萍萍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48-乙-502</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吴小兰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林洲怡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沈霞、陈海超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王浩丞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石静瑜、王骏、杨莉琴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高学峰、陈芝兰、高天雨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邵莹、邹玉娟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宋效斌、管守丽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沈捷、徐郡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翁志荣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梁胜娟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胡文国、丁雪琴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顾晓春、钱伟国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许紫霞、张燕杰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秦峰、俞琴艳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徐晓怡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刘小刚、潘复敏、刘梓远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盛凌昊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范杰、陈静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张梦佳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施文锋、刘琴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薛敏龙、蒋瑛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朱锦美、马旭峰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祁美娟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壮瑾妤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袁珺、袁杏明、查惠琴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周文、何睦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张雨、李渤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上官彬、蒋珂</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陈逸鹏、丁颖</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杨国军、王超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杨晓军、柴敏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孙文丽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张丽、何季玮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周吉、杨慧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王新亚、荆志良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汤漪、魏玉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幢慧、壮全良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罗春红、谈金禅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杨海超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虞昕玮、霍琳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刘鑫、刘洪根、张俊和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王丽青、陈金兰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曾南荣、黄燕南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周悟、张红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周加进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张晓宁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柯彦伶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杨明、张亚平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肖雨虹、周洋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沈纲、沈秀</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庄翎宜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张家中、李树丽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徐雅男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张雷、张丽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吴小伟、印丽梅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朱光辉、王明霞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左永红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陈建东、沈亚娟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史建平、盛美琳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张留芳、鞠文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石德权、王光艳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黄惠英、游秀源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薛娇、刘伟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沈爱琴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陈新、耿莉萍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袁伟平、李萍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李峰、王艳、李玉珊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曹煜、谈鑫娟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王丹丹、丁毛磊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孙永峰、王丹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丁韬、黄嘉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许晓玉、吴新华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贾文平、周晓静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刘翠、张道发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毛建杰、周维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冯旭飞、谈霄燕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邓丽娜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华浚名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龚建芬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龚建芬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钱燕春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曹荣英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顾晓明，吴亚萍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王娟华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张明亮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张俭，沈颖倩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肖敏、熊克胜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季刚 陈琳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吴镇，王晓薇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王卓平,张言</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36-乙-401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36-乙-601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36-乙-701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何唯，万琳琳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陈旭，沈斌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葛依豪，章影月</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贺鹏岳,沈莉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刘小强，郭晓雯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许海琴，刘松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沈嘉，施姗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张涵琦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王娟华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钱莹，张支峰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洪娟，张波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张怿如 张伟东 张娟艳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颜香艳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王贝贝</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朱海春，朱婷婷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魏忠伟，李贞贞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曾亚芬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陈溢希</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艾凌峰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王春平，李雪飞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邵爱梅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郑亚娟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赵逸鼎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肖国斌，唐玉露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李聪，郭梦娇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王丽珍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薛斌渊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李龙飞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李剑飞，江露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刘杭芳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朱金杰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曹永</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包涵</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吴纯辉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顾振波，高钰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王亮，夏倩妮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汪留洪 华玉芬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丁香奈儿</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戴煊喆</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李菲菲，费敏</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冯修华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陆志燕，程志军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李敏，缪璐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王士伟，周玲玲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姚莹，岳玮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张芃羽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纪小金，王旭岚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魏敏，陈诚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吴纯辉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周鹏飞，顾燕琼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刘智威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郝新玲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黄剑明，王艳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谭文杰，是霞凤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贺筠雯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马丽慧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叶峰，张盛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仇冠杰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余秀峰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陆佳虎，宋燕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余康，王慧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王舟超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董燕妮，夏晶俊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卢建军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魏爱春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汤飞燕，泰毅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杨静，邵梦洁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李康 冯乾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马荣，余清芬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肖家增，李燕荣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唐萍仙，王叶峰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许俊华，贺云菲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绪欣，任圣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邱菲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曹春萍，恽婷婷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吴品旭，巫亚芬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陈阳，蒋慧玲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王翔，赵辉芳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周益</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马月勇，赵骏霞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李保林</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李超，李小方，戴惠芬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孙蓉蓉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曹亚芬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许鹏东，施小丽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周丽，袁建凯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38-丙-201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钱新露 史伟强</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华建龙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许海伟，李红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周冰洁 秦嘉佑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邵亚剑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周禄高，蔡云霞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38-丙-901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黄秀冬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段卫权，齐晓慧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艾世忠，张茜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朱英华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龚正保，薛国姝</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朱晓国 陈飞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陈燕 顾晓明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蒋鑫</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黄炀 周凤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戴旭伟，薛理媛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张佳，梅艳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陈皎，何云峰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管文煌，陈畅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顾金峰，汪志萍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费璐，费焕文</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朱欣雅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周硕硕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陈越，张琪</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薛怡媛 邓阳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38-丙-702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陈华芳，栾卫明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刘逸</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潘晓伟，黄震波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张宏辉，章倩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曹敬钟，赵月梅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虞姝琪，陈永健</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居光华，杨平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庄赵栋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谈黎刚，杨亚平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谢小娅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朱雯萱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高美玲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何宗九,方实珍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张宏辉，章倩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邵艳艳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班路，储巧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曹桂珍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谈黎刚，杨亚平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许林，许娟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刘平，钟腊姐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付娜，莫琦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李秀芬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朱琴亚</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朱琳，吴正洋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黄丽莉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胡古月，王玲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徐淑蕾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杨燕，杜淳飞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邹林琦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蒋如立 孔秋莲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洑亦唯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张向斌，周洁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郁芳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尚乘 尚建达 陈佳美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黄丽莉，张浩</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王岚，吴光辉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苏亚芳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李慧</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1471" w:type="dxa"/>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周宇，芦春梅</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1471" w:type="dxa"/>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郦菊琴</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刘斌，冯秋丹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郁麟，罗蕾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万文波</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吴家丽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张晨妍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刘慈洽，毛丽英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岳剑波，沈烨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蔡雅秋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胡启洋</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薛晓军,梁菊妹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6,242,073.00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张波,万文艳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5,139,998.00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李依</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5,123,811.00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李幼勤</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5,107,624.00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16-105</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丁伟华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5,061,341.00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16-106</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孙宾,肖淑华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5,982,148.00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朱玉峰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4,784,412.00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829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吴金涛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4,213,452.00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4,190,426.00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潘寒静</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4,174,779.00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16-305</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陈俊,徐燕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4,159,132.00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16-306</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张悦</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4,716,892.00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谢小玲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5,672,997.00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王嘉雯</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4,975,041.00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黄海涛,张震国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4,939,488.00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1,709,488.00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3,210,000.00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许丽萍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5,145,549.00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1,545,549.00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谢迪阳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4,381,501.00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839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林丹华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4,124,895.00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李峰,李丽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4,109,670.00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秦敏刚,钱小莉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6,130,058.00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顾文沁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4,978,522.00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1,488,522.00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朱小宇,杨柳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3,342,335.00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20-104</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4,946,149.00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20-105</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黄恺仑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4,929,962.00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20-106</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杨鲁平,高玉娟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5,855,815.00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孙郁,王娜菲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4,682,831.00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1,982,831.00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849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顾文沁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4,126,042.00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1,236,042.00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2,870,000.00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蒋霄宇,闵珂</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4,110,826.00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薛亮</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4,095,178.00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20-305</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符子扬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20-306</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王小可,何旭东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4,679,471.00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蒋必彪,谢章丽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5,499,533.00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2,079,533.00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赵金叶,姜晓军</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4,874,146.00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21-103</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4,856,369.00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周俭,赵丽娜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5,010,930.00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蔡成林,邹荣兰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4,329,745.00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859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华杰,孙娟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4,048,787.00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陈敏妤,韦国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4,014,465.00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薛汝生,朱爱兰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4,065,806.00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1,625,806.00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5,769,937.00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5,696,491.00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4,531,591.00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庄稼</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4,495,207.00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5,556,798.00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曹洋,王蕾</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4,934,281.00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许伟忠,余晨</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4,916,504.00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869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陈薛,张琳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5,399,748.00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高盘君,朱晓明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吕成晞,高楚嫣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杨奇乐</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4,062,330.00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周鹏鹏,陈叶</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4,205,398.00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5,453,934.00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27-102</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4,827,665.00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27-103</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4,809,888.00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27-104</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4,982,179.00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4,248,725.00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879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张继国，宦娟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3,985,106.00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1,195,106.00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27-303</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3,967,946.00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27-304</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3,980,860.00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李发君,庄新娟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5,686,734.00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李发君,庄新娟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5,513,086.00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李阳,易亚玲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4,523,292.00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李阳,易亚玲</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4,455,371.00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徐姣</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5,324,487.00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雷益娟</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4,788,382.00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赵小玲,徐国峰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4,770,606.00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889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马锁福,李雪花</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5,315,456.00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桑烽燕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4,266,087.00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庞祥妹</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3,972,815.00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33-303</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3,955,654.00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卞正峰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4,066,871.00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周铖,邵云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王云芬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4,752,873.00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史俊杰,季燕芬</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4,735,096.00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1,415,096.00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薛琪,李舒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4,891,848.00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余凯,庄丽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4,075,536.00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899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周芝萍</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3,938,493.00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蒋友新</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3,921,333.00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刘亚萍,宣伟锋,宣一凡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3,935,254.00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顾磊,张亚明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272.58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10,111,543.00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徐水竹,庄洁</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8,283,558.00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2,663,558.00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黄芳</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8,191,045.00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3,281,045.00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林明霞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8,615,539.00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9,621,450.00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雷春生,龙海燕</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7,979,138.00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束羽</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7,890,191.00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909</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许震宇,张云霞</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9,146,274.00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10-101</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莫艳婷</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189.17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7,117,115.00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4,597,115.00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2,500,000.00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911</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王莉莉</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8,193,608.00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912</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朱文东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8,152,156.00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913</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朱文东</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238.97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8,120,775.00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914</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10-105</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袁建民</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274.03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9,841,685.00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915</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11-101</w:t>
            </w:r>
          </w:p>
        </w:tc>
        <w:tc>
          <w:tcPr>
            <w:tcW w:w="1471" w:type="dxa"/>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9,245,653.00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916</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11-102</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蒋怡青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7,924,397.00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917</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11-103</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陆汉伟,王晓燕,陆天寒</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7,835,344.00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918</w:t>
            </w:r>
          </w:p>
        </w:tc>
        <w:tc>
          <w:tcPr>
            <w:tcW w:w="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11-104</w:t>
            </w:r>
          </w:p>
        </w:tc>
        <w:tc>
          <w:tcPr>
            <w:tcW w:w="1471" w:type="dxa"/>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陈小虎</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8,741,433.00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cantSplit/>
          <w:trHeight w:val="270" w:hRule="atLeast"/>
          <w:jc w:val="center"/>
        </w:trPr>
        <w:tc>
          <w:tcPr>
            <w:tcW w:w="324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总计</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146,075.18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2,766,629,316.00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2,586,540,318.00 </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2,531,990,723.00 </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56,519,595.00 </w:t>
            </w:r>
          </w:p>
        </w:tc>
        <w:tc>
          <w:tcPr>
            <w:tcW w:w="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5"/>
                <w:szCs w:val="15"/>
              </w:rPr>
            </w:pPr>
          </w:p>
        </w:tc>
      </w:tr>
    </w:tbl>
    <w:p>
      <w:pPr>
        <w:rPr>
          <w:rFonts w:ascii="Arial" w:hAnsi="Arial" w:cs="Arial"/>
        </w:rPr>
      </w:pPr>
    </w:p>
    <w:p>
      <w:pPr>
        <w:rPr>
          <w:rFonts w:ascii="Arial" w:hAnsi="Arial" w:cs="Arial"/>
        </w:rPr>
      </w:pPr>
    </w:p>
    <w:p>
      <w:pPr>
        <w:rPr>
          <w:rFonts w:ascii="Arial" w:hAnsi="Arial" w:cs="Arial"/>
        </w:rPr>
      </w:pPr>
    </w:p>
    <w:p>
      <w:pPr>
        <w:widowControl/>
        <w:jc w:val="left"/>
        <w:rPr>
          <w:rFonts w:ascii="Arial" w:hAnsi="Arial" w:cs="Arial"/>
          <w:b/>
          <w:bCs/>
          <w:kern w:val="44"/>
          <w:sz w:val="24"/>
          <w:szCs w:val="44"/>
        </w:rPr>
      </w:pPr>
      <w:r>
        <w:rPr>
          <w:rFonts w:ascii="Arial" w:hAnsi="Arial" w:cs="Arial"/>
          <w:sz w:val="24"/>
        </w:rPr>
        <w:br w:type="page"/>
      </w:r>
    </w:p>
    <w:p>
      <w:pPr>
        <w:pStyle w:val="2"/>
        <w:keepNext w:val="0"/>
        <w:keepLines w:val="0"/>
        <w:spacing w:before="300" w:after="300" w:line="360" w:lineRule="exact"/>
        <w:jc w:val="left"/>
        <w:rPr>
          <w:rFonts w:ascii="Arial" w:hAnsi="Arial" w:cs="Arial"/>
        </w:rPr>
      </w:pPr>
      <w:bookmarkStart w:id="97" w:name="_Toc6581"/>
      <w:r>
        <w:rPr>
          <w:rFonts w:ascii="Arial" w:hAnsi="Arial" w:cs="Arial"/>
          <w:sz w:val="24"/>
        </w:rPr>
        <w:t>附件二 银行对账单</w:t>
      </w:r>
      <w:bookmarkEnd w:id="95"/>
      <w:bookmarkEnd w:id="97"/>
    </w:p>
    <w:p>
      <w:pPr>
        <w:jc w:val="center"/>
        <w:rPr>
          <w:rFonts w:ascii="Arial" w:hAnsi="Arial" w:cs="Arial"/>
        </w:rPr>
      </w:pPr>
      <w:bookmarkStart w:id="98" w:name="_Toc7439"/>
      <w:bookmarkStart w:id="99" w:name="_Toc31832"/>
      <w:r>
        <w:rPr>
          <w:rFonts w:ascii="Arial" w:hAnsi="Arial" w:cs="Arial"/>
        </w:rPr>
        <w:t>中国银行股份有限公司常州武进支行</w:t>
      </w:r>
      <w:bookmarkEnd w:id="98"/>
      <w:bookmarkStart w:id="100" w:name="_Toc18047"/>
      <w:r>
        <w:rPr>
          <w:rFonts w:ascii="Arial" w:hAnsi="Arial" w:cs="Arial"/>
        </w:rPr>
        <w:t>对账单</w:t>
      </w:r>
      <w:bookmarkEnd w:id="99"/>
    </w:p>
    <w:p>
      <w:pPr>
        <w:jc w:val="center"/>
        <w:rPr>
          <w:rFonts w:ascii="Arial" w:hAnsi="Arial" w:cs="Arial"/>
        </w:rPr>
      </w:pPr>
      <w:bookmarkStart w:id="101" w:name="_Toc7379"/>
      <w:r>
        <w:rPr>
          <w:rFonts w:ascii="Arial" w:hAnsi="Arial" w:cs="Arial"/>
        </w:rPr>
        <w:t>（2021年</w:t>
      </w:r>
      <w:r>
        <w:rPr>
          <w:rFonts w:hint="eastAsia" w:ascii="Arial" w:hAnsi="Arial" w:cs="Arial"/>
        </w:rPr>
        <w:t>8</w:t>
      </w:r>
      <w:r>
        <w:rPr>
          <w:rFonts w:ascii="Arial" w:hAnsi="Arial" w:cs="Arial"/>
        </w:rPr>
        <w:t>月</w:t>
      </w:r>
      <w:r>
        <w:rPr>
          <w:rFonts w:hint="eastAsia" w:ascii="Arial" w:hAnsi="Arial" w:cs="Arial"/>
        </w:rPr>
        <w:t>网银截图</w:t>
      </w:r>
      <w:r>
        <w:rPr>
          <w:rFonts w:ascii="Arial" w:hAnsi="Arial" w:cs="Arial"/>
        </w:rPr>
        <w:t>）</w:t>
      </w:r>
      <w:bookmarkEnd w:id="100"/>
      <w:bookmarkEnd w:id="101"/>
    </w:p>
    <w:p>
      <w:pPr>
        <w:jc w:val="center"/>
        <w:rPr>
          <w:rFonts w:ascii="Arial" w:hAnsi="Arial" w:cs="Arial" w:eastAsiaTheme="minorEastAsia"/>
        </w:rPr>
      </w:pPr>
    </w:p>
    <w:p>
      <w:pPr>
        <w:jc w:val="center"/>
        <w:rPr>
          <w:rFonts w:ascii="Arial" w:hAnsi="Arial" w:cs="Arial"/>
        </w:rPr>
      </w:pPr>
      <w:bookmarkStart w:id="102" w:name="_Toc16074"/>
      <w:bookmarkStart w:id="103" w:name="_Toc1968"/>
      <w:bookmarkStart w:id="104" w:name="_Toc23608"/>
      <w:r>
        <w:rPr>
          <w:rFonts w:hint="eastAsia" w:ascii="Arial" w:hAnsi="Arial" w:cs="Arial"/>
        </w:rPr>
        <w:drawing>
          <wp:inline distT="0" distB="0" distL="114300" distR="114300">
            <wp:extent cx="5903595" cy="3765550"/>
            <wp:effectExtent l="0" t="0" r="1905" b="6350"/>
            <wp:docPr id="1" name="图片 1" descr="中国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银行-1"/>
                    <pic:cNvPicPr>
                      <a:picLocks noChangeAspect="1"/>
                    </pic:cNvPicPr>
                  </pic:nvPicPr>
                  <pic:blipFill>
                    <a:blip r:embed="rId19"/>
                    <a:stretch>
                      <a:fillRect/>
                    </a:stretch>
                  </pic:blipFill>
                  <pic:spPr>
                    <a:xfrm>
                      <a:off x="0" y="0"/>
                      <a:ext cx="5903595" cy="3765550"/>
                    </a:xfrm>
                    <a:prstGeom prst="rect">
                      <a:avLst/>
                    </a:prstGeom>
                  </pic:spPr>
                </pic:pic>
              </a:graphicData>
            </a:graphic>
          </wp:inline>
        </w:drawing>
      </w:r>
      <w:r>
        <w:rPr>
          <w:rFonts w:hint="eastAsia" w:ascii="Arial" w:hAnsi="Arial" w:cs="Arial"/>
        </w:rPr>
        <w:drawing>
          <wp:inline distT="0" distB="0" distL="114300" distR="114300">
            <wp:extent cx="5903595" cy="2435860"/>
            <wp:effectExtent l="0" t="0" r="1905" b="2540"/>
            <wp:docPr id="4" name="图片 4" descr="中国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银行-2"/>
                    <pic:cNvPicPr>
                      <a:picLocks noChangeAspect="1"/>
                    </pic:cNvPicPr>
                  </pic:nvPicPr>
                  <pic:blipFill>
                    <a:blip r:embed="rId20"/>
                    <a:stretch>
                      <a:fillRect/>
                    </a:stretch>
                  </pic:blipFill>
                  <pic:spPr>
                    <a:xfrm>
                      <a:off x="0" y="0"/>
                      <a:ext cx="5903595" cy="2435860"/>
                    </a:xfrm>
                    <a:prstGeom prst="rect">
                      <a:avLst/>
                    </a:prstGeom>
                  </pic:spPr>
                </pic:pic>
              </a:graphicData>
            </a:graphic>
          </wp:inline>
        </w:drawing>
      </w: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中国建设银行常州丰乐支行对账单</w:t>
      </w:r>
      <w:bookmarkEnd w:id="102"/>
      <w:bookmarkEnd w:id="103"/>
    </w:p>
    <w:p>
      <w:pPr>
        <w:jc w:val="center"/>
        <w:rPr>
          <w:rFonts w:ascii="Arial" w:hAnsi="Arial" w:cs="Arial" w:eastAsiaTheme="minorEastAsia"/>
          <w:color w:val="000000"/>
          <w:sz w:val="24"/>
        </w:rPr>
      </w:pPr>
      <w:bookmarkStart w:id="105" w:name="_Toc12611"/>
      <w:r>
        <w:rPr>
          <w:rFonts w:ascii="Arial" w:hAnsi="Arial" w:cs="Arial"/>
        </w:rPr>
        <w:t>（2021年</w:t>
      </w:r>
      <w:r>
        <w:rPr>
          <w:rFonts w:hint="eastAsia" w:ascii="Arial" w:hAnsi="Arial" w:cs="Arial"/>
        </w:rPr>
        <w:t>8</w:t>
      </w:r>
      <w:r>
        <w:rPr>
          <w:rFonts w:ascii="Arial" w:hAnsi="Arial" w:cs="Arial"/>
        </w:rPr>
        <w:t>月</w:t>
      </w:r>
      <w:r>
        <w:rPr>
          <w:rFonts w:hint="eastAsia" w:ascii="Arial" w:hAnsi="Arial" w:cs="Arial"/>
        </w:rPr>
        <w:t>无变动</w:t>
      </w:r>
      <w:r>
        <w:rPr>
          <w:rFonts w:ascii="Arial" w:hAnsi="Arial" w:cs="Arial"/>
        </w:rPr>
        <w:t>）</w:t>
      </w:r>
      <w:bookmarkEnd w:id="105"/>
      <w:r>
        <w:rPr>
          <w:rFonts w:ascii="Arial" w:hAnsi="Arial" w:cs="Arial" w:eastAsiaTheme="minorEastAsia"/>
          <w:color w:val="000000"/>
          <w:sz w:val="24"/>
        </w:rPr>
        <w:drawing>
          <wp:inline distT="0" distB="0" distL="114300" distR="114300">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1"/>
                    <a:stretch>
                      <a:fillRect/>
                    </a:stretch>
                  </pic:blipFill>
                  <pic:spPr>
                    <a:xfrm rot="16200000">
                      <a:off x="0" y="0"/>
                      <a:ext cx="4510405" cy="5770245"/>
                    </a:xfrm>
                    <a:prstGeom prst="rect">
                      <a:avLst/>
                    </a:prstGeom>
                  </pic:spPr>
                </pic:pic>
              </a:graphicData>
            </a:graphic>
          </wp:inline>
        </w:drawing>
      </w:r>
    </w:p>
    <w:p>
      <w:pPr>
        <w:widowControl/>
        <w:jc w:val="left"/>
        <w:rPr>
          <w:rFonts w:ascii="Arial" w:hAnsi="Arial" w:cs="Arial" w:eastAsiaTheme="minorEastAsia"/>
          <w:color w:val="000000"/>
          <w:sz w:val="24"/>
        </w:rPr>
      </w:pPr>
    </w:p>
    <w:p>
      <w:pPr>
        <w:jc w:val="center"/>
        <w:rPr>
          <w:rFonts w:ascii="Arial" w:hAnsi="Arial" w:cs="Arial"/>
        </w:rPr>
      </w:pPr>
      <w:bookmarkStart w:id="106" w:name="_Toc14747"/>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江南农村商业银行湖塘支行</w:t>
      </w:r>
      <w:bookmarkEnd w:id="104"/>
      <w:bookmarkStart w:id="107" w:name="_Toc22247"/>
      <w:r>
        <w:rPr>
          <w:rFonts w:ascii="Arial" w:hAnsi="Arial" w:cs="Arial"/>
        </w:rPr>
        <w:t>对账单</w:t>
      </w:r>
      <w:bookmarkEnd w:id="106"/>
    </w:p>
    <w:p>
      <w:pPr>
        <w:jc w:val="center"/>
        <w:rPr>
          <w:rFonts w:ascii="Arial" w:hAnsi="Arial" w:cs="Arial"/>
        </w:rPr>
      </w:pPr>
      <w:bookmarkStart w:id="108" w:name="_Toc1540"/>
      <w:r>
        <w:rPr>
          <w:rFonts w:ascii="Arial" w:hAnsi="Arial" w:cs="Arial"/>
        </w:rPr>
        <w:t>（2021年</w:t>
      </w:r>
      <w:r>
        <w:rPr>
          <w:rFonts w:hint="eastAsia" w:ascii="Arial" w:hAnsi="Arial" w:cs="Arial"/>
        </w:rPr>
        <w:t>8</w:t>
      </w:r>
      <w:r>
        <w:rPr>
          <w:rFonts w:ascii="Arial" w:hAnsi="Arial" w:cs="Arial"/>
        </w:rPr>
        <w:t>月</w:t>
      </w:r>
      <w:r>
        <w:rPr>
          <w:rFonts w:hint="eastAsia" w:ascii="Arial" w:hAnsi="Arial" w:cs="Arial"/>
        </w:rPr>
        <w:t>网银截图</w:t>
      </w:r>
      <w:r>
        <w:rPr>
          <w:rFonts w:ascii="Arial" w:hAnsi="Arial" w:cs="Arial"/>
        </w:rPr>
        <w:t>）</w:t>
      </w:r>
      <w:bookmarkEnd w:id="107"/>
      <w:bookmarkEnd w:id="108"/>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901055" cy="3009900"/>
            <wp:effectExtent l="0" t="0" r="4445" b="0"/>
            <wp:docPr id="6" name="图片 6"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江南银行"/>
                    <pic:cNvPicPr>
                      <a:picLocks noChangeAspect="1"/>
                    </pic:cNvPicPr>
                  </pic:nvPicPr>
                  <pic:blipFill>
                    <a:blip r:embed="rId22"/>
                    <a:stretch>
                      <a:fillRect/>
                    </a:stretch>
                  </pic:blipFill>
                  <pic:spPr>
                    <a:xfrm>
                      <a:off x="0" y="0"/>
                      <a:ext cx="5901055" cy="3009900"/>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109" w:name="_Toc11298"/>
      <w:bookmarkStart w:id="110" w:name="_Toc3391"/>
      <w:r>
        <w:rPr>
          <w:rFonts w:ascii="Arial" w:hAnsi="Arial" w:cs="Arial"/>
        </w:rPr>
        <w:t>南京银行常州分行</w:t>
      </w:r>
      <w:bookmarkEnd w:id="109"/>
      <w:r>
        <w:rPr>
          <w:rFonts w:ascii="Arial" w:hAnsi="Arial" w:cs="Arial"/>
        </w:rPr>
        <w:t>对账单</w:t>
      </w:r>
      <w:bookmarkEnd w:id="110"/>
    </w:p>
    <w:p>
      <w:pPr>
        <w:jc w:val="center"/>
        <w:rPr>
          <w:rFonts w:ascii="Arial" w:hAnsi="Arial" w:cs="Arial"/>
        </w:rPr>
      </w:pPr>
      <w:bookmarkStart w:id="111" w:name="_Toc29897"/>
      <w:bookmarkStart w:id="112" w:name="_Toc14679"/>
      <w:r>
        <w:rPr>
          <w:rFonts w:ascii="Arial" w:hAnsi="Arial" w:cs="Arial"/>
        </w:rPr>
        <w:t>（2021年</w:t>
      </w:r>
      <w:r>
        <w:rPr>
          <w:rFonts w:hint="eastAsia" w:ascii="Arial" w:hAnsi="Arial" w:cs="Arial"/>
        </w:rPr>
        <w:t>8</w:t>
      </w:r>
      <w:r>
        <w:rPr>
          <w:rFonts w:ascii="Arial" w:hAnsi="Arial" w:cs="Arial"/>
        </w:rPr>
        <w:t>月</w:t>
      </w:r>
      <w:r>
        <w:rPr>
          <w:rFonts w:hint="eastAsia" w:ascii="Arial" w:hAnsi="Arial" w:cs="Arial"/>
        </w:rPr>
        <w:t>网银截图</w:t>
      </w:r>
      <w:r>
        <w:rPr>
          <w:rFonts w:ascii="Arial" w:hAnsi="Arial" w:cs="Arial"/>
        </w:rPr>
        <w:t>）</w:t>
      </w:r>
      <w:bookmarkEnd w:id="111"/>
      <w:bookmarkEnd w:id="112"/>
    </w:p>
    <w:p>
      <w:pPr>
        <w:jc w:val="center"/>
        <w:rPr>
          <w:rFonts w:ascii="Arial" w:hAnsi="Arial" w:cs="Arial" w:eastAsiaTheme="minorEastAsia"/>
          <w:color w:val="000000"/>
          <w:kern w:val="0"/>
          <w:sz w:val="24"/>
          <w:szCs w:val="28"/>
        </w:rPr>
      </w:pPr>
    </w:p>
    <w:p>
      <w:pPr>
        <w:rPr>
          <w:rFonts w:ascii="Arial" w:hAnsi="Arial" w:cs="Arial"/>
        </w:rPr>
      </w:pPr>
      <w:r>
        <w:rPr>
          <w:rFonts w:hint="eastAsia" w:ascii="Arial" w:hAnsi="Arial" w:cs="Arial"/>
        </w:rPr>
        <w:drawing>
          <wp:inline distT="0" distB="0" distL="114300" distR="114300">
            <wp:extent cx="5902960" cy="1531620"/>
            <wp:effectExtent l="0" t="0" r="2540" b="11430"/>
            <wp:docPr id="9" name="图片 9"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南京银行"/>
                    <pic:cNvPicPr>
                      <a:picLocks noChangeAspect="1"/>
                    </pic:cNvPicPr>
                  </pic:nvPicPr>
                  <pic:blipFill>
                    <a:blip r:embed="rId23"/>
                    <a:stretch>
                      <a:fillRect/>
                    </a:stretch>
                  </pic:blipFill>
                  <pic:spPr>
                    <a:xfrm>
                      <a:off x="0" y="0"/>
                      <a:ext cx="5902960" cy="1531620"/>
                    </a:xfrm>
                    <a:prstGeom prst="rect">
                      <a:avLst/>
                    </a:prstGeom>
                  </pic:spPr>
                </pic:pic>
              </a:graphicData>
            </a:graphic>
          </wp:inline>
        </w:drawing>
      </w:r>
    </w:p>
    <w:p>
      <w:pPr>
        <w:jc w:val="left"/>
        <w:rPr>
          <w:rFonts w:ascii="Arial" w:hAnsi="Arial" w:cs="Arial"/>
        </w:rPr>
      </w:pPr>
      <w:bookmarkStart w:id="113" w:name="_Toc14654"/>
      <w:bookmarkStart w:id="114" w:name="_Toc6696"/>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华夏银行武进支行对账单</w:t>
      </w:r>
    </w:p>
    <w:p>
      <w:pPr>
        <w:jc w:val="center"/>
        <w:rPr>
          <w:rFonts w:ascii="Arial" w:hAnsi="Arial" w:cs="Arial"/>
        </w:rPr>
      </w:pPr>
      <w:r>
        <w:rPr>
          <w:rFonts w:ascii="Arial" w:hAnsi="Arial" w:cs="Arial"/>
        </w:rPr>
        <w:t>（2021年</w:t>
      </w:r>
      <w:r>
        <w:rPr>
          <w:rFonts w:hint="eastAsia" w:ascii="Arial" w:hAnsi="Arial" w:cs="Arial"/>
        </w:rPr>
        <w:t>8</w:t>
      </w:r>
      <w:r>
        <w:rPr>
          <w:rFonts w:ascii="Arial" w:hAnsi="Arial" w:cs="Arial"/>
        </w:rPr>
        <w:t>月</w:t>
      </w:r>
      <w:r>
        <w:rPr>
          <w:rFonts w:hint="eastAsia" w:ascii="Arial" w:hAnsi="Arial" w:cs="Arial"/>
        </w:rPr>
        <w:t>无变化网银截图</w:t>
      </w:r>
      <w:r>
        <w:rPr>
          <w:rFonts w:ascii="Arial" w:hAnsi="Arial" w:cs="Arial"/>
        </w:rPr>
        <w:t>）</w:t>
      </w:r>
    </w:p>
    <w:p>
      <w:pPr>
        <w:jc w:val="center"/>
        <w:rPr>
          <w:rFonts w:ascii="Arial" w:hAnsi="Arial" w:cs="Arial"/>
        </w:rPr>
      </w:pPr>
    </w:p>
    <w:p>
      <w:pPr>
        <w:rPr>
          <w:rFonts w:ascii="Arial" w:hAnsi="Arial" w:cs="Arial"/>
        </w:rPr>
      </w:pPr>
      <w:r>
        <w:rPr>
          <w:rFonts w:hint="eastAsia" w:ascii="Arial" w:hAnsi="Arial" w:cs="Arial"/>
        </w:rPr>
        <w:drawing>
          <wp:inline distT="0" distB="0" distL="114300" distR="114300">
            <wp:extent cx="5899785" cy="2324735"/>
            <wp:effectExtent l="0" t="0" r="5715" b="18415"/>
            <wp:docPr id="10" name="图片 10" descr="华夏银行-无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华夏银行-无变化"/>
                    <pic:cNvPicPr>
                      <a:picLocks noChangeAspect="1"/>
                    </pic:cNvPicPr>
                  </pic:nvPicPr>
                  <pic:blipFill>
                    <a:blip r:embed="rId24"/>
                    <a:stretch>
                      <a:fillRect/>
                    </a:stretch>
                  </pic:blipFill>
                  <pic:spPr>
                    <a:xfrm>
                      <a:off x="0" y="0"/>
                      <a:ext cx="5899785" cy="2324735"/>
                    </a:xfrm>
                    <a:prstGeom prst="rect">
                      <a:avLst/>
                    </a:prstGeom>
                  </pic:spPr>
                </pic:pic>
              </a:graphicData>
            </a:graphic>
          </wp:inline>
        </w:drawing>
      </w: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中国邮政储蓄银行常州市武宜路支行</w:t>
      </w:r>
      <w:bookmarkEnd w:id="113"/>
      <w:bookmarkStart w:id="115" w:name="_Toc27216"/>
      <w:r>
        <w:rPr>
          <w:rFonts w:ascii="Arial" w:hAnsi="Arial" w:cs="Arial"/>
        </w:rPr>
        <w:t>对账单</w:t>
      </w:r>
      <w:bookmarkEnd w:id="114"/>
    </w:p>
    <w:p>
      <w:pPr>
        <w:jc w:val="center"/>
        <w:rPr>
          <w:rFonts w:ascii="Arial" w:hAnsi="Arial" w:cs="Arial"/>
        </w:rPr>
      </w:pPr>
      <w:bookmarkStart w:id="116" w:name="_Toc2331"/>
      <w:r>
        <w:rPr>
          <w:rFonts w:ascii="Arial" w:hAnsi="Arial" w:cs="Arial"/>
        </w:rPr>
        <w:t>（2021年</w:t>
      </w:r>
      <w:r>
        <w:rPr>
          <w:rFonts w:hint="eastAsia" w:ascii="Arial" w:hAnsi="Arial" w:cs="Arial"/>
        </w:rPr>
        <w:t>8</w:t>
      </w:r>
      <w:r>
        <w:rPr>
          <w:rFonts w:ascii="Arial" w:hAnsi="Arial" w:cs="Arial"/>
        </w:rPr>
        <w:t>月</w:t>
      </w:r>
      <w:bookmarkEnd w:id="115"/>
      <w:r>
        <w:rPr>
          <w:rFonts w:hint="eastAsia" w:ascii="Arial" w:hAnsi="Arial" w:cs="Arial"/>
        </w:rPr>
        <w:t>网银截图</w:t>
      </w:r>
      <w:r>
        <w:rPr>
          <w:rFonts w:ascii="Arial" w:hAnsi="Arial" w:cs="Arial"/>
        </w:rPr>
        <w:t>）</w:t>
      </w:r>
      <w:bookmarkEnd w:id="116"/>
    </w:p>
    <w:p>
      <w:pPr>
        <w:jc w:val="center"/>
        <w:rPr>
          <w:rFonts w:ascii="Arial" w:hAnsi="Arial" w:cs="Arial" w:eastAsiaTheme="minorEastAsia"/>
          <w:color w:val="000000"/>
          <w:kern w:val="0"/>
          <w:sz w:val="24"/>
          <w:szCs w:val="28"/>
        </w:rPr>
      </w:pPr>
      <w:r>
        <w:rPr>
          <w:rFonts w:hint="eastAsia" w:ascii="Arial" w:hAnsi="Arial" w:cs="Arial" w:eastAsiaTheme="minorEastAsia"/>
          <w:color w:val="000000"/>
          <w:kern w:val="0"/>
          <w:sz w:val="24"/>
          <w:szCs w:val="28"/>
        </w:rPr>
        <w:drawing>
          <wp:inline distT="0" distB="0" distL="114300" distR="114300">
            <wp:extent cx="5901055" cy="2105660"/>
            <wp:effectExtent l="0" t="0" r="4445" b="8890"/>
            <wp:docPr id="12" name="图片 12" descr="邮储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邮储银行"/>
                    <pic:cNvPicPr>
                      <a:picLocks noChangeAspect="1"/>
                    </pic:cNvPicPr>
                  </pic:nvPicPr>
                  <pic:blipFill>
                    <a:blip r:embed="rId25"/>
                    <a:stretch>
                      <a:fillRect/>
                    </a:stretch>
                  </pic:blipFill>
                  <pic:spPr>
                    <a:xfrm>
                      <a:off x="0" y="0"/>
                      <a:ext cx="5901055" cy="2105660"/>
                    </a:xfrm>
                    <a:prstGeom prst="rect">
                      <a:avLst/>
                    </a:prstGeom>
                  </pic:spPr>
                </pic:pic>
              </a:graphicData>
            </a:graphic>
          </wp:inline>
        </w:drawing>
      </w:r>
    </w:p>
    <w:p>
      <w:pPr>
        <w:spacing w:line="360" w:lineRule="auto"/>
        <w:ind w:firstLine="420" w:firstLineChars="200"/>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p>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widowControl/>
        <w:jc w:val="left"/>
        <w:rPr>
          <w:rFonts w:ascii="Arial" w:hAnsi="Arial" w:cs="Arial"/>
        </w:rPr>
      </w:pPr>
      <w:r>
        <w:rPr>
          <w:rFonts w:ascii="Arial" w:hAnsi="Arial" w:cs="Arial"/>
        </w:rPr>
        <w:br w:type="page"/>
      </w:r>
    </w:p>
    <w:p>
      <w:pPr>
        <w:pStyle w:val="3"/>
        <w:keepNext w:val="0"/>
        <w:keepLines w:val="0"/>
        <w:spacing w:before="300" w:after="300" w:line="360" w:lineRule="exact"/>
        <w:jc w:val="left"/>
        <w:rPr>
          <w:rFonts w:eastAsia="宋体" w:cs="Arial"/>
          <w:sz w:val="24"/>
        </w:rPr>
      </w:pPr>
      <w:bookmarkStart w:id="117" w:name="_Toc16919"/>
      <w:r>
        <w:rPr>
          <w:rFonts w:eastAsia="宋体" w:cs="Arial"/>
          <w:sz w:val="24"/>
        </w:rPr>
        <w:t>附件三 月度资金预算使用表</w:t>
      </w:r>
      <w:bookmarkEnd w:id="117"/>
    </w:p>
    <w:p>
      <w:pPr>
        <w:ind w:right="724"/>
        <w:jc w:val="center"/>
        <w:rPr>
          <w:rFonts w:ascii="Arial" w:hAnsi="Arial" w:cs="Arial"/>
        </w:rPr>
      </w:pPr>
      <w:r>
        <w:rPr>
          <w:rFonts w:ascii="Arial" w:hAnsi="Arial" w:cs="Arial"/>
          <w:b/>
          <w:sz w:val="18"/>
          <w:szCs w:val="18"/>
        </w:rPr>
        <w:t xml:space="preserve">                                                          币种：人民币     单位：万元</w:t>
      </w:r>
    </w:p>
    <w:tbl>
      <w:tblPr>
        <w:tblStyle w:val="13"/>
        <w:tblW w:w="9633" w:type="dxa"/>
        <w:tblInd w:w="93" w:type="dxa"/>
        <w:tblLayout w:type="fixed"/>
        <w:tblCellMar>
          <w:top w:w="0" w:type="dxa"/>
          <w:left w:w="108" w:type="dxa"/>
          <w:bottom w:w="0" w:type="dxa"/>
          <w:right w:w="108" w:type="dxa"/>
        </w:tblCellMar>
      </w:tblPr>
      <w:tblGrid>
        <w:gridCol w:w="3226"/>
        <w:gridCol w:w="1337"/>
        <w:gridCol w:w="1057"/>
        <w:gridCol w:w="990"/>
        <w:gridCol w:w="980"/>
        <w:gridCol w:w="1080"/>
        <w:gridCol w:w="963"/>
      </w:tblGrid>
      <w:tr>
        <w:tblPrEx>
          <w:tblCellMar>
            <w:top w:w="0" w:type="dxa"/>
            <w:left w:w="108" w:type="dxa"/>
            <w:bottom w:w="0" w:type="dxa"/>
            <w:right w:w="108" w:type="dxa"/>
          </w:tblCellMar>
        </w:tblPrEx>
        <w:trPr>
          <w:trHeight w:val="270" w:hRule="atLeast"/>
        </w:trPr>
        <w:tc>
          <w:tcPr>
            <w:tcW w:w="32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项目名称</w:t>
            </w:r>
          </w:p>
        </w:tc>
        <w:tc>
          <w:tcPr>
            <w:tcW w:w="338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2021年8月</w:t>
            </w:r>
          </w:p>
        </w:tc>
        <w:tc>
          <w:tcPr>
            <w:tcW w:w="302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2021</w:t>
            </w:r>
            <w:r>
              <w:rPr>
                <w:rFonts w:hint="eastAsia" w:ascii="宋体" w:hAnsi="宋体" w:cs="宋体"/>
                <w:b/>
                <w:bCs/>
                <w:color w:val="000000"/>
                <w:kern w:val="0"/>
                <w:sz w:val="16"/>
                <w:szCs w:val="16"/>
                <w:lang w:bidi="ar"/>
              </w:rPr>
              <w:t>年</w:t>
            </w:r>
            <w:r>
              <w:rPr>
                <w:rFonts w:ascii="Arial" w:hAnsi="Arial" w:cs="Arial"/>
                <w:b/>
                <w:bCs/>
                <w:color w:val="000000"/>
                <w:kern w:val="0"/>
                <w:sz w:val="16"/>
                <w:szCs w:val="16"/>
                <w:lang w:bidi="ar"/>
              </w:rPr>
              <w:t>1</w:t>
            </w:r>
            <w:r>
              <w:rPr>
                <w:rFonts w:hint="eastAsia" w:ascii="宋体" w:hAnsi="宋体" w:cs="宋体"/>
                <w:b/>
                <w:bCs/>
                <w:color w:val="000000"/>
                <w:kern w:val="0"/>
                <w:sz w:val="16"/>
                <w:szCs w:val="16"/>
                <w:lang w:bidi="ar"/>
              </w:rPr>
              <w:t>至</w:t>
            </w:r>
            <w:r>
              <w:rPr>
                <w:rFonts w:ascii="Arial" w:hAnsi="Arial" w:cs="Arial"/>
                <w:b/>
                <w:bCs/>
                <w:color w:val="000000"/>
                <w:kern w:val="0"/>
                <w:sz w:val="16"/>
                <w:szCs w:val="16"/>
                <w:lang w:bidi="ar"/>
              </w:rPr>
              <w:t>8</w:t>
            </w:r>
            <w:r>
              <w:rPr>
                <w:rFonts w:hint="eastAsia" w:ascii="宋体" w:hAnsi="宋体" w:cs="宋体"/>
                <w:b/>
                <w:bCs/>
                <w:color w:val="000000"/>
                <w:kern w:val="0"/>
                <w:sz w:val="16"/>
                <w:szCs w:val="16"/>
                <w:lang w:bidi="ar"/>
              </w:rPr>
              <w:t>月</w:t>
            </w:r>
          </w:p>
        </w:tc>
      </w:tr>
      <w:tr>
        <w:tblPrEx>
          <w:tblCellMar>
            <w:top w:w="0" w:type="dxa"/>
            <w:left w:w="108" w:type="dxa"/>
            <w:bottom w:w="0" w:type="dxa"/>
            <w:right w:w="108" w:type="dxa"/>
          </w:tblCellMar>
        </w:tblPrEx>
        <w:trPr>
          <w:trHeight w:val="270" w:hRule="atLeast"/>
        </w:trPr>
        <w:tc>
          <w:tcPr>
            <w:tcW w:w="32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b/>
                <w:bCs/>
                <w:color w:val="000000"/>
                <w:sz w:val="16"/>
                <w:szCs w:val="16"/>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项目公司预算金额</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中诚预算金额</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实际发生</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项目公司预算金额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中诚预算金额</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实际发生</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一、期初资金余额</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sz w:val="16"/>
                <w:szCs w:val="16"/>
              </w:rPr>
            </w:pPr>
            <w:r>
              <w:rPr>
                <w:rFonts w:ascii="Arial" w:hAnsi="Arial" w:cs="Arial"/>
                <w:b/>
                <w:bCs/>
                <w:kern w:val="0"/>
                <w:sz w:val="16"/>
                <w:szCs w:val="16"/>
                <w:lang w:bidi="ar"/>
              </w:rPr>
              <w:t xml:space="preserve">59,272.05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sz w:val="16"/>
                <w:szCs w:val="16"/>
              </w:rPr>
            </w:pPr>
            <w:r>
              <w:rPr>
                <w:rFonts w:ascii="Arial" w:hAnsi="Arial" w:cs="Arial"/>
                <w:b/>
                <w:bCs/>
                <w:kern w:val="0"/>
                <w:sz w:val="16"/>
                <w:szCs w:val="16"/>
                <w:lang w:bidi="ar"/>
              </w:rPr>
              <w:t xml:space="preserve">63,039.92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sz w:val="16"/>
                <w:szCs w:val="16"/>
              </w:rPr>
            </w:pPr>
            <w:r>
              <w:rPr>
                <w:rFonts w:ascii="Arial" w:hAnsi="Arial" w:cs="Arial"/>
                <w:b/>
                <w:bCs/>
                <w:kern w:val="0"/>
                <w:sz w:val="16"/>
                <w:szCs w:val="16"/>
                <w:lang w:bidi="ar"/>
              </w:rPr>
              <w:t xml:space="preserve">59,501.14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二、现金流入</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hint="eastAsia" w:ascii="宋体" w:hAnsi="宋体" w:cs="宋体"/>
                <w:color w:val="000000"/>
                <w:kern w:val="0"/>
                <w:sz w:val="16"/>
                <w:szCs w:val="16"/>
                <w:lang w:bidi="ar"/>
              </w:rPr>
              <w:t>、销售资金回笼</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9,800.00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9,800.00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5,029.20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71,400.00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71,400.00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76,647.78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000000"/>
                <w:sz w:val="16"/>
                <w:szCs w:val="16"/>
              </w:rPr>
            </w:pPr>
            <w:r>
              <w:rPr>
                <w:rFonts w:hint="eastAsia" w:ascii="宋体" w:hAnsi="宋体" w:cs="宋体"/>
                <w:color w:val="000000"/>
                <w:kern w:val="0"/>
                <w:sz w:val="16"/>
                <w:szCs w:val="16"/>
                <w:lang w:bidi="ar"/>
              </w:rPr>
              <w:t>①房屋销售银行实收</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449.20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40,697.98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000000"/>
                <w:sz w:val="16"/>
                <w:szCs w:val="16"/>
              </w:rPr>
            </w:pPr>
            <w:r>
              <w:rPr>
                <w:rFonts w:hint="eastAsia" w:ascii="宋体" w:hAnsi="宋体" w:cs="宋体"/>
                <w:color w:val="000000"/>
                <w:kern w:val="0"/>
                <w:sz w:val="16"/>
                <w:szCs w:val="16"/>
                <w:lang w:bidi="ar"/>
              </w:rPr>
              <w:t>②按揭银行放款</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4,580.00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35,949.80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color w:val="000000"/>
                <w:sz w:val="16"/>
                <w:szCs w:val="16"/>
              </w:rPr>
            </w:pPr>
            <w:r>
              <w:rPr>
                <w:rFonts w:hint="eastAsia" w:ascii="宋体" w:hAnsi="宋体" w:cs="宋体"/>
                <w:color w:val="000000"/>
                <w:kern w:val="0"/>
                <w:sz w:val="16"/>
                <w:szCs w:val="16"/>
                <w:lang w:bidi="ar"/>
              </w:rPr>
              <w:t>③其他销售收入</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hint="eastAsia" w:ascii="宋体" w:hAnsi="宋体" w:cs="宋体"/>
                <w:color w:val="000000"/>
                <w:kern w:val="0"/>
                <w:sz w:val="16"/>
                <w:szCs w:val="16"/>
                <w:lang w:bidi="ar"/>
              </w:rPr>
              <w:t>、取得银行贷款</w:t>
            </w:r>
            <w:r>
              <w:rPr>
                <w:rFonts w:ascii="Arial" w:hAnsi="Arial" w:cs="Arial"/>
                <w:color w:val="000000"/>
                <w:kern w:val="0"/>
                <w:sz w:val="16"/>
                <w:szCs w:val="16"/>
                <w:lang w:bidi="ar"/>
              </w:rPr>
              <w:t>(</w:t>
            </w:r>
            <w:r>
              <w:rPr>
                <w:rFonts w:hint="eastAsia" w:ascii="宋体" w:hAnsi="宋体" w:cs="宋体"/>
                <w:color w:val="000000"/>
                <w:kern w:val="0"/>
                <w:sz w:val="16"/>
                <w:szCs w:val="16"/>
                <w:lang w:bidi="ar"/>
              </w:rPr>
              <w:t>含信托委贷</w:t>
            </w:r>
            <w:r>
              <w:rPr>
                <w:rFonts w:ascii="Arial" w:hAnsi="Arial" w:cs="Arial"/>
                <w:color w:val="000000"/>
                <w:kern w:val="0"/>
                <w:sz w:val="16"/>
                <w:szCs w:val="16"/>
                <w:lang w:bidi="ar"/>
              </w:rPr>
              <w:t>)</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hint="eastAsia" w:ascii="宋体" w:hAnsi="宋体" w:cs="宋体"/>
                <w:color w:val="000000"/>
                <w:kern w:val="0"/>
                <w:sz w:val="16"/>
                <w:szCs w:val="16"/>
                <w:lang w:bidi="ar"/>
              </w:rPr>
              <w:t>、股东投入</w:t>
            </w:r>
            <w:r>
              <w:rPr>
                <w:rFonts w:ascii="Arial" w:hAnsi="Arial" w:cs="Arial"/>
                <w:color w:val="000000"/>
                <w:kern w:val="0"/>
                <w:sz w:val="16"/>
                <w:szCs w:val="16"/>
                <w:lang w:bidi="ar"/>
              </w:rPr>
              <w:t>(</w:t>
            </w:r>
            <w:r>
              <w:rPr>
                <w:rFonts w:hint="eastAsia" w:ascii="宋体" w:hAnsi="宋体" w:cs="宋体"/>
                <w:color w:val="000000"/>
                <w:kern w:val="0"/>
                <w:sz w:val="16"/>
                <w:szCs w:val="16"/>
                <w:lang w:bidi="ar"/>
              </w:rPr>
              <w:t>含资本金及借款）</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hint="eastAsia" w:ascii="宋体" w:hAnsi="宋体" w:cs="宋体"/>
                <w:color w:val="000000"/>
                <w:kern w:val="0"/>
                <w:sz w:val="16"/>
                <w:szCs w:val="16"/>
                <w:lang w:bidi="ar"/>
              </w:rPr>
              <w:t>、其他流入（保证金等）</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45.22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2,488.88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现金流入小计</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9,800.00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9,800.00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5,074.42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71,400.00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71,400.00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79,136.66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三、现金流出</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hint="eastAsia" w:ascii="宋体" w:hAnsi="宋体" w:cs="宋体"/>
                <w:color w:val="000000"/>
                <w:kern w:val="0"/>
                <w:sz w:val="16"/>
                <w:szCs w:val="16"/>
                <w:lang w:bidi="ar"/>
              </w:rPr>
              <w:t>、土地费用</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2,325.75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hint="eastAsia" w:ascii="宋体" w:hAnsi="宋体" w:cs="宋体"/>
                <w:color w:val="000000"/>
                <w:kern w:val="0"/>
                <w:sz w:val="16"/>
                <w:szCs w:val="16"/>
                <w:lang w:bidi="ar"/>
              </w:rPr>
              <w:t>、前期费用（包含设计费、规费、前期工程费）</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211.91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211.91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118.11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1,493.68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1,493.68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1,089.61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hint="eastAsia" w:ascii="宋体" w:hAnsi="宋体" w:cs="宋体"/>
                <w:color w:val="000000"/>
                <w:kern w:val="0"/>
                <w:sz w:val="16"/>
                <w:szCs w:val="16"/>
                <w:lang w:bidi="ar"/>
              </w:rPr>
              <w:t>、工程费用</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2,116.91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1,381.33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46,533.70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34,215.37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18,692.48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hint="eastAsia" w:ascii="宋体" w:hAnsi="宋体" w:cs="宋体"/>
                <w:color w:val="000000"/>
                <w:kern w:val="0"/>
                <w:sz w:val="16"/>
                <w:szCs w:val="16"/>
                <w:lang w:bidi="ar"/>
              </w:rPr>
              <w:t>、销售费用</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203.90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203.90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67.46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1,614.07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1,614.07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1,075.65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Fonts w:hint="eastAsia" w:ascii="宋体" w:hAnsi="宋体" w:cs="宋体"/>
                <w:color w:val="000000"/>
                <w:kern w:val="0"/>
                <w:sz w:val="16"/>
                <w:szCs w:val="16"/>
                <w:lang w:bidi="ar"/>
              </w:rPr>
              <w:t>、管理费用</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135.22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135.22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216.77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1,399.52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1,399.54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1,217.63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Fonts w:hint="eastAsia" w:ascii="宋体" w:hAnsi="宋体" w:cs="宋体"/>
                <w:color w:val="000000"/>
                <w:kern w:val="0"/>
                <w:sz w:val="16"/>
                <w:szCs w:val="16"/>
                <w:lang w:bidi="ar"/>
              </w:rPr>
              <w:t>、代建管理费</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1,200.00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1,200.00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Fonts w:hint="eastAsia" w:ascii="宋体" w:hAnsi="宋体" w:cs="宋体"/>
                <w:color w:val="000000"/>
                <w:kern w:val="0"/>
                <w:sz w:val="16"/>
                <w:szCs w:val="16"/>
                <w:lang w:bidi="ar"/>
              </w:rPr>
              <w:t>、增值税金及附加</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299.01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229.01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142.54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2,404.36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2,347.35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2,722.80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Fonts w:hint="eastAsia" w:ascii="宋体" w:hAnsi="宋体" w:cs="宋体"/>
                <w:color w:val="000000"/>
                <w:kern w:val="0"/>
                <w:sz w:val="16"/>
                <w:szCs w:val="16"/>
                <w:lang w:bidi="ar"/>
              </w:rPr>
              <w:t>、土地增值税</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194.00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194.00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89.93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1,560.00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1,559.14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1,717.96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Fonts w:hint="eastAsia" w:ascii="宋体" w:hAnsi="宋体" w:cs="宋体"/>
                <w:color w:val="000000"/>
                <w:kern w:val="0"/>
                <w:sz w:val="16"/>
                <w:szCs w:val="16"/>
                <w:lang w:bidi="ar"/>
              </w:rPr>
              <w:t>、企业所得税</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1,022.94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752.07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1,163.81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Fonts w:hint="eastAsia" w:ascii="宋体" w:hAnsi="宋体" w:cs="宋体"/>
                <w:color w:val="000000"/>
                <w:kern w:val="0"/>
                <w:sz w:val="16"/>
                <w:szCs w:val="16"/>
                <w:lang w:bidi="ar"/>
              </w:rPr>
              <w:t>、土地使用税、印花税、房产税等</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0.02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216.53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201.88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Fonts w:hint="eastAsia" w:ascii="宋体" w:hAnsi="宋体" w:cs="宋体"/>
                <w:color w:val="000000"/>
                <w:kern w:val="0"/>
                <w:sz w:val="16"/>
                <w:szCs w:val="16"/>
                <w:lang w:bidi="ar"/>
              </w:rPr>
              <w:t>、归还股东资金（含资本金及借款）</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30,000.00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60,000.00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Fonts w:hint="eastAsia" w:ascii="宋体" w:hAnsi="宋体" w:cs="宋体"/>
                <w:color w:val="000000"/>
                <w:kern w:val="0"/>
                <w:sz w:val="16"/>
                <w:szCs w:val="16"/>
                <w:lang w:bidi="ar"/>
              </w:rPr>
              <w:t>、其他支出</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372.36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现金流出合计</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3,204.03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33,250.94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2,186.15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79,784.07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104,797.75 </w:t>
            </w: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89,454.19 </w:t>
            </w: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四、期末资金余额</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65,868.02 </w:t>
            </w: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39,588.98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62,389.42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r>
      <w:tr>
        <w:tblPrEx>
          <w:tblCellMar>
            <w:top w:w="0" w:type="dxa"/>
            <w:left w:w="108" w:type="dxa"/>
            <w:bottom w:w="0" w:type="dxa"/>
            <w:right w:w="108" w:type="dxa"/>
          </w:tblCellMar>
        </w:tblPrEx>
        <w:trPr>
          <w:trHeight w:val="400" w:hRule="atLeast"/>
        </w:trPr>
        <w:tc>
          <w:tcPr>
            <w:tcW w:w="32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b/>
                <w:bCs/>
                <w:color w:val="000000"/>
                <w:sz w:val="16"/>
                <w:szCs w:val="16"/>
              </w:rPr>
            </w:pPr>
            <w:r>
              <w:rPr>
                <w:rFonts w:hint="eastAsia" w:ascii="宋体" w:hAnsi="宋体" w:cs="宋体"/>
                <w:b/>
                <w:bCs/>
                <w:color w:val="000000"/>
                <w:kern w:val="0"/>
                <w:sz w:val="16"/>
                <w:szCs w:val="16"/>
                <w:lang w:bidi="ar"/>
              </w:rPr>
              <w:t>五、正泰托管楼款</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21,715.34 </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6"/>
                <w:szCs w:val="16"/>
              </w:rPr>
            </w:pPr>
          </w:p>
        </w:tc>
      </w:tr>
    </w:tbl>
    <w:p>
      <w:pP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18" w:name="_Toc535580034"/>
      <w:bookmarkStart w:id="119" w:name="_Toc535570761"/>
      <w:bookmarkStart w:id="120" w:name="_Toc535580102"/>
      <w:bookmarkStart w:id="121" w:name="_Toc535508647"/>
      <w:bookmarkStart w:id="122" w:name="_Toc13367"/>
      <w:bookmarkStart w:id="123" w:name="_Toc532281665"/>
      <w:bookmarkStart w:id="124" w:name="_Toc13408"/>
      <w:bookmarkStart w:id="125" w:name="_Toc535508646"/>
      <w:bookmarkStart w:id="126" w:name="_Toc535570760"/>
      <w:bookmarkStart w:id="127" w:name="_Toc535580101"/>
      <w:bookmarkStart w:id="128" w:name="_Toc5700909"/>
      <w:bookmarkStart w:id="129" w:name="_Toc535580033"/>
      <w:bookmarkStart w:id="130" w:name="_Toc532281664"/>
      <w:r>
        <w:rPr>
          <w:rFonts w:eastAsia="宋体" w:cs="Arial"/>
          <w:sz w:val="24"/>
        </w:rPr>
        <w:t>附件四 各类资金使用统计</w:t>
      </w:r>
      <w:r>
        <w:rPr>
          <w:rFonts w:eastAsia="宋体" w:cs="Arial"/>
          <w:sz w:val="24"/>
          <w:szCs w:val="24"/>
        </w:rPr>
        <w:t>表</w:t>
      </w:r>
      <w:bookmarkEnd w:id="118"/>
      <w:bookmarkEnd w:id="119"/>
      <w:bookmarkEnd w:id="120"/>
      <w:bookmarkEnd w:id="121"/>
      <w:bookmarkEnd w:id="122"/>
      <w:bookmarkEnd w:id="123"/>
      <w:bookmarkEnd w:id="124"/>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w:t>
      </w:r>
      <w:r>
        <w:rPr>
          <w:rFonts w:hint="eastAsia" w:ascii="Arial" w:hAnsi="Arial" w:cs="Arial"/>
          <w:b/>
          <w:sz w:val="18"/>
          <w:szCs w:val="18"/>
          <w:lang w:eastAsia="zh-CN"/>
        </w:rPr>
        <w:t>：</w:t>
      </w:r>
      <w:r>
        <w:rPr>
          <w:rFonts w:ascii="Arial" w:hAnsi="Arial" w:cs="Arial"/>
          <w:b/>
          <w:sz w:val="18"/>
          <w:szCs w:val="18"/>
        </w:rPr>
        <w:t>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835"/>
        <w:gridCol w:w="777"/>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8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77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5,500.00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21,599.00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271,412.00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193,825.37</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60,378.00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273.1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85,869.80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146,177.51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31,404.40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628,060.55</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154,559.00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47,592.51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31,073.94</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231,000.00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42,081,666.66</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510,000.00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24,615,258.70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eastAsiaTheme="minorEastAsia"/>
                <w:sz w:val="15"/>
                <w:szCs w:val="15"/>
              </w:rPr>
              <w:t>61,983,153.35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2,215,741.00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6,830.00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563,778.56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143,723.60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13,156,247.68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956.97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35,035,038.82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153,860,000.00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204,982,316.63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w:t>
            </w:r>
            <w:r>
              <w:rPr>
                <w:rFonts w:hint="eastAsia" w:ascii="Arial" w:hAnsi="Arial" w:cs="Arial"/>
                <w:kern w:val="0"/>
                <w:sz w:val="15"/>
                <w:szCs w:val="15"/>
              </w:rPr>
              <w:t>3</w:t>
            </w:r>
            <w:r>
              <w:rPr>
                <w:rFonts w:ascii="Arial" w:hAnsi="Arial" w:cs="Arial"/>
                <w:kern w:val="0"/>
                <w:sz w:val="15"/>
                <w:szCs w:val="15"/>
              </w:rPr>
              <w:t>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16,500.00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1,758,699.28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202,289.87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16,384,748.68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523.10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17,803,359.30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100,000,000.00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136,166,120.23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eastAsiaTheme="minorEastAsia"/>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382,170.00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153,565.01</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923,867.54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94,368.12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11,029,542.20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123.75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12,200,968.24</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24,784,604.86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5"/>
                <w:szCs w:val="15"/>
              </w:rPr>
            </w:pPr>
            <w:r>
              <w:rPr>
                <w:rFonts w:hint="eastAsia" w:ascii="Arial" w:hAnsi="Arial" w:cs="Arial" w:eastAsiaTheme="minorEastAsia"/>
                <w:sz w:val="15"/>
                <w:szCs w:val="15"/>
              </w:rPr>
              <w:t>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5"/>
                <w:szCs w:val="15"/>
              </w:rPr>
            </w:pPr>
            <w:r>
              <w:rPr>
                <w:rFonts w:hint="eastAsia" w:ascii="Arial" w:hAnsi="Arial" w:cs="Arial" w:eastAsiaTheme="minorEastAsia"/>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1,181,056.86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674,550.07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345,440.15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5,992,565.87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13,467,830.51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21,861,518.46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73,437,300.47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hint="eastAsia" w:ascii="Arial" w:hAnsi="Arial" w:cs="Arial"/>
                <w:b/>
                <w:bCs/>
                <w:color w:val="000000"/>
                <w:kern w:val="0"/>
                <w:sz w:val="15"/>
                <w:szCs w:val="15"/>
                <w:lang w:bidi="ar"/>
              </w:rPr>
              <w:t>13,283,414.87</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8,765,777.26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49,785,013.77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3,186,453.24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hint="eastAsia" w:ascii="Arial" w:hAnsi="Arial" w:cs="Arial"/>
                <w:b/>
                <w:bCs/>
                <w:color w:val="000000"/>
                <w:kern w:val="0"/>
                <w:sz w:val="15"/>
                <w:szCs w:val="15"/>
                <w:lang w:bidi="ar"/>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274,731,042.84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170,212.22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502,476,100.33</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1,208,462,017.81</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hint="eastAsia" w:ascii="Arial" w:hAnsi="Arial" w:cs="Arial"/>
                <w:b/>
                <w:bCs/>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2,134,482,936.58</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25"/>
      <w:bookmarkEnd w:id="126"/>
      <w:bookmarkEnd w:id="127"/>
      <w:bookmarkEnd w:id="128"/>
      <w:bookmarkEnd w:id="129"/>
      <w:bookmarkEnd w:id="130"/>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rPr>
          <w:rFonts w:cs="Arial"/>
          <w:sz w:val="24"/>
        </w:rPr>
      </w:pPr>
    </w:p>
    <w:p>
      <w:pPr>
        <w:rPr>
          <w:rFonts w:cs="Arial"/>
          <w:sz w:val="24"/>
        </w:rPr>
      </w:pPr>
    </w:p>
    <w:p>
      <w:pPr>
        <w:rPr>
          <w:rFonts w:cs="Arial"/>
          <w:sz w:val="24"/>
        </w:rPr>
      </w:pPr>
    </w:p>
    <w:p>
      <w:pPr>
        <w:rPr>
          <w:rFonts w:cs="Arial"/>
          <w:sz w:val="24"/>
        </w:rPr>
      </w:pPr>
    </w:p>
    <w:sectPr>
      <w:pgSz w:w="16838" w:h="11906" w:orient="landscape"/>
      <w:pgMar w:top="1134" w:right="1843"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Arial" w:hAnsi="Arial" w:cs="Arial"/>
      </w:rPr>
    </w:pPr>
    <w:r>
      <w:rPr>
        <w:rFonts w:ascii="Arial" w:hAnsi="Arial" w:cs="Arial"/>
      </w:rPr>
      <w:t>2021年</w:t>
    </w:r>
    <w:r>
      <w:rPr>
        <w:rFonts w:hint="eastAsia" w:ascii="Arial" w:hAnsi="Arial" w:cs="Arial"/>
      </w:rPr>
      <w:t>8</w:t>
    </w:r>
    <w:r>
      <w:rPr>
        <w:rFonts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AAE02"/>
    <w:multiLevelType w:val="singleLevel"/>
    <w:tmpl w:val="A62AAE02"/>
    <w:lvl w:ilvl="0" w:tentative="0">
      <w:start w:val="1"/>
      <w:numFmt w:val="decimal"/>
      <w:suff w:val="nothing"/>
      <w:lvlText w:val="（%1）"/>
      <w:lvlJc w:val="left"/>
      <w:rPr>
        <w:rFonts w:hint="default"/>
        <w:color w:val="auto"/>
      </w:rPr>
    </w:lvl>
  </w:abstractNum>
  <w:abstractNum w:abstractNumId="1">
    <w:nsid w:val="7EFAB1B4"/>
    <w:multiLevelType w:val="singleLevel"/>
    <w:tmpl w:val="7EFAB1B4"/>
    <w:lvl w:ilvl="0" w:tentative="0">
      <w:start w:val="1"/>
      <w:numFmt w:val="decimal"/>
      <w:lvlText w:val="(%1)"/>
      <w:lvlJc w:val="left"/>
      <w:pPr>
        <w:ind w:left="425" w:hanging="425"/>
      </w:pPr>
      <w:rPr>
        <w:rFonts w:hint="default" w:ascii="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C37"/>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787"/>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5784"/>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D1"/>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3AE4"/>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547EE9"/>
    <w:rsid w:val="01577121"/>
    <w:rsid w:val="01B22C38"/>
    <w:rsid w:val="020A3F15"/>
    <w:rsid w:val="02182C17"/>
    <w:rsid w:val="021E12F8"/>
    <w:rsid w:val="024E1F94"/>
    <w:rsid w:val="0287698F"/>
    <w:rsid w:val="029517EF"/>
    <w:rsid w:val="02991399"/>
    <w:rsid w:val="02AF2C3C"/>
    <w:rsid w:val="02E56F49"/>
    <w:rsid w:val="03120CF3"/>
    <w:rsid w:val="03A02331"/>
    <w:rsid w:val="03B03C51"/>
    <w:rsid w:val="040F5F73"/>
    <w:rsid w:val="041A23C3"/>
    <w:rsid w:val="04317A38"/>
    <w:rsid w:val="044E53C0"/>
    <w:rsid w:val="044E5CD2"/>
    <w:rsid w:val="04615645"/>
    <w:rsid w:val="046210E6"/>
    <w:rsid w:val="04876799"/>
    <w:rsid w:val="04B135A2"/>
    <w:rsid w:val="04D5358E"/>
    <w:rsid w:val="04ED3C48"/>
    <w:rsid w:val="05024B1E"/>
    <w:rsid w:val="05091CA9"/>
    <w:rsid w:val="051C6300"/>
    <w:rsid w:val="05566239"/>
    <w:rsid w:val="05570A93"/>
    <w:rsid w:val="055E6E2E"/>
    <w:rsid w:val="056B10C8"/>
    <w:rsid w:val="05741D95"/>
    <w:rsid w:val="057C2F78"/>
    <w:rsid w:val="058B20AB"/>
    <w:rsid w:val="05C72D1F"/>
    <w:rsid w:val="05FE1AC1"/>
    <w:rsid w:val="06435757"/>
    <w:rsid w:val="064A71F2"/>
    <w:rsid w:val="067F4229"/>
    <w:rsid w:val="06A30AF5"/>
    <w:rsid w:val="06AC7C2F"/>
    <w:rsid w:val="076265AA"/>
    <w:rsid w:val="07924ED4"/>
    <w:rsid w:val="079F2291"/>
    <w:rsid w:val="07A50347"/>
    <w:rsid w:val="07C762F7"/>
    <w:rsid w:val="08070C6F"/>
    <w:rsid w:val="080F6171"/>
    <w:rsid w:val="08636782"/>
    <w:rsid w:val="08813878"/>
    <w:rsid w:val="088D22F8"/>
    <w:rsid w:val="08AF68AA"/>
    <w:rsid w:val="08BE679F"/>
    <w:rsid w:val="08C169D0"/>
    <w:rsid w:val="08E629DA"/>
    <w:rsid w:val="08E969CC"/>
    <w:rsid w:val="0906256A"/>
    <w:rsid w:val="09071462"/>
    <w:rsid w:val="090A6A03"/>
    <w:rsid w:val="09285245"/>
    <w:rsid w:val="092F7D5C"/>
    <w:rsid w:val="095A40D3"/>
    <w:rsid w:val="096B28F0"/>
    <w:rsid w:val="09746F62"/>
    <w:rsid w:val="09A70D97"/>
    <w:rsid w:val="09B375D0"/>
    <w:rsid w:val="09FC16CD"/>
    <w:rsid w:val="0A1C07CA"/>
    <w:rsid w:val="0A510F2E"/>
    <w:rsid w:val="0A647549"/>
    <w:rsid w:val="0A7A7FB7"/>
    <w:rsid w:val="0A904AE2"/>
    <w:rsid w:val="0AB42770"/>
    <w:rsid w:val="0AB54354"/>
    <w:rsid w:val="0AD32601"/>
    <w:rsid w:val="0B025E19"/>
    <w:rsid w:val="0B302158"/>
    <w:rsid w:val="0B36626C"/>
    <w:rsid w:val="0B3908EA"/>
    <w:rsid w:val="0B6F344E"/>
    <w:rsid w:val="0B7D7E07"/>
    <w:rsid w:val="0B7E04C4"/>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C1841"/>
    <w:rsid w:val="0E4B32AB"/>
    <w:rsid w:val="0EA70C3B"/>
    <w:rsid w:val="0EA84BA0"/>
    <w:rsid w:val="0EC81462"/>
    <w:rsid w:val="0EE82EB1"/>
    <w:rsid w:val="0EF37996"/>
    <w:rsid w:val="0F5131FC"/>
    <w:rsid w:val="0F5A1EAC"/>
    <w:rsid w:val="0F743071"/>
    <w:rsid w:val="0F963754"/>
    <w:rsid w:val="0FCB5663"/>
    <w:rsid w:val="0FE1627A"/>
    <w:rsid w:val="0FE90254"/>
    <w:rsid w:val="1018581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2CD06F1"/>
    <w:rsid w:val="1329728F"/>
    <w:rsid w:val="13400935"/>
    <w:rsid w:val="13571182"/>
    <w:rsid w:val="13713B91"/>
    <w:rsid w:val="1384032D"/>
    <w:rsid w:val="1397238C"/>
    <w:rsid w:val="13B4494C"/>
    <w:rsid w:val="13EA42B9"/>
    <w:rsid w:val="13F211C5"/>
    <w:rsid w:val="13F52066"/>
    <w:rsid w:val="1401709A"/>
    <w:rsid w:val="140A7A4F"/>
    <w:rsid w:val="14125F20"/>
    <w:rsid w:val="14176954"/>
    <w:rsid w:val="143A6A28"/>
    <w:rsid w:val="14474AFD"/>
    <w:rsid w:val="145061A4"/>
    <w:rsid w:val="145C50AE"/>
    <w:rsid w:val="1461727D"/>
    <w:rsid w:val="14654101"/>
    <w:rsid w:val="146A438C"/>
    <w:rsid w:val="14B62A19"/>
    <w:rsid w:val="14EC1E0E"/>
    <w:rsid w:val="14FD45A9"/>
    <w:rsid w:val="14FE14A3"/>
    <w:rsid w:val="150B1F6C"/>
    <w:rsid w:val="1511406F"/>
    <w:rsid w:val="158079C2"/>
    <w:rsid w:val="159B3318"/>
    <w:rsid w:val="159D7C92"/>
    <w:rsid w:val="15AB2410"/>
    <w:rsid w:val="15C93A3A"/>
    <w:rsid w:val="15CA6CD2"/>
    <w:rsid w:val="15FA30FC"/>
    <w:rsid w:val="15FE4A73"/>
    <w:rsid w:val="16011A58"/>
    <w:rsid w:val="1604683C"/>
    <w:rsid w:val="164D0A40"/>
    <w:rsid w:val="1657777F"/>
    <w:rsid w:val="165F631B"/>
    <w:rsid w:val="16643CB1"/>
    <w:rsid w:val="1673604F"/>
    <w:rsid w:val="16A26AEA"/>
    <w:rsid w:val="16A65EC9"/>
    <w:rsid w:val="16ED7B96"/>
    <w:rsid w:val="16F52C62"/>
    <w:rsid w:val="16F67D93"/>
    <w:rsid w:val="174027AB"/>
    <w:rsid w:val="174504D5"/>
    <w:rsid w:val="174E724C"/>
    <w:rsid w:val="176A2535"/>
    <w:rsid w:val="17754963"/>
    <w:rsid w:val="17BC07D2"/>
    <w:rsid w:val="17C23688"/>
    <w:rsid w:val="17D56155"/>
    <w:rsid w:val="17F0534C"/>
    <w:rsid w:val="182717AE"/>
    <w:rsid w:val="18291C05"/>
    <w:rsid w:val="182F089F"/>
    <w:rsid w:val="183C2CE5"/>
    <w:rsid w:val="18460BE0"/>
    <w:rsid w:val="18816D11"/>
    <w:rsid w:val="18872EBA"/>
    <w:rsid w:val="188A342D"/>
    <w:rsid w:val="18976CEB"/>
    <w:rsid w:val="18C31273"/>
    <w:rsid w:val="1905656F"/>
    <w:rsid w:val="192243DE"/>
    <w:rsid w:val="193304EA"/>
    <w:rsid w:val="19346926"/>
    <w:rsid w:val="198C5DCD"/>
    <w:rsid w:val="19A24D24"/>
    <w:rsid w:val="19A62345"/>
    <w:rsid w:val="19AF5819"/>
    <w:rsid w:val="19CC1A61"/>
    <w:rsid w:val="19D779B2"/>
    <w:rsid w:val="19D878EF"/>
    <w:rsid w:val="1A297790"/>
    <w:rsid w:val="1A362D5E"/>
    <w:rsid w:val="1A3811DA"/>
    <w:rsid w:val="1A3E1180"/>
    <w:rsid w:val="1A601E7B"/>
    <w:rsid w:val="1A696C88"/>
    <w:rsid w:val="1A6B2EC0"/>
    <w:rsid w:val="1A6C646C"/>
    <w:rsid w:val="1A864009"/>
    <w:rsid w:val="1A9838E5"/>
    <w:rsid w:val="1A990464"/>
    <w:rsid w:val="1AAE6959"/>
    <w:rsid w:val="1AF36D63"/>
    <w:rsid w:val="1B36474B"/>
    <w:rsid w:val="1B490121"/>
    <w:rsid w:val="1B4A3B36"/>
    <w:rsid w:val="1B55527C"/>
    <w:rsid w:val="1B573F0E"/>
    <w:rsid w:val="1B596E8A"/>
    <w:rsid w:val="1B6B20B6"/>
    <w:rsid w:val="1B847392"/>
    <w:rsid w:val="1B920764"/>
    <w:rsid w:val="1BA5090D"/>
    <w:rsid w:val="1BC349E4"/>
    <w:rsid w:val="1BC83408"/>
    <w:rsid w:val="1C0A26E2"/>
    <w:rsid w:val="1C320817"/>
    <w:rsid w:val="1C3E687C"/>
    <w:rsid w:val="1C3F2EA3"/>
    <w:rsid w:val="1C4C5268"/>
    <w:rsid w:val="1C602472"/>
    <w:rsid w:val="1C980A78"/>
    <w:rsid w:val="1CAE21A8"/>
    <w:rsid w:val="1CB02C69"/>
    <w:rsid w:val="1CC36547"/>
    <w:rsid w:val="1CDF4126"/>
    <w:rsid w:val="1CE800DA"/>
    <w:rsid w:val="1D0D266B"/>
    <w:rsid w:val="1D12656E"/>
    <w:rsid w:val="1D440C88"/>
    <w:rsid w:val="1D4B4F71"/>
    <w:rsid w:val="1D54394F"/>
    <w:rsid w:val="1DA46770"/>
    <w:rsid w:val="1DB84EB8"/>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DC44C9"/>
    <w:rsid w:val="1FF62B78"/>
    <w:rsid w:val="200A4D50"/>
    <w:rsid w:val="20236A3E"/>
    <w:rsid w:val="204A2B37"/>
    <w:rsid w:val="205D3A50"/>
    <w:rsid w:val="206D3B6C"/>
    <w:rsid w:val="208C7299"/>
    <w:rsid w:val="208F0EEE"/>
    <w:rsid w:val="20AD7F68"/>
    <w:rsid w:val="20C8381C"/>
    <w:rsid w:val="20DE76E4"/>
    <w:rsid w:val="21083A15"/>
    <w:rsid w:val="21474478"/>
    <w:rsid w:val="214C0063"/>
    <w:rsid w:val="214E5451"/>
    <w:rsid w:val="218756F8"/>
    <w:rsid w:val="219671BA"/>
    <w:rsid w:val="21AD6BDF"/>
    <w:rsid w:val="21B539C8"/>
    <w:rsid w:val="21CE3712"/>
    <w:rsid w:val="21D32E26"/>
    <w:rsid w:val="21F22553"/>
    <w:rsid w:val="22387A2B"/>
    <w:rsid w:val="225D766B"/>
    <w:rsid w:val="23044E36"/>
    <w:rsid w:val="232602A5"/>
    <w:rsid w:val="235C79A2"/>
    <w:rsid w:val="236225A3"/>
    <w:rsid w:val="23860FDE"/>
    <w:rsid w:val="23870D69"/>
    <w:rsid w:val="23962A57"/>
    <w:rsid w:val="239F5676"/>
    <w:rsid w:val="239F63F0"/>
    <w:rsid w:val="23AA7D1A"/>
    <w:rsid w:val="23AF2050"/>
    <w:rsid w:val="23B05687"/>
    <w:rsid w:val="23D017CA"/>
    <w:rsid w:val="23D70350"/>
    <w:rsid w:val="23E923EC"/>
    <w:rsid w:val="241F2A33"/>
    <w:rsid w:val="24254B05"/>
    <w:rsid w:val="243C41C1"/>
    <w:rsid w:val="24496D69"/>
    <w:rsid w:val="244E5E05"/>
    <w:rsid w:val="24503850"/>
    <w:rsid w:val="247B4086"/>
    <w:rsid w:val="249B3414"/>
    <w:rsid w:val="24C57F33"/>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62D4DA5"/>
    <w:rsid w:val="264E4D1A"/>
    <w:rsid w:val="26501CEE"/>
    <w:rsid w:val="266C2207"/>
    <w:rsid w:val="26712E2D"/>
    <w:rsid w:val="267433F0"/>
    <w:rsid w:val="26821EF1"/>
    <w:rsid w:val="26B620BC"/>
    <w:rsid w:val="26C256C4"/>
    <w:rsid w:val="26C626CC"/>
    <w:rsid w:val="26CB12C3"/>
    <w:rsid w:val="26DB4857"/>
    <w:rsid w:val="26E71E79"/>
    <w:rsid w:val="27251556"/>
    <w:rsid w:val="27316154"/>
    <w:rsid w:val="275905F8"/>
    <w:rsid w:val="275B47DC"/>
    <w:rsid w:val="27603CE9"/>
    <w:rsid w:val="27767AA5"/>
    <w:rsid w:val="278458F1"/>
    <w:rsid w:val="279A662B"/>
    <w:rsid w:val="27A06FCF"/>
    <w:rsid w:val="27A25564"/>
    <w:rsid w:val="27A6704F"/>
    <w:rsid w:val="27A85EEE"/>
    <w:rsid w:val="27D36648"/>
    <w:rsid w:val="27EC64BD"/>
    <w:rsid w:val="27EE0B89"/>
    <w:rsid w:val="28014CCC"/>
    <w:rsid w:val="28132B05"/>
    <w:rsid w:val="28345CB9"/>
    <w:rsid w:val="28A3157D"/>
    <w:rsid w:val="28A80D98"/>
    <w:rsid w:val="28C71836"/>
    <w:rsid w:val="28CE40D5"/>
    <w:rsid w:val="28E34733"/>
    <w:rsid w:val="28E468D2"/>
    <w:rsid w:val="29460235"/>
    <w:rsid w:val="294B7A7C"/>
    <w:rsid w:val="294D2990"/>
    <w:rsid w:val="298224E3"/>
    <w:rsid w:val="29B4678E"/>
    <w:rsid w:val="29DC15DE"/>
    <w:rsid w:val="29F9035F"/>
    <w:rsid w:val="29FE2F07"/>
    <w:rsid w:val="2A2E52EE"/>
    <w:rsid w:val="2A341FD2"/>
    <w:rsid w:val="2A5F13A7"/>
    <w:rsid w:val="2A79146E"/>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DF33AA"/>
    <w:rsid w:val="2BFE45E6"/>
    <w:rsid w:val="2C23239B"/>
    <w:rsid w:val="2C3D5A71"/>
    <w:rsid w:val="2C420226"/>
    <w:rsid w:val="2C6E3523"/>
    <w:rsid w:val="2C73562D"/>
    <w:rsid w:val="2C794C81"/>
    <w:rsid w:val="2C9245FF"/>
    <w:rsid w:val="2CA27085"/>
    <w:rsid w:val="2CA614D2"/>
    <w:rsid w:val="2CB852B6"/>
    <w:rsid w:val="2CCA6AD3"/>
    <w:rsid w:val="2CCF0363"/>
    <w:rsid w:val="2CDF3A28"/>
    <w:rsid w:val="2CEA399A"/>
    <w:rsid w:val="2D013A66"/>
    <w:rsid w:val="2D0C3C4C"/>
    <w:rsid w:val="2D1265B0"/>
    <w:rsid w:val="2D5D5FDA"/>
    <w:rsid w:val="2D8079DE"/>
    <w:rsid w:val="2D8E7D40"/>
    <w:rsid w:val="2DA54F2C"/>
    <w:rsid w:val="2DD5497C"/>
    <w:rsid w:val="2DE07267"/>
    <w:rsid w:val="2DE2150B"/>
    <w:rsid w:val="2E5E0C66"/>
    <w:rsid w:val="2E927766"/>
    <w:rsid w:val="2EA77A15"/>
    <w:rsid w:val="2EB055F9"/>
    <w:rsid w:val="2EBE13B9"/>
    <w:rsid w:val="2ECC7C8A"/>
    <w:rsid w:val="2ECE00A9"/>
    <w:rsid w:val="2EE8357E"/>
    <w:rsid w:val="2EF04512"/>
    <w:rsid w:val="2F191C23"/>
    <w:rsid w:val="2F251FE4"/>
    <w:rsid w:val="2F855ABB"/>
    <w:rsid w:val="2F900517"/>
    <w:rsid w:val="2F900C13"/>
    <w:rsid w:val="2FB8217C"/>
    <w:rsid w:val="2FCD42B2"/>
    <w:rsid w:val="2FEA60F9"/>
    <w:rsid w:val="30101C7A"/>
    <w:rsid w:val="308265BA"/>
    <w:rsid w:val="30916070"/>
    <w:rsid w:val="30985AB1"/>
    <w:rsid w:val="30CF0835"/>
    <w:rsid w:val="30F03DFA"/>
    <w:rsid w:val="31104BF6"/>
    <w:rsid w:val="313930FF"/>
    <w:rsid w:val="313C6CAF"/>
    <w:rsid w:val="314B4163"/>
    <w:rsid w:val="315B7C6B"/>
    <w:rsid w:val="317607E1"/>
    <w:rsid w:val="31786B4A"/>
    <w:rsid w:val="3182611C"/>
    <w:rsid w:val="31872E04"/>
    <w:rsid w:val="31891D82"/>
    <w:rsid w:val="31A60F5B"/>
    <w:rsid w:val="31BE4021"/>
    <w:rsid w:val="31BF0DB8"/>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6C796C"/>
    <w:rsid w:val="338F5D2B"/>
    <w:rsid w:val="339F2F04"/>
    <w:rsid w:val="33A717F8"/>
    <w:rsid w:val="33BE058E"/>
    <w:rsid w:val="340169DA"/>
    <w:rsid w:val="34303CEF"/>
    <w:rsid w:val="343F3941"/>
    <w:rsid w:val="3451408C"/>
    <w:rsid w:val="34563B80"/>
    <w:rsid w:val="34581F91"/>
    <w:rsid w:val="346C7F74"/>
    <w:rsid w:val="34CF45BC"/>
    <w:rsid w:val="34E17EF3"/>
    <w:rsid w:val="34E27CEA"/>
    <w:rsid w:val="35185EA1"/>
    <w:rsid w:val="351C6510"/>
    <w:rsid w:val="35207F9E"/>
    <w:rsid w:val="354B544B"/>
    <w:rsid w:val="35635B07"/>
    <w:rsid w:val="35657930"/>
    <w:rsid w:val="359508DB"/>
    <w:rsid w:val="35B44532"/>
    <w:rsid w:val="35BC6C76"/>
    <w:rsid w:val="35CF1819"/>
    <w:rsid w:val="35E242F4"/>
    <w:rsid w:val="35E85E3C"/>
    <w:rsid w:val="36004B30"/>
    <w:rsid w:val="360D1B20"/>
    <w:rsid w:val="361C1378"/>
    <w:rsid w:val="364B5D4B"/>
    <w:rsid w:val="366629F3"/>
    <w:rsid w:val="367140EF"/>
    <w:rsid w:val="367C45A2"/>
    <w:rsid w:val="368F27F7"/>
    <w:rsid w:val="36932D65"/>
    <w:rsid w:val="36AC2486"/>
    <w:rsid w:val="36D3772D"/>
    <w:rsid w:val="36EB0C0F"/>
    <w:rsid w:val="36EE0BD9"/>
    <w:rsid w:val="37177A68"/>
    <w:rsid w:val="371D4D0A"/>
    <w:rsid w:val="37237773"/>
    <w:rsid w:val="376A1EEB"/>
    <w:rsid w:val="378471B3"/>
    <w:rsid w:val="378D296D"/>
    <w:rsid w:val="37A81C78"/>
    <w:rsid w:val="37B33D9F"/>
    <w:rsid w:val="37CF21CB"/>
    <w:rsid w:val="37E517C6"/>
    <w:rsid w:val="37F80A98"/>
    <w:rsid w:val="380B112A"/>
    <w:rsid w:val="38102C5D"/>
    <w:rsid w:val="382316B4"/>
    <w:rsid w:val="3825292B"/>
    <w:rsid w:val="382E19C0"/>
    <w:rsid w:val="384951A4"/>
    <w:rsid w:val="38593A85"/>
    <w:rsid w:val="386931AB"/>
    <w:rsid w:val="388A5DE8"/>
    <w:rsid w:val="388F550C"/>
    <w:rsid w:val="389E6465"/>
    <w:rsid w:val="38CC2B51"/>
    <w:rsid w:val="390C4601"/>
    <w:rsid w:val="39195446"/>
    <w:rsid w:val="391D6ED0"/>
    <w:rsid w:val="393C4A38"/>
    <w:rsid w:val="394502E8"/>
    <w:rsid w:val="394D714F"/>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F01648"/>
    <w:rsid w:val="3B273ADD"/>
    <w:rsid w:val="3B2C43E6"/>
    <w:rsid w:val="3B3862BC"/>
    <w:rsid w:val="3B40001F"/>
    <w:rsid w:val="3B8B61CC"/>
    <w:rsid w:val="3BA96D5F"/>
    <w:rsid w:val="3BD96BEF"/>
    <w:rsid w:val="3C215EDB"/>
    <w:rsid w:val="3C437BC4"/>
    <w:rsid w:val="3C5E3057"/>
    <w:rsid w:val="3CDA63FD"/>
    <w:rsid w:val="3CE57755"/>
    <w:rsid w:val="3CFC33A6"/>
    <w:rsid w:val="3DA80327"/>
    <w:rsid w:val="3DA91743"/>
    <w:rsid w:val="3DD205E2"/>
    <w:rsid w:val="3DF5519B"/>
    <w:rsid w:val="3E126A8A"/>
    <w:rsid w:val="3E3B781D"/>
    <w:rsid w:val="3EB061F5"/>
    <w:rsid w:val="3F151678"/>
    <w:rsid w:val="3F216EA4"/>
    <w:rsid w:val="3F4D0323"/>
    <w:rsid w:val="3F647BC6"/>
    <w:rsid w:val="3F7F34BC"/>
    <w:rsid w:val="3F862B55"/>
    <w:rsid w:val="3FB65279"/>
    <w:rsid w:val="3FC63FB2"/>
    <w:rsid w:val="3FCC065F"/>
    <w:rsid w:val="3FE52E1C"/>
    <w:rsid w:val="3FE85DE3"/>
    <w:rsid w:val="400E43F7"/>
    <w:rsid w:val="400F5610"/>
    <w:rsid w:val="4044298B"/>
    <w:rsid w:val="404A0390"/>
    <w:rsid w:val="40A47202"/>
    <w:rsid w:val="40BF3306"/>
    <w:rsid w:val="40C802B9"/>
    <w:rsid w:val="40E26576"/>
    <w:rsid w:val="4120062E"/>
    <w:rsid w:val="416B6124"/>
    <w:rsid w:val="418450F7"/>
    <w:rsid w:val="41864A4C"/>
    <w:rsid w:val="4188423E"/>
    <w:rsid w:val="41953547"/>
    <w:rsid w:val="41B257A2"/>
    <w:rsid w:val="41C156BC"/>
    <w:rsid w:val="41C856D3"/>
    <w:rsid w:val="41FD6252"/>
    <w:rsid w:val="420C10EF"/>
    <w:rsid w:val="421134BE"/>
    <w:rsid w:val="42170583"/>
    <w:rsid w:val="421E3A3B"/>
    <w:rsid w:val="423042B5"/>
    <w:rsid w:val="42353595"/>
    <w:rsid w:val="428F6C01"/>
    <w:rsid w:val="42DD4ED6"/>
    <w:rsid w:val="430C7821"/>
    <w:rsid w:val="432626DC"/>
    <w:rsid w:val="43582CEE"/>
    <w:rsid w:val="43762C3D"/>
    <w:rsid w:val="43AB0395"/>
    <w:rsid w:val="43AE5890"/>
    <w:rsid w:val="440139F5"/>
    <w:rsid w:val="441322DC"/>
    <w:rsid w:val="441F157E"/>
    <w:rsid w:val="44454E25"/>
    <w:rsid w:val="445752F3"/>
    <w:rsid w:val="4462676B"/>
    <w:rsid w:val="447B7EB4"/>
    <w:rsid w:val="44942C09"/>
    <w:rsid w:val="44D945BA"/>
    <w:rsid w:val="44E372C7"/>
    <w:rsid w:val="44E80311"/>
    <w:rsid w:val="44F375B2"/>
    <w:rsid w:val="45074CA5"/>
    <w:rsid w:val="451F195C"/>
    <w:rsid w:val="452073A8"/>
    <w:rsid w:val="45223ABD"/>
    <w:rsid w:val="45366012"/>
    <w:rsid w:val="453D50E1"/>
    <w:rsid w:val="459820A9"/>
    <w:rsid w:val="45B069B3"/>
    <w:rsid w:val="45F62BFD"/>
    <w:rsid w:val="45FD7ECB"/>
    <w:rsid w:val="462A4942"/>
    <w:rsid w:val="464D3B06"/>
    <w:rsid w:val="46760D2B"/>
    <w:rsid w:val="46F13A07"/>
    <w:rsid w:val="46F55CC0"/>
    <w:rsid w:val="47044DB1"/>
    <w:rsid w:val="470647A0"/>
    <w:rsid w:val="47190675"/>
    <w:rsid w:val="471B2970"/>
    <w:rsid w:val="4753629F"/>
    <w:rsid w:val="478065A6"/>
    <w:rsid w:val="47E9125D"/>
    <w:rsid w:val="47F17A06"/>
    <w:rsid w:val="47F2017A"/>
    <w:rsid w:val="47F505DD"/>
    <w:rsid w:val="48390EC9"/>
    <w:rsid w:val="483A74DE"/>
    <w:rsid w:val="48476FCF"/>
    <w:rsid w:val="485006B9"/>
    <w:rsid w:val="4879604A"/>
    <w:rsid w:val="48B307C6"/>
    <w:rsid w:val="48BB752E"/>
    <w:rsid w:val="48C5408A"/>
    <w:rsid w:val="48C9240E"/>
    <w:rsid w:val="48E77323"/>
    <w:rsid w:val="49075D3B"/>
    <w:rsid w:val="490E02CD"/>
    <w:rsid w:val="493652D9"/>
    <w:rsid w:val="496B7D78"/>
    <w:rsid w:val="49764BB8"/>
    <w:rsid w:val="49A75D4B"/>
    <w:rsid w:val="49CB02DE"/>
    <w:rsid w:val="4A21385E"/>
    <w:rsid w:val="4A2666AA"/>
    <w:rsid w:val="4A367B5D"/>
    <w:rsid w:val="4A6002EB"/>
    <w:rsid w:val="4A763A10"/>
    <w:rsid w:val="4A7810A6"/>
    <w:rsid w:val="4A7933F1"/>
    <w:rsid w:val="4A870418"/>
    <w:rsid w:val="4A885FC8"/>
    <w:rsid w:val="4ABA3AF3"/>
    <w:rsid w:val="4ADE2E72"/>
    <w:rsid w:val="4B0432C4"/>
    <w:rsid w:val="4B392E9F"/>
    <w:rsid w:val="4B3F1224"/>
    <w:rsid w:val="4B543FDF"/>
    <w:rsid w:val="4B95368D"/>
    <w:rsid w:val="4BE60882"/>
    <w:rsid w:val="4BEB7FDB"/>
    <w:rsid w:val="4BEF1770"/>
    <w:rsid w:val="4C6F222E"/>
    <w:rsid w:val="4C7C14BD"/>
    <w:rsid w:val="4C7E0AF0"/>
    <w:rsid w:val="4C8E7034"/>
    <w:rsid w:val="4CA50CFA"/>
    <w:rsid w:val="4CE94B68"/>
    <w:rsid w:val="4CEB6543"/>
    <w:rsid w:val="4D3E7333"/>
    <w:rsid w:val="4D6F7103"/>
    <w:rsid w:val="4D73757A"/>
    <w:rsid w:val="4DAB4404"/>
    <w:rsid w:val="4DDD02D7"/>
    <w:rsid w:val="4DFE0FB4"/>
    <w:rsid w:val="4E1104E7"/>
    <w:rsid w:val="4E18557C"/>
    <w:rsid w:val="4E443E3C"/>
    <w:rsid w:val="4E8364FA"/>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A1224D"/>
    <w:rsid w:val="4FA23EE6"/>
    <w:rsid w:val="4FEE6232"/>
    <w:rsid w:val="50231277"/>
    <w:rsid w:val="50530FD2"/>
    <w:rsid w:val="50680C7A"/>
    <w:rsid w:val="50AF7AEB"/>
    <w:rsid w:val="50F5588B"/>
    <w:rsid w:val="50F906AD"/>
    <w:rsid w:val="50FD5220"/>
    <w:rsid w:val="51002FB2"/>
    <w:rsid w:val="51364674"/>
    <w:rsid w:val="514B7AC5"/>
    <w:rsid w:val="517A54EF"/>
    <w:rsid w:val="51AA68EA"/>
    <w:rsid w:val="51B45D02"/>
    <w:rsid w:val="51CF4535"/>
    <w:rsid w:val="51EA7D2A"/>
    <w:rsid w:val="51FD782F"/>
    <w:rsid w:val="52193772"/>
    <w:rsid w:val="52241516"/>
    <w:rsid w:val="52A43471"/>
    <w:rsid w:val="52B21606"/>
    <w:rsid w:val="52C723C5"/>
    <w:rsid w:val="52CE7B29"/>
    <w:rsid w:val="52FE59D7"/>
    <w:rsid w:val="53143C76"/>
    <w:rsid w:val="533F605B"/>
    <w:rsid w:val="538542C8"/>
    <w:rsid w:val="538E25D9"/>
    <w:rsid w:val="538F283F"/>
    <w:rsid w:val="544A7DDE"/>
    <w:rsid w:val="54513B0B"/>
    <w:rsid w:val="54802842"/>
    <w:rsid w:val="54BB3E9D"/>
    <w:rsid w:val="54D866BF"/>
    <w:rsid w:val="54DA4F58"/>
    <w:rsid w:val="54DD3D20"/>
    <w:rsid w:val="550A7B54"/>
    <w:rsid w:val="551B359B"/>
    <w:rsid w:val="551F76E6"/>
    <w:rsid w:val="55243AC3"/>
    <w:rsid w:val="5545460B"/>
    <w:rsid w:val="554C2943"/>
    <w:rsid w:val="554C2E4C"/>
    <w:rsid w:val="55603EEE"/>
    <w:rsid w:val="5590127B"/>
    <w:rsid w:val="55941D55"/>
    <w:rsid w:val="55CE553D"/>
    <w:rsid w:val="55EE3F41"/>
    <w:rsid w:val="566469E9"/>
    <w:rsid w:val="567A168B"/>
    <w:rsid w:val="568B628B"/>
    <w:rsid w:val="56A172E5"/>
    <w:rsid w:val="56B83A26"/>
    <w:rsid w:val="56C77F65"/>
    <w:rsid w:val="56D97CAA"/>
    <w:rsid w:val="56F9126E"/>
    <w:rsid w:val="570222F6"/>
    <w:rsid w:val="5724664B"/>
    <w:rsid w:val="57377423"/>
    <w:rsid w:val="577E4888"/>
    <w:rsid w:val="577E6C76"/>
    <w:rsid w:val="57964B9D"/>
    <w:rsid w:val="57CA5FC4"/>
    <w:rsid w:val="57ED1AF0"/>
    <w:rsid w:val="580010B1"/>
    <w:rsid w:val="583D7CF2"/>
    <w:rsid w:val="585A45FE"/>
    <w:rsid w:val="58704C2D"/>
    <w:rsid w:val="58755AEE"/>
    <w:rsid w:val="58790E76"/>
    <w:rsid w:val="587F2334"/>
    <w:rsid w:val="5895610B"/>
    <w:rsid w:val="58A36E7A"/>
    <w:rsid w:val="58F146F3"/>
    <w:rsid w:val="59336CDE"/>
    <w:rsid w:val="594B220B"/>
    <w:rsid w:val="596954D5"/>
    <w:rsid w:val="596F3BFA"/>
    <w:rsid w:val="598C234F"/>
    <w:rsid w:val="59A10C9E"/>
    <w:rsid w:val="59D10B5F"/>
    <w:rsid w:val="59DC7B4C"/>
    <w:rsid w:val="59EC75E0"/>
    <w:rsid w:val="59EF0A81"/>
    <w:rsid w:val="59F006DE"/>
    <w:rsid w:val="59F56C32"/>
    <w:rsid w:val="5A57583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D60ABA"/>
    <w:rsid w:val="5BD842B9"/>
    <w:rsid w:val="5BEF026B"/>
    <w:rsid w:val="5C0B6516"/>
    <w:rsid w:val="5C2B443A"/>
    <w:rsid w:val="5C3F425E"/>
    <w:rsid w:val="5C8D515A"/>
    <w:rsid w:val="5C9A49CA"/>
    <w:rsid w:val="5CE4559D"/>
    <w:rsid w:val="5D2B44E7"/>
    <w:rsid w:val="5D692489"/>
    <w:rsid w:val="5D726943"/>
    <w:rsid w:val="5D7C3793"/>
    <w:rsid w:val="5D800FE4"/>
    <w:rsid w:val="5D8563A7"/>
    <w:rsid w:val="5D8A045D"/>
    <w:rsid w:val="5DA75C6B"/>
    <w:rsid w:val="5DCD084D"/>
    <w:rsid w:val="5E282D8A"/>
    <w:rsid w:val="5E3727AE"/>
    <w:rsid w:val="5E48254A"/>
    <w:rsid w:val="5E4A0BB6"/>
    <w:rsid w:val="5E60449B"/>
    <w:rsid w:val="5E8725F8"/>
    <w:rsid w:val="5E9D1A80"/>
    <w:rsid w:val="5E9E5060"/>
    <w:rsid w:val="5EE90CA7"/>
    <w:rsid w:val="5F101CEF"/>
    <w:rsid w:val="5F247BF6"/>
    <w:rsid w:val="5F4433B2"/>
    <w:rsid w:val="5F4C0D13"/>
    <w:rsid w:val="5F4C1D63"/>
    <w:rsid w:val="5FE35892"/>
    <w:rsid w:val="602250B9"/>
    <w:rsid w:val="602F4925"/>
    <w:rsid w:val="60562E16"/>
    <w:rsid w:val="605F3F5B"/>
    <w:rsid w:val="60921C9E"/>
    <w:rsid w:val="60955898"/>
    <w:rsid w:val="60F92CA0"/>
    <w:rsid w:val="60FF7F65"/>
    <w:rsid w:val="614010ED"/>
    <w:rsid w:val="615041F5"/>
    <w:rsid w:val="61592189"/>
    <w:rsid w:val="61594CEB"/>
    <w:rsid w:val="616E7536"/>
    <w:rsid w:val="61A90F38"/>
    <w:rsid w:val="61B029FB"/>
    <w:rsid w:val="61C30742"/>
    <w:rsid w:val="61C50037"/>
    <w:rsid w:val="61F37E98"/>
    <w:rsid w:val="61F915CF"/>
    <w:rsid w:val="62540E6B"/>
    <w:rsid w:val="62574ABD"/>
    <w:rsid w:val="6280197F"/>
    <w:rsid w:val="6299746C"/>
    <w:rsid w:val="62B15660"/>
    <w:rsid w:val="62D25F44"/>
    <w:rsid w:val="62E22222"/>
    <w:rsid w:val="62EF3110"/>
    <w:rsid w:val="6319094A"/>
    <w:rsid w:val="63514CFE"/>
    <w:rsid w:val="637C1773"/>
    <w:rsid w:val="63893F8D"/>
    <w:rsid w:val="63C57042"/>
    <w:rsid w:val="6403297E"/>
    <w:rsid w:val="646901A9"/>
    <w:rsid w:val="64D85A36"/>
    <w:rsid w:val="652F2244"/>
    <w:rsid w:val="6547142D"/>
    <w:rsid w:val="65767348"/>
    <w:rsid w:val="65857C0B"/>
    <w:rsid w:val="65B9728C"/>
    <w:rsid w:val="65BC6D6B"/>
    <w:rsid w:val="65BF041C"/>
    <w:rsid w:val="65C7030B"/>
    <w:rsid w:val="65E408FD"/>
    <w:rsid w:val="663E7C85"/>
    <w:rsid w:val="664A6F74"/>
    <w:rsid w:val="66695D22"/>
    <w:rsid w:val="666A2E4D"/>
    <w:rsid w:val="666C1604"/>
    <w:rsid w:val="6693670B"/>
    <w:rsid w:val="66C33BCC"/>
    <w:rsid w:val="66D80480"/>
    <w:rsid w:val="66FB00FF"/>
    <w:rsid w:val="670D362F"/>
    <w:rsid w:val="67162762"/>
    <w:rsid w:val="67484448"/>
    <w:rsid w:val="67694D9C"/>
    <w:rsid w:val="676E17E3"/>
    <w:rsid w:val="67A50CAB"/>
    <w:rsid w:val="67E12659"/>
    <w:rsid w:val="67E13973"/>
    <w:rsid w:val="68212E27"/>
    <w:rsid w:val="68225466"/>
    <w:rsid w:val="685C15AB"/>
    <w:rsid w:val="68610603"/>
    <w:rsid w:val="68B467A8"/>
    <w:rsid w:val="68BD3F05"/>
    <w:rsid w:val="68EB4ED7"/>
    <w:rsid w:val="69030FB9"/>
    <w:rsid w:val="6905761A"/>
    <w:rsid w:val="691B5623"/>
    <w:rsid w:val="692E1D9F"/>
    <w:rsid w:val="69415BD1"/>
    <w:rsid w:val="69542C7C"/>
    <w:rsid w:val="69663E4D"/>
    <w:rsid w:val="69F403F3"/>
    <w:rsid w:val="69F63D86"/>
    <w:rsid w:val="6A36045F"/>
    <w:rsid w:val="6A4127BE"/>
    <w:rsid w:val="6A5E52C9"/>
    <w:rsid w:val="6A6C675E"/>
    <w:rsid w:val="6A9C3E5B"/>
    <w:rsid w:val="6AB71A2A"/>
    <w:rsid w:val="6AC6738D"/>
    <w:rsid w:val="6ACA3031"/>
    <w:rsid w:val="6B4A0365"/>
    <w:rsid w:val="6B6E1986"/>
    <w:rsid w:val="6B9B0D78"/>
    <w:rsid w:val="6BC53ECD"/>
    <w:rsid w:val="6BD22C09"/>
    <w:rsid w:val="6BD50AE2"/>
    <w:rsid w:val="6BE9714A"/>
    <w:rsid w:val="6BF413B9"/>
    <w:rsid w:val="6C162B24"/>
    <w:rsid w:val="6C284516"/>
    <w:rsid w:val="6C69094E"/>
    <w:rsid w:val="6CD25CED"/>
    <w:rsid w:val="6CEC62A7"/>
    <w:rsid w:val="6CFB6337"/>
    <w:rsid w:val="6CFD1E73"/>
    <w:rsid w:val="6D0641DA"/>
    <w:rsid w:val="6D1D0982"/>
    <w:rsid w:val="6D3210E6"/>
    <w:rsid w:val="6D35660C"/>
    <w:rsid w:val="6D3C0532"/>
    <w:rsid w:val="6D3D2C7B"/>
    <w:rsid w:val="6D4A7C3D"/>
    <w:rsid w:val="6D642C0E"/>
    <w:rsid w:val="6D657E15"/>
    <w:rsid w:val="6D6A235F"/>
    <w:rsid w:val="6D966478"/>
    <w:rsid w:val="6DC072BA"/>
    <w:rsid w:val="6DC94AC0"/>
    <w:rsid w:val="6DE61D4D"/>
    <w:rsid w:val="6DEA6206"/>
    <w:rsid w:val="6DEB5E39"/>
    <w:rsid w:val="6E0C51E5"/>
    <w:rsid w:val="6E2C2976"/>
    <w:rsid w:val="6E2C3F65"/>
    <w:rsid w:val="6E30763C"/>
    <w:rsid w:val="6E3E324E"/>
    <w:rsid w:val="6E3E3C49"/>
    <w:rsid w:val="6E4627E7"/>
    <w:rsid w:val="6E4F5B69"/>
    <w:rsid w:val="6E8C3894"/>
    <w:rsid w:val="6E977668"/>
    <w:rsid w:val="6EB51B52"/>
    <w:rsid w:val="6ECA3704"/>
    <w:rsid w:val="6ECE25BF"/>
    <w:rsid w:val="6ECF2229"/>
    <w:rsid w:val="6EE72ABD"/>
    <w:rsid w:val="6F0028F8"/>
    <w:rsid w:val="6F017FD9"/>
    <w:rsid w:val="6F0740F2"/>
    <w:rsid w:val="6F0F6730"/>
    <w:rsid w:val="6F23621C"/>
    <w:rsid w:val="6F3935FE"/>
    <w:rsid w:val="6F3B201E"/>
    <w:rsid w:val="6F7C7270"/>
    <w:rsid w:val="6F862AB4"/>
    <w:rsid w:val="6FB800D6"/>
    <w:rsid w:val="6FC31426"/>
    <w:rsid w:val="6FD651DD"/>
    <w:rsid w:val="6FD832F2"/>
    <w:rsid w:val="6FF3299D"/>
    <w:rsid w:val="70120F5A"/>
    <w:rsid w:val="70216FF3"/>
    <w:rsid w:val="7058396C"/>
    <w:rsid w:val="705D1E28"/>
    <w:rsid w:val="708763CE"/>
    <w:rsid w:val="70B60DD1"/>
    <w:rsid w:val="70E94DE2"/>
    <w:rsid w:val="70EE189A"/>
    <w:rsid w:val="70FC5925"/>
    <w:rsid w:val="71221DD3"/>
    <w:rsid w:val="714151CC"/>
    <w:rsid w:val="714F7B44"/>
    <w:rsid w:val="716A7E4A"/>
    <w:rsid w:val="717D333A"/>
    <w:rsid w:val="718A3E69"/>
    <w:rsid w:val="71956A87"/>
    <w:rsid w:val="719A593E"/>
    <w:rsid w:val="71A35A58"/>
    <w:rsid w:val="71A44B9C"/>
    <w:rsid w:val="71AB1235"/>
    <w:rsid w:val="71AC2F36"/>
    <w:rsid w:val="71AF314C"/>
    <w:rsid w:val="71F6544C"/>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7001E1"/>
    <w:rsid w:val="76841BD5"/>
    <w:rsid w:val="76E31867"/>
    <w:rsid w:val="76E70481"/>
    <w:rsid w:val="76EC2B6D"/>
    <w:rsid w:val="771C7096"/>
    <w:rsid w:val="772B43E7"/>
    <w:rsid w:val="77544DBC"/>
    <w:rsid w:val="775A30BD"/>
    <w:rsid w:val="777869FB"/>
    <w:rsid w:val="7785450E"/>
    <w:rsid w:val="7786316D"/>
    <w:rsid w:val="77EA6905"/>
    <w:rsid w:val="78070A2F"/>
    <w:rsid w:val="780C28A0"/>
    <w:rsid w:val="781D2593"/>
    <w:rsid w:val="782B471E"/>
    <w:rsid w:val="783B5C38"/>
    <w:rsid w:val="7856529D"/>
    <w:rsid w:val="789914C5"/>
    <w:rsid w:val="78A6154A"/>
    <w:rsid w:val="78CF5354"/>
    <w:rsid w:val="78FA7A09"/>
    <w:rsid w:val="79091026"/>
    <w:rsid w:val="792C72D7"/>
    <w:rsid w:val="7949545E"/>
    <w:rsid w:val="79601F3E"/>
    <w:rsid w:val="79607B80"/>
    <w:rsid w:val="79716ABC"/>
    <w:rsid w:val="79733EE5"/>
    <w:rsid w:val="79D84F64"/>
    <w:rsid w:val="79E60CD2"/>
    <w:rsid w:val="79F274A8"/>
    <w:rsid w:val="79FE470C"/>
    <w:rsid w:val="7A5B2E77"/>
    <w:rsid w:val="7A7A1690"/>
    <w:rsid w:val="7A861FF4"/>
    <w:rsid w:val="7AAD1751"/>
    <w:rsid w:val="7ABD75DA"/>
    <w:rsid w:val="7ACF1B54"/>
    <w:rsid w:val="7ACF3F34"/>
    <w:rsid w:val="7ADD3A59"/>
    <w:rsid w:val="7AFA1C30"/>
    <w:rsid w:val="7B1C21BD"/>
    <w:rsid w:val="7B465DCB"/>
    <w:rsid w:val="7B60700B"/>
    <w:rsid w:val="7B6F2120"/>
    <w:rsid w:val="7BC60F85"/>
    <w:rsid w:val="7C4127DF"/>
    <w:rsid w:val="7C4D3D57"/>
    <w:rsid w:val="7C6D2BFD"/>
    <w:rsid w:val="7C9A3C5D"/>
    <w:rsid w:val="7CA85FBC"/>
    <w:rsid w:val="7CCC7734"/>
    <w:rsid w:val="7CE9074F"/>
    <w:rsid w:val="7CF56A3F"/>
    <w:rsid w:val="7D1932E6"/>
    <w:rsid w:val="7D291199"/>
    <w:rsid w:val="7D2912A8"/>
    <w:rsid w:val="7D3C0188"/>
    <w:rsid w:val="7D3E544B"/>
    <w:rsid w:val="7D572156"/>
    <w:rsid w:val="7D5C45BB"/>
    <w:rsid w:val="7D8815D4"/>
    <w:rsid w:val="7DAC7AE2"/>
    <w:rsid w:val="7DC74D59"/>
    <w:rsid w:val="7DDD4B37"/>
    <w:rsid w:val="7DE00996"/>
    <w:rsid w:val="7E0634C9"/>
    <w:rsid w:val="7E232986"/>
    <w:rsid w:val="7E6C1FCC"/>
    <w:rsid w:val="7E93167F"/>
    <w:rsid w:val="7E9D3B58"/>
    <w:rsid w:val="7EA91B24"/>
    <w:rsid w:val="7EAB0EB1"/>
    <w:rsid w:val="7EAF215D"/>
    <w:rsid w:val="7EC85753"/>
    <w:rsid w:val="7EE03CE3"/>
    <w:rsid w:val="7EE67228"/>
    <w:rsid w:val="7F0F4C25"/>
    <w:rsid w:val="7F2E6B0A"/>
    <w:rsid w:val="7F4855FE"/>
    <w:rsid w:val="7F4C24E4"/>
    <w:rsid w:val="7F672B10"/>
    <w:rsid w:val="7F6C2394"/>
    <w:rsid w:val="7F9B13F4"/>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 w:type="character" w:customStyle="1" w:styleId="32">
    <w:name w:val="font01"/>
    <w:basedOn w:val="15"/>
    <w:qFormat/>
    <w:uiPriority w:val="0"/>
    <w:rPr>
      <w:rFonts w:hint="default" w:ascii="Arial" w:hAnsi="Arial" w:cs="Arial"/>
      <w:color w:val="000000"/>
      <w:sz w:val="18"/>
      <w:szCs w:val="18"/>
      <w:u w:val="none"/>
    </w:rPr>
  </w:style>
  <w:style w:type="character" w:customStyle="1" w:styleId="33">
    <w:name w:val="font51"/>
    <w:basedOn w:val="15"/>
    <w:qFormat/>
    <w:uiPriority w:val="0"/>
    <w:rPr>
      <w:rFonts w:hint="eastAsia" w:ascii="宋体" w:hAnsi="宋体" w:eastAsia="宋体" w:cs="宋体"/>
      <w:color w:val="000000"/>
      <w:sz w:val="18"/>
      <w:szCs w:val="18"/>
      <w:u w:val="none"/>
    </w:rPr>
  </w:style>
  <w:style w:type="character" w:customStyle="1" w:styleId="34">
    <w:name w:val="font71"/>
    <w:basedOn w:val="15"/>
    <w:qFormat/>
    <w:uiPriority w:val="0"/>
    <w:rPr>
      <w:rFonts w:hint="eastAsia" w:ascii="宋体" w:hAnsi="宋体" w:eastAsia="宋体" w:cs="宋体"/>
      <w:color w:val="000000"/>
      <w:sz w:val="20"/>
      <w:szCs w:val="20"/>
      <w:u w:val="none"/>
    </w:rPr>
  </w:style>
  <w:style w:type="character" w:customStyle="1" w:styleId="35">
    <w:name w:val="font61"/>
    <w:basedOn w:val="15"/>
    <w:qFormat/>
    <w:uiPriority w:val="0"/>
    <w:rPr>
      <w:rFonts w:hint="eastAsia" w:ascii="宋体" w:hAnsi="宋体" w:eastAsia="宋体" w:cs="宋体"/>
      <w:color w:val="000000"/>
      <w:sz w:val="20"/>
      <w:szCs w:val="20"/>
      <w:u w:val="none"/>
    </w:rPr>
  </w:style>
  <w:style w:type="character" w:customStyle="1" w:styleId="36">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Company>WIN</Company>
  <Pages>58</Pages>
  <Words>15872</Words>
  <Characters>90473</Characters>
  <Lines>753</Lines>
  <Paragraphs>212</Paragraphs>
  <TotalTime>15</TotalTime>
  <ScaleCrop>false</ScaleCrop>
  <LinksUpToDate>false</LinksUpToDate>
  <CharactersWithSpaces>106133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2021-09-08T14:30:00Z</dcterms:created>
  <dc:creator>zhenny</dc:creator>
  <cp:lastModifiedBy>王靓玉</cp:lastModifiedBy>
  <dcterms:modified xsi:type="dcterms:W3CDTF">2021-09-09T02:11:58Z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09C37BC7F7AB48C0A9AD35B31A80E5BA</vt:lpwstr>
  </property>
</Properties>
</file>