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hint="eastAsia" w:cs="Arial" w:asciiTheme="minorEastAsia" w:hAnsiTheme="minorEastAsia" w:eastAsiaTheme="minorEastAsia"/>
          <w:b/>
          <w:bCs/>
          <w:sz w:val="36"/>
          <w:szCs w:val="36"/>
        </w:rPr>
        <w:t>2022年4月</w:t>
      </w:r>
      <w:r>
        <w:rPr>
          <w:rFonts w:hint="eastAsia" w:ascii="宋体" w:hAnsi="宋体" w:cs="宋体"/>
          <w:b/>
          <w:bCs/>
          <w:sz w:val="36"/>
          <w:szCs w:val="36"/>
        </w:rPr>
        <w:t>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正茂（福州）投资发展有限公司（以下简称“项目公司”）于2022年4月6</w:t>
      </w:r>
      <w:r>
        <w:rPr>
          <w:rFonts w:ascii="宋体" w:hAnsi="宋体"/>
          <w:sz w:val="24"/>
          <w:szCs w:val="24"/>
        </w:rPr>
        <w:t>日</w:t>
      </w:r>
      <w:r>
        <w:rPr>
          <w:rFonts w:hint="eastAsia" w:ascii="宋体" w:hAnsi="宋体"/>
          <w:sz w:val="24"/>
          <w:szCs w:val="24"/>
        </w:rPr>
        <w:t>提交了2022年4月的资金计划，我司对项目公司申报的资金计划进行了审核，审核结果如下：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项目公司2022年4月份资金汇总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项目公司于2022年4月6</w:t>
      </w:r>
      <w:r>
        <w:rPr>
          <w:rFonts w:ascii="宋体" w:hAnsi="宋体"/>
          <w:sz w:val="24"/>
          <w:szCs w:val="24"/>
        </w:rPr>
        <w:t>日</w:t>
      </w:r>
      <w:r>
        <w:rPr>
          <w:rFonts w:hint="eastAsia" w:ascii="宋体" w:hAnsi="宋体"/>
          <w:sz w:val="24"/>
          <w:szCs w:val="24"/>
        </w:rPr>
        <w:t>提交的2022年4月的资金支出计划，</w:t>
      </w:r>
      <w:r>
        <w:rPr>
          <w:rFonts w:ascii="宋体" w:hAnsi="宋体"/>
          <w:sz w:val="24"/>
          <w:szCs w:val="24"/>
        </w:rPr>
        <w:t>计划</w:t>
      </w:r>
      <w:r>
        <w:rPr>
          <w:rFonts w:hint="eastAsia" w:ascii="宋体" w:hAnsi="宋体"/>
          <w:sz w:val="24"/>
          <w:szCs w:val="24"/>
        </w:rPr>
        <w:t>资金支出合计2,637.09万元。其中：工程款支出1,888.21万元，销售费用422.88万元，管理费用100.00万元，财务费用</w:t>
      </w:r>
      <w:r>
        <w:rPr>
          <w:rFonts w:hint="eastAsia" w:ascii="宋体" w:hAnsi="宋体" w:cs="宋体"/>
          <w:bCs/>
          <w:sz w:val="24"/>
          <w:szCs w:val="24"/>
        </w:rPr>
        <w:t>226.00万元</w:t>
      </w:r>
      <w:r>
        <w:rPr>
          <w:rFonts w:hint="eastAsia" w:ascii="宋体" w:hAnsi="宋体"/>
          <w:sz w:val="24"/>
          <w:szCs w:val="24"/>
        </w:rPr>
        <w:t>。</w:t>
      </w:r>
    </w:p>
    <w:tbl>
      <w:tblPr>
        <w:tblStyle w:val="12"/>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正茂（福州）投资发展有限公司2022年4月资金计划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ascii="宋体" w:hAnsi="宋体" w:cs="宋体"/>
                <w:b/>
                <w:kern w:val="0"/>
                <w:sz w:val="24"/>
                <w:szCs w:val="24"/>
                <w:lang w:bidi="ar"/>
              </w:rPr>
              <w:t>4</w:t>
            </w:r>
            <w:r>
              <w:rPr>
                <w:rFonts w:hint="eastAsia" w:ascii="宋体" w:hAnsi="宋体" w:cs="宋体"/>
                <w:b/>
                <w:kern w:val="0"/>
                <w:sz w:val="24"/>
                <w:szCs w:val="24"/>
                <w:lang w:bidi="ar"/>
              </w:rPr>
              <w:t>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hint="eastAsia" w:ascii="Arial" w:hAnsi="Arial" w:cs="Arial"/>
                <w:sz w:val="18"/>
                <w:szCs w:val="18"/>
              </w:rPr>
              <w:t>1,888.21</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hint="eastAsia" w:ascii="Arial" w:hAnsi="Arial" w:cs="Arial"/>
                <w:sz w:val="18"/>
                <w:szCs w:val="18"/>
              </w:rPr>
              <w:t>422.88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hint="eastAsia" w:ascii="Arial" w:hAnsi="Arial" w:cs="Arial"/>
                <w:sz w:val="18"/>
                <w:szCs w:val="18"/>
              </w:rPr>
              <w:t>226.00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本月到期商票</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开发贷还本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Cs/>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lang w:bidi="ar"/>
              </w:rPr>
            </w:pPr>
            <w:r>
              <w:rPr>
                <w:rFonts w:hint="eastAsia" w:ascii="宋体" w:hAnsi="宋体" w:cs="宋体"/>
                <w:bCs/>
                <w:sz w:val="24"/>
                <w:szCs w:val="24"/>
                <w:lang w:bidi="ar"/>
              </w:rPr>
              <w:t>分配资金</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18"/>
                <w:szCs w:val="18"/>
              </w:rPr>
            </w:pPr>
            <w:r>
              <w:rPr>
                <w:rFonts w:hint="eastAsia" w:ascii="Arial" w:hAnsi="Arial" w:cs="Arial"/>
                <w:b/>
                <w:sz w:val="18"/>
                <w:szCs w:val="18"/>
              </w:rPr>
              <w:t>2,637.09</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项目公司在2022年4月工程款计划支出金额共计</w:t>
      </w:r>
      <w:r>
        <w:rPr>
          <w:rFonts w:hint="eastAsia" w:ascii="宋体" w:hAnsi="宋体"/>
          <w:sz w:val="24"/>
          <w:szCs w:val="24"/>
        </w:rPr>
        <w:t>1,888.21</w:t>
      </w:r>
      <w:r>
        <w:rPr>
          <w:rFonts w:hint="eastAsia" w:ascii="宋体" w:hAnsi="宋体"/>
          <w:bCs/>
          <w:sz w:val="24"/>
          <w:szCs w:val="24"/>
          <w:lang w:bidi="zh-CN"/>
        </w:rPr>
        <w:t>万元，具体分析如下：</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项目总承包工程》，项目公司委托中国核工业华兴建设有限公司承担本项目施工建设任务。合同总价款为32,267.34万元，付款节点见下表，目前已累计支付工程款共计17,027.74万元，项目公司累计核定产值为24,176.80万元，累计应付金额17,845.37万元，计划在4月份使用银行存款支付该合同的工程款800.00万元，符合合同的规定，该笔计划支付款项合理，支付时我司根据实际情况复核付款的合理性、合规性；</w:t>
      </w:r>
    </w:p>
    <w:tbl>
      <w:tblPr>
        <w:tblStyle w:val="12"/>
        <w:tblW w:w="9064" w:type="dxa"/>
        <w:jc w:val="center"/>
        <w:tblLayout w:type="autofit"/>
        <w:tblCellMar>
          <w:top w:w="0" w:type="dxa"/>
          <w:left w:w="108" w:type="dxa"/>
          <w:bottom w:w="0" w:type="dxa"/>
          <w:right w:w="108" w:type="dxa"/>
        </w:tblCellMar>
      </w:tblPr>
      <w:tblGrid>
        <w:gridCol w:w="3884"/>
        <w:gridCol w:w="2750"/>
        <w:gridCol w:w="2430"/>
      </w:tblGrid>
      <w:tr>
        <w:tblPrEx>
          <w:tblCellMar>
            <w:top w:w="0" w:type="dxa"/>
            <w:left w:w="108" w:type="dxa"/>
            <w:bottom w:w="0" w:type="dxa"/>
            <w:right w:w="108" w:type="dxa"/>
          </w:tblCellMar>
        </w:tblPrEx>
        <w:trPr>
          <w:trHeight w:val="312"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节点</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付款比例</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付款支付形成</w:t>
            </w:r>
          </w:p>
        </w:tc>
      </w:tr>
      <w:tr>
        <w:tblPrEx>
          <w:tblCellMar>
            <w:top w:w="0" w:type="dxa"/>
            <w:left w:w="108" w:type="dxa"/>
            <w:bottom w:w="0" w:type="dxa"/>
            <w:right w:w="108" w:type="dxa"/>
          </w:tblCellMar>
        </w:tblPrEx>
        <w:trPr>
          <w:trHeight w:val="56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应付款垫资至首栋达到预售，此部分垫资利息按年化8%补偿</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预售前地下室顶板封顶完成（按达标面积算）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开工批次达1层顶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开工批次到预售条件后</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单体结构完成30%、60%两个节点付款</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封顶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预售后地下室顶板封顶完成（按达标面积算）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砌体每完成30%付一次，一共付三次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单栋结构验收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单栋内墙抹灰每完成50%付一次，一共付两次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单栋外墙抹灰每完成50%付一次，一共付两次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保温、涂料每完成50%付一次，一共付两次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单栋主体落外架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单栋精装修交接完成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回填土完成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开工批次工程竣工</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整体交付（交付率达90%）</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合同结算完毕</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保修期满1年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保修期满2年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保修期满3年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0%</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bl>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7月9日用印的《正茂望山筑项目监理工程合同》，合同约定由福建省京闽工程顾问有限公司为正茂望山筑项目提供工程监理服务,合同总价款为152.04万元。付款节点为：预付开办费用10%；月进度款分三部分，基本监理费（开工接受监理的相应各栋号建筑面积*监理费单方报价/（各栋号房建合同工期月份+2个月）*70%*（1-20%监理考核金））、监理考核金、监理人员个人监理考核金；竣工结算至总金额的97%；验收合格满一年后一个月内付清预留的3%。目前累计支付合同金额56.98万元，项目公司累计核定产值77.75万元，计划在4月份使用银行存款支付该合同的工程款13.05万元，因项目公司未能提供详细的付款进度说明，该笔款项在支付时我司根据实际情况复核付款的合理性、合规性；</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9月20日签订的《正茂望山筑项目桩基工程施工承包合同》，合同总金额为1,146.18万元，对方单位：江西省地质工程(集团)公司，付款方式为：进度款按月进度每月支付一次，付至经甲方审核的已完成工程量造价的70%;本工程经竣工验收合格、乙方按甲方要求套数提交完整的竣工资料并与上部施工单位完成桩基交接工作后，支付至已完成工程量造价的80%;验收结算款：本工程结算完毕（结算结果经甲、乙双方确认）后，十五个工作日内支付至结算工程总造价的97%；结算款的3%作为质量质保金。目前累计支付合同金额534.01万元，项目公司累计核定产值834.30万元，计划在4月份使用银行存款支付该合同的工程款47.50万元，符合合同的规定，该笔计划支付款项合理，在支付时我司根据实际情况复核付款的合理性、合规性；</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根据项目公司2020年12月2日签订的《 正茂望山筑项目示范区精装修及改造工程施工合同》，合同总金额为68.41万元，对方单位：方正圆(福建)装饰设计工程有限公司，付款方式为：承包人应于每月25日前向发包人报送工程款支付申请、经监理人确认的当月完成工程量。发包人应在收到上述资料后15个工作日内容完成审核确认，并且由承包人提供符合本合同约定的发票后，发包人按审核确认的产值支付相应的进度款。工程进度款按以下计算公式计取并支付:每月进度款=每月实际完成工程产值（按合同取费标准）×70%-当期应扣费用(如有)；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85%(即竣工进度款);工程结算完成之日30日内支付至结算价款的97%；工程结算价款的3%作为质保金，在缺陷责任期满后扣除相关保修金及赔偿金后无息返还承包人。目前累计支付合同金额0.00万元，项目公司计划在4月份使用银行存款支付该合同的工程款20.67元，因项目公司未能提供详细的付款进度说明，该笔款项在支付时我司根据实际情况复核付款的合理性、合规性；</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根据项目公司2021年2月2日签订的《福州正茂望山筑项目电梯设备安装合同》，对方单位名称上海三菱电梯有限公司</w:t>
      </w:r>
      <w:r>
        <w:rPr>
          <w:rStyle w:val="15"/>
          <w:rFonts w:hint="eastAsia"/>
          <w:sz w:val="24"/>
          <w:szCs w:val="24"/>
        </w:rPr>
        <w:t>福建分公司</w:t>
      </w:r>
      <w:r>
        <w:rPr>
          <w:rFonts w:hint="eastAsia" w:ascii="宋体" w:hAnsi="宋体"/>
          <w:bCs/>
          <w:sz w:val="24"/>
          <w:szCs w:val="24"/>
          <w:lang w:bidi="zh-CN"/>
        </w:rPr>
        <w:t>，合同总金额为193.91万元，付款节点为：完成安装前期工作10个工作日内支付该批次电梯安装总价的30%；电梯安装、调试完毕，通过安装地电梯质检部门验收合格并取得电梯准用证10个工作日内支付至该批次电梯安装总价的80%；双方共同确认结果7个工作日内支付至该批次电梯安装总价的100%。目前累计支付合同金额48.65万元，项目公司累计核定产值72.98万元，累计应付金额72.98万元，计划在4月份使用银行存款支付该合同的部分工程款3.25万元，</w:t>
      </w:r>
      <w:bookmarkStart w:id="0" w:name="_Hlk100476495"/>
      <w:r>
        <w:rPr>
          <w:rFonts w:hint="eastAsia" w:ascii="宋体" w:hAnsi="宋体"/>
          <w:bCs/>
          <w:sz w:val="24"/>
          <w:szCs w:val="24"/>
          <w:lang w:bidi="zh-CN"/>
        </w:rPr>
        <w:t>符合合同的规定，该笔计划支付款项合理</w:t>
      </w:r>
      <w:bookmarkEnd w:id="0"/>
      <w:r>
        <w:rPr>
          <w:rFonts w:hint="eastAsia" w:ascii="宋体" w:hAnsi="宋体"/>
          <w:bCs/>
          <w:sz w:val="24"/>
          <w:szCs w:val="24"/>
          <w:lang w:bidi="zh-CN"/>
        </w:rPr>
        <w:t>；</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月3日签订的《正茂望山筑项目基坑支护及挡土墙工程施工承包合同》，合同总金额为490.17万元，对方单位：江西省地质工程(集团)公司，付款方式为：进度款按月进度每月支付一次，付至经甲方审核的已完成工程量造价的70%;本工程经竣工验收合格、乙方按甲方要求套数提交完整的竣工资料并与上部施工单位完成桩基交接工作后，支付至已完成工程量造价的80%;验收结算款：本工程结算完毕（结算结果经甲、乙双方确认）后，十五个工作日内支付至结算工程总造价的97%；结算款的3%作为质量质保金。目前累计支付合同金额146.76万元，项目公司累计核定产值254.44万元，累计应付金额178.11万元，计划在4月份使用银行存款支付该合同的工程款31.34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8月23日签订的《低压元器件及配电箱供货合同》，合同总金额为252.78万元，对方单位：镇江隽昱电气有限公司，付款方式为：需方在产品交货验收并收到齐全的付款资料之后45个日历天内支付供方到货总价80%的到货款；产品通过工程竣工验收并办理完结算手续后，需方于收到齐全的付款资料之后45个日历天内支付至到货材料总价95％的到货款给供方；剩余结算总价的5%将作为工程质量保修金。目前累计支付合同金额0.00万元，项目公司累计到货总价46.82万元，累计应付金额37.46万元，计划在4月份使用银行存款支付该合同的工程款37.46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8月24日签订的《正茂望山筑项目大区潜污泵设备采购工程合同》，合同总金额为12.02万元，对方单位：上海连成(集团)有限公司，付款方式：货到需方指定地点后由需方组织入库，供、需双方办理完到货初验收确认手续后45天内需方支付至当批次到货货物总价款的80%；每批设备安装完成调试验收无误(每批货货到现场6个月后视为调试合格)付款资料齐全后45个日历天内，甲方支付至该批次设备价款的95%;结算总价款的5%作为质量保修金(自最后一批货货到现场满30个月视为本合同项下所供设备质量保修期满)自质量保修期届满两年后的15个工作日内无息付清(扣除保修费用)。目前累计支付合同金额0.00万元，项目公司计划在4月份使用银行存款支付该合同的工程款4.61万元，因项目公司未能提供详细的付款进度说明，该笔款项在支付时我司根据实际情况复核付款的合理性、合规性；</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6月16日</w:t>
      </w:r>
      <w:r>
        <w:rPr>
          <w:rFonts w:ascii="宋体" w:hAnsi="宋体"/>
          <w:bCs/>
          <w:sz w:val="24"/>
          <w:szCs w:val="24"/>
          <w:lang w:bidi="zh-CN"/>
        </w:rPr>
        <w:t>签</w:t>
      </w:r>
      <w:r>
        <w:rPr>
          <w:rFonts w:hint="eastAsia" w:ascii="宋体" w:hAnsi="宋体"/>
          <w:bCs/>
          <w:sz w:val="24"/>
          <w:szCs w:val="24"/>
          <w:lang w:bidi="zh-CN"/>
        </w:rPr>
        <w:t>约《福州正茂望山筑项目电线电缆采购工程供货合同》</w:t>
      </w:r>
      <w:r>
        <w:rPr>
          <w:rFonts w:ascii="宋体" w:hAnsi="宋体"/>
          <w:bCs/>
          <w:sz w:val="24"/>
          <w:szCs w:val="24"/>
          <w:lang w:bidi="zh-CN"/>
        </w:rPr>
        <w:t>，</w:t>
      </w:r>
      <w:r>
        <w:rPr>
          <w:rFonts w:hint="eastAsia" w:ascii="宋体" w:hAnsi="宋体"/>
          <w:bCs/>
          <w:sz w:val="24"/>
          <w:szCs w:val="24"/>
          <w:lang w:bidi="zh-CN"/>
        </w:rPr>
        <w:t>对方单位：东莞市民兴电缆有限公司</w:t>
      </w:r>
      <w:r>
        <w:rPr>
          <w:rFonts w:ascii="宋体" w:hAnsi="宋体"/>
          <w:bCs/>
          <w:sz w:val="24"/>
          <w:szCs w:val="24"/>
          <w:lang w:bidi="zh-CN"/>
        </w:rPr>
        <w:t>，</w:t>
      </w:r>
      <w:r>
        <w:rPr>
          <w:rFonts w:hint="eastAsia" w:ascii="宋体" w:hAnsi="宋体"/>
          <w:bCs/>
          <w:sz w:val="24"/>
          <w:szCs w:val="24"/>
          <w:lang w:bidi="zh-CN"/>
        </w:rPr>
        <w:t>合同总价款766.80万元，</w:t>
      </w:r>
      <w:r>
        <w:rPr>
          <w:rFonts w:ascii="宋体" w:hAnsi="宋体"/>
          <w:bCs/>
          <w:sz w:val="24"/>
          <w:szCs w:val="24"/>
          <w:lang w:bidi="zh-CN"/>
        </w:rPr>
        <w:t>付款节点：</w:t>
      </w:r>
      <w:r>
        <w:rPr>
          <w:rFonts w:hint="eastAsia" w:ascii="宋体" w:hAnsi="宋体"/>
          <w:bCs/>
          <w:sz w:val="24"/>
          <w:szCs w:val="24"/>
          <w:lang w:bidi="zh-CN"/>
        </w:rPr>
        <w:t>货到甲方指定地点后由甲方组织入库，甲乙双方办理完到货确认手续后30日历天内甲方支付到货货物总价的100% ；货到工地3个月内付清货款。目前累计支付合同金额90.00万元，项目公司累计核定产值132.01万元，累计应付金额132.01万元，计划在4月份使用银行存款支付该合同的工程款42.01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约《正茂望山筑项目防水工程供货及施工承包合同》</w:t>
      </w:r>
      <w:r>
        <w:rPr>
          <w:rFonts w:ascii="宋体" w:hAnsi="宋体"/>
          <w:bCs/>
          <w:sz w:val="24"/>
          <w:szCs w:val="24"/>
          <w:lang w:bidi="zh-CN"/>
        </w:rPr>
        <w:t>，</w:t>
      </w:r>
      <w:r>
        <w:rPr>
          <w:rFonts w:hint="eastAsia" w:ascii="宋体" w:hAnsi="宋体"/>
          <w:bCs/>
          <w:sz w:val="24"/>
          <w:szCs w:val="24"/>
          <w:lang w:bidi="zh-CN"/>
        </w:rPr>
        <w:t>对方单位：上海东方雨虹防水工程有限公司</w:t>
      </w:r>
      <w:r>
        <w:rPr>
          <w:rFonts w:ascii="宋体" w:hAnsi="宋体"/>
          <w:bCs/>
          <w:sz w:val="24"/>
          <w:szCs w:val="24"/>
          <w:lang w:bidi="zh-CN"/>
        </w:rPr>
        <w:t>，</w:t>
      </w:r>
      <w:r>
        <w:rPr>
          <w:rFonts w:hint="eastAsia" w:ascii="宋体" w:hAnsi="宋体"/>
          <w:bCs/>
          <w:sz w:val="24"/>
          <w:szCs w:val="24"/>
          <w:lang w:bidi="zh-CN"/>
        </w:rPr>
        <w:t>合同总价款772.89万元，</w:t>
      </w:r>
      <w:r>
        <w:rPr>
          <w:rFonts w:ascii="宋体" w:hAnsi="宋体"/>
          <w:bCs/>
          <w:sz w:val="24"/>
          <w:szCs w:val="24"/>
          <w:lang w:bidi="zh-CN"/>
        </w:rPr>
        <w:t>付款节点：</w:t>
      </w:r>
      <w:r>
        <w:rPr>
          <w:rFonts w:hint="eastAsia" w:ascii="宋体" w:hAnsi="宋体"/>
          <w:bCs/>
          <w:sz w:val="24"/>
          <w:szCs w:val="24"/>
          <w:lang w:bidi="zh-CN"/>
        </w:rPr>
        <w:t>本合同无预付款；乙方将当月付款申请主送需方，经甲方、监理等各方校核实际已完工工程量后，甲方将在30个日历天内支付已完工程产值的75%；防水工程竣工验收合格后30个日历天内，付至已完工程产值的90%；防水工程全部竣工验收合格，结算手续办理完成后 30 个日历天内，付至结算价款 的 100%。目前累计支付合同金额382.85万元，项目公司累计核定产值589.48万元，累计应付金额442.11万元，计划在4月份使用银行存款支付该合同的工程款59.25万元，符合合同的规定，该笔计划支付款项合理；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铝合金门窗采购合同》，合同总金额为975.66万元，对方单位：福州百佳汇建筑装饰有限公司，付款方式为：进度款支付按不超过已完工程量70%核定【进度达到单体门窗外框安装完成时，甲方支付该单体合同价的30%(有节能副框或钢副框的项目，副框安装完成支付该单体合同价的10%，窗框安装完成时，甲方支付至该单体合同价的40%)；进度达到单体门窗扇安装完成时，甲方支付该单体合同价的40%(有节能副框或钢副框的项目，进度达到单体门窗扇安装完成时，甲方支付该单体合同价的30%)；铝合金栏杆也以单体为单位进度达到单体铝合金栏杆安装完成时甲方支付该单体铝合金栏杆部分合同金额的70%；施工完毕并经甲方验收通过，支付至合同总价的80%；工程结算完毕，支付至结算款的97%，乙方向甲方提供100%全额增值税专用发票；剩余结算总价的3%将作为工程质量保修金。目前累计支付合同金额316.07万元，项目公司计划在4月份支付62.40万元</w:t>
      </w:r>
      <w:r>
        <w:rPr>
          <w:rFonts w:ascii="宋体" w:hAnsi="宋体"/>
          <w:bCs/>
          <w:sz w:val="24"/>
          <w:szCs w:val="24"/>
          <w:lang w:bidi="zh-CN"/>
        </w:rPr>
        <w:t>，</w:t>
      </w:r>
      <w:r>
        <w:rPr>
          <w:rFonts w:hint="eastAsia" w:ascii="宋体" w:hAnsi="宋体"/>
          <w:bCs/>
          <w:sz w:val="24"/>
          <w:szCs w:val="24"/>
          <w:lang w:bidi="zh-CN"/>
        </w:rPr>
        <w:t>因项目公司未能提供详细的付款进度说明，该笔款项在支付时我司根据实际情况复核付款的合理性、合规性；</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8月24日签订的《福州正茂望山筑项目公区室内灯具公区供应合同》，合同总金额为16.38万元，对方单位：福州皓明绿光智能科技有限公司，付款方式：合同签订后，甲方分批次订货，甲方向乙方支付相应批次货款的10%;乙方批货到现场并经需方及其指定代理人(监理)验收合格，且需方收到齐全的付款资料之后30个工作日内需方支付至乙方到货总价80%的到货款；在安装完成单项工程竣工验收合格货物最终验收合格，通过国家相关部门验收(若有)，乙方提供完整的相关资质资料及验收资料后30个工作日内完成结算，并在结算后14个工作日内支付至结算总价款的100%;本项不再留质保金，战略协议签后，由欧普对正荣地产总部一次性提供50万元质量保函。项目公司计划在4月份支付1.64万元</w:t>
      </w:r>
      <w:r>
        <w:rPr>
          <w:rFonts w:ascii="宋体" w:hAnsi="宋体"/>
          <w:bCs/>
          <w:sz w:val="24"/>
          <w:szCs w:val="24"/>
          <w:lang w:bidi="zh-CN"/>
        </w:rPr>
        <w:t>，</w:t>
      </w:r>
      <w:r>
        <w:rPr>
          <w:rFonts w:hint="eastAsia" w:ascii="宋体" w:hAnsi="宋体"/>
          <w:bCs/>
          <w:sz w:val="24"/>
          <w:szCs w:val="24"/>
          <w:lang w:bidi="zh-CN"/>
        </w:rPr>
        <w:t>该笔款项在支付时我司根据实际情况复核付款的合理性、合规性；</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签订的《正茂望山筑项目市政供水及一户一表工程施工合同》，合同总金额为729.08万元，对方单位：福建宏盛建设集团有限公司，付款方式为：合同签订后30个工作日内支付合同价款的80%(其中发包人收到自来水公司缴款通知后，2个工作日内将应交于自来水公司的款项另行直接汇入相关账户该部分款项也包含在本合同总价中，发包人向自来水公司支付的款项即视为发包人向承包人支付了工程款，在包干总价中予以扣除;合同价款的80%的剩余款项发包人应汇入承包人指定账户);完全通水、经相关部门验收合格并办理好一户一表转交自来水公司的手续且结算办理完毕后一个月内支付至结算总价的100%。目前累计支付合同金额183.00万元，项目公司累计核定产值583.22万元，累计应付款583.22万元，计划在4月份使用银行存款支付该合同的工程款400.00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28日签订的《正茂望山筑（金鸡新苑三期）燃气工程合同》，合同总金额为322.46万元，对方单位：福州华润燃气有限公司，付款方式：甲方应于本合同签订5个工作日内，向乙方支付全部合同价款的60%，即</w:t>
      </w:r>
      <w:r>
        <w:rPr>
          <w:rFonts w:hint="eastAsia" w:ascii="宋体" w:hAnsi="宋体"/>
          <w:bCs/>
          <w:sz w:val="24"/>
          <w:szCs w:val="24"/>
          <w:lang w:val="en-US" w:bidi="zh-CN"/>
        </w:rPr>
        <w:t>193.48万元</w:t>
      </w:r>
      <w:r>
        <w:rPr>
          <w:rFonts w:hint="eastAsia" w:ascii="宋体" w:hAnsi="宋体"/>
          <w:bCs/>
          <w:sz w:val="24"/>
          <w:szCs w:val="24"/>
          <w:lang w:bidi="zh-CN"/>
        </w:rPr>
        <w:t>，其余40%的合同价款即</w:t>
      </w:r>
      <w:r>
        <w:rPr>
          <w:rFonts w:hint="eastAsia" w:ascii="宋体" w:hAnsi="宋体"/>
          <w:bCs/>
          <w:sz w:val="24"/>
          <w:szCs w:val="24"/>
          <w:lang w:val="en-US" w:bidi="zh-CN"/>
        </w:rPr>
        <w:t>128.98万元</w:t>
      </w:r>
      <w:r>
        <w:rPr>
          <w:rFonts w:hint="eastAsia" w:ascii="宋体" w:hAnsi="宋体"/>
          <w:bCs/>
          <w:sz w:val="24"/>
          <w:szCs w:val="24"/>
          <w:lang w:bidi="zh-CN"/>
        </w:rPr>
        <w:t>，</w:t>
      </w:r>
      <w:bookmarkStart w:id="1" w:name="_GoBack"/>
      <w:bookmarkEnd w:id="1"/>
      <w:r>
        <w:rPr>
          <w:rFonts w:hint="eastAsia" w:ascii="宋体" w:hAnsi="宋体"/>
          <w:bCs/>
          <w:sz w:val="24"/>
          <w:szCs w:val="24"/>
          <w:lang w:bidi="zh-CN"/>
        </w:rPr>
        <w:t>在乙方完成施工并竣工验收后十日内付清。项目公司计划在4月份使用银行存款支付该合同的工程款193.48万元，符合合同的规定，该笔计划支付款项合理；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22日签订的《广电网络公共服务配套设施工程合同》，合同总金额为132.56万元，对方单位：福建广电网络集团股份有限公司晋安分公司，付款方式：合同签订后60日内甲方一次性将该款汇入乙方指定银行帐户。乙方开具相应金额的发票给甲方。项目公司计划在4月份使用银行存款支付该合同的工程款132.56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12月4日签订的《正茂望山筑施工图设计合同》，合同总金额为273.44万元，对方单位：浙江华洲国际设计工程顾问有限公司，付款方式为：合同签订后30个工作日内付20%；基坑支护设计配合完成后，桩基施工图审查通过后，经甲方书面确认后，30个工作日内依照实际完成工作比例支付10%；施工图获得政府审批通过后30个工作日，依照实际完成工作比例支付40%；配合各项施工图评审，评分高于85分，根据室内设计单位提供准确的设计条件完成建筑一次装修设计，景观相关施工图配合完成后30个工作日，依照实际完成工作比例支付15%；结构封顶后30个工作日，依照实际完成工作比例支付10%；项目竣工验收后30个工作日依照实际完成工作比例支付5%，且结清余款。目前累计支付合同金额229.76万元，项目公司累计核定产值259.77万元，计划在4月份使用银行存款支付该合同的工程款30.00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14日签订的《正茂望山筑项目城市展厅空调设备供应及安装工程项目合同》，合同总金额为9.00万元，对方单位：上海硕宏实业有限公司，付款方式：每批设备进场安装完成后30个日历天内，不晚于货到工地60日历天内，需方支付已安装设备及安装价款的70%;本工程安装完成并通过工程竣工验收，供方提供完整的相关资质资料及验收资料，双方办理结算手续，在完成结算后30个日历天内支付至结算总价款的95%(在扣除各项应扣款项后);结算价款的5%为质量保修金。质量保证金在产品保修期(贰年)满且扣除相关费用后一次性无息退还。质保金退还后，尚在保修期内的重要部件(压缩机)，则供方仍需承担保修责任。目前累计支付合同金额0.00万元，计划在4月份使用银行存款支付该合同的工程款8.99万元，该笔款项在支付时我司根据实际情况复核付款的合理性、合规性；</w:t>
      </w:r>
    </w:p>
    <w:p>
      <w:pPr>
        <w:spacing w:before="156" w:beforeLines="50" w:after="156" w:afterLines="50" w:line="360" w:lineRule="auto"/>
        <w:ind w:firstLine="720" w:firstLineChars="3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4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项目公司计划2022年4月的销售费用支出金额共计422.88万元，具体分析如下：</w:t>
      </w:r>
    </w:p>
    <w:p>
      <w:pPr>
        <w:pStyle w:val="16"/>
        <w:numPr>
          <w:ilvl w:val="0"/>
          <w:numId w:val="3"/>
        </w:numPr>
        <w:spacing w:before="156" w:beforeLines="50" w:after="156" w:afterLines="50" w:line="360" w:lineRule="auto"/>
        <w:ind w:left="480" w:firstLine="480"/>
        <w:rPr>
          <w:rFonts w:ascii="宋体" w:hAnsi="宋体"/>
          <w:bCs/>
          <w:sz w:val="24"/>
          <w:szCs w:val="24"/>
          <w:lang w:bidi="zh-CN"/>
        </w:rPr>
      </w:pPr>
      <w:r>
        <w:rPr>
          <w:rFonts w:hint="eastAsia" w:ascii="宋体" w:hAnsi="宋体"/>
          <w:bCs/>
          <w:sz w:val="24"/>
          <w:szCs w:val="24"/>
          <w:lang w:bidi="zh-CN"/>
        </w:rPr>
        <w:t>根据项目公司签订的《2021年正茂望山筑项目案场物业服务框架合同》，合同总价款为90.00万元，对方单位：福州正荣物业管理有限公司，付款方式：按照先行支付服务费方式，合同签订后首月，乙方向甲方提供月度案场服务费发票，甲方在收到乙方发票后30个工作日内支付乙方首月服务费用。自第二月起，甲方根据上一月度对乙方的考核结果支付当月服务费用。(如:1月1日签订合同，2月5日前完成1月案场服务考核并出具结果，2月15日前，支付1月案场服务费)。目前累计支付合同金额0.00万元，计划在4月份使用银行存款支付该合同的</w:t>
      </w:r>
      <w:r>
        <w:rPr>
          <w:rFonts w:hint="eastAsia" w:ascii="宋体" w:hAnsi="宋体"/>
          <w:bCs/>
          <w:sz w:val="24"/>
          <w:szCs w:val="24"/>
          <w:lang w:val="en-US" w:bidi="zh-CN"/>
        </w:rPr>
        <w:t>费用</w:t>
      </w:r>
      <w:r>
        <w:rPr>
          <w:rFonts w:hint="eastAsia" w:ascii="宋体" w:hAnsi="宋体"/>
          <w:bCs/>
          <w:sz w:val="24"/>
          <w:szCs w:val="24"/>
          <w:lang w:bidi="zh-CN"/>
        </w:rPr>
        <w:t>88.58万元，该笔款项在支付时我司根据实际情况复核付款的合理性、合规性；</w:t>
      </w:r>
    </w:p>
    <w:p>
      <w:pPr>
        <w:pStyle w:val="16"/>
        <w:numPr>
          <w:ilvl w:val="0"/>
          <w:numId w:val="3"/>
        </w:numPr>
        <w:spacing w:before="156" w:beforeLines="50" w:after="156" w:afterLines="50" w:line="360" w:lineRule="auto"/>
        <w:ind w:left="480" w:firstLine="480"/>
      </w:pPr>
      <w:r>
        <w:rPr>
          <w:rFonts w:hint="eastAsia" w:ascii="宋体" w:hAnsi="宋体"/>
          <w:bCs/>
          <w:sz w:val="24"/>
          <w:szCs w:val="24"/>
          <w:lang w:bidi="zh-CN"/>
        </w:rPr>
        <w:t>根据项目公司签订的《正茂望山筑项目案场物业服务框架协议》，合同总价款为165.59万元，对方单位：福州正荣物业管理有限公司，付款方式：按照先行支付服务费方式，合同签订后首月，乙方向甲方提供月度案场服务费发票，甲方在收到乙方发票后30个工作日内支付乙方首月服务费用。自第二月起，甲方根据上一月度对乙方的考核结果支付当月服务费用。(如:1月1日签订合同，2月5日前完成1月案场服务考核并出具结果，2月15日前，支付1月案场服务费)。目前累计支付合同金额25.79万元，计划在4月份使用银行存款支付该合同的</w:t>
      </w:r>
      <w:r>
        <w:rPr>
          <w:rFonts w:hint="eastAsia" w:ascii="宋体" w:hAnsi="宋体"/>
          <w:bCs/>
          <w:sz w:val="24"/>
          <w:szCs w:val="24"/>
          <w:lang w:val="en-US" w:bidi="zh-CN"/>
        </w:rPr>
        <w:t>费用</w:t>
      </w:r>
      <w:r>
        <w:rPr>
          <w:rFonts w:hint="eastAsia" w:ascii="宋体" w:hAnsi="宋体"/>
          <w:bCs/>
          <w:sz w:val="24"/>
          <w:szCs w:val="24"/>
          <w:lang w:bidi="zh-CN"/>
        </w:rPr>
        <w:t>34.30万元，该笔款项在支付时我司根据实际情况复核付款的合理性、合规性；</w:t>
      </w:r>
    </w:p>
    <w:p>
      <w:pPr>
        <w:pStyle w:val="16"/>
        <w:numPr>
          <w:ilvl w:val="0"/>
          <w:numId w:val="3"/>
        </w:numPr>
        <w:spacing w:before="156" w:beforeLines="50" w:after="156" w:afterLines="50" w:line="360" w:lineRule="auto"/>
        <w:ind w:left="480" w:firstLine="480"/>
        <w:rPr>
          <w:rFonts w:ascii="宋体" w:hAnsi="宋体"/>
          <w:bCs/>
          <w:sz w:val="24"/>
          <w:szCs w:val="24"/>
          <w:lang w:bidi="zh-CN"/>
        </w:rPr>
      </w:pPr>
      <w:r>
        <w:rPr>
          <w:rFonts w:hint="eastAsia" w:ascii="宋体" w:hAnsi="宋体"/>
          <w:bCs/>
          <w:sz w:val="24"/>
          <w:szCs w:val="24"/>
          <w:lang w:bidi="zh-CN"/>
        </w:rPr>
        <w:t>预计本期支付工资社保费用、职工福利费、企划费用共300.00万元。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项目公司计划在2022年4月的管理费用支出金额共计100.00万元，具体分析如下：</w:t>
      </w:r>
    </w:p>
    <w:p>
      <w:pPr>
        <w:numPr>
          <w:ilvl w:val="0"/>
          <w:numId w:val="4"/>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预计本期支付工资社保费用20.00万元，水电费10.00万元，招待费用及其他70.00万元。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经审核，我司认为4月管理费用资金支出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5"/>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项目公司计划在2022年4月的财务费用支出为应付开发贷利息，金额226.00万元，具体分析如下：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截至2021年3月31日，项目公司未归还的开发贷款金额为62,690.00万元，利率4.75%，开发贷利息按月支付。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经审核，我司认为4月财务费用资金支出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6"/>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项目公司本次提交的2022年4月资金计划按款项类别分类，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我司拟同意项目公司2022年4月份的资金计划，并以此作为付款的依据。待实际支付时，我司人员将对相关付款资料的合理、合规性一一核实，据实支付，请审批。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sz w:val="24"/>
          <w:lang w:bidi="zh-CN"/>
        </w:rPr>
      </w:pPr>
      <w:r>
        <w:rPr>
          <w:rFonts w:hint="eastAsia" w:ascii="宋体" w:hAnsi="宋体"/>
          <w:b/>
          <w:sz w:val="24"/>
          <w:lang w:bidi="zh-CN"/>
        </w:rPr>
        <w:t xml:space="preserve">       北京康信君安资产管理有限公司</w:t>
      </w:r>
    </w:p>
    <w:p>
      <w:pPr>
        <w:spacing w:before="156" w:beforeLines="50" w:line="360" w:lineRule="auto"/>
        <w:ind w:left="420" w:leftChars="200" w:firstLine="482" w:firstLineChars="200"/>
        <w:rPr>
          <w:rFonts w:ascii="宋体" w:hAnsi="宋体"/>
          <w:b/>
          <w:sz w:val="24"/>
          <w:lang w:bidi="zh-CN"/>
        </w:rPr>
      </w:pPr>
      <w:r>
        <w:rPr>
          <w:rFonts w:hint="eastAsia" w:ascii="宋体" w:hAnsi="宋体"/>
          <w:b/>
          <w:sz w:val="24"/>
          <w:lang w:bidi="zh-CN"/>
        </w:rPr>
        <w:t xml:space="preserve">                                              </w:t>
      </w:r>
      <w:r>
        <w:rPr>
          <w:rFonts w:hint="eastAsia" w:ascii="宋体" w:hAnsi="宋体"/>
          <w:b/>
          <w:bCs/>
          <w:sz w:val="24"/>
          <w:lang w:bidi="zh-CN"/>
        </w:rPr>
        <w:t xml:space="preserve"> 2022年4月8</w:t>
      </w:r>
      <w:r>
        <w:rPr>
          <w:rFonts w:ascii="宋体" w:hAnsi="宋体"/>
          <w:b/>
          <w:bCs/>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2995295</wp:posOffset>
              </wp:positionH>
              <wp:positionV relativeFrom="paragraph">
                <wp:posOffset>-1905</wp:posOffset>
              </wp:positionV>
              <wp:extent cx="243840" cy="144780"/>
              <wp:effectExtent l="0" t="0" r="3810" b="7620"/>
              <wp:wrapNone/>
              <wp:docPr id="1" name="文本框 1"/>
              <wp:cNvGraphicFramePr/>
              <a:graphic xmlns:a="http://schemas.openxmlformats.org/drawingml/2006/main">
                <a:graphicData uri="http://schemas.microsoft.com/office/word/2010/wordprocessingShape">
                  <wps:wsp>
                    <wps:cNvSpPr txBox="1"/>
                    <wps:spPr>
                      <a:xfrm>
                        <a:off x="0" y="0"/>
                        <a:ext cx="243840"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5.85pt;margin-top:-0.15pt;height:11.4pt;width:19.2pt;mso-position-horizontal-relative:margin;z-index:251659264;mso-width-relative:page;mso-height-relative:page;" filled="f" stroked="f" coordsize="21600,21600" o:gfxdata="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17bX1wAAAAgBAAAPAAAAAAAAAAEAIAAAACIAAABkcnMvZG93bnJldi54bWxQ&#10;SwECFAAUAAAACACHTuJAEF+YyDECAABVBAAADgAAAAAAAAABACAAAAAmAQAAZHJzL2Uyb0RvYy54&#10;bWxQSwUGAAAAAAYABgBZAQAAyQUAAAAA&#10;">
              <v:fill on="f" focussize="0,0"/>
              <v:stroke on="f" weight="0.5pt"/>
              <v:imagedata o:title=""/>
              <o:lock v:ext="edit" aspectratio="f"/>
              <v:textbox inset="0mm,0mm,0mm,0mm">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C2D41E"/>
    <w:multiLevelType w:val="singleLevel"/>
    <w:tmpl w:val="98C2D41E"/>
    <w:lvl w:ilvl="0" w:tentative="0">
      <w:start w:val="1"/>
      <w:numFmt w:val="decimal"/>
      <w:suff w:val="nothing"/>
      <w:lvlText w:val="（%1）"/>
      <w:lvlJc w:val="left"/>
    </w:lvl>
  </w:abstractNum>
  <w:abstractNum w:abstractNumId="1">
    <w:nsid w:val="E2EF10D7"/>
    <w:multiLevelType w:val="singleLevel"/>
    <w:tmpl w:val="E2EF10D7"/>
    <w:lvl w:ilvl="0" w:tentative="0">
      <w:start w:val="4"/>
      <w:numFmt w:val="chineseCounting"/>
      <w:suff w:val="nothing"/>
      <w:lvlText w:val="（%1）"/>
      <w:lvlJc w:val="left"/>
      <w:rPr>
        <w:rFonts w:hint="eastAsia"/>
      </w:rPr>
    </w:lvl>
  </w:abstractNum>
  <w:abstractNum w:abstractNumId="2">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D4E1B27"/>
    <w:multiLevelType w:val="singleLevel"/>
    <w:tmpl w:val="0D4E1B27"/>
    <w:lvl w:ilvl="0" w:tentative="0">
      <w:start w:val="1"/>
      <w:numFmt w:val="decimal"/>
      <w:suff w:val="nothing"/>
      <w:lvlText w:val="%1、"/>
      <w:lvlJc w:val="left"/>
    </w:lvl>
  </w:abstractNum>
  <w:abstractNum w:abstractNumId="4">
    <w:nsid w:val="1F5288DA"/>
    <w:multiLevelType w:val="singleLevel"/>
    <w:tmpl w:val="1F5288DA"/>
    <w:lvl w:ilvl="0" w:tentative="0">
      <w:start w:val="1"/>
      <w:numFmt w:val="chineseCounting"/>
      <w:suff w:val="nothing"/>
      <w:lvlText w:val="%1、"/>
      <w:lvlJc w:val="left"/>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058FE"/>
    <w:rsid w:val="0001211B"/>
    <w:rsid w:val="00040F89"/>
    <w:rsid w:val="000525F4"/>
    <w:rsid w:val="00057AEE"/>
    <w:rsid w:val="00065207"/>
    <w:rsid w:val="000B7B8A"/>
    <w:rsid w:val="000C41A2"/>
    <w:rsid w:val="000E3789"/>
    <w:rsid w:val="000F449D"/>
    <w:rsid w:val="001336E6"/>
    <w:rsid w:val="00136E9B"/>
    <w:rsid w:val="00142260"/>
    <w:rsid w:val="00185715"/>
    <w:rsid w:val="001864A1"/>
    <w:rsid w:val="00191FEF"/>
    <w:rsid w:val="00194BA4"/>
    <w:rsid w:val="001F6BFC"/>
    <w:rsid w:val="00210079"/>
    <w:rsid w:val="00221439"/>
    <w:rsid w:val="00221B7A"/>
    <w:rsid w:val="0023132A"/>
    <w:rsid w:val="00237492"/>
    <w:rsid w:val="002A26CB"/>
    <w:rsid w:val="002B4D97"/>
    <w:rsid w:val="002E58E2"/>
    <w:rsid w:val="002E756A"/>
    <w:rsid w:val="00347099"/>
    <w:rsid w:val="0039037B"/>
    <w:rsid w:val="003B735D"/>
    <w:rsid w:val="004067B8"/>
    <w:rsid w:val="0040756E"/>
    <w:rsid w:val="004474B9"/>
    <w:rsid w:val="00473EDB"/>
    <w:rsid w:val="0049374E"/>
    <w:rsid w:val="004B1C61"/>
    <w:rsid w:val="004C3FCC"/>
    <w:rsid w:val="004D00F4"/>
    <w:rsid w:val="004D1D0F"/>
    <w:rsid w:val="00510E2C"/>
    <w:rsid w:val="00552620"/>
    <w:rsid w:val="00571659"/>
    <w:rsid w:val="005B4A9C"/>
    <w:rsid w:val="005B5D70"/>
    <w:rsid w:val="005F33E5"/>
    <w:rsid w:val="006151EF"/>
    <w:rsid w:val="00622B0D"/>
    <w:rsid w:val="00626BF5"/>
    <w:rsid w:val="00634457"/>
    <w:rsid w:val="00644ECF"/>
    <w:rsid w:val="00645EF6"/>
    <w:rsid w:val="00647511"/>
    <w:rsid w:val="006E2B52"/>
    <w:rsid w:val="006F6637"/>
    <w:rsid w:val="00757726"/>
    <w:rsid w:val="007A22DB"/>
    <w:rsid w:val="007D279A"/>
    <w:rsid w:val="007D2BDA"/>
    <w:rsid w:val="007E1386"/>
    <w:rsid w:val="00816F02"/>
    <w:rsid w:val="00832436"/>
    <w:rsid w:val="00834091"/>
    <w:rsid w:val="00856600"/>
    <w:rsid w:val="008610EA"/>
    <w:rsid w:val="00877846"/>
    <w:rsid w:val="008847E6"/>
    <w:rsid w:val="00890EE2"/>
    <w:rsid w:val="008E0218"/>
    <w:rsid w:val="008E5A24"/>
    <w:rsid w:val="009004D8"/>
    <w:rsid w:val="009030FB"/>
    <w:rsid w:val="00934FC4"/>
    <w:rsid w:val="0097727A"/>
    <w:rsid w:val="00983E7F"/>
    <w:rsid w:val="009A0579"/>
    <w:rsid w:val="00A32A0B"/>
    <w:rsid w:val="00A6720B"/>
    <w:rsid w:val="00A87777"/>
    <w:rsid w:val="00AF27DB"/>
    <w:rsid w:val="00AF7AC5"/>
    <w:rsid w:val="00B21E45"/>
    <w:rsid w:val="00BA58ED"/>
    <w:rsid w:val="00BA68DE"/>
    <w:rsid w:val="00BF5D41"/>
    <w:rsid w:val="00BF7391"/>
    <w:rsid w:val="00C76242"/>
    <w:rsid w:val="00C930E4"/>
    <w:rsid w:val="00C944C0"/>
    <w:rsid w:val="00C95AE7"/>
    <w:rsid w:val="00CC4B81"/>
    <w:rsid w:val="00D306E0"/>
    <w:rsid w:val="00D33A47"/>
    <w:rsid w:val="00D420A0"/>
    <w:rsid w:val="00D628DD"/>
    <w:rsid w:val="00D76CDD"/>
    <w:rsid w:val="00DA6139"/>
    <w:rsid w:val="00DD6217"/>
    <w:rsid w:val="00E10A98"/>
    <w:rsid w:val="00E144CA"/>
    <w:rsid w:val="00E20E17"/>
    <w:rsid w:val="00E45716"/>
    <w:rsid w:val="00E568EC"/>
    <w:rsid w:val="00E921FE"/>
    <w:rsid w:val="00E9226C"/>
    <w:rsid w:val="00EC70FF"/>
    <w:rsid w:val="00EF25BE"/>
    <w:rsid w:val="00F00B45"/>
    <w:rsid w:val="00F01AF9"/>
    <w:rsid w:val="00F116F1"/>
    <w:rsid w:val="00F362B0"/>
    <w:rsid w:val="00F8220C"/>
    <w:rsid w:val="00FA3166"/>
    <w:rsid w:val="01941947"/>
    <w:rsid w:val="01A714F3"/>
    <w:rsid w:val="04143CD3"/>
    <w:rsid w:val="048146A6"/>
    <w:rsid w:val="04982717"/>
    <w:rsid w:val="04A27A91"/>
    <w:rsid w:val="063D1761"/>
    <w:rsid w:val="067348A4"/>
    <w:rsid w:val="07902E78"/>
    <w:rsid w:val="07E03F89"/>
    <w:rsid w:val="081E244E"/>
    <w:rsid w:val="08EE1EC1"/>
    <w:rsid w:val="095C401C"/>
    <w:rsid w:val="0968187A"/>
    <w:rsid w:val="0A6F7752"/>
    <w:rsid w:val="0A9161E2"/>
    <w:rsid w:val="0AA96930"/>
    <w:rsid w:val="0B0220AA"/>
    <w:rsid w:val="0BD9562E"/>
    <w:rsid w:val="0BF42BB6"/>
    <w:rsid w:val="0C5374A3"/>
    <w:rsid w:val="0DEB56BA"/>
    <w:rsid w:val="0E4F23EE"/>
    <w:rsid w:val="0EB47384"/>
    <w:rsid w:val="0F2C2C9D"/>
    <w:rsid w:val="122B1285"/>
    <w:rsid w:val="12EE54E0"/>
    <w:rsid w:val="135D0AF5"/>
    <w:rsid w:val="146A512F"/>
    <w:rsid w:val="15567058"/>
    <w:rsid w:val="16FC6FB1"/>
    <w:rsid w:val="178873E1"/>
    <w:rsid w:val="19EB4927"/>
    <w:rsid w:val="1A5D2BE2"/>
    <w:rsid w:val="1ACB2E07"/>
    <w:rsid w:val="1B576203"/>
    <w:rsid w:val="1D043C1A"/>
    <w:rsid w:val="1DCF49CE"/>
    <w:rsid w:val="2086245E"/>
    <w:rsid w:val="20A114EC"/>
    <w:rsid w:val="21100F4E"/>
    <w:rsid w:val="222B6202"/>
    <w:rsid w:val="2247155C"/>
    <w:rsid w:val="2327616D"/>
    <w:rsid w:val="23565FC4"/>
    <w:rsid w:val="24DC0284"/>
    <w:rsid w:val="25941A9C"/>
    <w:rsid w:val="25A8047B"/>
    <w:rsid w:val="25DA1FE3"/>
    <w:rsid w:val="26EB4760"/>
    <w:rsid w:val="270112A0"/>
    <w:rsid w:val="27154C5C"/>
    <w:rsid w:val="275F1399"/>
    <w:rsid w:val="2A9918BD"/>
    <w:rsid w:val="2B2066F6"/>
    <w:rsid w:val="2D6149CC"/>
    <w:rsid w:val="31BC4B3E"/>
    <w:rsid w:val="31ED37AF"/>
    <w:rsid w:val="33AB2D9C"/>
    <w:rsid w:val="33DF58E5"/>
    <w:rsid w:val="34144D08"/>
    <w:rsid w:val="34D448E3"/>
    <w:rsid w:val="35334DCE"/>
    <w:rsid w:val="35826B17"/>
    <w:rsid w:val="369827D3"/>
    <w:rsid w:val="37052A1D"/>
    <w:rsid w:val="377A5B36"/>
    <w:rsid w:val="37967549"/>
    <w:rsid w:val="379D183F"/>
    <w:rsid w:val="37ED0FBB"/>
    <w:rsid w:val="38B73058"/>
    <w:rsid w:val="392817E4"/>
    <w:rsid w:val="39570990"/>
    <w:rsid w:val="3A0C0074"/>
    <w:rsid w:val="3B62109C"/>
    <w:rsid w:val="3CD27D75"/>
    <w:rsid w:val="3CF828BA"/>
    <w:rsid w:val="3D7C3CA5"/>
    <w:rsid w:val="3DF30266"/>
    <w:rsid w:val="3E4E2F40"/>
    <w:rsid w:val="3F2F596E"/>
    <w:rsid w:val="401251D3"/>
    <w:rsid w:val="407961B2"/>
    <w:rsid w:val="418F0C8B"/>
    <w:rsid w:val="42212FA0"/>
    <w:rsid w:val="437C7673"/>
    <w:rsid w:val="43E87380"/>
    <w:rsid w:val="466923B3"/>
    <w:rsid w:val="46A80D2B"/>
    <w:rsid w:val="47CE79E8"/>
    <w:rsid w:val="480E00CC"/>
    <w:rsid w:val="48B03310"/>
    <w:rsid w:val="48BF0390"/>
    <w:rsid w:val="4A7C41BA"/>
    <w:rsid w:val="4AA870DA"/>
    <w:rsid w:val="4E8809AE"/>
    <w:rsid w:val="4F925B40"/>
    <w:rsid w:val="51BD5B4A"/>
    <w:rsid w:val="51CC16A5"/>
    <w:rsid w:val="54B508D5"/>
    <w:rsid w:val="54BD1A39"/>
    <w:rsid w:val="550D1296"/>
    <w:rsid w:val="55425257"/>
    <w:rsid w:val="570876FE"/>
    <w:rsid w:val="576B5FEF"/>
    <w:rsid w:val="58637208"/>
    <w:rsid w:val="58EF106F"/>
    <w:rsid w:val="59D035A4"/>
    <w:rsid w:val="59DE52E9"/>
    <w:rsid w:val="5A6C6FD9"/>
    <w:rsid w:val="5BD62006"/>
    <w:rsid w:val="5C2F2581"/>
    <w:rsid w:val="5C41771D"/>
    <w:rsid w:val="5E464A0C"/>
    <w:rsid w:val="64467371"/>
    <w:rsid w:val="64475C87"/>
    <w:rsid w:val="660D7223"/>
    <w:rsid w:val="67B9696D"/>
    <w:rsid w:val="69182329"/>
    <w:rsid w:val="697C6B98"/>
    <w:rsid w:val="697D7370"/>
    <w:rsid w:val="6A8601F9"/>
    <w:rsid w:val="6B421B1B"/>
    <w:rsid w:val="6C1907E0"/>
    <w:rsid w:val="6C850FF7"/>
    <w:rsid w:val="6C9C7B61"/>
    <w:rsid w:val="6D572487"/>
    <w:rsid w:val="6DDD005E"/>
    <w:rsid w:val="6F433989"/>
    <w:rsid w:val="6F592DE9"/>
    <w:rsid w:val="6F8F5E4F"/>
    <w:rsid w:val="6F933C4F"/>
    <w:rsid w:val="702F22F1"/>
    <w:rsid w:val="70F878F3"/>
    <w:rsid w:val="71A0556E"/>
    <w:rsid w:val="7230230F"/>
    <w:rsid w:val="732B4355"/>
    <w:rsid w:val="7349485A"/>
    <w:rsid w:val="73F773CD"/>
    <w:rsid w:val="74AF74FD"/>
    <w:rsid w:val="74B63547"/>
    <w:rsid w:val="7509163E"/>
    <w:rsid w:val="753B70CD"/>
    <w:rsid w:val="7586575E"/>
    <w:rsid w:val="75933034"/>
    <w:rsid w:val="761B4740"/>
    <w:rsid w:val="780C51CB"/>
    <w:rsid w:val="79231988"/>
    <w:rsid w:val="79C755E3"/>
    <w:rsid w:val="79EA73B1"/>
    <w:rsid w:val="7BEB2145"/>
    <w:rsid w:val="7BF77212"/>
    <w:rsid w:val="7CFC6257"/>
    <w:rsid w:val="7D0839FB"/>
    <w:rsid w:val="7D0B103C"/>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annotation text"/>
    <w:basedOn w:val="1"/>
    <w:link w:val="22"/>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17"/>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3"/>
    <w:qFormat/>
    <w:uiPriority w:val="0"/>
    <w:rPr>
      <w:b/>
      <w:bCs/>
    </w:rPr>
  </w:style>
  <w:style w:type="paragraph" w:styleId="11">
    <w:name w:val="Body Text First Indent"/>
    <w:basedOn w:val="6"/>
    <w:unhideWhenUsed/>
    <w:qFormat/>
    <w:uiPriority w:val="99"/>
    <w:pPr>
      <w:ind w:firstLine="420" w:firstLineChars="1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4"/>
    <w:link w:val="7"/>
    <w:qFormat/>
    <w:uiPriority w:val="0"/>
    <w:rPr>
      <w:kern w:val="2"/>
      <w:sz w:val="18"/>
      <w:szCs w:val="18"/>
    </w:rPr>
  </w:style>
  <w:style w:type="character" w:customStyle="1" w:styleId="18">
    <w:name w:val="font21"/>
    <w:basedOn w:val="14"/>
    <w:qFormat/>
    <w:uiPriority w:val="0"/>
    <w:rPr>
      <w:rFonts w:hint="eastAsia" w:ascii="宋体" w:hAnsi="宋体" w:eastAsia="宋体" w:cs="宋体"/>
      <w:color w:val="000000"/>
      <w:sz w:val="20"/>
      <w:szCs w:val="20"/>
      <w:u w:val="none"/>
    </w:rPr>
  </w:style>
  <w:style w:type="character" w:customStyle="1" w:styleId="19">
    <w:name w:val="font01"/>
    <w:basedOn w:val="14"/>
    <w:qFormat/>
    <w:uiPriority w:val="0"/>
    <w:rPr>
      <w:rFonts w:hint="eastAsia" w:ascii="宋体" w:hAnsi="宋体" w:eastAsia="宋体" w:cs="宋体"/>
      <w:color w:val="000000"/>
      <w:sz w:val="22"/>
      <w:szCs w:val="22"/>
      <w:u w:val="none"/>
    </w:rPr>
  </w:style>
  <w:style w:type="character" w:customStyle="1" w:styleId="20">
    <w:name w:val="font41"/>
    <w:basedOn w:val="14"/>
    <w:qFormat/>
    <w:uiPriority w:val="0"/>
    <w:rPr>
      <w:rFonts w:hint="eastAsia" w:ascii="宋体" w:hAnsi="宋体" w:eastAsia="宋体" w:cs="宋体"/>
      <w:color w:val="000000"/>
      <w:sz w:val="22"/>
      <w:szCs w:val="22"/>
      <w:u w:val="none"/>
    </w:rPr>
  </w:style>
  <w:style w:type="character" w:customStyle="1" w:styleId="21">
    <w:name w:val="font31"/>
    <w:basedOn w:val="14"/>
    <w:qFormat/>
    <w:uiPriority w:val="0"/>
    <w:rPr>
      <w:rFonts w:ascii="Arial" w:hAnsi="Arial" w:cs="Arial"/>
      <w:color w:val="000000"/>
      <w:sz w:val="22"/>
      <w:szCs w:val="22"/>
      <w:u w:val="none"/>
    </w:rPr>
  </w:style>
  <w:style w:type="character" w:customStyle="1" w:styleId="22">
    <w:name w:val="批注文字 字符"/>
    <w:basedOn w:val="14"/>
    <w:link w:val="5"/>
    <w:qFormat/>
    <w:uiPriority w:val="0"/>
    <w:rPr>
      <w:kern w:val="2"/>
      <w:sz w:val="21"/>
      <w:szCs w:val="22"/>
    </w:rPr>
  </w:style>
  <w:style w:type="character" w:customStyle="1" w:styleId="23">
    <w:name w:val="批注主题 字符"/>
    <w:basedOn w:val="22"/>
    <w:link w:val="10"/>
    <w:qFormat/>
    <w:uiPriority w:val="0"/>
    <w:rPr>
      <w:b/>
      <w:bCs/>
      <w:kern w:val="2"/>
      <w:sz w:val="21"/>
      <w:szCs w:val="2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27">
    <w:name w:val="修订4"/>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10</Pages>
  <Words>1297</Words>
  <Characters>7396</Characters>
  <Lines>61</Lines>
  <Paragraphs>17</Paragraphs>
  <TotalTime>122</TotalTime>
  <ScaleCrop>false</ScaleCrop>
  <LinksUpToDate>false</LinksUpToDate>
  <CharactersWithSpaces>8676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阿莎</cp:lastModifiedBy>
  <dcterms:modified xsi:type="dcterms:W3CDTF">2022-04-10T08:21:30Z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A2CE9C4AFD3C462AB44323F17E73D188</vt:lpwstr>
  </property>
</Properties>
</file>