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left"/>
        <w:outlineLvl w:val="0"/>
        <w:rPr>
          <w:rFonts w:eastAsia="楷体_GB2312"/>
          <w:b/>
          <w:sz w:val="24"/>
          <w:szCs w:val="24"/>
        </w:rPr>
      </w:pPr>
      <w:bookmarkStart w:id="0" w:name="_Toc60172160"/>
      <w:bookmarkStart w:id="1" w:name="_Toc364280964"/>
      <w:bookmarkStart w:id="2" w:name="_Toc361735143"/>
      <w:bookmarkStart w:id="3" w:name="_Toc362010541"/>
      <w:r>
        <w:rPr>
          <w:rFonts w:eastAsia="楷体_GB2312"/>
          <w:b/>
          <w:sz w:val="24"/>
          <w:szCs w:val="24"/>
        </w:rPr>
        <w:t>附件一：</w:t>
      </w:r>
      <w:r>
        <w:rPr>
          <w:rFonts w:hint="eastAsia" w:eastAsia="楷体_GB2312"/>
          <w:b/>
          <w:sz w:val="24"/>
          <w:szCs w:val="24"/>
        </w:rPr>
        <w:t>佛山恒大铂睿府项目股权转让协议转让</w:t>
      </w:r>
      <w:r>
        <w:rPr>
          <w:rFonts w:eastAsia="楷体_GB2312"/>
          <w:b/>
          <w:sz w:val="24"/>
          <w:szCs w:val="24"/>
        </w:rPr>
        <w:t>债权清单</w:t>
      </w:r>
      <w:bookmarkEnd w:id="0"/>
      <w:bookmarkEnd w:id="1"/>
      <w:bookmarkEnd w:id="2"/>
      <w:bookmarkEnd w:id="3"/>
      <w:r>
        <w:rPr>
          <w:rFonts w:hint="eastAsia" w:eastAsia="楷体_GB2312"/>
          <w:b/>
          <w:sz w:val="24"/>
          <w:szCs w:val="24"/>
        </w:rPr>
        <w:t>（样本）单位元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133"/>
        <w:gridCol w:w="1275"/>
        <w:gridCol w:w="1416"/>
        <w:gridCol w:w="1417"/>
        <w:gridCol w:w="1716"/>
        <w:gridCol w:w="1841"/>
        <w:gridCol w:w="1700"/>
        <w:gridCol w:w="2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56" w:beforeLines="50" w:after="156" w:afterLines="50" w:line="360" w:lineRule="auto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-9525</wp:posOffset>
                      </wp:positionV>
                      <wp:extent cx="600075" cy="895350"/>
                      <wp:effectExtent l="0" t="0" r="9525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895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95pt;margin-top:-0.75pt;height:70.5pt;width:47.25pt;z-index:251659264;mso-width-relative:page;mso-height-relative:page;" filled="f" stroked="t" coordsize="21600,21600" o:gfxdata="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q2+fzYAAAACQEAAA8AAAAAAAAAAQAgAAAAIgAA&#10;AGRycy9kb3ducmV2LnhtbFBLAQIUABQAAAAIAIdO4kDTj7RAzwEAAGcDAAAOAAAAAAAAAAEAIAAA&#10;ACcBAABkcnMvZTJvRG9jLnhtbFBLBQYAAAAABgAGAFkBAABoBQAAAAA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要素</w:t>
            </w:r>
          </w:p>
          <w:p>
            <w:pPr>
              <w:spacing w:before="156" w:beforeLines="50" w:after="156" w:afterLines="50" w:line="360" w:lineRule="auto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编号</w:t>
            </w:r>
          </w:p>
        </w:tc>
        <w:tc>
          <w:tcPr>
            <w:tcW w:w="1134" w:type="dxa"/>
          </w:tcPr>
          <w:p>
            <w:pPr>
              <w:spacing w:before="156" w:beforeLines="50" w:after="156" w:afterLines="50" w:line="360" w:lineRule="auto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债权人</w:t>
            </w:r>
          </w:p>
        </w:tc>
        <w:tc>
          <w:tcPr>
            <w:tcW w:w="1276" w:type="dxa"/>
          </w:tcPr>
          <w:p>
            <w:pPr>
              <w:spacing w:before="156" w:beforeLines="50" w:after="156" w:afterLines="50" w:line="360" w:lineRule="auto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债务人</w:t>
            </w:r>
          </w:p>
        </w:tc>
        <w:tc>
          <w:tcPr>
            <w:tcW w:w="1417" w:type="dxa"/>
          </w:tcPr>
          <w:p>
            <w:pPr>
              <w:spacing w:before="156" w:beforeLines="50" w:after="156" w:afterLines="50" w:line="360" w:lineRule="auto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合同编号</w:t>
            </w:r>
          </w:p>
        </w:tc>
        <w:tc>
          <w:tcPr>
            <w:tcW w:w="1418" w:type="dxa"/>
          </w:tcPr>
          <w:p>
            <w:pPr>
              <w:spacing w:before="156" w:beforeLines="50" w:after="156" w:afterLines="50" w:line="360" w:lineRule="auto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合同名称</w:t>
            </w:r>
          </w:p>
        </w:tc>
        <w:tc>
          <w:tcPr>
            <w:tcW w:w="1275" w:type="dxa"/>
          </w:tcPr>
          <w:p>
            <w:pPr>
              <w:spacing w:before="156" w:beforeLines="50" w:after="156" w:afterLines="50" w:line="360" w:lineRule="auto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债权金额</w:t>
            </w:r>
          </w:p>
        </w:tc>
        <w:tc>
          <w:tcPr>
            <w:tcW w:w="1843" w:type="dxa"/>
          </w:tcPr>
          <w:p>
            <w:pPr>
              <w:spacing w:before="156" w:beforeLines="50" w:after="156" w:afterLines="50" w:line="360" w:lineRule="auto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债务履行期限/支付方式</w:t>
            </w:r>
          </w:p>
        </w:tc>
        <w:tc>
          <w:tcPr>
            <w:tcW w:w="1701" w:type="dxa"/>
          </w:tcPr>
          <w:p>
            <w:pPr>
              <w:spacing w:before="156" w:beforeLines="50" w:after="156" w:afterLines="50" w:line="360" w:lineRule="auto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为该债权提供的担保措施</w:t>
            </w:r>
          </w:p>
        </w:tc>
        <w:tc>
          <w:tcPr>
            <w:tcW w:w="2720" w:type="dxa"/>
          </w:tcPr>
          <w:p>
            <w:pPr>
              <w:spacing w:before="156" w:beforeLines="50" w:after="156" w:afterLines="50" w:line="360" w:lineRule="auto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债权人是否将该应收账款设置权利负担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56" w:beforeLines="50" w:after="156" w:afterLines="50" w:line="360" w:lineRule="auto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spacing w:before="156" w:beforeLines="50" w:after="156" w:afterLines="50" w:line="360" w:lineRule="auto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佛山市南海俊凯房地产开发有限公司</w:t>
            </w:r>
          </w:p>
        </w:tc>
        <w:tc>
          <w:tcPr>
            <w:tcW w:w="1276" w:type="dxa"/>
          </w:tcPr>
          <w:p>
            <w:pPr>
              <w:spacing w:before="156" w:beforeLines="50" w:after="156" w:afterLines="50" w:line="360" w:lineRule="auto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佛山市顺德区盈沁房地产开发有限公司</w:t>
            </w:r>
          </w:p>
        </w:tc>
        <w:tc>
          <w:tcPr>
            <w:tcW w:w="1417" w:type="dxa"/>
          </w:tcPr>
          <w:p>
            <w:pPr>
              <w:spacing w:before="156" w:beforeLines="50" w:after="156" w:afterLines="50" w:line="360" w:lineRule="auto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before="156" w:beforeLines="50" w:after="156" w:afterLines="50" w:line="360" w:lineRule="auto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before="156" w:beforeLines="50" w:after="156" w:afterLines="50" w:line="360" w:lineRule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888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775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098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843" w:type="dxa"/>
          </w:tcPr>
          <w:p>
            <w:pPr>
              <w:spacing w:before="156" w:beforeLines="50" w:after="156" w:afterLines="50" w:line="360" w:lineRule="auto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before="156" w:beforeLines="50" w:after="156" w:afterLines="50" w:line="360" w:lineRule="auto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20" w:type="dxa"/>
          </w:tcPr>
          <w:p>
            <w:pPr>
              <w:spacing w:before="156" w:beforeLines="50" w:after="156" w:afterLines="50" w:line="360" w:lineRule="auto"/>
              <w:rPr>
                <w:rFonts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before="156" w:beforeLines="50" w:after="156" w:afterLines="50" w:line="360" w:lineRule="auto"/>
        <w:jc w:val="left"/>
        <w:outlineLvl w:val="0"/>
        <w:rPr>
          <w:rFonts w:eastAsia="楷体_GB2312"/>
          <w:b/>
          <w:sz w:val="24"/>
          <w:szCs w:val="24"/>
        </w:rPr>
      </w:pPr>
    </w:p>
    <w:p>
      <w:pPr>
        <w:spacing w:before="156" w:beforeLines="50" w:after="156" w:afterLines="50" w:line="360" w:lineRule="auto"/>
        <w:jc w:val="left"/>
        <w:outlineLvl w:val="0"/>
        <w:rPr>
          <w:rFonts w:eastAsia="楷体_GB2312"/>
          <w:b/>
          <w:sz w:val="24"/>
          <w:szCs w:val="24"/>
        </w:rPr>
      </w:pPr>
    </w:p>
    <w:p>
      <w:pPr>
        <w:spacing w:before="156" w:beforeLines="50" w:after="156" w:afterLines="50" w:line="360" w:lineRule="auto"/>
        <w:jc w:val="left"/>
        <w:outlineLvl w:val="0"/>
        <w:rPr>
          <w:rFonts w:eastAsia="楷体_GB2312"/>
          <w:b/>
          <w:sz w:val="24"/>
          <w:szCs w:val="24"/>
        </w:rPr>
      </w:pPr>
    </w:p>
    <w:p>
      <w:pPr>
        <w:spacing w:before="156" w:beforeLines="50" w:after="156" w:afterLines="50" w:line="360" w:lineRule="auto"/>
        <w:jc w:val="left"/>
        <w:outlineLvl w:val="0"/>
        <w:rPr>
          <w:rFonts w:eastAsia="楷体_GB2312"/>
          <w:b/>
          <w:sz w:val="24"/>
          <w:szCs w:val="24"/>
        </w:rPr>
      </w:pPr>
    </w:p>
    <w:p>
      <w:pPr>
        <w:spacing w:before="156" w:beforeLines="50" w:after="156" w:afterLines="50" w:line="360" w:lineRule="auto"/>
        <w:jc w:val="left"/>
        <w:outlineLvl w:val="0"/>
        <w:rPr>
          <w:rFonts w:hint="eastAsia" w:eastAsia="楷体_GB2312"/>
          <w:b/>
          <w:sz w:val="24"/>
          <w:szCs w:val="24"/>
          <w:lang w:val="en-US" w:eastAsia="zh-CN"/>
        </w:rPr>
      </w:pPr>
      <w:r>
        <w:rPr>
          <w:rFonts w:eastAsia="楷体_GB2312"/>
          <w:b/>
          <w:sz w:val="24"/>
          <w:szCs w:val="24"/>
        </w:rPr>
        <w:t>附件</w:t>
      </w:r>
      <w:r>
        <w:rPr>
          <w:rFonts w:hint="eastAsia" w:eastAsia="楷体_GB2312"/>
          <w:b/>
          <w:sz w:val="24"/>
          <w:szCs w:val="24"/>
          <w:lang w:val="en-US" w:eastAsia="zh-CN"/>
        </w:rPr>
        <w:t>二</w:t>
      </w:r>
      <w:r>
        <w:rPr>
          <w:rFonts w:eastAsia="楷体_GB2312"/>
          <w:b/>
          <w:sz w:val="24"/>
          <w:szCs w:val="24"/>
        </w:rPr>
        <w:t>：</w:t>
      </w:r>
      <w:r>
        <w:rPr>
          <w:rFonts w:hint="eastAsia" w:eastAsia="楷体_GB2312"/>
          <w:b/>
          <w:sz w:val="24"/>
          <w:szCs w:val="24"/>
        </w:rPr>
        <w:t>佛山恒大铂睿府项目股权转让协议转让</w:t>
      </w:r>
      <w:r>
        <w:rPr>
          <w:rFonts w:eastAsia="楷体_GB2312"/>
          <w:b/>
          <w:sz w:val="24"/>
          <w:szCs w:val="24"/>
        </w:rPr>
        <w:t>债权清单</w:t>
      </w:r>
      <w:r>
        <w:rPr>
          <w:rFonts w:hint="eastAsia" w:eastAsia="楷体_GB2312"/>
          <w:b/>
          <w:sz w:val="24"/>
          <w:szCs w:val="24"/>
          <w:lang w:val="en-US" w:eastAsia="zh-CN"/>
        </w:rPr>
        <w:t>明细表及意见说明</w:t>
      </w:r>
    </w:p>
    <w:tbl>
      <w:tblPr>
        <w:tblStyle w:val="5"/>
        <w:tblW w:w="0" w:type="auto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1692"/>
        <w:gridCol w:w="1824"/>
        <w:gridCol w:w="1716"/>
        <w:gridCol w:w="1464"/>
        <w:gridCol w:w="4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240" w:type="dxa"/>
            <w:vAlign w:val="center"/>
          </w:tcPr>
          <w:p>
            <w:pPr>
              <w:jc w:val="left"/>
              <w:rPr>
                <w:rFonts w:hint="eastAsia" w:eastAsia="楷体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楷体_GB2312"/>
                <w:b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692" w:type="dxa"/>
          </w:tcPr>
          <w:p>
            <w:pPr>
              <w:spacing w:before="156" w:beforeLines="50" w:after="156" w:afterLines="50" w:line="360" w:lineRule="auto"/>
              <w:rPr>
                <w:rFonts w:hint="eastAsia" w:eastAsia="楷体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楷体_GB2312"/>
                <w:b/>
                <w:sz w:val="24"/>
                <w:szCs w:val="24"/>
                <w:vertAlign w:val="baseline"/>
                <w:lang w:val="en-US" w:eastAsia="zh-CN"/>
              </w:rPr>
              <w:t>借款类型</w:t>
            </w:r>
          </w:p>
        </w:tc>
        <w:tc>
          <w:tcPr>
            <w:tcW w:w="1824" w:type="dxa"/>
          </w:tcPr>
          <w:p>
            <w:pPr>
              <w:spacing w:before="156" w:beforeLines="50" w:after="156" w:afterLines="50" w:line="360" w:lineRule="auto"/>
              <w:rPr>
                <w:rFonts w:hint="default" w:eastAsia="楷体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楷体_GB2312"/>
                <w:b/>
                <w:sz w:val="24"/>
                <w:szCs w:val="24"/>
                <w:vertAlign w:val="baseline"/>
                <w:lang w:val="en-US" w:eastAsia="zh-CN"/>
              </w:rPr>
              <w:t>驻场人员核定金额</w:t>
            </w:r>
          </w:p>
        </w:tc>
        <w:tc>
          <w:tcPr>
            <w:tcW w:w="1716" w:type="dxa"/>
          </w:tcPr>
          <w:p>
            <w:pPr>
              <w:spacing w:before="156" w:beforeLines="50" w:after="156" w:afterLines="50" w:line="360" w:lineRule="auto"/>
              <w:rPr>
                <w:rFonts w:hint="eastAsia" w:eastAsia="楷体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楷体_GB2312"/>
                <w:b/>
                <w:sz w:val="24"/>
                <w:szCs w:val="24"/>
                <w:vertAlign w:val="baseline"/>
                <w:lang w:val="en-US" w:eastAsia="zh-CN"/>
              </w:rPr>
              <w:t>恒大核定金额（元）</w:t>
            </w:r>
          </w:p>
        </w:tc>
        <w:tc>
          <w:tcPr>
            <w:tcW w:w="1464" w:type="dxa"/>
          </w:tcPr>
          <w:p>
            <w:pPr>
              <w:spacing w:before="156" w:beforeLines="50" w:after="156" w:afterLines="50" w:line="360" w:lineRule="auto"/>
              <w:rPr>
                <w:rFonts w:hint="default" w:eastAsia="楷体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楷体_GB2312"/>
                <w:b/>
                <w:sz w:val="24"/>
                <w:szCs w:val="24"/>
                <w:vertAlign w:val="baseline"/>
                <w:lang w:val="en-US" w:eastAsia="zh-CN"/>
              </w:rPr>
              <w:t>差异金额</w:t>
            </w:r>
          </w:p>
        </w:tc>
        <w:tc>
          <w:tcPr>
            <w:tcW w:w="4489" w:type="dxa"/>
          </w:tcPr>
          <w:p>
            <w:pPr>
              <w:spacing w:before="156" w:beforeLines="50" w:after="156" w:afterLines="50" w:line="360" w:lineRule="auto"/>
              <w:rPr>
                <w:rFonts w:hint="default" w:eastAsia="楷体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楷体_GB2312"/>
                <w:b/>
                <w:sz w:val="24"/>
                <w:szCs w:val="24"/>
                <w:vertAlign w:val="baseline"/>
                <w:lang w:val="en-US" w:eastAsia="zh-CN"/>
              </w:rPr>
              <w:t>审核意见说明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</w:pPr>
            <w:bookmarkStart w:id="4" w:name="OLE_LINK6" w:colFirst="5" w:colLast="5"/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佛山市南海俊凯房地产开发有限公司</w:t>
            </w:r>
          </w:p>
        </w:tc>
        <w:tc>
          <w:tcPr>
            <w:tcW w:w="1692" w:type="dxa"/>
            <w:vAlign w:val="center"/>
          </w:tcPr>
          <w:p>
            <w:pPr>
              <w:spacing w:before="156" w:beforeLines="50" w:after="156" w:afterLines="50" w:line="360" w:lineRule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股权投资款</w:t>
            </w:r>
          </w:p>
        </w:tc>
        <w:tc>
          <w:tcPr>
            <w:tcW w:w="1824" w:type="dxa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318,600,000.00</w:t>
            </w:r>
          </w:p>
        </w:tc>
        <w:tc>
          <w:tcPr>
            <w:tcW w:w="1716" w:type="dxa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318,600,000.00</w:t>
            </w:r>
          </w:p>
        </w:tc>
        <w:tc>
          <w:tcPr>
            <w:tcW w:w="1464" w:type="dxa"/>
            <w:vAlign w:val="center"/>
          </w:tcPr>
          <w:p>
            <w:pPr>
              <w:spacing w:before="156" w:beforeLines="50" w:after="156" w:afterLines="50" w:line="360" w:lineRule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489" w:type="dxa"/>
            <w:vAlign w:val="center"/>
          </w:tcPr>
          <w:p>
            <w:pPr>
              <w:spacing w:before="156" w:beforeLines="50" w:after="156" w:afterLines="50" w:line="360" w:lineRule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FF0000"/>
                <w:kern w:val="0"/>
                <w:sz w:val="24"/>
                <w:szCs w:val="24"/>
              </w:rPr>
            </w:pPr>
            <w:bookmarkStart w:id="5" w:name="OLE_LINK2" w:colFirst="5" w:colLast="5"/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佛山市南海俊凯房地产开发有限公司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股东借款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689,547,400.00 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689,567,788.11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-20,388.11</w:t>
            </w:r>
          </w:p>
        </w:tc>
        <w:tc>
          <w:tcPr>
            <w:tcW w:w="4489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该笔差异系代为垫付的员工社保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项目公司已提供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了证明材料予以证实。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40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  <w:t>恒大地产集团广东房地产开发有限公司</w:t>
            </w:r>
          </w:p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2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关联方借款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193,161,882.34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193,221,005.91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-59,123.57</w:t>
            </w:r>
          </w:p>
        </w:tc>
        <w:tc>
          <w:tcPr>
            <w:tcW w:w="4489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  <w:t>该笔差异系代为垫付的员工社保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公积金、工资，项目公司已提供证明材料予以证实。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恒大地产集团珠三角房地产开发有限公司</w:t>
            </w:r>
          </w:p>
        </w:tc>
        <w:tc>
          <w:tcPr>
            <w:tcW w:w="1692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关联方借款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101,000.00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168,066.08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-67,066.08</w:t>
            </w:r>
          </w:p>
        </w:tc>
        <w:tc>
          <w:tcPr>
            <w:tcW w:w="4489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该笔差异系代为垫付的员工社保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和公积金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项目公司已提供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了证明材料予以证实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bookmarkEnd w:id="4"/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bookmarkStart w:id="6" w:name="OLE_LINK3" w:colFirst="5" w:colLast="5"/>
            <w:bookmarkStart w:id="7" w:name="OLE_LINK5" w:colFirst="5" w:colLast="5"/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揭阳市恒港置业有限公司</w:t>
            </w:r>
          </w:p>
        </w:tc>
        <w:tc>
          <w:tcPr>
            <w:tcW w:w="1692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关联方借款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4,766,000.00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4,766,000.00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489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32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  <w:t>罗定市恒悦房地产开发有限公司</w:t>
            </w:r>
          </w:p>
        </w:tc>
        <w:tc>
          <w:tcPr>
            <w:tcW w:w="1692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关联方借款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62,301.50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93,938.29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-31,636.79</w:t>
            </w:r>
          </w:p>
        </w:tc>
        <w:tc>
          <w:tcPr>
            <w:tcW w:w="4489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  <w:t>该笔差异系代为垫付的员工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工资及税费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项目公司已提供了证明材料予以证实。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32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恒大地产集团粤东有限公司</w:t>
            </w:r>
          </w:p>
        </w:tc>
        <w:tc>
          <w:tcPr>
            <w:tcW w:w="1692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关联方借款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158,406.80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158,406.80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489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32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肇庆市恒晋置业有限公司</w:t>
            </w:r>
          </w:p>
        </w:tc>
        <w:tc>
          <w:tcPr>
            <w:tcW w:w="1692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关联方借款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7,242.01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7,242.01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489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  <w:t>广盛华侨（惠州）房产开发有限公司</w:t>
            </w:r>
          </w:p>
        </w:tc>
        <w:tc>
          <w:tcPr>
            <w:tcW w:w="1692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关联方借款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0.00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17,460.00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-17,460</w:t>
            </w:r>
          </w:p>
        </w:tc>
        <w:tc>
          <w:tcPr>
            <w:tcW w:w="4489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  <w:t>该笔差异系代为垫付的员工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公积金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项目公司已提供社保公积金台账并提供了证明材料予以证实。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  <w:t>佛山市三水深业地产有限公司</w:t>
            </w:r>
          </w:p>
        </w:tc>
        <w:tc>
          <w:tcPr>
            <w:tcW w:w="1692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关联方借款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0.00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7,821.22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-7,821.22</w:t>
            </w:r>
          </w:p>
        </w:tc>
        <w:tc>
          <w:tcPr>
            <w:tcW w:w="4489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  <w:t>该笔差异系代为垫付的员工社保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项目公司已提供社保公积金台账并提供了证明材料予以证实。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  <w:t>开封盛邦旅游开发有限公司</w:t>
            </w:r>
          </w:p>
        </w:tc>
        <w:tc>
          <w:tcPr>
            <w:tcW w:w="1692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关联方借款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500,000.00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500,000.00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489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河南大有房地产开发有限公司</w:t>
            </w:r>
          </w:p>
        </w:tc>
        <w:tc>
          <w:tcPr>
            <w:tcW w:w="1692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关联方借款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120,204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120,204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489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已提交相关工抵房证明材料予以证实。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  <w:t>潮州市恒新房地产开发有限公司</w:t>
            </w:r>
          </w:p>
        </w:tc>
        <w:tc>
          <w:tcPr>
            <w:tcW w:w="1692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关联方借款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0.00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4,448.00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-4,448</w:t>
            </w:r>
          </w:p>
        </w:tc>
        <w:tc>
          <w:tcPr>
            <w:tcW w:w="4489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该笔差异系代为垫付的员工工资，项目公司已提供了证明材料予以证实。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  <w:t>汕头市恒悦置业有限公司</w:t>
            </w:r>
          </w:p>
        </w:tc>
        <w:tc>
          <w:tcPr>
            <w:tcW w:w="1692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关联方借款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0.00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9,144.36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-9,144.36</w:t>
            </w:r>
          </w:p>
        </w:tc>
        <w:tc>
          <w:tcPr>
            <w:tcW w:w="4489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该笔差异系代为垫付的员工工资，项目公司已提供了证明材料予以证实。。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广州恒名达有限公司</w:t>
            </w:r>
          </w:p>
        </w:tc>
        <w:tc>
          <w:tcPr>
            <w:tcW w:w="1692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关联方借款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8,436.08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-8,436.08</w:t>
            </w:r>
          </w:p>
        </w:tc>
        <w:tc>
          <w:tcPr>
            <w:tcW w:w="4489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该笔差异系代为垫付的员工社保和公积金，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项目公司已提供了证明材料予以证实。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佛山市裕朗通房地产开发有限公司</w:t>
            </w:r>
          </w:p>
        </w:tc>
        <w:tc>
          <w:tcPr>
            <w:tcW w:w="1692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关联方借款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14,820.00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-14,820</w:t>
            </w:r>
          </w:p>
        </w:tc>
        <w:tc>
          <w:tcPr>
            <w:tcW w:w="4489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该笔差异系代为垫付的员工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公积金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项目公司已提供了证明材料予以证实。</w:t>
            </w:r>
          </w:p>
        </w:tc>
      </w:tr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bookmarkStart w:id="8" w:name="OLE_LINK1" w:colFirst="5" w:colLast="5"/>
            <w:bookmarkStart w:id="9" w:name="OLE_LINK4" w:colFirst="5" w:colLast="5"/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佛山市三水盈盛房地产发展有限公司</w:t>
            </w:r>
          </w:p>
        </w:tc>
        <w:tc>
          <w:tcPr>
            <w:tcW w:w="1692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关联方借款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305.00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-305</w:t>
            </w:r>
          </w:p>
        </w:tc>
        <w:tc>
          <w:tcPr>
            <w:tcW w:w="4489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支付曾晓君银行开户手续费报销款，已提供证明材料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韶关市恒祺房地产开发有限公司</w:t>
            </w:r>
          </w:p>
        </w:tc>
        <w:tc>
          <w:tcPr>
            <w:tcW w:w="1692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关联方借款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240.00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-240</w:t>
            </w:r>
          </w:p>
        </w:tc>
        <w:tc>
          <w:tcPr>
            <w:tcW w:w="4489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default" w:eastAsia="楷体_GB2312"/>
                <w:b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待扣邱秋鑫银行询证函费用，已提供证明材料</w:t>
            </w:r>
          </w:p>
        </w:tc>
      </w:tr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广州市恒合工程监理有限公司</w:t>
            </w:r>
          </w:p>
        </w:tc>
        <w:tc>
          <w:tcPr>
            <w:tcW w:w="1692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关联方借款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55.55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-55.55</w:t>
            </w:r>
          </w:p>
        </w:tc>
        <w:tc>
          <w:tcPr>
            <w:tcW w:w="44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待扣彭绍权监理培训费，已提供证明材料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  <w:t>佛山市顺德区怡创房地产有限公司</w:t>
            </w:r>
          </w:p>
        </w:tc>
        <w:tc>
          <w:tcPr>
            <w:tcW w:w="1692" w:type="dxa"/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关联方借款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0.00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109,717.11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-109,717.11</w:t>
            </w:r>
          </w:p>
        </w:tc>
        <w:tc>
          <w:tcPr>
            <w:tcW w:w="4489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rPr>
                <w:rFonts w:hint="eastAsia" w:eastAsia="楷体_GB2312"/>
                <w:b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该笔差异系代为垫付的员工工资，项目公司已提供了证明材料予以证实。</w:t>
            </w:r>
          </w:p>
        </w:tc>
      </w:tr>
      <w:bookmarkEnd w:id="7"/>
      <w:bookmarkEnd w:id="9"/>
    </w:tbl>
    <w:p>
      <w:pPr>
        <w:spacing w:before="156" w:beforeLines="50" w:after="156" w:afterLines="50" w:line="240" w:lineRule="auto"/>
        <w:ind w:firstLine="482" w:firstLineChars="200"/>
        <w:rPr>
          <w:rFonts w:hint="default" w:eastAsia="楷体_GB2312"/>
          <w:b/>
          <w:sz w:val="24"/>
          <w:szCs w:val="24"/>
          <w:lang w:eastAsia="zh-Hans"/>
        </w:rPr>
      </w:pPr>
      <w:r>
        <w:rPr>
          <w:rFonts w:hint="eastAsia" w:eastAsia="楷体_GB2312"/>
          <w:b/>
          <w:sz w:val="24"/>
          <w:szCs w:val="24"/>
          <w:lang w:val="en-US" w:eastAsia="zh-Hans"/>
        </w:rPr>
        <w:t>截止</w:t>
      </w:r>
      <w:r>
        <w:rPr>
          <w:rFonts w:hint="default" w:eastAsia="楷体_GB2312"/>
          <w:b/>
          <w:sz w:val="24"/>
          <w:szCs w:val="24"/>
          <w:lang w:eastAsia="zh-Hans"/>
        </w:rPr>
        <w:t>2021</w:t>
      </w:r>
      <w:r>
        <w:rPr>
          <w:rFonts w:hint="eastAsia" w:eastAsia="楷体_GB2312"/>
          <w:b/>
          <w:sz w:val="24"/>
          <w:szCs w:val="24"/>
          <w:lang w:val="en-US" w:eastAsia="zh-Hans"/>
        </w:rPr>
        <w:t>年</w:t>
      </w:r>
      <w:r>
        <w:rPr>
          <w:rFonts w:hint="default" w:eastAsia="楷体_GB2312"/>
          <w:b/>
          <w:sz w:val="24"/>
          <w:szCs w:val="24"/>
          <w:lang w:eastAsia="zh-Hans"/>
        </w:rPr>
        <w:t>12</w:t>
      </w:r>
      <w:r>
        <w:rPr>
          <w:rFonts w:hint="eastAsia" w:eastAsia="楷体_GB2312"/>
          <w:b/>
          <w:sz w:val="24"/>
          <w:szCs w:val="24"/>
          <w:lang w:val="en-US" w:eastAsia="zh-Hans"/>
        </w:rPr>
        <w:t>月</w:t>
      </w:r>
      <w:r>
        <w:rPr>
          <w:rFonts w:hint="default" w:eastAsia="楷体_GB2312"/>
          <w:b/>
          <w:sz w:val="24"/>
          <w:szCs w:val="24"/>
          <w:lang w:eastAsia="zh-Hans"/>
        </w:rPr>
        <w:t>31</w:t>
      </w:r>
      <w:r>
        <w:rPr>
          <w:rFonts w:hint="eastAsia" w:eastAsia="楷体_GB2312"/>
          <w:b/>
          <w:sz w:val="24"/>
          <w:szCs w:val="24"/>
          <w:lang w:val="en-US" w:eastAsia="zh-Hans"/>
        </w:rPr>
        <w:t>日</w:t>
      </w:r>
      <w:r>
        <w:rPr>
          <w:rFonts w:hint="default" w:eastAsia="楷体_GB2312"/>
          <w:b/>
          <w:sz w:val="24"/>
          <w:szCs w:val="24"/>
          <w:lang w:eastAsia="zh-Hans"/>
        </w:rPr>
        <w:t>，</w:t>
      </w:r>
      <w:r>
        <w:rPr>
          <w:rFonts w:hint="eastAsia" w:eastAsia="楷体_GB2312"/>
          <w:b/>
          <w:sz w:val="24"/>
          <w:szCs w:val="24"/>
          <w:lang w:val="en-US" w:eastAsia="zh-Hans"/>
        </w:rPr>
        <w:t>我司</w:t>
      </w:r>
      <w:r>
        <w:rPr>
          <w:rFonts w:hint="eastAsia" w:eastAsia="楷体_GB2312"/>
          <w:b/>
          <w:sz w:val="24"/>
          <w:szCs w:val="24"/>
          <w:lang w:val="en-US" w:eastAsia="zh-CN"/>
        </w:rPr>
        <w:t>驻场人员通过共管的网银账户查询的流水及回单统计的数据</w:t>
      </w:r>
      <w:r>
        <w:rPr>
          <w:rFonts w:hint="eastAsia" w:eastAsia="楷体_GB2312"/>
          <w:b/>
          <w:sz w:val="24"/>
          <w:szCs w:val="24"/>
          <w:lang w:val="en-US" w:eastAsia="zh-Hans"/>
        </w:rPr>
        <w:t>与上述恒大核定债权金额核对</w:t>
      </w:r>
      <w:r>
        <w:rPr>
          <w:rFonts w:hint="eastAsia" w:eastAsia="楷体_GB2312"/>
          <w:b/>
          <w:sz w:val="24"/>
          <w:szCs w:val="24"/>
          <w:lang w:val="en-US" w:eastAsia="zh-CN"/>
        </w:rPr>
        <w:t>，其中与恒大财务人员核</w:t>
      </w:r>
      <w:r>
        <w:rPr>
          <w:rFonts w:hint="eastAsia" w:eastAsia="楷体_GB2312"/>
          <w:b/>
          <w:sz w:val="24"/>
          <w:szCs w:val="24"/>
          <w:lang w:val="en-US" w:eastAsia="zh-Hans"/>
        </w:rPr>
        <w:t>对</w:t>
      </w:r>
      <w:r>
        <w:rPr>
          <w:rFonts w:hint="eastAsia" w:eastAsia="楷体_GB2312"/>
          <w:b/>
          <w:sz w:val="24"/>
          <w:szCs w:val="24"/>
          <w:lang w:val="en-US" w:eastAsia="zh-CN"/>
        </w:rPr>
        <w:t>差异</w:t>
      </w:r>
      <w:r>
        <w:rPr>
          <w:rFonts w:hint="eastAsia" w:eastAsia="楷体_GB2312"/>
          <w:b/>
          <w:sz w:val="24"/>
          <w:szCs w:val="24"/>
          <w:lang w:val="en-US" w:eastAsia="zh-Hans"/>
        </w:rPr>
        <w:t>为</w:t>
      </w:r>
      <w:r>
        <w:rPr>
          <w:rFonts w:hint="eastAsia" w:eastAsia="楷体_GB2312"/>
          <w:b/>
          <w:sz w:val="24"/>
          <w:szCs w:val="24"/>
          <w:lang w:val="en-US" w:eastAsia="zh-CN"/>
        </w:rPr>
        <w:t>350,661.87元</w:t>
      </w:r>
      <w:r>
        <w:rPr>
          <w:rFonts w:hint="default" w:eastAsia="楷体_GB2312"/>
          <w:b/>
          <w:sz w:val="24"/>
          <w:szCs w:val="24"/>
          <w:lang w:eastAsia="zh-CN"/>
        </w:rPr>
        <w:t>，</w:t>
      </w:r>
      <w:r>
        <w:rPr>
          <w:rFonts w:hint="eastAsia" w:eastAsia="楷体_GB2312"/>
          <w:b/>
          <w:sz w:val="24"/>
          <w:szCs w:val="24"/>
          <w:lang w:val="en-US" w:eastAsia="zh-Hans"/>
        </w:rPr>
        <w:t>项目公司</w:t>
      </w:r>
      <w:r>
        <w:rPr>
          <w:rFonts w:hint="eastAsia" w:eastAsia="楷体_GB2312"/>
          <w:b/>
          <w:sz w:val="24"/>
          <w:szCs w:val="24"/>
          <w:lang w:val="en-US" w:eastAsia="zh-CN"/>
        </w:rPr>
        <w:t>已</w:t>
      </w:r>
      <w:r>
        <w:rPr>
          <w:rFonts w:hint="eastAsia" w:eastAsia="楷体_GB2312"/>
          <w:b/>
          <w:sz w:val="24"/>
          <w:szCs w:val="24"/>
          <w:lang w:val="en-US" w:eastAsia="zh-Hans"/>
        </w:rPr>
        <w:t>通过</w:t>
      </w:r>
      <w:r>
        <w:rPr>
          <w:rFonts w:hint="eastAsia" w:eastAsia="楷体_GB2312"/>
          <w:b/>
          <w:sz w:val="24"/>
          <w:szCs w:val="24"/>
          <w:lang w:val="en-US" w:eastAsia="zh-CN"/>
        </w:rPr>
        <w:t>提供的员工社保、公积金系统查询缴纳金额和相应的垫付的工资回单等材料予以证实</w:t>
      </w:r>
      <w:r>
        <w:rPr>
          <w:rFonts w:hint="eastAsia" w:eastAsia="楷体_GB2312"/>
          <w:b/>
          <w:sz w:val="24"/>
          <w:szCs w:val="24"/>
          <w:lang w:val="en-US" w:eastAsia="zh-Hans"/>
        </w:rPr>
        <w:t>差异原因</w:t>
      </w:r>
      <w:r>
        <w:rPr>
          <w:rFonts w:hint="default" w:eastAsia="楷体_GB2312"/>
          <w:b/>
          <w:sz w:val="24"/>
          <w:szCs w:val="24"/>
          <w:lang w:eastAsia="zh-Hans"/>
        </w:rPr>
        <w:t>。</w:t>
      </w:r>
    </w:p>
    <w:p>
      <w:pPr>
        <w:spacing w:before="156" w:beforeLines="50" w:after="156" w:afterLines="50" w:line="240" w:lineRule="auto"/>
        <w:ind w:firstLine="482" w:firstLineChars="200"/>
        <w:rPr>
          <w:rFonts w:hint="eastAsia" w:eastAsia="楷体_GB2312"/>
          <w:b/>
          <w:sz w:val="24"/>
          <w:szCs w:val="24"/>
          <w:lang w:val="en-US" w:eastAsia="zh-CN"/>
        </w:rPr>
      </w:pPr>
      <w:r>
        <w:rPr>
          <w:rFonts w:hint="eastAsia" w:eastAsia="楷体_GB2312"/>
          <w:b/>
          <w:sz w:val="24"/>
          <w:szCs w:val="24"/>
          <w:lang w:val="en-US" w:eastAsia="zh-Hans"/>
        </w:rPr>
        <w:t>综上所述</w:t>
      </w:r>
      <w:r>
        <w:rPr>
          <w:rFonts w:hint="default" w:eastAsia="楷体_GB2312"/>
          <w:b/>
          <w:sz w:val="24"/>
          <w:szCs w:val="24"/>
          <w:lang w:eastAsia="zh-Hans"/>
        </w:rPr>
        <w:t>，</w:t>
      </w:r>
      <w:r>
        <w:rPr>
          <w:rFonts w:hint="eastAsia" w:eastAsia="楷体_GB2312"/>
          <w:b/>
          <w:sz w:val="24"/>
          <w:szCs w:val="24"/>
          <w:lang w:val="en-US" w:eastAsia="zh-Hans"/>
        </w:rPr>
        <w:t>以上列表需确认的截止</w:t>
      </w:r>
      <w:r>
        <w:rPr>
          <w:rFonts w:hint="default" w:eastAsia="楷体_GB2312"/>
          <w:b/>
          <w:sz w:val="24"/>
          <w:szCs w:val="24"/>
          <w:lang w:eastAsia="zh-Hans"/>
        </w:rPr>
        <w:t>2021</w:t>
      </w:r>
      <w:r>
        <w:rPr>
          <w:rFonts w:hint="eastAsia" w:eastAsia="楷体_GB2312"/>
          <w:b/>
          <w:sz w:val="24"/>
          <w:szCs w:val="24"/>
          <w:lang w:val="en-US" w:eastAsia="zh-Hans"/>
        </w:rPr>
        <w:t>年</w:t>
      </w:r>
      <w:r>
        <w:rPr>
          <w:rFonts w:hint="default" w:eastAsia="楷体_GB2312"/>
          <w:b/>
          <w:sz w:val="24"/>
          <w:szCs w:val="24"/>
          <w:lang w:eastAsia="zh-Hans"/>
        </w:rPr>
        <w:t>12</w:t>
      </w:r>
      <w:r>
        <w:rPr>
          <w:rFonts w:hint="eastAsia" w:eastAsia="楷体_GB2312"/>
          <w:b/>
          <w:sz w:val="24"/>
          <w:szCs w:val="24"/>
          <w:lang w:val="en-US" w:eastAsia="zh-Hans"/>
        </w:rPr>
        <w:t>月</w:t>
      </w:r>
      <w:r>
        <w:rPr>
          <w:rFonts w:hint="default" w:eastAsia="楷体_GB2312"/>
          <w:b/>
          <w:sz w:val="24"/>
          <w:szCs w:val="24"/>
          <w:lang w:eastAsia="zh-Hans"/>
        </w:rPr>
        <w:t>31</w:t>
      </w:r>
      <w:r>
        <w:rPr>
          <w:rFonts w:hint="eastAsia" w:eastAsia="楷体_GB2312"/>
          <w:b/>
          <w:sz w:val="24"/>
          <w:szCs w:val="24"/>
          <w:lang w:val="en-US" w:eastAsia="zh-Hans"/>
        </w:rPr>
        <w:t>日</w:t>
      </w:r>
      <w:r>
        <w:rPr>
          <w:rFonts w:hint="eastAsia" w:eastAsia="楷体_GB2312"/>
          <w:b/>
          <w:sz w:val="24"/>
          <w:szCs w:val="24"/>
          <w:lang w:val="en-US" w:eastAsia="zh-CN"/>
        </w:rPr>
        <w:t>恒大投入资金（包含南海俊凯股东投资款318,600,000元）1,207,375,098.52元</w:t>
      </w:r>
      <w:r>
        <w:rPr>
          <w:rFonts w:hint="eastAsia" w:eastAsia="楷体_GB2312"/>
          <w:b/>
          <w:sz w:val="24"/>
          <w:szCs w:val="24"/>
          <w:lang w:val="en-US" w:eastAsia="zh-Hans"/>
        </w:rPr>
        <w:t>与我司记录基本一致</w:t>
      </w:r>
      <w:r>
        <w:rPr>
          <w:rFonts w:hint="default" w:eastAsia="楷体_GB2312"/>
          <w:b/>
          <w:sz w:val="24"/>
          <w:szCs w:val="24"/>
          <w:lang w:eastAsia="zh-Hans"/>
        </w:rPr>
        <w:t>。</w:t>
      </w:r>
      <w:r>
        <w:rPr>
          <w:rFonts w:hint="eastAsia" w:eastAsia="楷体_GB2312"/>
          <w:b/>
          <w:sz w:val="24"/>
          <w:szCs w:val="24"/>
          <w:lang w:val="en-US" w:eastAsia="zh-CN"/>
        </w:rPr>
        <w:t xml:space="preserve">                                                      </w:t>
      </w:r>
    </w:p>
    <w:p>
      <w:pPr>
        <w:spacing w:before="156" w:beforeLines="50" w:after="156" w:afterLines="50" w:line="240" w:lineRule="auto"/>
        <w:ind w:firstLine="8674" w:firstLineChars="3600"/>
        <w:rPr>
          <w:rFonts w:hint="eastAsia" w:eastAsia="楷体_GB2312"/>
          <w:b/>
          <w:sz w:val="24"/>
          <w:szCs w:val="24"/>
          <w:lang w:val="en-US" w:eastAsia="zh-CN"/>
        </w:rPr>
      </w:pPr>
      <w:bookmarkStart w:id="10" w:name="_GoBack"/>
      <w:bookmarkEnd w:id="10"/>
      <w:r>
        <w:rPr>
          <w:rFonts w:hint="eastAsia" w:eastAsia="楷体_GB2312"/>
          <w:b/>
          <w:sz w:val="24"/>
          <w:szCs w:val="24"/>
          <w:lang w:val="en-US" w:eastAsia="zh-CN"/>
        </w:rPr>
        <w:t xml:space="preserve"> 北京康正宏基房地产评估有限公司顺德项目组</w:t>
      </w:r>
    </w:p>
    <w:p>
      <w:pPr>
        <w:spacing w:before="156" w:beforeLines="50" w:after="156" w:afterLines="50" w:line="360" w:lineRule="auto"/>
        <w:ind w:left="9660" w:leftChars="0" w:firstLine="420" w:firstLineChars="0"/>
        <w:jc w:val="left"/>
        <w:outlineLvl w:val="0"/>
        <w:rPr>
          <w:rFonts w:hint="default" w:eastAsia="楷体_GB2312"/>
          <w:b/>
          <w:sz w:val="24"/>
          <w:szCs w:val="24"/>
          <w:lang w:val="en-US" w:eastAsia="zh-CN"/>
        </w:rPr>
      </w:pPr>
      <w:r>
        <w:rPr>
          <w:rFonts w:hint="eastAsia" w:eastAsia="楷体_GB2312"/>
          <w:b/>
          <w:sz w:val="24"/>
          <w:szCs w:val="24"/>
          <w:lang w:val="en-US" w:eastAsia="zh-CN"/>
        </w:rPr>
        <w:t>2022年2月21日</w:t>
      </w:r>
    </w:p>
    <w:p>
      <w:pPr>
        <w:spacing w:before="156" w:beforeLines="50" w:after="156" w:afterLines="50" w:line="360" w:lineRule="auto"/>
        <w:ind w:firstLine="482" w:firstLineChars="200"/>
        <w:rPr>
          <w:rFonts w:hint="default" w:eastAsia="楷体_GB2312"/>
          <w:b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E7"/>
    <w:rsid w:val="00154409"/>
    <w:rsid w:val="00483EF4"/>
    <w:rsid w:val="004A6A97"/>
    <w:rsid w:val="004B4ACA"/>
    <w:rsid w:val="004E4606"/>
    <w:rsid w:val="00614D0C"/>
    <w:rsid w:val="00745E3E"/>
    <w:rsid w:val="007A2C3C"/>
    <w:rsid w:val="008A69B7"/>
    <w:rsid w:val="008B6B07"/>
    <w:rsid w:val="0095694C"/>
    <w:rsid w:val="009B14A5"/>
    <w:rsid w:val="00AF5542"/>
    <w:rsid w:val="00C55AEB"/>
    <w:rsid w:val="00CC4263"/>
    <w:rsid w:val="00DB16E7"/>
    <w:rsid w:val="00EA06DC"/>
    <w:rsid w:val="00F05FBB"/>
    <w:rsid w:val="02193FEA"/>
    <w:rsid w:val="05D218F2"/>
    <w:rsid w:val="0AC8241D"/>
    <w:rsid w:val="0F23369E"/>
    <w:rsid w:val="133C027F"/>
    <w:rsid w:val="1A41467A"/>
    <w:rsid w:val="1D026348"/>
    <w:rsid w:val="1E095A17"/>
    <w:rsid w:val="1F4606EE"/>
    <w:rsid w:val="2A0B62CB"/>
    <w:rsid w:val="2B7D43F3"/>
    <w:rsid w:val="2C714321"/>
    <w:rsid w:val="2CB74D4C"/>
    <w:rsid w:val="2CD905E6"/>
    <w:rsid w:val="33174961"/>
    <w:rsid w:val="33845CF5"/>
    <w:rsid w:val="34C214AC"/>
    <w:rsid w:val="3C8D2A5F"/>
    <w:rsid w:val="3E923A1E"/>
    <w:rsid w:val="45397CB8"/>
    <w:rsid w:val="46CA3017"/>
    <w:rsid w:val="51AB1D4F"/>
    <w:rsid w:val="544E177E"/>
    <w:rsid w:val="55AB3E3D"/>
    <w:rsid w:val="561B289D"/>
    <w:rsid w:val="56B30734"/>
    <w:rsid w:val="644C4C5D"/>
    <w:rsid w:val="657F2D93"/>
    <w:rsid w:val="698119A3"/>
    <w:rsid w:val="698C759C"/>
    <w:rsid w:val="6B45192C"/>
    <w:rsid w:val="6B5B451B"/>
    <w:rsid w:val="73C20D5E"/>
    <w:rsid w:val="74C60CA8"/>
    <w:rsid w:val="763B5CE0"/>
    <w:rsid w:val="798D5F74"/>
    <w:rsid w:val="7D7B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Lines>2</Lines>
  <Paragraphs>1</Paragraphs>
  <TotalTime>1</TotalTime>
  <ScaleCrop>false</ScaleCrop>
  <LinksUpToDate>false</LinksUpToDate>
  <CharactersWithSpaces>328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2021-12-29T01:01:00Z</dcterms:created>
  <dc:creator>M&amp;T-ZYJ-1227-A</dc:creator>
  <cp:lastModifiedBy>63598</cp:lastModifiedBy>
  <dcterms:modified xsi:type="dcterms:W3CDTF">2022-02-21T02:42:06Z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  <property fmtid="{D5CDD505-2E9C-101B-9397-08002B2CF9AE}" pid="3" name="ICV">
    <vt:lpwstr>E060A5E06C91428382C9BAB77442C008</vt:lpwstr>
  </property>
</Properties>
</file>