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52" w:rsidRDefault="007B0152">
      <w:pPr>
        <w:jc w:val="center"/>
        <w:rPr>
          <w:b/>
          <w:bCs/>
          <w:sz w:val="52"/>
          <w:szCs w:val="52"/>
        </w:rPr>
      </w:pPr>
    </w:p>
    <w:p w:rsidR="007B0152" w:rsidRDefault="007B0152">
      <w:pPr>
        <w:jc w:val="center"/>
        <w:rPr>
          <w:b/>
          <w:bCs/>
          <w:sz w:val="52"/>
          <w:szCs w:val="52"/>
        </w:rPr>
      </w:pPr>
    </w:p>
    <w:p w:rsidR="007B0152" w:rsidRDefault="008D04A5">
      <w:pPr>
        <w:jc w:val="center"/>
        <w:rPr>
          <w:b/>
          <w:bCs/>
          <w:sz w:val="52"/>
          <w:szCs w:val="52"/>
        </w:rPr>
      </w:pPr>
      <w:r>
        <w:rPr>
          <w:rFonts w:hint="eastAsia"/>
          <w:b/>
          <w:bCs/>
          <w:sz w:val="52"/>
          <w:szCs w:val="52"/>
        </w:rPr>
        <w:t>报价函</w:t>
      </w:r>
    </w:p>
    <w:p w:rsidR="007B0152" w:rsidRDefault="007B0152" w:rsidP="0022297B">
      <w:pPr>
        <w:jc w:val="right"/>
        <w:rPr>
          <w:sz w:val="28"/>
          <w:szCs w:val="28"/>
        </w:rPr>
      </w:pPr>
    </w:p>
    <w:p w:rsidR="007B0152" w:rsidRDefault="007B0152" w:rsidP="0022297B">
      <w:pPr>
        <w:jc w:val="right"/>
        <w:rPr>
          <w:sz w:val="28"/>
          <w:szCs w:val="28"/>
        </w:rPr>
      </w:pPr>
    </w:p>
    <w:p w:rsidR="007B0152" w:rsidRDefault="007B0152" w:rsidP="0022297B">
      <w:pPr>
        <w:jc w:val="right"/>
        <w:rPr>
          <w:sz w:val="28"/>
          <w:szCs w:val="28"/>
        </w:rPr>
      </w:pPr>
    </w:p>
    <w:p w:rsidR="007B0152" w:rsidRDefault="007B0152" w:rsidP="0022297B">
      <w:pPr>
        <w:jc w:val="right"/>
        <w:rPr>
          <w:sz w:val="28"/>
          <w:szCs w:val="28"/>
        </w:rPr>
      </w:pPr>
    </w:p>
    <w:p w:rsidR="007B0152" w:rsidRDefault="007B0152" w:rsidP="0022297B">
      <w:pPr>
        <w:jc w:val="right"/>
        <w:rPr>
          <w:sz w:val="28"/>
          <w:szCs w:val="28"/>
        </w:rPr>
      </w:pPr>
    </w:p>
    <w:p w:rsidR="007B0152" w:rsidRPr="00FD23D2" w:rsidRDefault="007B0152" w:rsidP="0022297B">
      <w:pPr>
        <w:jc w:val="right"/>
        <w:rPr>
          <w:sz w:val="28"/>
          <w:szCs w:val="28"/>
        </w:rPr>
      </w:pPr>
    </w:p>
    <w:p w:rsidR="007B0152" w:rsidRDefault="007B0152" w:rsidP="0022297B">
      <w:pPr>
        <w:jc w:val="right"/>
        <w:rPr>
          <w:sz w:val="28"/>
          <w:szCs w:val="28"/>
        </w:rPr>
      </w:pPr>
      <w:bookmarkStart w:id="0" w:name="_GoBack"/>
      <w:bookmarkEnd w:id="0"/>
    </w:p>
    <w:p w:rsidR="007B0152" w:rsidRDefault="007B0152" w:rsidP="0022297B">
      <w:pPr>
        <w:jc w:val="right"/>
        <w:rPr>
          <w:rFonts w:eastAsia="仿宋_GB2312"/>
          <w:spacing w:val="10"/>
          <w:sz w:val="32"/>
        </w:rPr>
      </w:pPr>
    </w:p>
    <w:p w:rsidR="007B0152" w:rsidRDefault="007B0152">
      <w:pPr>
        <w:rPr>
          <w:sz w:val="28"/>
          <w:szCs w:val="28"/>
          <w:u w:val="single"/>
        </w:rPr>
      </w:pPr>
      <w:r>
        <w:rPr>
          <w:rFonts w:hint="eastAsia"/>
          <w:sz w:val="28"/>
          <w:szCs w:val="28"/>
        </w:rPr>
        <w:t>委托人：</w:t>
      </w:r>
      <w:r w:rsidR="00410C0B" w:rsidRPr="00410C0B">
        <w:rPr>
          <w:rFonts w:hint="eastAsia"/>
          <w:sz w:val="28"/>
          <w:szCs w:val="28"/>
          <w:u w:val="single"/>
        </w:rPr>
        <w:t>天津市赛达伟业有限公司</w:t>
      </w:r>
    </w:p>
    <w:p w:rsidR="007B0152" w:rsidRDefault="007B0152">
      <w:pPr>
        <w:rPr>
          <w:sz w:val="28"/>
          <w:szCs w:val="28"/>
          <w:u w:val="single"/>
        </w:rPr>
      </w:pPr>
    </w:p>
    <w:p w:rsidR="007B0152" w:rsidRDefault="007B0152">
      <w:pPr>
        <w:rPr>
          <w:sz w:val="28"/>
          <w:szCs w:val="28"/>
          <w:u w:val="single"/>
        </w:rPr>
      </w:pPr>
      <w:r>
        <w:rPr>
          <w:rFonts w:hint="eastAsia"/>
          <w:sz w:val="28"/>
          <w:szCs w:val="28"/>
        </w:rPr>
        <w:t>受托人：</w:t>
      </w:r>
      <w:proofErr w:type="gramStart"/>
      <w:r w:rsidR="00FD23D2" w:rsidRPr="00FD23D2">
        <w:rPr>
          <w:rFonts w:hint="eastAsia"/>
          <w:sz w:val="28"/>
          <w:szCs w:val="28"/>
          <w:u w:val="single"/>
        </w:rPr>
        <w:t>北京康正宏</w:t>
      </w:r>
      <w:proofErr w:type="gramEnd"/>
      <w:r w:rsidR="00FD23D2" w:rsidRPr="00FD23D2">
        <w:rPr>
          <w:rFonts w:hint="eastAsia"/>
          <w:sz w:val="28"/>
          <w:szCs w:val="28"/>
          <w:u w:val="single"/>
        </w:rPr>
        <w:t>基房地产评估有限公司</w:t>
      </w:r>
    </w:p>
    <w:p w:rsidR="007B0152" w:rsidRDefault="007B0152">
      <w:pPr>
        <w:rPr>
          <w:sz w:val="28"/>
          <w:szCs w:val="28"/>
          <w:u w:val="single"/>
        </w:rPr>
      </w:pPr>
    </w:p>
    <w:p w:rsidR="007B0152" w:rsidRDefault="007B0152">
      <w:pPr>
        <w:rPr>
          <w:sz w:val="28"/>
          <w:szCs w:val="28"/>
          <w:u w:val="single"/>
        </w:rPr>
        <w:sectPr w:rsidR="007B0152">
          <w:footerReference w:type="default" r:id="rId8"/>
          <w:pgSz w:w="11906" w:h="16838"/>
          <w:pgMar w:top="1440" w:right="1800" w:bottom="1440" w:left="1800" w:header="851" w:footer="992" w:gutter="0"/>
          <w:cols w:space="720"/>
          <w:docGrid w:type="lines" w:linePitch="312"/>
        </w:sectPr>
      </w:pPr>
      <w:r>
        <w:rPr>
          <w:rFonts w:hint="eastAsia"/>
          <w:sz w:val="28"/>
          <w:szCs w:val="28"/>
        </w:rPr>
        <w:t>签订日期：</w:t>
      </w:r>
      <w:r>
        <w:rPr>
          <w:sz w:val="28"/>
          <w:szCs w:val="28"/>
          <w:u w:val="single"/>
        </w:rPr>
        <w:t>201</w:t>
      </w:r>
      <w:r w:rsidR="00410C0B">
        <w:rPr>
          <w:rFonts w:hint="eastAsia"/>
          <w:sz w:val="28"/>
          <w:szCs w:val="28"/>
          <w:u w:val="single"/>
        </w:rPr>
        <w:t>8</w:t>
      </w:r>
      <w:r>
        <w:rPr>
          <w:rFonts w:hint="eastAsia"/>
          <w:sz w:val="28"/>
          <w:szCs w:val="28"/>
          <w:u w:val="single"/>
        </w:rPr>
        <w:t>年</w:t>
      </w:r>
      <w:r w:rsidR="00410C0B">
        <w:rPr>
          <w:rFonts w:hint="eastAsia"/>
          <w:sz w:val="28"/>
          <w:szCs w:val="28"/>
          <w:u w:val="single"/>
        </w:rPr>
        <w:t>6</w:t>
      </w:r>
      <w:r>
        <w:rPr>
          <w:rFonts w:hint="eastAsia"/>
          <w:sz w:val="28"/>
          <w:szCs w:val="28"/>
          <w:u w:val="single"/>
        </w:rPr>
        <w:t>月</w:t>
      </w:r>
      <w:r w:rsidR="00410C0B">
        <w:rPr>
          <w:rFonts w:hint="eastAsia"/>
          <w:sz w:val="28"/>
          <w:szCs w:val="28"/>
          <w:u w:val="single"/>
        </w:rPr>
        <w:t>7</w:t>
      </w:r>
      <w:r>
        <w:rPr>
          <w:rFonts w:hint="eastAsia"/>
          <w:sz w:val="28"/>
          <w:szCs w:val="28"/>
          <w:u w:val="single"/>
        </w:rPr>
        <w:t>日</w:t>
      </w:r>
    </w:p>
    <w:p w:rsidR="007B0152" w:rsidRDefault="007B0152"/>
    <w:p w:rsidR="007B0152" w:rsidRDefault="007B0152">
      <w:pPr>
        <w:spacing w:line="480" w:lineRule="auto"/>
        <w:rPr>
          <w:sz w:val="24"/>
        </w:rPr>
      </w:pPr>
      <w:r>
        <w:rPr>
          <w:rFonts w:hint="eastAsia"/>
          <w:sz w:val="24"/>
        </w:rPr>
        <w:t>委托估价方：</w:t>
      </w:r>
      <w:r w:rsidR="00410C0B" w:rsidRPr="00410C0B">
        <w:rPr>
          <w:rFonts w:hint="eastAsia"/>
          <w:sz w:val="24"/>
        </w:rPr>
        <w:t>天津市赛达伟业有限公司</w:t>
      </w:r>
      <w:r>
        <w:rPr>
          <w:rFonts w:hint="eastAsia"/>
          <w:sz w:val="24"/>
        </w:rPr>
        <w:t>（以下简称委托人）</w:t>
      </w:r>
    </w:p>
    <w:p w:rsidR="007B0152" w:rsidRDefault="007B0152">
      <w:pPr>
        <w:spacing w:line="480" w:lineRule="auto"/>
        <w:rPr>
          <w:sz w:val="24"/>
        </w:rPr>
      </w:pPr>
      <w:r>
        <w:rPr>
          <w:rFonts w:hint="eastAsia"/>
          <w:sz w:val="24"/>
        </w:rPr>
        <w:t>住所地（送达地址）：</w:t>
      </w:r>
      <w:r w:rsidR="00410C0B">
        <w:rPr>
          <w:rFonts w:hint="eastAsia"/>
          <w:sz w:val="24"/>
        </w:rPr>
        <w:t>天津市西青经济技术开发区赛达新兴产业园</w:t>
      </w:r>
      <w:r w:rsidR="00410C0B">
        <w:rPr>
          <w:rFonts w:hint="eastAsia"/>
          <w:sz w:val="24"/>
        </w:rPr>
        <w:t>E1</w:t>
      </w:r>
      <w:r w:rsidR="00410C0B">
        <w:rPr>
          <w:rFonts w:hint="eastAsia"/>
          <w:sz w:val="24"/>
        </w:rPr>
        <w:t>座</w:t>
      </w:r>
      <w:r w:rsidR="00410C0B">
        <w:rPr>
          <w:rFonts w:hint="eastAsia"/>
          <w:sz w:val="24"/>
        </w:rPr>
        <w:t>3</w:t>
      </w:r>
      <w:r w:rsidR="00410C0B">
        <w:rPr>
          <w:rFonts w:hint="eastAsia"/>
          <w:sz w:val="24"/>
        </w:rPr>
        <w:t>层</w:t>
      </w:r>
    </w:p>
    <w:p w:rsidR="007B0152" w:rsidRDefault="007B0152">
      <w:pPr>
        <w:spacing w:line="480" w:lineRule="auto"/>
        <w:rPr>
          <w:sz w:val="24"/>
        </w:rPr>
      </w:pPr>
      <w:r>
        <w:rPr>
          <w:rFonts w:hint="eastAsia"/>
          <w:sz w:val="24"/>
        </w:rPr>
        <w:t>联系人：</w:t>
      </w:r>
      <w:r w:rsidR="00410C0B">
        <w:rPr>
          <w:rFonts w:hint="eastAsia"/>
          <w:sz w:val="24"/>
        </w:rPr>
        <w:t>马金恒</w:t>
      </w:r>
    </w:p>
    <w:p w:rsidR="007B0152" w:rsidRDefault="007B0152">
      <w:pPr>
        <w:spacing w:line="480" w:lineRule="auto"/>
        <w:rPr>
          <w:sz w:val="24"/>
        </w:rPr>
      </w:pPr>
      <w:r>
        <w:rPr>
          <w:rFonts w:hint="eastAsia"/>
          <w:sz w:val="24"/>
        </w:rPr>
        <w:t>联系电话：</w:t>
      </w:r>
      <w:r w:rsidR="00410C0B">
        <w:rPr>
          <w:rFonts w:hint="eastAsia"/>
          <w:sz w:val="24"/>
        </w:rPr>
        <w:t>18622940569</w:t>
      </w:r>
    </w:p>
    <w:p w:rsidR="007B0152" w:rsidRDefault="007B0152">
      <w:pPr>
        <w:spacing w:line="480" w:lineRule="auto"/>
        <w:rPr>
          <w:sz w:val="24"/>
        </w:rPr>
      </w:pPr>
    </w:p>
    <w:p w:rsidR="007B0152" w:rsidRDefault="007B0152">
      <w:pPr>
        <w:spacing w:line="480" w:lineRule="auto"/>
        <w:rPr>
          <w:sz w:val="24"/>
        </w:rPr>
      </w:pPr>
    </w:p>
    <w:p w:rsidR="007B0152" w:rsidRDefault="007B0152">
      <w:pPr>
        <w:spacing w:line="480" w:lineRule="auto"/>
        <w:rPr>
          <w:sz w:val="24"/>
        </w:rPr>
      </w:pPr>
    </w:p>
    <w:p w:rsidR="007B0152" w:rsidRDefault="007B0152">
      <w:pPr>
        <w:spacing w:line="480" w:lineRule="auto"/>
        <w:rPr>
          <w:sz w:val="24"/>
        </w:rPr>
      </w:pPr>
    </w:p>
    <w:p w:rsidR="007B0152" w:rsidRDefault="007B0152">
      <w:pPr>
        <w:spacing w:line="480" w:lineRule="auto"/>
        <w:rPr>
          <w:sz w:val="24"/>
        </w:rPr>
      </w:pPr>
      <w:r>
        <w:rPr>
          <w:rFonts w:hint="eastAsia"/>
          <w:sz w:val="24"/>
        </w:rPr>
        <w:t>受托估价方：</w:t>
      </w:r>
      <w:proofErr w:type="gramStart"/>
      <w:r w:rsidR="00FD23D2" w:rsidRPr="00FD23D2">
        <w:rPr>
          <w:rFonts w:hint="eastAsia"/>
          <w:sz w:val="24"/>
        </w:rPr>
        <w:t>北京康正宏</w:t>
      </w:r>
      <w:proofErr w:type="gramEnd"/>
      <w:r w:rsidR="00FD23D2" w:rsidRPr="00FD23D2">
        <w:rPr>
          <w:rFonts w:hint="eastAsia"/>
          <w:sz w:val="24"/>
        </w:rPr>
        <w:t>基房地产评估有限公司</w:t>
      </w:r>
      <w:r>
        <w:rPr>
          <w:rFonts w:hint="eastAsia"/>
          <w:sz w:val="24"/>
        </w:rPr>
        <w:t>（以下简称受托人）</w:t>
      </w:r>
    </w:p>
    <w:p w:rsidR="007B0152" w:rsidRDefault="007B0152">
      <w:pPr>
        <w:spacing w:line="480" w:lineRule="auto"/>
        <w:rPr>
          <w:sz w:val="24"/>
        </w:rPr>
      </w:pPr>
      <w:r>
        <w:rPr>
          <w:rFonts w:hint="eastAsia"/>
          <w:sz w:val="24"/>
        </w:rPr>
        <w:t>住所地（送达地址）：</w:t>
      </w:r>
      <w:r w:rsidR="00FB506A" w:rsidRPr="00FB506A">
        <w:rPr>
          <w:rFonts w:hint="eastAsia"/>
          <w:sz w:val="24"/>
        </w:rPr>
        <w:t>北京市朝阳区裕民路</w:t>
      </w:r>
      <w:r w:rsidR="00FB506A" w:rsidRPr="00FB506A">
        <w:rPr>
          <w:rFonts w:hint="eastAsia"/>
          <w:sz w:val="24"/>
        </w:rPr>
        <w:t>12</w:t>
      </w:r>
      <w:r w:rsidR="00FB506A" w:rsidRPr="00FB506A">
        <w:rPr>
          <w:rFonts w:hint="eastAsia"/>
          <w:sz w:val="24"/>
        </w:rPr>
        <w:t>号中国国际科技会展中心</w:t>
      </w:r>
      <w:r w:rsidR="00FB506A" w:rsidRPr="00FB506A">
        <w:rPr>
          <w:rFonts w:hint="eastAsia"/>
          <w:sz w:val="24"/>
        </w:rPr>
        <w:t>B</w:t>
      </w:r>
      <w:r w:rsidR="00FB506A" w:rsidRPr="00FB506A">
        <w:rPr>
          <w:rFonts w:hint="eastAsia"/>
          <w:sz w:val="24"/>
        </w:rPr>
        <w:t>座</w:t>
      </w:r>
      <w:r w:rsidR="00FB506A" w:rsidRPr="00FB506A">
        <w:rPr>
          <w:rFonts w:hint="eastAsia"/>
          <w:sz w:val="24"/>
        </w:rPr>
        <w:t>1001</w:t>
      </w:r>
      <w:r w:rsidR="00FB506A" w:rsidRPr="00FB506A">
        <w:rPr>
          <w:rFonts w:hint="eastAsia"/>
          <w:sz w:val="24"/>
        </w:rPr>
        <w:t>室</w:t>
      </w:r>
    </w:p>
    <w:p w:rsidR="007B0152" w:rsidRDefault="007B0152">
      <w:pPr>
        <w:spacing w:line="480" w:lineRule="auto"/>
        <w:rPr>
          <w:sz w:val="24"/>
        </w:rPr>
      </w:pPr>
      <w:r>
        <w:rPr>
          <w:rFonts w:hint="eastAsia"/>
          <w:sz w:val="24"/>
        </w:rPr>
        <w:t>联系人：</w:t>
      </w:r>
      <w:r w:rsidR="00FB506A">
        <w:rPr>
          <w:rFonts w:hint="eastAsia"/>
          <w:sz w:val="24"/>
        </w:rPr>
        <w:t>门</w:t>
      </w:r>
      <w:proofErr w:type="gramStart"/>
      <w:r w:rsidR="00FB506A">
        <w:rPr>
          <w:rFonts w:hint="eastAsia"/>
          <w:sz w:val="24"/>
        </w:rPr>
        <w:t>麒</w:t>
      </w:r>
      <w:proofErr w:type="gramEnd"/>
    </w:p>
    <w:p w:rsidR="007B0152" w:rsidRDefault="007B0152">
      <w:pPr>
        <w:spacing w:line="480" w:lineRule="auto"/>
        <w:rPr>
          <w:sz w:val="24"/>
        </w:rPr>
      </w:pPr>
      <w:r>
        <w:rPr>
          <w:rFonts w:hint="eastAsia"/>
          <w:sz w:val="24"/>
        </w:rPr>
        <w:t>联系电话：</w:t>
      </w:r>
      <w:r w:rsidR="00FB506A">
        <w:rPr>
          <w:rFonts w:hint="eastAsia"/>
          <w:sz w:val="24"/>
        </w:rPr>
        <w:t>15810683781</w:t>
      </w:r>
    </w:p>
    <w:p w:rsidR="007B0152" w:rsidRDefault="007B0152">
      <w:pPr>
        <w:spacing w:line="480" w:lineRule="auto"/>
        <w:rPr>
          <w:sz w:val="24"/>
        </w:rPr>
      </w:pPr>
    </w:p>
    <w:p w:rsidR="007B0152" w:rsidRDefault="007B0152">
      <w:pPr>
        <w:spacing w:line="480" w:lineRule="auto"/>
        <w:rPr>
          <w:sz w:val="24"/>
        </w:rPr>
      </w:pPr>
    </w:p>
    <w:p w:rsidR="007B0152" w:rsidRDefault="007B0152">
      <w:pPr>
        <w:spacing w:line="480" w:lineRule="auto"/>
        <w:rPr>
          <w:sz w:val="24"/>
        </w:rPr>
      </w:pPr>
    </w:p>
    <w:p w:rsidR="007B0152" w:rsidRDefault="007B0152">
      <w:pPr>
        <w:spacing w:line="480" w:lineRule="auto"/>
        <w:rPr>
          <w:sz w:val="24"/>
        </w:rPr>
      </w:pPr>
    </w:p>
    <w:p w:rsidR="007B0152" w:rsidRDefault="007B0152">
      <w:pPr>
        <w:spacing w:line="480" w:lineRule="auto"/>
        <w:rPr>
          <w:sz w:val="24"/>
        </w:rPr>
      </w:pPr>
    </w:p>
    <w:p w:rsidR="007B0152" w:rsidRDefault="007B0152">
      <w:pPr>
        <w:spacing w:line="480" w:lineRule="auto"/>
        <w:rPr>
          <w:sz w:val="24"/>
        </w:rPr>
      </w:pPr>
    </w:p>
    <w:p w:rsidR="003C7986" w:rsidRDefault="003C7986">
      <w:pPr>
        <w:spacing w:line="480" w:lineRule="auto"/>
        <w:rPr>
          <w:sz w:val="24"/>
        </w:rPr>
      </w:pPr>
    </w:p>
    <w:p w:rsidR="003C7986" w:rsidRDefault="003C7986">
      <w:pPr>
        <w:spacing w:line="480" w:lineRule="auto"/>
        <w:rPr>
          <w:sz w:val="24"/>
        </w:rPr>
      </w:pPr>
    </w:p>
    <w:p w:rsidR="008D04A5" w:rsidRDefault="008D04A5" w:rsidP="00971BA7">
      <w:pPr>
        <w:spacing w:line="360" w:lineRule="auto"/>
        <w:ind w:firstLineChars="200" w:firstLine="480"/>
        <w:rPr>
          <w:sz w:val="24"/>
        </w:rPr>
      </w:pPr>
    </w:p>
    <w:p w:rsidR="008D04A5" w:rsidRDefault="008D04A5" w:rsidP="00971BA7">
      <w:pPr>
        <w:spacing w:line="360" w:lineRule="auto"/>
        <w:ind w:firstLineChars="200" w:firstLine="480"/>
        <w:rPr>
          <w:sz w:val="24"/>
        </w:rPr>
      </w:pPr>
    </w:p>
    <w:p w:rsidR="007B0152" w:rsidRDefault="007B0152" w:rsidP="00971BA7">
      <w:pPr>
        <w:spacing w:line="360" w:lineRule="auto"/>
        <w:ind w:firstLineChars="200" w:firstLine="480"/>
        <w:rPr>
          <w:sz w:val="24"/>
        </w:rPr>
      </w:pPr>
      <w:r>
        <w:rPr>
          <w:rFonts w:hint="eastAsia"/>
          <w:sz w:val="24"/>
        </w:rPr>
        <w:t>根据《中华人民共和国城市房地产管理法》、《中华人民共和国土地管理法》、《中华人民共和国合同法》、《城镇土地估价规程》及《房地产估价规范》及其他有关法律、行政法规的规定，双方在平等、自愿的基础上，就委托人委托受托人进行</w:t>
      </w:r>
      <w:r>
        <w:rPr>
          <w:rFonts w:hint="eastAsia"/>
          <w:sz w:val="24"/>
          <w:u w:val="single"/>
        </w:rPr>
        <w:t>房地产</w:t>
      </w:r>
      <w:r>
        <w:rPr>
          <w:rFonts w:hint="eastAsia"/>
          <w:sz w:val="24"/>
        </w:rPr>
        <w:t>估价事宜达成如下协议：</w:t>
      </w:r>
    </w:p>
    <w:p w:rsidR="007B0152" w:rsidRDefault="007B0152">
      <w:pPr>
        <w:spacing w:line="360" w:lineRule="auto"/>
        <w:rPr>
          <w:sz w:val="24"/>
        </w:rPr>
      </w:pPr>
    </w:p>
    <w:p w:rsidR="007B0152" w:rsidRDefault="007B0152">
      <w:pPr>
        <w:numPr>
          <w:ilvl w:val="0"/>
          <w:numId w:val="1"/>
        </w:numPr>
        <w:spacing w:line="360" w:lineRule="auto"/>
        <w:rPr>
          <w:b/>
          <w:bCs/>
          <w:sz w:val="24"/>
        </w:rPr>
      </w:pPr>
      <w:r>
        <w:rPr>
          <w:rFonts w:hint="eastAsia"/>
          <w:b/>
          <w:bCs/>
          <w:sz w:val="24"/>
        </w:rPr>
        <w:t>评估项目概况</w:t>
      </w:r>
    </w:p>
    <w:p w:rsidR="007B0152" w:rsidRDefault="007B0152" w:rsidP="00971BA7">
      <w:pPr>
        <w:spacing w:line="360" w:lineRule="auto"/>
        <w:ind w:firstLineChars="200" w:firstLine="480"/>
        <w:rPr>
          <w:sz w:val="24"/>
          <w:u w:val="single"/>
        </w:rPr>
      </w:pPr>
      <w:r>
        <w:rPr>
          <w:sz w:val="24"/>
        </w:rPr>
        <w:t xml:space="preserve">1.1 </w:t>
      </w:r>
      <w:r w:rsidR="003C7986">
        <w:rPr>
          <w:rFonts w:hint="eastAsia"/>
          <w:sz w:val="24"/>
        </w:rPr>
        <w:t>估价对象</w:t>
      </w:r>
      <w:r>
        <w:rPr>
          <w:rFonts w:hint="eastAsia"/>
          <w:sz w:val="24"/>
          <w:u w:val="single"/>
        </w:rPr>
        <w:t>：</w:t>
      </w:r>
      <w:r w:rsidR="00BD5DC9" w:rsidRPr="00BD5DC9">
        <w:rPr>
          <w:rFonts w:hint="eastAsia"/>
          <w:sz w:val="24"/>
          <w:u w:val="single"/>
        </w:rPr>
        <w:t>估价对象为天津市赛达伟业有限公司名下所属的位于天津市西青经济开发区的赛达园、汇亚园、国际城、王稳庄等约</w:t>
      </w:r>
      <w:r w:rsidR="00BD5DC9" w:rsidRPr="00BD5DC9">
        <w:rPr>
          <w:rFonts w:hint="eastAsia"/>
          <w:sz w:val="24"/>
          <w:u w:val="single"/>
        </w:rPr>
        <w:t>70</w:t>
      </w:r>
      <w:r w:rsidR="00BD5DC9" w:rsidRPr="00BD5DC9">
        <w:rPr>
          <w:rFonts w:hint="eastAsia"/>
          <w:sz w:val="24"/>
          <w:u w:val="single"/>
        </w:rPr>
        <w:t>个工业厂房房地产。</w:t>
      </w:r>
    </w:p>
    <w:p w:rsidR="00BD5DC9" w:rsidRDefault="00BD5DC9" w:rsidP="00971BA7">
      <w:pPr>
        <w:spacing w:line="360" w:lineRule="auto"/>
        <w:ind w:firstLineChars="200" w:firstLine="480"/>
        <w:rPr>
          <w:sz w:val="24"/>
        </w:rPr>
      </w:pPr>
    </w:p>
    <w:p w:rsidR="007B0152" w:rsidRDefault="007B0152" w:rsidP="00971BA7">
      <w:pPr>
        <w:spacing w:line="360" w:lineRule="auto"/>
        <w:ind w:firstLineChars="200" w:firstLine="480"/>
        <w:rPr>
          <w:sz w:val="24"/>
          <w:u w:val="single"/>
        </w:rPr>
      </w:pPr>
      <w:r>
        <w:rPr>
          <w:sz w:val="24"/>
        </w:rPr>
        <w:t xml:space="preserve">1.2 </w:t>
      </w:r>
      <w:r w:rsidR="00BD5DC9">
        <w:rPr>
          <w:rFonts w:hint="eastAsia"/>
          <w:sz w:val="24"/>
        </w:rPr>
        <w:t>服务</w:t>
      </w:r>
      <w:r>
        <w:rPr>
          <w:rFonts w:hint="eastAsia"/>
          <w:sz w:val="24"/>
        </w:rPr>
        <w:t>内容</w:t>
      </w:r>
      <w:r w:rsidRPr="0022297B">
        <w:rPr>
          <w:rFonts w:hint="eastAsia"/>
          <w:sz w:val="24"/>
          <w:u w:val="single"/>
        </w:rPr>
        <w:t>：</w:t>
      </w:r>
      <w:r w:rsidRPr="00470B5D">
        <w:rPr>
          <w:rFonts w:hint="eastAsia"/>
          <w:sz w:val="24"/>
          <w:u w:val="single"/>
        </w:rPr>
        <w:t>房地产</w:t>
      </w:r>
      <w:r w:rsidR="001C33A5">
        <w:rPr>
          <w:rFonts w:hint="eastAsia"/>
          <w:sz w:val="24"/>
          <w:u w:val="single"/>
        </w:rPr>
        <w:t>抵押价值</w:t>
      </w:r>
      <w:r w:rsidR="00BD5DC9">
        <w:rPr>
          <w:rFonts w:hint="eastAsia"/>
          <w:sz w:val="24"/>
          <w:u w:val="single"/>
        </w:rPr>
        <w:t>评估报告</w:t>
      </w:r>
      <w:r w:rsidR="00BD5DC9" w:rsidRPr="00BD5DC9">
        <w:rPr>
          <w:rFonts w:hint="eastAsia"/>
          <w:sz w:val="24"/>
          <w:u w:val="single"/>
        </w:rPr>
        <w:t>、</w:t>
      </w:r>
      <w:r w:rsidR="00BD5DC9">
        <w:rPr>
          <w:rFonts w:hint="eastAsia"/>
          <w:sz w:val="24"/>
          <w:u w:val="single"/>
        </w:rPr>
        <w:t>现金</w:t>
      </w:r>
      <w:proofErr w:type="gramStart"/>
      <w:r w:rsidR="00BD5DC9">
        <w:rPr>
          <w:rFonts w:hint="eastAsia"/>
          <w:sz w:val="24"/>
          <w:u w:val="single"/>
        </w:rPr>
        <w:t>流预测</w:t>
      </w:r>
      <w:proofErr w:type="gramEnd"/>
      <w:r w:rsidR="00BD5DC9">
        <w:rPr>
          <w:rFonts w:hint="eastAsia"/>
          <w:sz w:val="24"/>
          <w:u w:val="single"/>
        </w:rPr>
        <w:t>分析报告</w:t>
      </w:r>
      <w:r w:rsidR="00BD5DC9" w:rsidRPr="00BD5DC9">
        <w:rPr>
          <w:rFonts w:hint="eastAsia"/>
          <w:sz w:val="24"/>
          <w:u w:val="single"/>
        </w:rPr>
        <w:t>、</w:t>
      </w:r>
      <w:r w:rsidR="00BD5DC9">
        <w:rPr>
          <w:rFonts w:hint="eastAsia"/>
          <w:sz w:val="24"/>
          <w:u w:val="single"/>
        </w:rPr>
        <w:t>项目尽职调查报告</w:t>
      </w:r>
      <w:r w:rsidR="00BD5DC9">
        <w:rPr>
          <w:rFonts w:hint="eastAsia"/>
          <w:sz w:val="24"/>
        </w:rPr>
        <w:t>。</w:t>
      </w:r>
    </w:p>
    <w:p w:rsidR="007B0152" w:rsidRPr="00C33064" w:rsidRDefault="007B0152" w:rsidP="00C33064">
      <w:pPr>
        <w:spacing w:line="360" w:lineRule="auto"/>
        <w:rPr>
          <w:b/>
          <w:bCs/>
          <w:sz w:val="24"/>
        </w:rPr>
      </w:pPr>
    </w:p>
    <w:p w:rsidR="007B0152" w:rsidRPr="00C33064" w:rsidRDefault="007B0152" w:rsidP="00C33064">
      <w:pPr>
        <w:numPr>
          <w:ilvl w:val="0"/>
          <w:numId w:val="1"/>
        </w:numPr>
        <w:spacing w:line="360" w:lineRule="auto"/>
        <w:rPr>
          <w:b/>
          <w:bCs/>
          <w:sz w:val="24"/>
        </w:rPr>
      </w:pPr>
      <w:r>
        <w:rPr>
          <w:rFonts w:hint="eastAsia"/>
          <w:b/>
          <w:bCs/>
          <w:sz w:val="24"/>
        </w:rPr>
        <w:t>评估费用</w:t>
      </w:r>
    </w:p>
    <w:p w:rsidR="007B0152" w:rsidRDefault="007B0152" w:rsidP="00971BA7">
      <w:pPr>
        <w:spacing w:line="360" w:lineRule="auto"/>
        <w:ind w:firstLineChars="200" w:firstLine="480"/>
        <w:rPr>
          <w:sz w:val="24"/>
        </w:rPr>
      </w:pPr>
      <w:r>
        <w:rPr>
          <w:sz w:val="24"/>
        </w:rPr>
        <w:t xml:space="preserve">3.1 </w:t>
      </w:r>
      <w:r>
        <w:rPr>
          <w:rFonts w:hint="eastAsia"/>
          <w:sz w:val="24"/>
        </w:rPr>
        <w:t>取费依据</w:t>
      </w:r>
    </w:p>
    <w:p w:rsidR="007B0152" w:rsidRDefault="007B0152" w:rsidP="00971BA7">
      <w:pPr>
        <w:spacing w:line="360" w:lineRule="auto"/>
        <w:ind w:firstLineChars="200" w:firstLine="480"/>
        <w:rPr>
          <w:sz w:val="24"/>
        </w:rPr>
      </w:pPr>
      <w:r>
        <w:rPr>
          <w:rFonts w:hint="eastAsia"/>
          <w:sz w:val="24"/>
        </w:rPr>
        <w:t>参照国家计委、国家土地管理局计价格［</w:t>
      </w:r>
      <w:r>
        <w:rPr>
          <w:sz w:val="24"/>
        </w:rPr>
        <w:t>1994</w:t>
      </w:r>
      <w:r>
        <w:rPr>
          <w:rFonts w:hint="eastAsia"/>
          <w:sz w:val="24"/>
        </w:rPr>
        <w:t>］</w:t>
      </w:r>
      <w:r>
        <w:rPr>
          <w:sz w:val="24"/>
        </w:rPr>
        <w:t>2017</w:t>
      </w:r>
      <w:r>
        <w:rPr>
          <w:rFonts w:hint="eastAsia"/>
          <w:sz w:val="24"/>
        </w:rPr>
        <w:t>号《关于土地价格评估收费的通知》和《国家计委、建设部关于房地产价格评估收费的通知》（计价格</w:t>
      </w:r>
      <w:r>
        <w:rPr>
          <w:sz w:val="24"/>
        </w:rPr>
        <w:t>[1995]971</w:t>
      </w:r>
      <w:r>
        <w:rPr>
          <w:rFonts w:hint="eastAsia"/>
          <w:sz w:val="24"/>
        </w:rPr>
        <w:t>号）；</w:t>
      </w:r>
    </w:p>
    <w:p w:rsidR="007B0152" w:rsidRDefault="007B0152" w:rsidP="00971BA7">
      <w:pPr>
        <w:spacing w:line="360" w:lineRule="auto"/>
        <w:ind w:firstLineChars="200" w:firstLine="480"/>
        <w:rPr>
          <w:sz w:val="24"/>
        </w:rPr>
      </w:pPr>
      <w:r>
        <w:rPr>
          <w:sz w:val="24"/>
        </w:rPr>
        <w:t xml:space="preserve">3.2 </w:t>
      </w:r>
      <w:r>
        <w:rPr>
          <w:rFonts w:hint="eastAsia"/>
          <w:sz w:val="24"/>
        </w:rPr>
        <w:t>费用总额</w:t>
      </w:r>
    </w:p>
    <w:p w:rsidR="007B0152" w:rsidRDefault="00BD5DC9" w:rsidP="00971BA7">
      <w:pPr>
        <w:spacing w:line="360" w:lineRule="auto"/>
        <w:ind w:firstLineChars="200" w:firstLine="480"/>
        <w:rPr>
          <w:iCs/>
          <w:sz w:val="24"/>
        </w:rPr>
      </w:pPr>
      <w:r>
        <w:rPr>
          <w:rFonts w:hint="eastAsia"/>
          <w:sz w:val="24"/>
        </w:rPr>
        <w:t>根据本次评估项目工作内容，</w:t>
      </w:r>
      <w:r w:rsidR="007B0152">
        <w:rPr>
          <w:rFonts w:hint="eastAsia"/>
          <w:sz w:val="24"/>
        </w:rPr>
        <w:t>评估费用共计人民币（</w:t>
      </w:r>
      <w:r w:rsidR="007B0152">
        <w:rPr>
          <w:rFonts w:hint="eastAsia"/>
          <w:sz w:val="24"/>
          <w:u w:val="single"/>
        </w:rPr>
        <w:t>大写</w:t>
      </w:r>
      <w:r w:rsidR="00FF31ED">
        <w:rPr>
          <w:rFonts w:hint="eastAsia"/>
          <w:sz w:val="24"/>
          <w:u w:val="single"/>
        </w:rPr>
        <w:t>叁拾伍</w:t>
      </w:r>
      <w:r>
        <w:rPr>
          <w:rFonts w:hint="eastAsia"/>
          <w:sz w:val="24"/>
          <w:u w:val="single"/>
        </w:rPr>
        <w:t>万元整</w:t>
      </w:r>
      <w:r w:rsidR="007B0152">
        <w:rPr>
          <w:rFonts w:hint="eastAsia"/>
          <w:sz w:val="24"/>
        </w:rPr>
        <w:t>）。（小写￥</w:t>
      </w:r>
      <w:r w:rsidR="00FF31ED">
        <w:rPr>
          <w:rFonts w:hint="eastAsia"/>
          <w:iCs/>
          <w:sz w:val="24"/>
        </w:rPr>
        <w:t>35</w:t>
      </w:r>
      <w:r>
        <w:rPr>
          <w:rFonts w:hint="eastAsia"/>
          <w:iCs/>
          <w:sz w:val="24"/>
        </w:rPr>
        <w:t>0</w:t>
      </w:r>
      <w:r w:rsidR="007B0152">
        <w:rPr>
          <w:iCs/>
          <w:sz w:val="24"/>
        </w:rPr>
        <w:t>000</w:t>
      </w:r>
      <w:r w:rsidR="007B0152">
        <w:rPr>
          <w:rFonts w:hint="eastAsia"/>
          <w:iCs/>
          <w:sz w:val="24"/>
        </w:rPr>
        <w:t>元</w:t>
      </w:r>
      <w:r w:rsidR="007B0152" w:rsidRPr="00F1585A">
        <w:rPr>
          <w:rFonts w:hint="eastAsia"/>
          <w:iCs/>
          <w:sz w:val="24"/>
        </w:rPr>
        <w:t>）</w:t>
      </w:r>
    </w:p>
    <w:p w:rsidR="00BD5DC9" w:rsidRDefault="00BD5DC9" w:rsidP="00971BA7">
      <w:pPr>
        <w:spacing w:line="360" w:lineRule="auto"/>
        <w:ind w:firstLineChars="200" w:firstLine="480"/>
        <w:rPr>
          <w:b/>
          <w:bCs/>
          <w:sz w:val="24"/>
        </w:rPr>
      </w:pPr>
      <w:r>
        <w:rPr>
          <w:rFonts w:hint="eastAsia"/>
          <w:iCs/>
          <w:sz w:val="24"/>
        </w:rPr>
        <w:t>其中</w:t>
      </w:r>
      <w:r>
        <w:rPr>
          <w:rFonts w:hint="eastAsia"/>
          <w:b/>
          <w:bCs/>
          <w:sz w:val="24"/>
        </w:rPr>
        <w:t>：</w:t>
      </w:r>
    </w:p>
    <w:tbl>
      <w:tblPr>
        <w:tblStyle w:val="a3"/>
        <w:tblW w:w="0" w:type="auto"/>
        <w:tblLook w:val="04A0" w:firstRow="1" w:lastRow="0" w:firstColumn="1" w:lastColumn="0" w:noHBand="0" w:noVBand="1"/>
      </w:tblPr>
      <w:tblGrid>
        <w:gridCol w:w="2840"/>
        <w:gridCol w:w="2841"/>
        <w:gridCol w:w="2841"/>
      </w:tblGrid>
      <w:tr w:rsidR="00BD5DC9" w:rsidTr="00BD5DC9">
        <w:tc>
          <w:tcPr>
            <w:tcW w:w="2840" w:type="dxa"/>
          </w:tcPr>
          <w:p w:rsidR="00BD5DC9" w:rsidRDefault="00BD5DC9" w:rsidP="00BD5DC9">
            <w:pPr>
              <w:spacing w:line="360" w:lineRule="auto"/>
              <w:jc w:val="center"/>
              <w:rPr>
                <w:sz w:val="24"/>
              </w:rPr>
            </w:pPr>
            <w:r>
              <w:rPr>
                <w:rFonts w:hint="eastAsia"/>
                <w:sz w:val="24"/>
              </w:rPr>
              <w:t>内容</w:t>
            </w:r>
          </w:p>
        </w:tc>
        <w:tc>
          <w:tcPr>
            <w:tcW w:w="2841" w:type="dxa"/>
          </w:tcPr>
          <w:p w:rsidR="00BD5DC9" w:rsidRDefault="00BD5DC9" w:rsidP="00BD5DC9">
            <w:pPr>
              <w:spacing w:line="360" w:lineRule="auto"/>
              <w:jc w:val="center"/>
              <w:rPr>
                <w:sz w:val="24"/>
              </w:rPr>
            </w:pPr>
            <w:r>
              <w:rPr>
                <w:rFonts w:hint="eastAsia"/>
                <w:sz w:val="24"/>
              </w:rPr>
              <w:t>报价</w:t>
            </w:r>
          </w:p>
        </w:tc>
        <w:tc>
          <w:tcPr>
            <w:tcW w:w="2841" w:type="dxa"/>
          </w:tcPr>
          <w:p w:rsidR="00BD5DC9" w:rsidRDefault="00BD5DC9" w:rsidP="00BD5DC9">
            <w:pPr>
              <w:spacing w:line="360" w:lineRule="auto"/>
              <w:jc w:val="center"/>
              <w:rPr>
                <w:sz w:val="24"/>
              </w:rPr>
            </w:pPr>
            <w:r>
              <w:rPr>
                <w:rFonts w:hint="eastAsia"/>
                <w:sz w:val="24"/>
              </w:rPr>
              <w:t>备注</w:t>
            </w:r>
          </w:p>
        </w:tc>
      </w:tr>
      <w:tr w:rsidR="00BD5DC9" w:rsidTr="00E37B03">
        <w:tc>
          <w:tcPr>
            <w:tcW w:w="2840" w:type="dxa"/>
            <w:vAlign w:val="center"/>
          </w:tcPr>
          <w:p w:rsidR="00BD5DC9" w:rsidRPr="00BD5DC9" w:rsidRDefault="00BD5DC9" w:rsidP="00BD5DC9">
            <w:pPr>
              <w:spacing w:line="360" w:lineRule="auto"/>
              <w:jc w:val="center"/>
              <w:rPr>
                <w:sz w:val="24"/>
              </w:rPr>
            </w:pPr>
            <w:r w:rsidRPr="00BD5DC9">
              <w:rPr>
                <w:rFonts w:hint="eastAsia"/>
                <w:sz w:val="24"/>
              </w:rPr>
              <w:t>抵押价值评估报告</w:t>
            </w:r>
          </w:p>
        </w:tc>
        <w:tc>
          <w:tcPr>
            <w:tcW w:w="2841" w:type="dxa"/>
            <w:vAlign w:val="center"/>
          </w:tcPr>
          <w:p w:rsidR="00BD5DC9" w:rsidRPr="00BD5DC9" w:rsidRDefault="00FF31ED" w:rsidP="00BD5DC9">
            <w:pPr>
              <w:spacing w:line="360" w:lineRule="auto"/>
              <w:jc w:val="center"/>
              <w:rPr>
                <w:sz w:val="24"/>
              </w:rPr>
            </w:pPr>
            <w:r>
              <w:rPr>
                <w:rFonts w:hint="eastAsia"/>
                <w:sz w:val="24"/>
              </w:rPr>
              <w:t>10</w:t>
            </w:r>
            <w:r w:rsidR="00BD5DC9" w:rsidRPr="00BD5DC9">
              <w:rPr>
                <w:rFonts w:hint="eastAsia"/>
                <w:sz w:val="24"/>
              </w:rPr>
              <w:t>万</w:t>
            </w:r>
          </w:p>
        </w:tc>
        <w:tc>
          <w:tcPr>
            <w:tcW w:w="2841" w:type="dxa"/>
          </w:tcPr>
          <w:p w:rsidR="00BD5DC9" w:rsidRDefault="00BD5DC9" w:rsidP="00BD5DC9">
            <w:pPr>
              <w:spacing w:line="360" w:lineRule="auto"/>
              <w:jc w:val="center"/>
              <w:rPr>
                <w:sz w:val="24"/>
              </w:rPr>
            </w:pPr>
          </w:p>
        </w:tc>
      </w:tr>
      <w:tr w:rsidR="00BD5DC9" w:rsidTr="00E37B03">
        <w:tc>
          <w:tcPr>
            <w:tcW w:w="2840" w:type="dxa"/>
            <w:vAlign w:val="center"/>
          </w:tcPr>
          <w:p w:rsidR="00BD5DC9" w:rsidRPr="00BD5DC9" w:rsidRDefault="00BD5DC9" w:rsidP="00BD5DC9">
            <w:pPr>
              <w:spacing w:line="360" w:lineRule="auto"/>
              <w:jc w:val="center"/>
              <w:rPr>
                <w:sz w:val="24"/>
              </w:rPr>
            </w:pPr>
            <w:r w:rsidRPr="00BD5DC9">
              <w:rPr>
                <w:rFonts w:hint="eastAsia"/>
                <w:sz w:val="24"/>
              </w:rPr>
              <w:t>现金</w:t>
            </w:r>
            <w:proofErr w:type="gramStart"/>
            <w:r w:rsidRPr="00BD5DC9">
              <w:rPr>
                <w:rFonts w:hint="eastAsia"/>
                <w:sz w:val="24"/>
              </w:rPr>
              <w:t>流预测</w:t>
            </w:r>
            <w:proofErr w:type="gramEnd"/>
            <w:r w:rsidRPr="00BD5DC9">
              <w:rPr>
                <w:rFonts w:hint="eastAsia"/>
                <w:sz w:val="24"/>
              </w:rPr>
              <w:t>分析报告</w:t>
            </w:r>
          </w:p>
        </w:tc>
        <w:tc>
          <w:tcPr>
            <w:tcW w:w="2841" w:type="dxa"/>
            <w:vAlign w:val="center"/>
          </w:tcPr>
          <w:p w:rsidR="00BD5DC9" w:rsidRPr="00BD5DC9" w:rsidRDefault="00FF31ED" w:rsidP="00BD5DC9">
            <w:pPr>
              <w:spacing w:line="360" w:lineRule="auto"/>
              <w:jc w:val="center"/>
              <w:rPr>
                <w:sz w:val="24"/>
              </w:rPr>
            </w:pPr>
            <w:r>
              <w:rPr>
                <w:rFonts w:hint="eastAsia"/>
                <w:sz w:val="24"/>
              </w:rPr>
              <w:t>20</w:t>
            </w:r>
            <w:r w:rsidR="00BD5DC9" w:rsidRPr="00BD5DC9">
              <w:rPr>
                <w:rFonts w:hint="eastAsia"/>
                <w:sz w:val="24"/>
              </w:rPr>
              <w:t>万</w:t>
            </w:r>
          </w:p>
        </w:tc>
        <w:tc>
          <w:tcPr>
            <w:tcW w:w="2841" w:type="dxa"/>
          </w:tcPr>
          <w:p w:rsidR="00BD5DC9" w:rsidRDefault="00BD5DC9" w:rsidP="00BD5DC9">
            <w:pPr>
              <w:spacing w:line="360" w:lineRule="auto"/>
              <w:jc w:val="center"/>
              <w:rPr>
                <w:sz w:val="24"/>
              </w:rPr>
            </w:pPr>
          </w:p>
        </w:tc>
      </w:tr>
      <w:tr w:rsidR="00BD5DC9" w:rsidTr="00E37B03">
        <w:tc>
          <w:tcPr>
            <w:tcW w:w="2840" w:type="dxa"/>
            <w:vAlign w:val="center"/>
          </w:tcPr>
          <w:p w:rsidR="00BD5DC9" w:rsidRPr="00BD5DC9" w:rsidRDefault="00BD5DC9" w:rsidP="00BD5DC9">
            <w:pPr>
              <w:spacing w:line="360" w:lineRule="auto"/>
              <w:jc w:val="center"/>
              <w:rPr>
                <w:sz w:val="24"/>
              </w:rPr>
            </w:pPr>
            <w:r w:rsidRPr="00BD5DC9">
              <w:rPr>
                <w:rFonts w:hint="eastAsia"/>
                <w:sz w:val="24"/>
              </w:rPr>
              <w:t>项目尽职调查报告</w:t>
            </w:r>
          </w:p>
        </w:tc>
        <w:tc>
          <w:tcPr>
            <w:tcW w:w="2841" w:type="dxa"/>
            <w:vAlign w:val="center"/>
          </w:tcPr>
          <w:p w:rsidR="00BD5DC9" w:rsidRPr="00BD5DC9" w:rsidRDefault="00FF31ED" w:rsidP="00BD5DC9">
            <w:pPr>
              <w:spacing w:line="360" w:lineRule="auto"/>
              <w:jc w:val="center"/>
              <w:rPr>
                <w:sz w:val="24"/>
              </w:rPr>
            </w:pPr>
            <w:r>
              <w:rPr>
                <w:rFonts w:hint="eastAsia"/>
                <w:sz w:val="24"/>
              </w:rPr>
              <w:t>5</w:t>
            </w:r>
            <w:r w:rsidR="00BD5DC9" w:rsidRPr="00BD5DC9">
              <w:rPr>
                <w:rFonts w:hint="eastAsia"/>
                <w:sz w:val="24"/>
              </w:rPr>
              <w:t>万</w:t>
            </w:r>
          </w:p>
        </w:tc>
        <w:tc>
          <w:tcPr>
            <w:tcW w:w="2841" w:type="dxa"/>
          </w:tcPr>
          <w:p w:rsidR="00BD5DC9" w:rsidRDefault="00BD5DC9" w:rsidP="00BD5DC9">
            <w:pPr>
              <w:spacing w:line="360" w:lineRule="auto"/>
              <w:jc w:val="center"/>
              <w:rPr>
                <w:sz w:val="24"/>
              </w:rPr>
            </w:pPr>
          </w:p>
        </w:tc>
      </w:tr>
      <w:tr w:rsidR="00BD5DC9" w:rsidTr="00E37B03">
        <w:tc>
          <w:tcPr>
            <w:tcW w:w="2840" w:type="dxa"/>
            <w:vAlign w:val="center"/>
          </w:tcPr>
          <w:p w:rsidR="00BD5DC9" w:rsidRPr="00BD5DC9" w:rsidRDefault="00BD5DC9" w:rsidP="00BD5DC9">
            <w:pPr>
              <w:spacing w:line="360" w:lineRule="auto"/>
              <w:jc w:val="center"/>
              <w:rPr>
                <w:sz w:val="24"/>
              </w:rPr>
            </w:pPr>
            <w:r w:rsidRPr="00BD5DC9">
              <w:rPr>
                <w:rFonts w:hint="eastAsia"/>
                <w:sz w:val="24"/>
              </w:rPr>
              <w:t>汇总</w:t>
            </w:r>
          </w:p>
        </w:tc>
        <w:tc>
          <w:tcPr>
            <w:tcW w:w="2841" w:type="dxa"/>
            <w:vAlign w:val="center"/>
          </w:tcPr>
          <w:p w:rsidR="00BD5DC9" w:rsidRPr="00BD5DC9" w:rsidRDefault="00FF31ED" w:rsidP="00BD5DC9">
            <w:pPr>
              <w:spacing w:line="360" w:lineRule="auto"/>
              <w:jc w:val="center"/>
              <w:rPr>
                <w:sz w:val="24"/>
              </w:rPr>
            </w:pPr>
            <w:r>
              <w:rPr>
                <w:rFonts w:hint="eastAsia"/>
                <w:sz w:val="24"/>
              </w:rPr>
              <w:t>3</w:t>
            </w:r>
            <w:r w:rsidR="00BD5DC9" w:rsidRPr="00BD5DC9">
              <w:rPr>
                <w:rFonts w:hint="eastAsia"/>
                <w:sz w:val="24"/>
              </w:rPr>
              <w:t>5</w:t>
            </w:r>
            <w:r w:rsidR="00BD5DC9" w:rsidRPr="00BD5DC9">
              <w:rPr>
                <w:rFonts w:hint="eastAsia"/>
                <w:sz w:val="24"/>
              </w:rPr>
              <w:t>万</w:t>
            </w:r>
          </w:p>
        </w:tc>
        <w:tc>
          <w:tcPr>
            <w:tcW w:w="2841" w:type="dxa"/>
          </w:tcPr>
          <w:p w:rsidR="00BD5DC9" w:rsidRDefault="00BD5DC9" w:rsidP="00BD5DC9">
            <w:pPr>
              <w:spacing w:line="360" w:lineRule="auto"/>
              <w:jc w:val="center"/>
              <w:rPr>
                <w:sz w:val="24"/>
              </w:rPr>
            </w:pPr>
          </w:p>
        </w:tc>
      </w:tr>
    </w:tbl>
    <w:p w:rsidR="00BD5DC9" w:rsidRDefault="00BD5DC9" w:rsidP="00971BA7">
      <w:pPr>
        <w:spacing w:line="360" w:lineRule="auto"/>
        <w:ind w:firstLineChars="200" w:firstLine="480"/>
        <w:rPr>
          <w:sz w:val="24"/>
        </w:rPr>
      </w:pPr>
    </w:p>
    <w:p w:rsidR="008D04A5" w:rsidRDefault="008D04A5" w:rsidP="00971BA7">
      <w:pPr>
        <w:spacing w:line="360" w:lineRule="auto"/>
        <w:ind w:firstLineChars="200" w:firstLine="480"/>
        <w:rPr>
          <w:sz w:val="24"/>
        </w:rPr>
      </w:pPr>
    </w:p>
    <w:p w:rsidR="008D04A5" w:rsidRDefault="008D04A5" w:rsidP="008D04A5">
      <w:pPr>
        <w:spacing w:line="360" w:lineRule="auto"/>
        <w:rPr>
          <w:b/>
          <w:bCs/>
          <w:sz w:val="24"/>
        </w:rPr>
      </w:pPr>
    </w:p>
    <w:p w:rsidR="007B0152" w:rsidRDefault="007B0152">
      <w:pPr>
        <w:numPr>
          <w:ilvl w:val="0"/>
          <w:numId w:val="1"/>
        </w:numPr>
        <w:spacing w:line="360" w:lineRule="auto"/>
        <w:rPr>
          <w:b/>
          <w:bCs/>
          <w:sz w:val="24"/>
        </w:rPr>
      </w:pPr>
      <w:r>
        <w:rPr>
          <w:rFonts w:hint="eastAsia"/>
          <w:b/>
          <w:bCs/>
          <w:sz w:val="24"/>
        </w:rPr>
        <w:t>付款方式和期限</w:t>
      </w:r>
    </w:p>
    <w:p w:rsidR="007B0152" w:rsidRDefault="007B0152" w:rsidP="00971BA7">
      <w:pPr>
        <w:spacing w:line="360" w:lineRule="auto"/>
        <w:ind w:firstLineChars="200" w:firstLine="480"/>
        <w:rPr>
          <w:sz w:val="24"/>
        </w:rPr>
      </w:pPr>
      <w:r>
        <w:rPr>
          <w:rFonts w:hint="eastAsia"/>
          <w:sz w:val="24"/>
        </w:rPr>
        <w:t>自本合同签订之日</w:t>
      </w:r>
      <w:bookmarkStart w:id="1" w:name="OLE_LINK1"/>
      <w:bookmarkEnd w:id="1"/>
      <w:r w:rsidR="009114CC">
        <w:rPr>
          <w:rFonts w:hint="eastAsia"/>
          <w:sz w:val="24"/>
        </w:rPr>
        <w:t>3</w:t>
      </w:r>
      <w:r>
        <w:rPr>
          <w:rFonts w:hint="eastAsia"/>
          <w:sz w:val="24"/>
        </w:rPr>
        <w:t>天内，委托人应预付给受托人评估费用</w:t>
      </w:r>
      <w:r>
        <w:rPr>
          <w:rFonts w:hint="eastAsia"/>
          <w:sz w:val="24"/>
          <w:u w:val="single"/>
        </w:rPr>
        <w:t>人民币</w:t>
      </w:r>
      <w:r w:rsidR="007A5030">
        <w:rPr>
          <w:rFonts w:hint="eastAsia"/>
          <w:sz w:val="24"/>
          <w:u w:val="single"/>
        </w:rPr>
        <w:t>壹拾柒万伍仟</w:t>
      </w:r>
      <w:r w:rsidR="009114CC">
        <w:rPr>
          <w:rFonts w:hint="eastAsia"/>
          <w:sz w:val="24"/>
          <w:u w:val="single"/>
        </w:rPr>
        <w:t>元整</w:t>
      </w:r>
      <w:r w:rsidRPr="006013F6">
        <w:rPr>
          <w:rFonts w:hint="eastAsia"/>
          <w:sz w:val="24"/>
        </w:rPr>
        <w:t>（小写</w:t>
      </w:r>
      <w:r w:rsidR="007A5030">
        <w:rPr>
          <w:rFonts w:hint="eastAsia"/>
          <w:sz w:val="24"/>
        </w:rPr>
        <w:t>175</w:t>
      </w:r>
      <w:r w:rsidR="009114CC">
        <w:rPr>
          <w:rFonts w:hint="eastAsia"/>
          <w:sz w:val="24"/>
        </w:rPr>
        <w:t>000</w:t>
      </w:r>
      <w:r>
        <w:rPr>
          <w:rFonts w:hint="eastAsia"/>
          <w:sz w:val="24"/>
        </w:rPr>
        <w:t>元</w:t>
      </w:r>
      <w:r w:rsidRPr="006013F6">
        <w:rPr>
          <w:rFonts w:hint="eastAsia"/>
          <w:sz w:val="24"/>
        </w:rPr>
        <w:t>）</w:t>
      </w:r>
      <w:r>
        <w:rPr>
          <w:rFonts w:hint="eastAsia"/>
          <w:sz w:val="24"/>
        </w:rPr>
        <w:t>，余款</w:t>
      </w:r>
      <w:r>
        <w:rPr>
          <w:rFonts w:hint="eastAsia"/>
          <w:sz w:val="24"/>
          <w:u w:val="single"/>
        </w:rPr>
        <w:t>人民币</w:t>
      </w:r>
      <w:r w:rsidR="007A5030">
        <w:rPr>
          <w:rFonts w:hint="eastAsia"/>
          <w:sz w:val="24"/>
          <w:u w:val="single"/>
        </w:rPr>
        <w:t>壹拾柒万伍仟</w:t>
      </w:r>
      <w:r w:rsidR="009114CC">
        <w:rPr>
          <w:rFonts w:hint="eastAsia"/>
          <w:sz w:val="24"/>
          <w:u w:val="single"/>
        </w:rPr>
        <w:t>元整</w:t>
      </w:r>
      <w:r w:rsidRPr="006013F6">
        <w:rPr>
          <w:rFonts w:hint="eastAsia"/>
          <w:sz w:val="24"/>
        </w:rPr>
        <w:t>（小写</w:t>
      </w:r>
      <w:r w:rsidR="00E71112">
        <w:rPr>
          <w:rFonts w:hint="eastAsia"/>
          <w:sz w:val="24"/>
        </w:rPr>
        <w:t>175</w:t>
      </w:r>
      <w:r w:rsidR="009114CC">
        <w:rPr>
          <w:rFonts w:hint="eastAsia"/>
          <w:sz w:val="24"/>
        </w:rPr>
        <w:t>000</w:t>
      </w:r>
      <w:r>
        <w:rPr>
          <w:rFonts w:hint="eastAsia"/>
          <w:sz w:val="24"/>
        </w:rPr>
        <w:t>元</w:t>
      </w:r>
      <w:r w:rsidRPr="006013F6">
        <w:rPr>
          <w:rFonts w:hint="eastAsia"/>
          <w:sz w:val="24"/>
        </w:rPr>
        <w:t>）</w:t>
      </w:r>
      <w:r>
        <w:rPr>
          <w:rFonts w:hint="eastAsia"/>
          <w:sz w:val="24"/>
        </w:rPr>
        <w:t>应在受托人将估价报告书交付给委托人后的</w:t>
      </w:r>
      <w:r w:rsidR="009114CC">
        <w:rPr>
          <w:rFonts w:hint="eastAsia"/>
          <w:sz w:val="24"/>
        </w:rPr>
        <w:t>3</w:t>
      </w:r>
      <w:r>
        <w:rPr>
          <w:rFonts w:hint="eastAsia"/>
          <w:sz w:val="24"/>
        </w:rPr>
        <w:t>天内一次性付清。</w:t>
      </w:r>
    </w:p>
    <w:p w:rsidR="007B0152" w:rsidRDefault="007B0152"/>
    <w:p w:rsidR="007B0152" w:rsidRDefault="007B0152"/>
    <w:p w:rsidR="007B0152" w:rsidRDefault="007B0152"/>
    <w:p w:rsidR="007B0152" w:rsidRDefault="007B0152"/>
    <w:p w:rsidR="007B0152" w:rsidRPr="007A5030" w:rsidRDefault="007B0152"/>
    <w:p w:rsidR="007B0152" w:rsidRDefault="007B0152"/>
    <w:p w:rsidR="007B0152" w:rsidRDefault="007B0152"/>
    <w:p w:rsidR="007B0152" w:rsidRDefault="007B0152"/>
    <w:p w:rsidR="007B0152" w:rsidRDefault="007B0152">
      <w:pPr>
        <w:rPr>
          <w:rFonts w:hint="eastAsia"/>
          <w:sz w:val="24"/>
        </w:rPr>
      </w:pPr>
      <w:r>
        <w:rPr>
          <w:rFonts w:hint="eastAsia"/>
          <w:sz w:val="24"/>
        </w:rPr>
        <w:t>受托人（盖章）</w:t>
      </w:r>
      <w:proofErr w:type="gramStart"/>
      <w:r w:rsidR="00052CB4" w:rsidRPr="00052CB4">
        <w:rPr>
          <w:rFonts w:hint="eastAsia"/>
          <w:sz w:val="24"/>
        </w:rPr>
        <w:t>北京康正宏</w:t>
      </w:r>
      <w:proofErr w:type="gramEnd"/>
      <w:r w:rsidR="00052CB4" w:rsidRPr="00052CB4">
        <w:rPr>
          <w:rFonts w:hint="eastAsia"/>
          <w:sz w:val="24"/>
        </w:rPr>
        <w:t>基房地产评估有限公司</w:t>
      </w:r>
    </w:p>
    <w:p w:rsidR="00E71112" w:rsidRDefault="00E71112">
      <w:pPr>
        <w:rPr>
          <w:sz w:val="24"/>
        </w:rPr>
      </w:pPr>
    </w:p>
    <w:p w:rsidR="007B0152" w:rsidRDefault="007B0152" w:rsidP="003C0611">
      <w:pPr>
        <w:rPr>
          <w:sz w:val="24"/>
        </w:rPr>
      </w:pPr>
      <w:r>
        <w:rPr>
          <w:rFonts w:hint="eastAsia"/>
          <w:sz w:val="24"/>
        </w:rPr>
        <w:t>法人代表：</w:t>
      </w:r>
    </w:p>
    <w:p w:rsidR="007B0152" w:rsidRDefault="007B0152">
      <w:pPr>
        <w:rPr>
          <w:sz w:val="24"/>
        </w:rPr>
      </w:pPr>
    </w:p>
    <w:p w:rsidR="007B0152" w:rsidRDefault="007B0152" w:rsidP="00AB4E81">
      <w:r>
        <w:rPr>
          <w:rFonts w:hint="eastAsia"/>
          <w:sz w:val="24"/>
        </w:rPr>
        <w:t>年</w:t>
      </w:r>
      <w:r w:rsidR="00BD2655">
        <w:rPr>
          <w:rFonts w:hint="eastAsia"/>
          <w:sz w:val="24"/>
        </w:rPr>
        <w:t xml:space="preserve">   </w:t>
      </w:r>
      <w:r>
        <w:rPr>
          <w:rFonts w:hint="eastAsia"/>
          <w:sz w:val="24"/>
        </w:rPr>
        <w:t>月</w:t>
      </w:r>
      <w:r w:rsidR="00BD2655">
        <w:rPr>
          <w:rFonts w:hint="eastAsia"/>
          <w:sz w:val="24"/>
        </w:rPr>
        <w:t xml:space="preserve">    </w:t>
      </w:r>
      <w:r>
        <w:rPr>
          <w:rFonts w:hint="eastAsia"/>
          <w:sz w:val="24"/>
        </w:rPr>
        <w:t>日</w:t>
      </w:r>
    </w:p>
    <w:sectPr w:rsidR="007B0152" w:rsidSect="00487CE2">
      <w:headerReference w:type="default" r:id="rId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DF" w:rsidRDefault="005F41DF" w:rsidP="00F1585A">
      <w:r>
        <w:separator/>
      </w:r>
    </w:p>
  </w:endnote>
  <w:endnote w:type="continuationSeparator" w:id="0">
    <w:p w:rsidR="005F41DF" w:rsidRDefault="005F41DF" w:rsidP="00F1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Source Sans Pro">
    <w:altName w:val="Cambria Math"/>
    <w:panose1 w:val="00000000000000000000"/>
    <w:charset w:val="00"/>
    <w:family w:val="swiss"/>
    <w:notTrueType/>
    <w:pitch w:val="variable"/>
    <w:sig w:usb0="600002F7" w:usb1="02000001"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52" w:rsidRDefault="007B0152">
    <w:pPr>
      <w:pStyle w:val="a5"/>
      <w:jc w:val="center"/>
    </w:pPr>
  </w:p>
  <w:p w:rsidR="007B0152" w:rsidRDefault="007B01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52" w:rsidRDefault="00216014">
    <w:pPr>
      <w:pStyle w:val="a5"/>
      <w:jc w:val="center"/>
    </w:pPr>
    <w:r>
      <w:fldChar w:fldCharType="begin"/>
    </w:r>
    <w:r w:rsidR="006C7091">
      <w:instrText>PAGE   \* MERGEFORMAT</w:instrText>
    </w:r>
    <w:r>
      <w:fldChar w:fldCharType="separate"/>
    </w:r>
    <w:r w:rsidR="00136062" w:rsidRPr="00136062">
      <w:rPr>
        <w:noProof/>
        <w:lang w:val="zh-CN"/>
      </w:rPr>
      <w:t>1</w:t>
    </w:r>
    <w:r>
      <w:rPr>
        <w:noProof/>
        <w:lang w:val="zh-CN"/>
      </w:rPr>
      <w:fldChar w:fldCharType="end"/>
    </w:r>
  </w:p>
  <w:p w:rsidR="007B0152" w:rsidRDefault="007B01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DF" w:rsidRDefault="005F41DF" w:rsidP="00F1585A">
      <w:r>
        <w:separator/>
      </w:r>
    </w:p>
  </w:footnote>
  <w:footnote w:type="continuationSeparator" w:id="0">
    <w:p w:rsidR="005F41DF" w:rsidRDefault="005F41DF" w:rsidP="00F15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52" w:rsidRPr="00487CE2" w:rsidRDefault="007B0152" w:rsidP="00487C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6CAB0"/>
    <w:multiLevelType w:val="singleLevel"/>
    <w:tmpl w:val="5816CAB0"/>
    <w:lvl w:ilvl="0">
      <w:start w:val="1"/>
      <w:numFmt w:val="chineseCounting"/>
      <w:suff w:val="space"/>
      <w:lvlText w:val="第%1条"/>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F21AC"/>
    <w:rsid w:val="00047F33"/>
    <w:rsid w:val="00052CB4"/>
    <w:rsid w:val="000C66F2"/>
    <w:rsid w:val="00136062"/>
    <w:rsid w:val="00174105"/>
    <w:rsid w:val="001A087B"/>
    <w:rsid w:val="001C2005"/>
    <w:rsid w:val="001C33A5"/>
    <w:rsid w:val="001C7984"/>
    <w:rsid w:val="001D221C"/>
    <w:rsid w:val="001F149E"/>
    <w:rsid w:val="00205DE5"/>
    <w:rsid w:val="00216014"/>
    <w:rsid w:val="0022297B"/>
    <w:rsid w:val="002C7601"/>
    <w:rsid w:val="002D2274"/>
    <w:rsid w:val="002F5C8C"/>
    <w:rsid w:val="00302837"/>
    <w:rsid w:val="00386F09"/>
    <w:rsid w:val="003B0291"/>
    <w:rsid w:val="003C0611"/>
    <w:rsid w:val="003C7986"/>
    <w:rsid w:val="003D6316"/>
    <w:rsid w:val="00410C0B"/>
    <w:rsid w:val="004246D7"/>
    <w:rsid w:val="0042764B"/>
    <w:rsid w:val="00440BCB"/>
    <w:rsid w:val="00461F46"/>
    <w:rsid w:val="00470B5D"/>
    <w:rsid w:val="0048715E"/>
    <w:rsid w:val="00487CE2"/>
    <w:rsid w:val="004E78AD"/>
    <w:rsid w:val="005316B2"/>
    <w:rsid w:val="005500C8"/>
    <w:rsid w:val="00583B7D"/>
    <w:rsid w:val="005F41DF"/>
    <w:rsid w:val="006013F6"/>
    <w:rsid w:val="0060311E"/>
    <w:rsid w:val="0062144C"/>
    <w:rsid w:val="00635A18"/>
    <w:rsid w:val="0064336B"/>
    <w:rsid w:val="00650A2D"/>
    <w:rsid w:val="0067132C"/>
    <w:rsid w:val="00671735"/>
    <w:rsid w:val="00682DD3"/>
    <w:rsid w:val="006B4ABA"/>
    <w:rsid w:val="006C7091"/>
    <w:rsid w:val="006D449F"/>
    <w:rsid w:val="006D47FB"/>
    <w:rsid w:val="0074178C"/>
    <w:rsid w:val="007A5030"/>
    <w:rsid w:val="007B0152"/>
    <w:rsid w:val="0087066B"/>
    <w:rsid w:val="008763D5"/>
    <w:rsid w:val="0089367B"/>
    <w:rsid w:val="008C0CF9"/>
    <w:rsid w:val="008D04A5"/>
    <w:rsid w:val="008E3312"/>
    <w:rsid w:val="009114CC"/>
    <w:rsid w:val="00916493"/>
    <w:rsid w:val="00917075"/>
    <w:rsid w:val="00971BA7"/>
    <w:rsid w:val="009A66EE"/>
    <w:rsid w:val="009B43D8"/>
    <w:rsid w:val="009C5C85"/>
    <w:rsid w:val="009F7C44"/>
    <w:rsid w:val="00A01B29"/>
    <w:rsid w:val="00A071A2"/>
    <w:rsid w:val="00A41527"/>
    <w:rsid w:val="00A761DA"/>
    <w:rsid w:val="00A83DD3"/>
    <w:rsid w:val="00AA0753"/>
    <w:rsid w:val="00AA1185"/>
    <w:rsid w:val="00AA2D5D"/>
    <w:rsid w:val="00AB4E81"/>
    <w:rsid w:val="00AD0675"/>
    <w:rsid w:val="00AF1CB8"/>
    <w:rsid w:val="00B155C9"/>
    <w:rsid w:val="00B16047"/>
    <w:rsid w:val="00B3701A"/>
    <w:rsid w:val="00B84D83"/>
    <w:rsid w:val="00BC3C01"/>
    <w:rsid w:val="00BD2655"/>
    <w:rsid w:val="00BD5DC9"/>
    <w:rsid w:val="00C059F1"/>
    <w:rsid w:val="00C10AFD"/>
    <w:rsid w:val="00C27DF3"/>
    <w:rsid w:val="00C33064"/>
    <w:rsid w:val="00C6360B"/>
    <w:rsid w:val="00C93A05"/>
    <w:rsid w:val="00CC47FD"/>
    <w:rsid w:val="00D26AB0"/>
    <w:rsid w:val="00D30EE1"/>
    <w:rsid w:val="00E067DB"/>
    <w:rsid w:val="00E71112"/>
    <w:rsid w:val="00E85C7C"/>
    <w:rsid w:val="00EA67C8"/>
    <w:rsid w:val="00F1585A"/>
    <w:rsid w:val="00F22FAE"/>
    <w:rsid w:val="00F94BEB"/>
    <w:rsid w:val="00FB13D5"/>
    <w:rsid w:val="00FB4FB8"/>
    <w:rsid w:val="00FB506A"/>
    <w:rsid w:val="00FD23D2"/>
    <w:rsid w:val="00FF14E0"/>
    <w:rsid w:val="00FF31ED"/>
    <w:rsid w:val="03D3274E"/>
    <w:rsid w:val="17637CF0"/>
    <w:rsid w:val="21332DC6"/>
    <w:rsid w:val="26D7192F"/>
    <w:rsid w:val="26DB348A"/>
    <w:rsid w:val="2BB6065F"/>
    <w:rsid w:val="31583141"/>
    <w:rsid w:val="3A3D6D87"/>
    <w:rsid w:val="3D737ECE"/>
    <w:rsid w:val="41D06B41"/>
    <w:rsid w:val="48413D8E"/>
    <w:rsid w:val="4E8A73B9"/>
    <w:rsid w:val="517534CA"/>
    <w:rsid w:val="528474B8"/>
    <w:rsid w:val="57291DD8"/>
    <w:rsid w:val="5D9539C1"/>
    <w:rsid w:val="61CF7AAB"/>
    <w:rsid w:val="657A4C3F"/>
    <w:rsid w:val="6D734B0B"/>
    <w:rsid w:val="782975A5"/>
    <w:rsid w:val="7ACA2A90"/>
    <w:rsid w:val="7E1F21AC"/>
    <w:rsid w:val="7ED523E0"/>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uiPriority="0"/>
    <w:lsdException w:name="HTML Bottom of Form" w:locked="1" w:uiPriority="0"/>
    <w:lsdException w:name="Normal Table"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2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22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F1585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1585A"/>
    <w:rPr>
      <w:rFonts w:eastAsia="宋体" w:cs="Times New Roman"/>
      <w:kern w:val="2"/>
      <w:sz w:val="18"/>
      <w:szCs w:val="18"/>
    </w:rPr>
  </w:style>
  <w:style w:type="paragraph" w:styleId="a5">
    <w:name w:val="footer"/>
    <w:basedOn w:val="a"/>
    <w:link w:val="Char0"/>
    <w:uiPriority w:val="99"/>
    <w:rsid w:val="00F1585A"/>
    <w:pPr>
      <w:tabs>
        <w:tab w:val="center" w:pos="4153"/>
        <w:tab w:val="right" w:pos="8306"/>
      </w:tabs>
      <w:snapToGrid w:val="0"/>
      <w:jc w:val="left"/>
    </w:pPr>
    <w:rPr>
      <w:sz w:val="18"/>
      <w:szCs w:val="18"/>
    </w:rPr>
  </w:style>
  <w:style w:type="character" w:customStyle="1" w:styleId="Char0">
    <w:name w:val="页脚 Char"/>
    <w:link w:val="a5"/>
    <w:uiPriority w:val="99"/>
    <w:locked/>
    <w:rsid w:val="00F1585A"/>
    <w:rPr>
      <w:rFonts w:eastAsia="宋体" w:cs="Times New Roman"/>
      <w:kern w:val="2"/>
      <w:sz w:val="18"/>
      <w:szCs w:val="18"/>
    </w:rPr>
  </w:style>
  <w:style w:type="character" w:styleId="a6">
    <w:name w:val="annotation reference"/>
    <w:uiPriority w:val="99"/>
    <w:rsid w:val="00AA1185"/>
    <w:rPr>
      <w:rFonts w:cs="Times New Roman"/>
      <w:sz w:val="21"/>
      <w:szCs w:val="21"/>
    </w:rPr>
  </w:style>
  <w:style w:type="paragraph" w:styleId="a7">
    <w:name w:val="annotation text"/>
    <w:basedOn w:val="a"/>
    <w:link w:val="Char1"/>
    <w:uiPriority w:val="99"/>
    <w:rsid w:val="00AA1185"/>
    <w:pPr>
      <w:jc w:val="left"/>
    </w:pPr>
  </w:style>
  <w:style w:type="character" w:customStyle="1" w:styleId="Char1">
    <w:name w:val="批注文字 Char"/>
    <w:link w:val="a7"/>
    <w:uiPriority w:val="99"/>
    <w:locked/>
    <w:rsid w:val="00AA1185"/>
    <w:rPr>
      <w:rFonts w:eastAsia="宋体" w:cs="Times New Roman"/>
      <w:kern w:val="2"/>
      <w:sz w:val="24"/>
      <w:szCs w:val="24"/>
    </w:rPr>
  </w:style>
  <w:style w:type="paragraph" w:styleId="a8">
    <w:name w:val="annotation subject"/>
    <w:basedOn w:val="a7"/>
    <w:next w:val="a7"/>
    <w:link w:val="Char2"/>
    <w:uiPriority w:val="99"/>
    <w:rsid w:val="00AA1185"/>
    <w:rPr>
      <w:b/>
      <w:bCs/>
    </w:rPr>
  </w:style>
  <w:style w:type="character" w:customStyle="1" w:styleId="Char2">
    <w:name w:val="批注主题 Char"/>
    <w:link w:val="a8"/>
    <w:uiPriority w:val="99"/>
    <w:locked/>
    <w:rsid w:val="00AA1185"/>
    <w:rPr>
      <w:rFonts w:eastAsia="宋体" w:cs="Times New Roman"/>
      <w:b/>
      <w:bCs/>
      <w:kern w:val="2"/>
      <w:sz w:val="24"/>
      <w:szCs w:val="24"/>
    </w:rPr>
  </w:style>
  <w:style w:type="paragraph" w:styleId="a9">
    <w:name w:val="Balloon Text"/>
    <w:basedOn w:val="a"/>
    <w:link w:val="Char3"/>
    <w:uiPriority w:val="99"/>
    <w:rsid w:val="00AA1185"/>
    <w:rPr>
      <w:sz w:val="18"/>
      <w:szCs w:val="18"/>
    </w:rPr>
  </w:style>
  <w:style w:type="character" w:customStyle="1" w:styleId="Char3">
    <w:name w:val="批注框文本 Char"/>
    <w:link w:val="a9"/>
    <w:uiPriority w:val="99"/>
    <w:locked/>
    <w:rsid w:val="00AA1185"/>
    <w:rPr>
      <w:rFonts w:eastAsia="宋体" w:cs="Times New Roman"/>
      <w:kern w:val="2"/>
      <w:sz w:val="18"/>
      <w:szCs w:val="18"/>
    </w:rPr>
  </w:style>
  <w:style w:type="paragraph" w:customStyle="1" w:styleId="TBTextJLL">
    <w:name w:val="TB_Text_JLL"/>
    <w:basedOn w:val="a"/>
    <w:uiPriority w:val="15"/>
    <w:qFormat/>
    <w:rsid w:val="00BD5DC9"/>
    <w:pPr>
      <w:widowControl/>
      <w:spacing w:before="20" w:after="20" w:line="240" w:lineRule="exact"/>
      <w:jc w:val="left"/>
    </w:pPr>
    <w:rPr>
      <w:rFonts w:ascii="Source Sans Pro" w:eastAsiaTheme="minorEastAsia" w:hAnsi="Source Sans Pro" w:cstheme="minorBidi"/>
      <w:color w:val="797979"/>
      <w:kern w:val="0"/>
      <w:sz w:val="2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uiPriority="0"/>
    <w:lsdException w:name="HTML Bottom of Form" w:locked="1" w:uiPriority="0"/>
    <w:lsdException w:name="Normal Table"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2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22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F1585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1585A"/>
    <w:rPr>
      <w:rFonts w:eastAsia="宋体" w:cs="Times New Roman"/>
      <w:kern w:val="2"/>
      <w:sz w:val="18"/>
      <w:szCs w:val="18"/>
    </w:rPr>
  </w:style>
  <w:style w:type="paragraph" w:styleId="a5">
    <w:name w:val="footer"/>
    <w:basedOn w:val="a"/>
    <w:link w:val="Char0"/>
    <w:uiPriority w:val="99"/>
    <w:rsid w:val="00F1585A"/>
    <w:pPr>
      <w:tabs>
        <w:tab w:val="center" w:pos="4153"/>
        <w:tab w:val="right" w:pos="8306"/>
      </w:tabs>
      <w:snapToGrid w:val="0"/>
      <w:jc w:val="left"/>
    </w:pPr>
    <w:rPr>
      <w:sz w:val="18"/>
      <w:szCs w:val="18"/>
    </w:rPr>
  </w:style>
  <w:style w:type="character" w:customStyle="1" w:styleId="Char0">
    <w:name w:val="页脚 Char"/>
    <w:link w:val="a5"/>
    <w:uiPriority w:val="99"/>
    <w:locked/>
    <w:rsid w:val="00F1585A"/>
    <w:rPr>
      <w:rFonts w:eastAsia="宋体" w:cs="Times New Roman"/>
      <w:kern w:val="2"/>
      <w:sz w:val="18"/>
      <w:szCs w:val="18"/>
    </w:rPr>
  </w:style>
  <w:style w:type="character" w:styleId="a6">
    <w:name w:val="annotation reference"/>
    <w:uiPriority w:val="99"/>
    <w:rsid w:val="00AA1185"/>
    <w:rPr>
      <w:rFonts w:cs="Times New Roman"/>
      <w:sz w:val="21"/>
      <w:szCs w:val="21"/>
    </w:rPr>
  </w:style>
  <w:style w:type="paragraph" w:styleId="a7">
    <w:name w:val="annotation text"/>
    <w:basedOn w:val="a"/>
    <w:link w:val="Char1"/>
    <w:uiPriority w:val="99"/>
    <w:rsid w:val="00AA1185"/>
    <w:pPr>
      <w:jc w:val="left"/>
    </w:pPr>
  </w:style>
  <w:style w:type="character" w:customStyle="1" w:styleId="Char1">
    <w:name w:val="批注文字 Char"/>
    <w:link w:val="a7"/>
    <w:uiPriority w:val="99"/>
    <w:locked/>
    <w:rsid w:val="00AA1185"/>
    <w:rPr>
      <w:rFonts w:eastAsia="宋体" w:cs="Times New Roman"/>
      <w:kern w:val="2"/>
      <w:sz w:val="24"/>
      <w:szCs w:val="24"/>
    </w:rPr>
  </w:style>
  <w:style w:type="paragraph" w:styleId="a8">
    <w:name w:val="annotation subject"/>
    <w:basedOn w:val="a7"/>
    <w:next w:val="a7"/>
    <w:link w:val="Char2"/>
    <w:uiPriority w:val="99"/>
    <w:rsid w:val="00AA1185"/>
    <w:rPr>
      <w:b/>
      <w:bCs/>
    </w:rPr>
  </w:style>
  <w:style w:type="character" w:customStyle="1" w:styleId="Char2">
    <w:name w:val="批注主题 Char"/>
    <w:link w:val="a8"/>
    <w:uiPriority w:val="99"/>
    <w:locked/>
    <w:rsid w:val="00AA1185"/>
    <w:rPr>
      <w:rFonts w:eastAsia="宋体" w:cs="Times New Roman"/>
      <w:b/>
      <w:bCs/>
      <w:kern w:val="2"/>
      <w:sz w:val="24"/>
      <w:szCs w:val="24"/>
    </w:rPr>
  </w:style>
  <w:style w:type="paragraph" w:styleId="a9">
    <w:name w:val="Balloon Text"/>
    <w:basedOn w:val="a"/>
    <w:link w:val="Char3"/>
    <w:uiPriority w:val="99"/>
    <w:rsid w:val="00AA1185"/>
    <w:rPr>
      <w:sz w:val="18"/>
      <w:szCs w:val="18"/>
    </w:rPr>
  </w:style>
  <w:style w:type="character" w:customStyle="1" w:styleId="Char3">
    <w:name w:val="批注框文本 Char"/>
    <w:link w:val="a9"/>
    <w:uiPriority w:val="99"/>
    <w:locked/>
    <w:rsid w:val="00AA1185"/>
    <w:rPr>
      <w:rFonts w:eastAsia="宋体" w:cs="Times New Roman"/>
      <w:kern w:val="2"/>
      <w:sz w:val="18"/>
      <w:szCs w:val="18"/>
    </w:rPr>
  </w:style>
  <w:style w:type="paragraph" w:customStyle="1" w:styleId="TBTextJLL">
    <w:name w:val="TB_Text_JLL"/>
    <w:basedOn w:val="a"/>
    <w:uiPriority w:val="15"/>
    <w:qFormat/>
    <w:rsid w:val="00BD5DC9"/>
    <w:pPr>
      <w:widowControl/>
      <w:spacing w:before="20" w:after="20" w:line="240" w:lineRule="exact"/>
      <w:jc w:val="left"/>
    </w:pPr>
    <w:rPr>
      <w:rFonts w:ascii="Source Sans Pro" w:eastAsiaTheme="minorEastAsia" w:hAnsi="Source Sans Pro" w:cstheme="minorBidi"/>
      <w:color w:val="797979"/>
      <w:kern w:val="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Words>
  <Characters>762</Characters>
  <Application>Microsoft Office Word</Application>
  <DocSecurity>0</DocSecurity>
  <Lines>6</Lines>
  <Paragraphs>1</Paragraphs>
  <ScaleCrop>false</ScaleCrop>
  <Company>微软中国</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zhou</dc:creator>
  <cp:lastModifiedBy>USER</cp:lastModifiedBy>
  <cp:revision>2</cp:revision>
  <cp:lastPrinted>2016-12-09T08:38:00Z</cp:lastPrinted>
  <dcterms:created xsi:type="dcterms:W3CDTF">2018-06-07T07:41:00Z</dcterms:created>
  <dcterms:modified xsi:type="dcterms:W3CDTF">2018-06-07T07:41:00Z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