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9EE5758"/>
    <w:rsid w:val="0DB04B0E"/>
    <w:rsid w:val="0DD761C8"/>
    <w:rsid w:val="160D0C2A"/>
    <w:rsid w:val="226F3B0D"/>
    <w:rsid w:val="29B1385F"/>
    <w:rsid w:val="2BE86D21"/>
    <w:rsid w:val="36845470"/>
    <w:rsid w:val="3C7C4729"/>
    <w:rsid w:val="48034B07"/>
    <w:rsid w:val="48787496"/>
    <w:rsid w:val="4A201463"/>
    <w:rsid w:val="4F2E53E2"/>
    <w:rsid w:val="506953B1"/>
    <w:rsid w:val="5DE40857"/>
    <w:rsid w:val="5F7C2E90"/>
    <w:rsid w:val="665112FC"/>
    <w:rsid w:val="681B589F"/>
    <w:rsid w:val="6AE52A6A"/>
    <w:rsid w:val="6CB10546"/>
    <w:rsid w:val="71844AB3"/>
    <w:rsid w:val="78A02A35"/>
    <w:rsid w:val="7FD2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2021-12-21T02:46:54Z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4251D4B5184B4C2F9EFE9A5F165AE339</vt:lpwstr>
  </property>
</Properties>
</file>