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3101B" w:rsidRDefault="00000000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>关于民福大厦（</w:t>
      </w:r>
      <w:proofErr w:type="gramStart"/>
      <w:r>
        <w:rPr>
          <w:rFonts w:ascii="Arial" w:hAnsi="Arial" w:cs="Arial"/>
        </w:rPr>
        <w:t>奈伦大厦</w:t>
      </w:r>
      <w:proofErr w:type="gramEnd"/>
      <w:r>
        <w:rPr>
          <w:rFonts w:ascii="Arial" w:hAnsi="Arial" w:cs="Arial"/>
        </w:rPr>
        <w:t>）收费说明</w:t>
      </w:r>
    </w:p>
    <w:p w:rsidR="0073101B" w:rsidRDefault="00000000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中国中信金融资产管理股份有限公司内蒙古自治区分公司：</w:t>
      </w:r>
    </w:p>
    <w:p w:rsidR="0073101B" w:rsidRDefault="00000000">
      <w:pPr>
        <w:spacing w:line="48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我公司于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日收到内蒙古自治区呼和浩特市中级人民法院发来的《内蒙古自治区呼和浩特市中级人民法院委托书》（（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）内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>执</w:t>
      </w:r>
      <w:proofErr w:type="gramStart"/>
      <w:r>
        <w:rPr>
          <w:rFonts w:ascii="Arial" w:hAnsi="Arial" w:cs="Arial"/>
        </w:rPr>
        <w:t>恢</w:t>
      </w:r>
      <w:proofErr w:type="gramEnd"/>
      <w:r>
        <w:rPr>
          <w:rFonts w:ascii="Arial" w:hAnsi="Arial" w:cs="Arial"/>
        </w:rPr>
        <w:t>216</w:t>
      </w:r>
      <w:r>
        <w:rPr>
          <w:rFonts w:ascii="Arial" w:hAnsi="Arial" w:cs="Arial"/>
        </w:rPr>
        <w:t>号），委托我公司对位于北京市丰台区六里桥</w:t>
      </w:r>
      <w:proofErr w:type="gramStart"/>
      <w:r>
        <w:rPr>
          <w:rFonts w:ascii="Arial" w:hAnsi="Arial" w:cs="Arial"/>
        </w:rPr>
        <w:t>西北角民福</w:t>
      </w:r>
      <w:proofErr w:type="gramEnd"/>
      <w:r>
        <w:rPr>
          <w:rFonts w:ascii="Arial" w:hAnsi="Arial" w:cs="Arial"/>
        </w:rPr>
        <w:t>大厦奈伦集团所有的部分房产及其占用的土地价值进行评估。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日我公司收到委托后即开始整理资料，</w:t>
      </w:r>
      <w:r>
        <w:rPr>
          <w:rFonts w:ascii="Arial" w:hAnsi="Arial" w:cs="Arial" w:hint="eastAsia"/>
        </w:rPr>
        <w:t>确定估价基本事项并</w:t>
      </w:r>
      <w:r>
        <w:rPr>
          <w:rFonts w:ascii="Arial" w:hAnsi="Arial" w:cs="Arial"/>
        </w:rPr>
        <w:t>进行预测算。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日至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日就预收费、现场勘查、补充资料</w:t>
      </w:r>
      <w:r>
        <w:rPr>
          <w:rFonts w:ascii="Arial" w:hAnsi="Arial" w:cs="Arial" w:hint="eastAsia"/>
        </w:rPr>
        <w:t>（明确财产范围、人防工程、租赁情况）</w:t>
      </w:r>
      <w:r>
        <w:rPr>
          <w:rFonts w:ascii="Arial" w:hAnsi="Arial" w:cs="Arial"/>
        </w:rPr>
        <w:t>等问题与当事人及法院进行多次沟通联系。</w:t>
      </w:r>
      <w:r>
        <w:rPr>
          <w:rFonts w:ascii="Arial" w:hAnsi="Arial" w:cs="Arial"/>
        </w:rPr>
        <w:t>202</w:t>
      </w:r>
      <w:r>
        <w:rPr>
          <w:rFonts w:ascii="Arial" w:hAnsi="Arial" w:cs="Arial" w:hint="eastAsia"/>
        </w:rPr>
        <w:t>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>日，我公司从业经验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多</w:t>
      </w:r>
      <w:r>
        <w:rPr>
          <w:rFonts w:ascii="Arial" w:hAnsi="Arial" w:cs="Arial"/>
        </w:rPr>
        <w:t>年估价师陈颖、估价专业人员黄英对</w:t>
      </w:r>
      <w:r>
        <w:rPr>
          <w:rFonts w:ascii="Arial" w:hAnsi="Arial" w:cs="Arial" w:hint="eastAsia"/>
        </w:rPr>
        <w:t>估价对象</w:t>
      </w:r>
      <w:r>
        <w:rPr>
          <w:rFonts w:ascii="Arial" w:hAnsi="Arial" w:cs="Arial"/>
        </w:rPr>
        <w:t>进行了</w:t>
      </w:r>
      <w:r>
        <w:rPr>
          <w:rFonts w:ascii="Arial" w:hAnsi="Arial" w:cs="Arial" w:hint="eastAsia"/>
        </w:rPr>
        <w:t>实地查勘</w:t>
      </w:r>
      <w:r>
        <w:rPr>
          <w:rFonts w:ascii="Arial" w:hAnsi="Arial" w:cs="Arial"/>
        </w:rPr>
        <w:t>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日至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9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期间</w:t>
      </w:r>
      <w:r>
        <w:rPr>
          <w:rFonts w:ascii="Arial" w:hAnsi="Arial" w:cs="Arial"/>
        </w:rPr>
        <w:t>联系当事人补充资料</w:t>
      </w:r>
      <w:r>
        <w:rPr>
          <w:rFonts w:ascii="Arial" w:hAnsi="Arial" w:cs="Arial" w:hint="eastAsia"/>
        </w:rPr>
        <w:t>（重新确认财产范围及租赁情况、车位、人防情况说明）。同时</w:t>
      </w:r>
      <w:r>
        <w:rPr>
          <w:rFonts w:ascii="Arial" w:hAnsi="Arial" w:cs="Arial"/>
        </w:rPr>
        <w:t>因项目情况相对复杂，我公司针对本项目特成立专门的项目小组，成员包括</w:t>
      </w:r>
      <w:r>
        <w:rPr>
          <w:rFonts w:ascii="Arial" w:hAnsi="Arial" w:cs="Arial" w:hint="eastAsia"/>
        </w:rPr>
        <w:t>刘朝阳、</w:t>
      </w:r>
      <w:r>
        <w:rPr>
          <w:rFonts w:ascii="Arial" w:hAnsi="Arial" w:cs="Arial"/>
        </w:rPr>
        <w:t>陈颖、黄英</w:t>
      </w:r>
      <w:r>
        <w:rPr>
          <w:rFonts w:ascii="Arial" w:hAnsi="Arial" w:cs="Arial" w:hint="eastAsia"/>
        </w:rPr>
        <w:t>三</w:t>
      </w:r>
      <w:r>
        <w:rPr>
          <w:rFonts w:ascii="Arial" w:hAnsi="Arial" w:cs="Arial"/>
        </w:rPr>
        <w:t>人，共同</w:t>
      </w:r>
      <w:r>
        <w:rPr>
          <w:rFonts w:ascii="Arial" w:hAnsi="Arial" w:cs="Arial" w:hint="eastAsia"/>
        </w:rPr>
        <w:t>编制估价作业方案、搜集估价所需资料、解决疑难问题、制定技术路线。</w:t>
      </w:r>
      <w:r>
        <w:rPr>
          <w:rFonts w:ascii="Arial" w:hAnsi="Arial" w:cs="Arial" w:hint="eastAsia"/>
        </w:rPr>
        <w:t>2023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10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9</w:t>
      </w:r>
      <w:r>
        <w:rPr>
          <w:rFonts w:ascii="Arial" w:hAnsi="Arial" w:cs="Arial" w:hint="eastAsia"/>
        </w:rPr>
        <w:t>日至</w:t>
      </w:r>
      <w:r>
        <w:rPr>
          <w:rFonts w:ascii="Arial" w:hAnsi="Arial" w:cs="Arial" w:hint="eastAsia"/>
        </w:rPr>
        <w:t>2023</w:t>
      </w:r>
      <w:r>
        <w:rPr>
          <w:rFonts w:ascii="Arial" w:hAnsi="Arial" w:cs="Arial" w:hint="eastAsia"/>
        </w:rPr>
        <w:t>年</w:t>
      </w:r>
      <w:r>
        <w:rPr>
          <w:rFonts w:ascii="Arial" w:hAnsi="Arial" w:cs="Arial" w:hint="eastAsia"/>
        </w:rPr>
        <w:t>10</w:t>
      </w:r>
      <w:r>
        <w:rPr>
          <w:rFonts w:ascii="Arial" w:hAnsi="Arial" w:cs="Arial" w:hint="eastAsia"/>
        </w:rPr>
        <w:t>月</w:t>
      </w:r>
      <w:r>
        <w:rPr>
          <w:rFonts w:ascii="Arial" w:hAnsi="Arial" w:cs="Arial" w:hint="eastAsia"/>
        </w:rPr>
        <w:t>18</w:t>
      </w:r>
      <w:r>
        <w:rPr>
          <w:rFonts w:ascii="Arial" w:hAnsi="Arial" w:cs="Arial" w:hint="eastAsia"/>
        </w:rPr>
        <w:t>日，项目组工作人员选择适用的估价方法进行测算</w:t>
      </w:r>
      <w:r>
        <w:rPr>
          <w:rFonts w:ascii="Arial" w:hAnsi="Arial" w:cs="Arial"/>
        </w:rPr>
        <w:t>、</w:t>
      </w:r>
      <w:r>
        <w:rPr>
          <w:rFonts w:ascii="Arial" w:hAnsi="Arial" w:cs="Arial" w:hint="eastAsia"/>
        </w:rPr>
        <w:t>撰写估价报告</w:t>
      </w:r>
      <w:r>
        <w:rPr>
          <w:rFonts w:ascii="Arial" w:hAnsi="Arial" w:cs="Arial"/>
        </w:rPr>
        <w:t>、</w:t>
      </w:r>
      <w:r>
        <w:rPr>
          <w:rFonts w:ascii="Arial" w:hAnsi="Arial" w:cs="Arial" w:hint="eastAsia"/>
        </w:rPr>
        <w:t>审核估价报告</w:t>
      </w:r>
      <w:r>
        <w:rPr>
          <w:rFonts w:ascii="Arial" w:hAnsi="Arial" w:cs="Arial"/>
        </w:rPr>
        <w:t>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>日联系当事人付费、出具延期声明。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交付估价报告、保存估价资料</w:t>
      </w:r>
      <w:r>
        <w:rPr>
          <w:rFonts w:ascii="Arial" w:hAnsi="Arial" w:cs="Arial"/>
        </w:rPr>
        <w:t>。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13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>2023</w:t>
      </w:r>
      <w:r>
        <w:rPr>
          <w:rFonts w:ascii="Arial" w:hAnsi="Arial" w:cs="Arial"/>
        </w:rPr>
        <w:t>年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月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>日</w:t>
      </w:r>
      <w:r>
        <w:rPr>
          <w:rFonts w:ascii="Arial" w:hAnsi="Arial" w:cs="Arial" w:hint="eastAsia"/>
        </w:rPr>
        <w:t>补充提供</w:t>
      </w:r>
      <w:r>
        <w:rPr>
          <w:rFonts w:ascii="Arial" w:hAnsi="Arial" w:cs="Arial"/>
        </w:rPr>
        <w:t>技术报告。</w:t>
      </w:r>
    </w:p>
    <w:p w:rsidR="0073101B" w:rsidRDefault="00000000">
      <w:pPr>
        <w:spacing w:line="48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本次评估我公司参与人员：从业经验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多</w:t>
      </w:r>
      <w:r>
        <w:rPr>
          <w:rFonts w:ascii="Arial" w:hAnsi="Arial" w:cs="Arial"/>
        </w:rPr>
        <w:t>年估价师陈颖</w:t>
      </w:r>
      <w:r>
        <w:rPr>
          <w:rFonts w:ascii="Arial" w:hAnsi="Arial" w:cs="Arial" w:hint="eastAsia"/>
        </w:rPr>
        <w:t>和</w:t>
      </w:r>
      <w:proofErr w:type="gramStart"/>
      <w:r>
        <w:rPr>
          <w:rFonts w:ascii="Arial" w:hAnsi="Arial" w:cs="Arial" w:hint="eastAsia"/>
        </w:rPr>
        <w:t>刘朝阳</w:t>
      </w:r>
      <w:proofErr w:type="gramEnd"/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>估价专业人员黄英，估价师陈颖计费标准为</w:t>
      </w:r>
      <w:r>
        <w:rPr>
          <w:rFonts w:ascii="Arial" w:hAnsi="Arial" w:cs="Arial"/>
        </w:rPr>
        <w:t>3000</w:t>
      </w:r>
      <w:r>
        <w:rPr>
          <w:rFonts w:ascii="Arial" w:hAnsi="Arial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天，估价师</w:t>
      </w:r>
      <w:r>
        <w:rPr>
          <w:rFonts w:ascii="Arial" w:hAnsi="Arial" w:cs="Arial" w:hint="eastAsia"/>
        </w:rPr>
        <w:t>刘朝阳</w:t>
      </w:r>
      <w:r>
        <w:rPr>
          <w:rFonts w:ascii="Arial" w:hAnsi="Arial" w:cs="Arial"/>
        </w:rPr>
        <w:t>计费标准为</w:t>
      </w:r>
      <w:r>
        <w:rPr>
          <w:rFonts w:ascii="Arial" w:hAnsi="Arial" w:cs="Arial"/>
        </w:rPr>
        <w:t>3000</w:t>
      </w:r>
      <w:r>
        <w:rPr>
          <w:rFonts w:ascii="Arial" w:hAnsi="Arial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天，评估专业人员黄英计费标准为</w:t>
      </w:r>
      <w:r>
        <w:rPr>
          <w:rFonts w:ascii="Arial" w:hAnsi="Arial" w:cs="Arial"/>
        </w:rPr>
        <w:t>1000</w:t>
      </w:r>
      <w:r>
        <w:rPr>
          <w:rFonts w:ascii="Arial" w:hAnsi="Arial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天。</w:t>
      </w:r>
    </w:p>
    <w:p w:rsidR="0073101B" w:rsidRDefault="0073101B">
      <w:pPr>
        <w:spacing w:line="480" w:lineRule="auto"/>
        <w:ind w:firstLineChars="200" w:firstLine="420"/>
        <w:rPr>
          <w:rFonts w:ascii="Arial" w:hAnsi="Arial" w:cs="Arial"/>
        </w:rPr>
      </w:pPr>
    </w:p>
    <w:p w:rsidR="0073101B" w:rsidRDefault="0073101B">
      <w:pPr>
        <w:spacing w:line="480" w:lineRule="auto"/>
        <w:ind w:firstLineChars="200" w:firstLine="420"/>
        <w:rPr>
          <w:rFonts w:ascii="Arial" w:hAnsi="Arial" w:cs="Arial"/>
        </w:rPr>
      </w:pPr>
    </w:p>
    <w:p w:rsidR="00302782" w:rsidRDefault="00302782">
      <w:pPr>
        <w:spacing w:line="480" w:lineRule="auto"/>
        <w:ind w:firstLineChars="200" w:firstLine="420"/>
        <w:rPr>
          <w:rFonts w:ascii="Arial" w:hAnsi="Arial" w:cs="Arial" w:hint="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856"/>
        <w:gridCol w:w="1701"/>
        <w:gridCol w:w="992"/>
        <w:gridCol w:w="2410"/>
        <w:gridCol w:w="992"/>
        <w:gridCol w:w="930"/>
      </w:tblGrid>
      <w:tr w:rsidR="0073101B" w:rsidTr="00302782">
        <w:trPr>
          <w:jc w:val="center"/>
        </w:trPr>
        <w:tc>
          <w:tcPr>
            <w:tcW w:w="415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856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评估师</w:t>
            </w:r>
          </w:p>
        </w:tc>
        <w:tc>
          <w:tcPr>
            <w:tcW w:w="1701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工作期限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工作天数（天）</w:t>
            </w:r>
          </w:p>
        </w:tc>
        <w:tc>
          <w:tcPr>
            <w:tcW w:w="241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工作内容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计费标准（元</w:t>
            </w:r>
            <w:r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天）</w:t>
            </w:r>
          </w:p>
        </w:tc>
        <w:tc>
          <w:tcPr>
            <w:tcW w:w="93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合计（元）</w:t>
            </w:r>
          </w:p>
        </w:tc>
      </w:tr>
      <w:tr w:rsidR="0073101B" w:rsidTr="00302782">
        <w:trPr>
          <w:jc w:val="center"/>
        </w:trPr>
        <w:tc>
          <w:tcPr>
            <w:tcW w:w="415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56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黄英</w:t>
            </w:r>
          </w:p>
        </w:tc>
        <w:tc>
          <w:tcPr>
            <w:tcW w:w="1701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2023.9.7-2023.11.17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.5</w:t>
            </w:r>
          </w:p>
        </w:tc>
        <w:tc>
          <w:tcPr>
            <w:tcW w:w="2410" w:type="dxa"/>
            <w:vAlign w:val="center"/>
          </w:tcPr>
          <w:p w:rsidR="0073101B" w:rsidRDefault="00000000">
            <w:pPr>
              <w:snapToGrid w:val="0"/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bookmarkStart w:id="0" w:name="_Hlk178254582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确定估价基本事项</w:t>
            </w:r>
            <w:bookmarkEnd w:id="0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、编制估价作业方案、搜集估价所需资料、实地查勘估价对象、解决疑难问题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选用估价方法进行测算、</w:t>
            </w:r>
            <w:bookmarkStart w:id="1" w:name="_Hlk178254494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撰写估价报告</w:t>
            </w:r>
            <w:bookmarkEnd w:id="1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、</w:t>
            </w:r>
            <w:bookmarkStart w:id="2" w:name="_Hlk178254516"/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交付估价报告、保存估价资料</w:t>
            </w:r>
            <w:bookmarkEnd w:id="2"/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1000</w:t>
            </w:r>
          </w:p>
        </w:tc>
        <w:tc>
          <w:tcPr>
            <w:tcW w:w="93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23500</w:t>
            </w:r>
          </w:p>
        </w:tc>
      </w:tr>
      <w:tr w:rsidR="0073101B" w:rsidTr="00302782">
        <w:trPr>
          <w:jc w:val="center"/>
        </w:trPr>
        <w:tc>
          <w:tcPr>
            <w:tcW w:w="415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856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陈颖</w:t>
            </w:r>
          </w:p>
        </w:tc>
        <w:tc>
          <w:tcPr>
            <w:tcW w:w="1701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2023.9.7-2023.11.17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:rsidR="0073101B" w:rsidRDefault="00000000">
            <w:pPr>
              <w:snapToGrid w:val="0"/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受理估价委托、实地查勘估价对象、市场调查、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编制估价作业方案、搜集估价所需资料、解决疑难问题、制定技术路线、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审核估价报告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3000</w:t>
            </w:r>
          </w:p>
        </w:tc>
        <w:tc>
          <w:tcPr>
            <w:tcW w:w="93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48000</w:t>
            </w:r>
          </w:p>
        </w:tc>
      </w:tr>
      <w:tr w:rsidR="0073101B" w:rsidTr="00302782">
        <w:trPr>
          <w:jc w:val="center"/>
        </w:trPr>
        <w:tc>
          <w:tcPr>
            <w:tcW w:w="415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856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刘朝阳</w:t>
            </w:r>
          </w:p>
        </w:tc>
        <w:tc>
          <w:tcPr>
            <w:tcW w:w="1701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2023.9.23-2023.11.17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73101B" w:rsidRDefault="00000000">
            <w:pPr>
              <w:snapToGrid w:val="0"/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编制估价作业方案、搜集估价所需资料、解决疑难问题、制定技术路线、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审核估价报告</w:t>
            </w:r>
          </w:p>
        </w:tc>
        <w:tc>
          <w:tcPr>
            <w:tcW w:w="992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3000</w:t>
            </w:r>
          </w:p>
        </w:tc>
        <w:tc>
          <w:tcPr>
            <w:tcW w:w="93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39000</w:t>
            </w:r>
          </w:p>
        </w:tc>
      </w:tr>
      <w:tr w:rsidR="0073101B" w:rsidTr="00302782">
        <w:trPr>
          <w:jc w:val="center"/>
        </w:trPr>
        <w:tc>
          <w:tcPr>
            <w:tcW w:w="7366" w:type="dxa"/>
            <w:gridSpan w:val="6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30" w:type="dxa"/>
            <w:vAlign w:val="center"/>
          </w:tcPr>
          <w:p w:rsidR="0073101B" w:rsidRDefault="00000000">
            <w:pPr>
              <w:spacing w:line="240" w:lineRule="atLeast"/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110500</w:t>
            </w:r>
          </w:p>
        </w:tc>
      </w:tr>
    </w:tbl>
    <w:p w:rsidR="0073101B" w:rsidRDefault="00000000">
      <w:pPr>
        <w:spacing w:line="480" w:lineRule="auto"/>
        <w:ind w:firstLineChars="200" w:firstLine="420"/>
        <w:rPr>
          <w:rFonts w:ascii="Arial" w:hAnsi="Arial" w:cs="Arial"/>
        </w:rPr>
      </w:pPr>
      <w:r>
        <w:rPr>
          <w:rFonts w:ascii="Arial" w:hAnsi="Arial" w:cs="Arial"/>
        </w:rPr>
        <w:t>根据以上人员</w:t>
      </w:r>
      <w:r>
        <w:rPr>
          <w:rFonts w:ascii="Arial" w:hAnsi="Arial" w:cs="Arial" w:hint="eastAsia"/>
        </w:rPr>
        <w:t>收费标准及工作量</w:t>
      </w:r>
      <w:r>
        <w:rPr>
          <w:rFonts w:ascii="Arial" w:hAnsi="Arial" w:cs="Arial"/>
        </w:rPr>
        <w:t>核算，应收费金额为</w:t>
      </w:r>
      <w:r>
        <w:rPr>
          <w:rFonts w:ascii="Arial" w:hAnsi="Arial" w:cs="Arial" w:hint="eastAsia"/>
        </w:rPr>
        <w:t>110500</w:t>
      </w:r>
      <w:r>
        <w:rPr>
          <w:rFonts w:ascii="Arial" w:hAnsi="Arial" w:cs="Arial"/>
        </w:rPr>
        <w:t>元。</w:t>
      </w:r>
    </w:p>
    <w:p w:rsidR="0073101B" w:rsidRDefault="0073101B">
      <w:pPr>
        <w:spacing w:line="360" w:lineRule="auto"/>
        <w:ind w:firstLineChars="200" w:firstLine="420"/>
        <w:rPr>
          <w:rFonts w:ascii="Arial" w:hAnsi="Arial" w:cs="Arial"/>
        </w:rPr>
      </w:pPr>
    </w:p>
    <w:p w:rsidR="0073101B" w:rsidRDefault="00000000">
      <w:pPr>
        <w:spacing w:line="48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北京康正宏</w:t>
      </w:r>
      <w:proofErr w:type="gramEnd"/>
      <w:r>
        <w:rPr>
          <w:rFonts w:ascii="Arial" w:hAnsi="Arial" w:cs="Arial"/>
        </w:rPr>
        <w:t>基房地产评估有限公司</w:t>
      </w:r>
    </w:p>
    <w:p w:rsidR="0073101B" w:rsidRDefault="00000000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2024</w:t>
      </w:r>
      <w:r>
        <w:rPr>
          <w:rFonts w:ascii="Arial" w:hAnsi="Arial" w:cs="Arial"/>
        </w:rPr>
        <w:t>年</w:t>
      </w:r>
      <w:r w:rsidR="00302782">
        <w:rPr>
          <w:rFonts w:ascii="Arial" w:hAnsi="Arial" w:cs="Arial" w:hint="eastAsia"/>
        </w:rPr>
        <w:t>10</w:t>
      </w:r>
      <w:r>
        <w:rPr>
          <w:rFonts w:ascii="Arial" w:hAnsi="Arial" w:cs="Arial"/>
        </w:rPr>
        <w:t>月</w:t>
      </w:r>
      <w:r w:rsidR="00302782">
        <w:rPr>
          <w:rFonts w:ascii="Arial" w:hAnsi="Arial" w:cs="Arial" w:hint="eastAsia"/>
        </w:rPr>
        <w:t>30</w:t>
      </w:r>
      <w:r>
        <w:rPr>
          <w:rFonts w:ascii="Arial" w:hAnsi="Arial" w:cs="Arial"/>
        </w:rPr>
        <w:t>日</w:t>
      </w:r>
    </w:p>
    <w:sectPr w:rsidR="0073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43"/>
    <w:rsid w:val="000B3DE9"/>
    <w:rsid w:val="000B5D39"/>
    <w:rsid w:val="00113552"/>
    <w:rsid w:val="00125FC7"/>
    <w:rsid w:val="00236014"/>
    <w:rsid w:val="0027319F"/>
    <w:rsid w:val="002A2DE9"/>
    <w:rsid w:val="00302782"/>
    <w:rsid w:val="00334459"/>
    <w:rsid w:val="00367402"/>
    <w:rsid w:val="0037754E"/>
    <w:rsid w:val="00400B38"/>
    <w:rsid w:val="00416FBA"/>
    <w:rsid w:val="00417572"/>
    <w:rsid w:val="00453513"/>
    <w:rsid w:val="004D45AC"/>
    <w:rsid w:val="004E6388"/>
    <w:rsid w:val="00512454"/>
    <w:rsid w:val="00581D6B"/>
    <w:rsid w:val="005A460D"/>
    <w:rsid w:val="00627B2A"/>
    <w:rsid w:val="00643DA9"/>
    <w:rsid w:val="006C0986"/>
    <w:rsid w:val="0073101B"/>
    <w:rsid w:val="007348DC"/>
    <w:rsid w:val="00893649"/>
    <w:rsid w:val="008F0948"/>
    <w:rsid w:val="008F3243"/>
    <w:rsid w:val="009225A1"/>
    <w:rsid w:val="009503D2"/>
    <w:rsid w:val="0095402A"/>
    <w:rsid w:val="009B029B"/>
    <w:rsid w:val="00A15461"/>
    <w:rsid w:val="00B03121"/>
    <w:rsid w:val="00B1683E"/>
    <w:rsid w:val="00B3513B"/>
    <w:rsid w:val="00BB048A"/>
    <w:rsid w:val="00C4087E"/>
    <w:rsid w:val="00CF4E6D"/>
    <w:rsid w:val="00D0602D"/>
    <w:rsid w:val="00D34719"/>
    <w:rsid w:val="00D46CA3"/>
    <w:rsid w:val="00DE01C6"/>
    <w:rsid w:val="00E06C0F"/>
    <w:rsid w:val="00E21F6B"/>
    <w:rsid w:val="00E41DE3"/>
    <w:rsid w:val="00E44566"/>
    <w:rsid w:val="00E5264D"/>
    <w:rsid w:val="00EB186C"/>
    <w:rsid w:val="00EB29C3"/>
    <w:rsid w:val="00EE366A"/>
    <w:rsid w:val="00EF6011"/>
    <w:rsid w:val="00F307C9"/>
    <w:rsid w:val="00F46E62"/>
    <w:rsid w:val="00F56C05"/>
    <w:rsid w:val="18E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ECE9"/>
  <w15:docId w15:val="{D2A5C0D7-1FEA-4EAE-B524-373163D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Revision"/>
    <w:hidden/>
    <w:uiPriority w:val="99"/>
    <w:unhideWhenUsed/>
    <w:rsid w:val="00E526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>LG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2024-10-30T05:44:00Z</cp:lastPrinted>
  <dcterms:created xsi:type="dcterms:W3CDTF">2024-10-30T05:40:00Z</dcterms:created>
  <dcterms:modified xsi:type="dcterms:W3CDTF">2024-10-30T05:51:00Z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63731CD1E7A847AB8971129180060835</vt:lpwstr>
  </property>
</Properties>
</file>