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关于福州螺洲T</w:t>
      </w:r>
      <w:r>
        <w:rPr>
          <w:rFonts w:ascii="宋体" w:hAnsi="宋体" w:cs="宋体"/>
          <w:b/>
          <w:bCs/>
          <w:sz w:val="36"/>
          <w:szCs w:val="36"/>
        </w:rPr>
        <w:t>OD</w:t>
      </w:r>
      <w:r>
        <w:rPr>
          <w:rFonts w:hint="eastAsia" w:ascii="宋体" w:hAnsi="宋体" w:cs="宋体"/>
          <w:b/>
          <w:bCs/>
          <w:sz w:val="36"/>
          <w:szCs w:val="36"/>
        </w:rPr>
        <w:t>项目</w:t>
      </w:r>
      <w:r>
        <w:rPr>
          <w:rFonts w:cs="Arial" w:asciiTheme="minorEastAsia" w:hAnsiTheme="minorEastAsia" w:eastAsiaTheme="minorEastAsia"/>
          <w:b/>
          <w:bCs/>
          <w:sz w:val="36"/>
          <w:szCs w:val="36"/>
        </w:rPr>
        <w:t>2020</w:t>
      </w:r>
      <w:r>
        <w:rPr>
          <w:rFonts w:hint="eastAsia" w:ascii="宋体" w:hAnsi="宋体" w:cs="宋体"/>
          <w:b/>
          <w:bCs/>
          <w:sz w:val="36"/>
          <w:szCs w:val="36"/>
        </w:rPr>
        <w:t>年</w:t>
      </w:r>
      <w:r>
        <w:rPr>
          <w:rFonts w:hint="eastAsia" w:cs="Arial" w:asciiTheme="minorEastAsia" w:hAnsiTheme="minorEastAsia" w:eastAsiaTheme="minorEastAsia"/>
          <w:b/>
          <w:bCs/>
          <w:sz w:val="36"/>
          <w:szCs w:val="36"/>
          <w:lang w:val="en-US" w:eastAsia="zh-CN"/>
        </w:rPr>
        <w:t>12</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福州首融房地产有限公司（以下简称项目公司）于</w:t>
      </w:r>
      <w:r>
        <w:rPr>
          <w:rFonts w:ascii="宋体" w:hAnsi="宋体"/>
          <w:sz w:val="24"/>
          <w:szCs w:val="24"/>
        </w:rPr>
        <w:t>2020年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30</w:t>
      </w:r>
      <w:r>
        <w:rPr>
          <w:rFonts w:ascii="宋体" w:hAnsi="宋体"/>
          <w:sz w:val="24"/>
          <w:szCs w:val="24"/>
        </w:rPr>
        <w:t>日</w:t>
      </w:r>
      <w:r>
        <w:rPr>
          <w:rFonts w:hint="eastAsia" w:ascii="宋体" w:hAnsi="宋体"/>
          <w:sz w:val="24"/>
          <w:szCs w:val="24"/>
        </w:rPr>
        <w:t>提交了2020年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2021年2</w:t>
      </w:r>
      <w:r>
        <w:rPr>
          <w:rFonts w:hint="eastAsia" w:ascii="宋体" w:hAnsi="宋体"/>
          <w:sz w:val="24"/>
          <w:szCs w:val="24"/>
        </w:rPr>
        <w:t>月</w:t>
      </w:r>
      <w:r>
        <w:rPr>
          <w:rFonts w:hint="eastAsia" w:ascii="宋体" w:hAnsi="宋体"/>
          <w:sz w:val="24"/>
          <w:szCs w:val="24"/>
          <w:lang w:eastAsia="zh-CN"/>
        </w:rPr>
        <w:t>的</w:t>
      </w:r>
      <w:r>
        <w:rPr>
          <w:rFonts w:hint="eastAsia" w:ascii="宋体" w:hAnsi="宋体"/>
          <w:sz w:val="24"/>
          <w:szCs w:val="24"/>
        </w:rPr>
        <w:t>《季度资金计划表》，我司对项目公司申报的资金计划进行了审核，</w:t>
      </w:r>
      <w:r>
        <w:rPr>
          <w:rFonts w:hint="eastAsia" w:ascii="宋体" w:hAnsi="宋体"/>
          <w:sz w:val="24"/>
          <w:szCs w:val="24"/>
          <w:lang w:val="en-US" w:eastAsia="zh-CN"/>
        </w:rPr>
        <w:t>2020年12月资金计划</w:t>
      </w:r>
      <w:r>
        <w:rPr>
          <w:rFonts w:hint="eastAsia" w:ascii="宋体" w:hAnsi="宋体"/>
          <w:sz w:val="24"/>
          <w:szCs w:val="24"/>
        </w:rPr>
        <w:t>审核结果如下：</w:t>
      </w:r>
    </w:p>
    <w:p>
      <w:pPr>
        <w:numPr>
          <w:ilvl w:val="0"/>
          <w:numId w:val="1"/>
        </w:numPr>
        <w:spacing w:before="156" w:beforeLines="50" w:after="156" w:afterLines="50" w:line="240" w:lineRule="auto"/>
        <w:ind w:firstLine="120" w:firstLineChars="50"/>
        <w:rPr>
          <w:rFonts w:ascii="宋体" w:hAnsi="宋体"/>
          <w:b/>
          <w:sz w:val="24"/>
          <w:szCs w:val="24"/>
        </w:rPr>
      </w:pPr>
      <w:r>
        <w:rPr>
          <w:rFonts w:hint="default" w:ascii="宋体" w:hAnsi="宋体"/>
          <w:b/>
          <w:bCs w:val="0"/>
          <w:sz w:val="24"/>
          <w:szCs w:val="24"/>
          <w:lang w:bidi="zh-CN"/>
        </w:rPr>
        <w:t>福州螺洲T</w:t>
      </w:r>
      <w:r>
        <w:rPr>
          <w:rFonts w:ascii="宋体" w:hAnsi="宋体"/>
          <w:b/>
          <w:bCs w:val="0"/>
          <w:sz w:val="24"/>
          <w:szCs w:val="24"/>
          <w:lang w:bidi="zh-CN"/>
        </w:rPr>
        <w:t>OD</w:t>
      </w:r>
      <w:r>
        <w:rPr>
          <w:rFonts w:hint="eastAsia" w:ascii="宋体" w:hAnsi="宋体"/>
          <w:b/>
          <w:sz w:val="24"/>
          <w:szCs w:val="24"/>
        </w:rPr>
        <w:t>项目公司2020年</w:t>
      </w:r>
      <w:r>
        <w:rPr>
          <w:rFonts w:hint="eastAsia" w:ascii="宋体" w:hAnsi="宋体"/>
          <w:b/>
          <w:sz w:val="24"/>
          <w:szCs w:val="24"/>
          <w:lang w:val="en-US" w:eastAsia="zh-CN"/>
        </w:rPr>
        <w:t>12</w:t>
      </w:r>
      <w:r>
        <w:rPr>
          <w:rFonts w:hint="eastAsia" w:ascii="宋体" w:hAnsi="宋体"/>
          <w:b/>
          <w:sz w:val="24"/>
          <w:szCs w:val="24"/>
        </w:rPr>
        <w:t>月份资金汇总</w:t>
      </w:r>
    </w:p>
    <w:p>
      <w:pPr>
        <w:spacing w:before="156" w:beforeLines="50" w:after="156" w:afterLines="50"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项目公司于</w:t>
      </w:r>
      <w:r>
        <w:rPr>
          <w:rFonts w:ascii="宋体" w:hAnsi="宋体"/>
          <w:sz w:val="24"/>
          <w:szCs w:val="24"/>
        </w:rPr>
        <w:t>2020年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30</w:t>
      </w:r>
      <w:r>
        <w:rPr>
          <w:rFonts w:ascii="宋体" w:hAnsi="宋体"/>
          <w:sz w:val="24"/>
          <w:szCs w:val="24"/>
        </w:rPr>
        <w:t>日</w:t>
      </w:r>
      <w:r>
        <w:rPr>
          <w:rFonts w:hint="eastAsia" w:ascii="宋体" w:hAnsi="宋体"/>
          <w:sz w:val="24"/>
          <w:szCs w:val="24"/>
        </w:rPr>
        <w:t>提交的2020年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2021年2</w:t>
      </w:r>
      <w:r>
        <w:rPr>
          <w:rFonts w:hint="eastAsia" w:ascii="宋体" w:hAnsi="宋体"/>
          <w:sz w:val="24"/>
          <w:szCs w:val="24"/>
        </w:rPr>
        <w:t>月资金支出计划，</w:t>
      </w:r>
      <w:r>
        <w:rPr>
          <w:rFonts w:hint="eastAsia" w:ascii="宋体" w:hAnsi="宋体"/>
          <w:sz w:val="24"/>
          <w:szCs w:val="24"/>
          <w:lang w:val="en-US" w:eastAsia="zh-CN"/>
        </w:rPr>
        <w:t>12月份的</w:t>
      </w:r>
      <w:r>
        <w:rPr>
          <w:rFonts w:ascii="宋体" w:hAnsi="宋体"/>
          <w:sz w:val="24"/>
          <w:szCs w:val="24"/>
        </w:rPr>
        <w:t>计划</w:t>
      </w:r>
      <w:r>
        <w:rPr>
          <w:rFonts w:hint="eastAsia" w:ascii="宋体" w:hAnsi="宋体"/>
          <w:sz w:val="24"/>
          <w:szCs w:val="24"/>
        </w:rPr>
        <w:t>资金支出共计</w:t>
      </w:r>
      <w:r>
        <w:rPr>
          <w:rFonts w:hint="eastAsia" w:ascii="宋体" w:hAnsi="宋体"/>
          <w:sz w:val="24"/>
          <w:szCs w:val="24"/>
          <w:lang w:val="en-US" w:eastAsia="zh-CN"/>
        </w:rPr>
        <w:t>56</w:t>
      </w:r>
      <w:r>
        <w:rPr>
          <w:rFonts w:hint="eastAsia" w:ascii="宋体" w:hAnsi="宋体"/>
          <w:sz w:val="24"/>
          <w:szCs w:val="24"/>
        </w:rPr>
        <w:t>笔，合计</w:t>
      </w:r>
      <w:r>
        <w:rPr>
          <w:rFonts w:hint="eastAsia" w:ascii="宋体" w:hAnsi="宋体"/>
          <w:sz w:val="24"/>
          <w:szCs w:val="24"/>
          <w:lang w:val="en-US" w:eastAsia="zh-CN"/>
        </w:rPr>
        <w:t>3,536.12</w:t>
      </w:r>
      <w:r>
        <w:rPr>
          <w:rFonts w:hint="eastAsia" w:ascii="宋体" w:hAnsi="宋体"/>
          <w:sz w:val="24"/>
          <w:szCs w:val="24"/>
        </w:rPr>
        <w:t>万元。其中：工程款支出</w:t>
      </w:r>
      <w:r>
        <w:rPr>
          <w:rFonts w:hint="eastAsia" w:ascii="宋体" w:hAnsi="宋体" w:eastAsia="宋体" w:cs="宋体"/>
          <w:i w:val="0"/>
          <w:color w:val="000000"/>
          <w:kern w:val="0"/>
          <w:sz w:val="24"/>
          <w:szCs w:val="24"/>
          <w:u w:val="none"/>
          <w:lang w:val="en-US" w:eastAsia="zh-CN" w:bidi="ar"/>
        </w:rPr>
        <w:t>2</w:t>
      </w:r>
      <w:r>
        <w:rPr>
          <w:rFonts w:hint="eastAsia" w:ascii="宋体" w:hAnsi="宋体" w:cs="宋体"/>
          <w:i w:val="0"/>
          <w:color w:val="000000"/>
          <w:kern w:val="0"/>
          <w:sz w:val="24"/>
          <w:szCs w:val="24"/>
          <w:u w:val="none"/>
          <w:lang w:val="en-US" w:eastAsia="zh-CN" w:bidi="ar"/>
        </w:rPr>
        <w:t>,891</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85</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sz w:val="24"/>
          <w:szCs w:val="24"/>
        </w:rPr>
        <w:t>万元，销售费用</w:t>
      </w:r>
      <w:r>
        <w:rPr>
          <w:rFonts w:hint="eastAsia" w:ascii="宋体" w:hAnsi="宋体" w:eastAsia="宋体" w:cs="宋体"/>
          <w:i w:val="0"/>
          <w:color w:val="000000"/>
          <w:kern w:val="0"/>
          <w:sz w:val="24"/>
          <w:szCs w:val="24"/>
          <w:u w:val="none"/>
          <w:lang w:val="en-US" w:eastAsia="zh-CN" w:bidi="ar"/>
        </w:rPr>
        <w:t>4</w:t>
      </w:r>
      <w:r>
        <w:rPr>
          <w:rFonts w:hint="eastAsia" w:ascii="宋体" w:hAnsi="宋体" w:cs="宋体"/>
          <w:i w:val="0"/>
          <w:color w:val="000000"/>
          <w:kern w:val="0"/>
          <w:sz w:val="24"/>
          <w:szCs w:val="24"/>
          <w:u w:val="none"/>
          <w:lang w:val="en-US" w:eastAsia="zh-CN" w:bidi="ar"/>
        </w:rPr>
        <w:t>26</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03</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sz w:val="24"/>
          <w:szCs w:val="24"/>
        </w:rPr>
        <w:t>万元，管理费用</w:t>
      </w: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24</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sz w:val="24"/>
          <w:szCs w:val="24"/>
        </w:rPr>
        <w:t>万元</w:t>
      </w:r>
      <w:r>
        <w:rPr>
          <w:rFonts w:hint="eastAsia" w:ascii="宋体" w:hAnsi="宋体"/>
          <w:sz w:val="24"/>
          <w:szCs w:val="24"/>
          <w:lang w:eastAsia="zh-CN"/>
        </w:rPr>
        <w:t>，</w:t>
      </w:r>
      <w:r>
        <w:rPr>
          <w:rFonts w:hint="eastAsia" w:ascii="宋体" w:hAnsi="宋体"/>
          <w:sz w:val="24"/>
          <w:szCs w:val="24"/>
          <w:lang w:val="en-US" w:eastAsia="zh-CN"/>
        </w:rPr>
        <w:t>不可预见费用200.00万元</w:t>
      </w:r>
      <w:r>
        <w:rPr>
          <w:rFonts w:hint="eastAsia" w:ascii="宋体" w:hAnsi="宋体"/>
          <w:sz w:val="24"/>
          <w:szCs w:val="24"/>
          <w:lang w:eastAsia="zh-CN"/>
        </w:rPr>
        <w:t>。</w:t>
      </w:r>
    </w:p>
    <w:tbl>
      <w:tblPr>
        <w:tblStyle w:val="10"/>
        <w:tblW w:w="9660" w:type="dxa"/>
        <w:tblInd w:w="-124" w:type="dxa"/>
        <w:shd w:val="clear" w:color="auto" w:fill="auto"/>
        <w:tblLayout w:type="fixed"/>
        <w:tblCellMar>
          <w:top w:w="0" w:type="dxa"/>
          <w:left w:w="0" w:type="dxa"/>
          <w:bottom w:w="0" w:type="dxa"/>
          <w:right w:w="0" w:type="dxa"/>
        </w:tblCellMar>
      </w:tblPr>
      <w:tblGrid>
        <w:gridCol w:w="5688"/>
        <w:gridCol w:w="3972"/>
      </w:tblGrid>
      <w:tr>
        <w:tblPrEx>
          <w:shd w:val="clear" w:color="auto" w:fill="auto"/>
          <w:tblCellMar>
            <w:top w:w="0" w:type="dxa"/>
            <w:left w:w="0" w:type="dxa"/>
            <w:bottom w:w="0" w:type="dxa"/>
            <w:right w:w="0" w:type="dxa"/>
          </w:tblCellMar>
        </w:tblPrEx>
        <w:trPr>
          <w:trHeight w:val="552" w:hRule="atLeast"/>
        </w:trPr>
        <w:tc>
          <w:tcPr>
            <w:tcW w:w="9660" w:type="dxa"/>
            <w:gridSpan w:val="2"/>
            <w:tcBorders>
              <w:top w:val="single" w:color="auto" w:sz="4" w:space="0"/>
              <w:left w:val="single" w:color="000000" w:sz="4" w:space="0"/>
              <w:bottom w:val="nil"/>
              <w:right w:val="single" w:color="auto" w:sz="4" w:space="0"/>
            </w:tcBorders>
            <w:shd w:val="clear" w:color="auto" w:fill="CCC0D9"/>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中航信托·天启【2020】201号福州螺洲TOD项目股权投资集合资金信托计划</w:t>
            </w:r>
          </w:p>
        </w:tc>
      </w:tr>
      <w:tr>
        <w:tblPrEx>
          <w:tblCellMar>
            <w:top w:w="0" w:type="dxa"/>
            <w:left w:w="0" w:type="dxa"/>
            <w:bottom w:w="0" w:type="dxa"/>
            <w:right w:w="0" w:type="dxa"/>
          </w:tblCellMar>
        </w:tblPrEx>
        <w:trPr>
          <w:trHeight w:val="288" w:hRule="atLeast"/>
        </w:trPr>
        <w:tc>
          <w:tcPr>
            <w:tcW w:w="9660" w:type="dxa"/>
            <w:gridSpan w:val="2"/>
            <w:tcBorders>
              <w:top w:val="nil"/>
              <w:left w:val="single" w:color="000000" w:sz="4" w:space="0"/>
              <w:bottom w:val="nil"/>
              <w:right w:val="single" w:color="auto" w:sz="4" w:space="0"/>
            </w:tcBorders>
            <w:shd w:val="clear" w:color="auto" w:fill="CCC0D9"/>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福州首融房地产开发有限公司螺洲TOD项目2020年</w:t>
            </w:r>
            <w:r>
              <w:rPr>
                <w:rFonts w:hint="eastAsia" w:ascii="宋体" w:hAnsi="宋体" w:cs="宋体"/>
                <w:b/>
                <w:i w:val="0"/>
                <w:color w:val="000000"/>
                <w:kern w:val="0"/>
                <w:sz w:val="24"/>
                <w:szCs w:val="24"/>
                <w:u w:val="none"/>
                <w:lang w:val="en-US" w:eastAsia="zh-CN" w:bidi="ar"/>
              </w:rPr>
              <w:t>12</w:t>
            </w:r>
            <w:r>
              <w:rPr>
                <w:rFonts w:hint="eastAsia" w:ascii="宋体" w:hAnsi="宋体" w:eastAsia="宋体" w:cs="宋体"/>
                <w:b/>
                <w:i w:val="0"/>
                <w:color w:val="000000"/>
                <w:kern w:val="0"/>
                <w:sz w:val="24"/>
                <w:szCs w:val="24"/>
                <w:u w:val="none"/>
                <w:lang w:val="en-US" w:eastAsia="zh-CN" w:bidi="ar"/>
              </w:rPr>
              <w:t>月资金计划</w:t>
            </w:r>
          </w:p>
        </w:tc>
      </w:tr>
      <w:tr>
        <w:tblPrEx>
          <w:tblCellMar>
            <w:top w:w="0" w:type="dxa"/>
            <w:left w:w="0" w:type="dxa"/>
            <w:bottom w:w="0" w:type="dxa"/>
            <w:right w:w="0" w:type="dxa"/>
          </w:tblCellMar>
        </w:tblPrEx>
        <w:trPr>
          <w:trHeight w:val="348" w:hRule="atLeast"/>
        </w:trPr>
        <w:tc>
          <w:tcPr>
            <w:tcW w:w="9660" w:type="dxa"/>
            <w:gridSpan w:val="2"/>
            <w:tcBorders>
              <w:top w:val="nil"/>
              <w:left w:val="single" w:color="000000" w:sz="4" w:space="0"/>
              <w:bottom w:val="single" w:color="000000" w:sz="4" w:space="0"/>
              <w:right w:val="single" w:color="auto" w:sz="4" w:space="0"/>
            </w:tcBorders>
            <w:shd w:val="clear" w:color="auto" w:fill="CCC0D9"/>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编制单位：福州首融房地产开发有限公司      </w:t>
            </w:r>
            <w:r>
              <w:rPr>
                <w:rFonts w:hint="eastAsia" w:ascii="宋体" w:hAnsi="宋体" w:cs="宋体"/>
                <w:b/>
                <w:i w:val="0"/>
                <w:color w:val="000000"/>
                <w:kern w:val="0"/>
                <w:sz w:val="24"/>
                <w:szCs w:val="24"/>
                <w:u w:val="none"/>
                <w:lang w:val="en-US" w:eastAsia="zh-CN" w:bidi="ar"/>
              </w:rPr>
              <w:t xml:space="preserve">        </w:t>
            </w:r>
            <w:r>
              <w:rPr>
                <w:rFonts w:hint="eastAsia" w:ascii="宋体" w:hAnsi="宋体" w:eastAsia="宋体" w:cs="宋体"/>
                <w:b/>
                <w:i w:val="0"/>
                <w:color w:val="000000"/>
                <w:kern w:val="0"/>
                <w:sz w:val="24"/>
                <w:szCs w:val="24"/>
                <w:u w:val="none"/>
                <w:lang w:val="en-US" w:eastAsia="zh-CN" w:bidi="ar"/>
              </w:rPr>
              <w:t xml:space="preserve">                </w:t>
            </w:r>
            <w:r>
              <w:rPr>
                <w:rFonts w:hint="eastAsia" w:ascii="宋体" w:hAnsi="宋体" w:cs="宋体"/>
                <w:b/>
                <w:i w:val="0"/>
                <w:color w:val="000000"/>
                <w:kern w:val="0"/>
                <w:sz w:val="24"/>
                <w:szCs w:val="24"/>
                <w:u w:val="none"/>
                <w:lang w:val="en-US" w:eastAsia="zh-CN" w:bidi="ar"/>
              </w:rPr>
              <w:t xml:space="preserve">  </w:t>
            </w:r>
            <w:r>
              <w:rPr>
                <w:rFonts w:hint="eastAsia" w:ascii="宋体" w:hAnsi="宋体" w:eastAsia="宋体" w:cs="宋体"/>
                <w:b/>
                <w:i w:val="0"/>
                <w:color w:val="000000"/>
                <w:kern w:val="0"/>
                <w:sz w:val="24"/>
                <w:szCs w:val="24"/>
                <w:u w:val="none"/>
                <w:lang w:val="en-US" w:eastAsia="zh-CN" w:bidi="ar"/>
              </w:rPr>
              <w:t xml:space="preserve">  单位：万元</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DCD8C2"/>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3972" w:type="dxa"/>
            <w:tcBorders>
              <w:top w:val="single" w:color="000000" w:sz="4" w:space="0"/>
              <w:left w:val="single" w:color="000000" w:sz="4" w:space="0"/>
              <w:bottom w:val="single" w:color="000000" w:sz="4" w:space="0"/>
              <w:right w:val="single" w:color="000000" w:sz="4" w:space="0"/>
            </w:tcBorders>
            <w:shd w:val="clear" w:color="auto" w:fill="DCD8C2"/>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12</w:t>
            </w:r>
            <w:r>
              <w:rPr>
                <w:rFonts w:hint="eastAsia" w:ascii="宋体" w:hAnsi="宋体" w:eastAsia="宋体" w:cs="宋体"/>
                <w:b/>
                <w:i w:val="0"/>
                <w:color w:val="000000"/>
                <w:kern w:val="0"/>
                <w:sz w:val="24"/>
                <w:szCs w:val="24"/>
                <w:u w:val="none"/>
                <w:lang w:val="en-US" w:eastAsia="zh-CN" w:bidi="ar"/>
              </w:rPr>
              <w:t>月计划金额</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土地款支出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8"/>
                <w:szCs w:val="18"/>
                <w:u w:val="none"/>
                <w:lang w:val="en-US" w:eastAsia="zh-CN"/>
              </w:rPr>
            </w:pPr>
            <w:r>
              <w:rPr>
                <w:rFonts w:hint="default" w:ascii="Arial" w:hAnsi="Arial" w:eastAsia="宋体" w:cs="Arial"/>
                <w:i w:val="0"/>
                <w:color w:val="000000"/>
                <w:sz w:val="18"/>
                <w:szCs w:val="18"/>
                <w:u w:val="none"/>
                <w:lang w:val="en-US" w:eastAsia="zh-CN"/>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大配套支出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8"/>
                <w:szCs w:val="18"/>
                <w:u w:val="none"/>
                <w:lang w:val="en-US" w:eastAsia="zh-CN"/>
              </w:rPr>
            </w:pPr>
            <w:r>
              <w:rPr>
                <w:rFonts w:hint="default" w:ascii="Arial" w:hAnsi="Arial" w:eastAsia="宋体" w:cs="Arial"/>
                <w:i w:val="0"/>
                <w:color w:val="000000"/>
                <w:sz w:val="18"/>
                <w:szCs w:val="18"/>
                <w:u w:val="none"/>
                <w:lang w:val="en-US" w:eastAsia="zh-CN"/>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工程款支出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000000"/>
                <w:kern w:val="2"/>
                <w:sz w:val="18"/>
                <w:szCs w:val="18"/>
                <w:u w:val="none"/>
                <w:lang w:val="en-US" w:eastAsia="zh-CN" w:bidi="ar-SA"/>
              </w:rPr>
            </w:pPr>
            <w:r>
              <w:rPr>
                <w:rFonts w:hint="default" w:ascii="Arial" w:hAnsi="Arial" w:eastAsia="宋体" w:cs="Arial"/>
                <w:i w:val="0"/>
                <w:color w:val="000000"/>
                <w:kern w:val="0"/>
                <w:sz w:val="18"/>
                <w:szCs w:val="18"/>
                <w:u w:val="none"/>
                <w:lang w:val="en-US" w:eastAsia="zh-CN" w:bidi="ar"/>
              </w:rPr>
              <w:t>2</w:t>
            </w:r>
            <w:r>
              <w:rPr>
                <w:rFonts w:hint="default" w:ascii="Arial" w:hAnsi="Arial" w:cs="Arial"/>
                <w:i w:val="0"/>
                <w:color w:val="000000"/>
                <w:kern w:val="0"/>
                <w:sz w:val="18"/>
                <w:szCs w:val="18"/>
                <w:u w:val="none"/>
                <w:lang w:val="en-US" w:eastAsia="zh-CN" w:bidi="ar"/>
              </w:rPr>
              <w:t>,</w:t>
            </w:r>
            <w:r>
              <w:rPr>
                <w:rFonts w:hint="eastAsia" w:ascii="Arial" w:hAnsi="Arial" w:cs="Arial"/>
                <w:i w:val="0"/>
                <w:color w:val="000000"/>
                <w:kern w:val="0"/>
                <w:sz w:val="18"/>
                <w:szCs w:val="18"/>
                <w:u w:val="none"/>
                <w:lang w:val="en-US" w:eastAsia="zh-CN" w:bidi="ar"/>
              </w:rPr>
              <w:t>891</w:t>
            </w:r>
            <w:r>
              <w:rPr>
                <w:rFonts w:hint="default" w:ascii="Arial" w:hAnsi="Arial" w:eastAsia="宋体" w:cs="Arial"/>
                <w:i w:val="0"/>
                <w:color w:val="000000"/>
                <w:kern w:val="0"/>
                <w:sz w:val="18"/>
                <w:szCs w:val="18"/>
                <w:u w:val="none"/>
                <w:lang w:val="en-US" w:eastAsia="zh-CN" w:bidi="ar"/>
              </w:rPr>
              <w:t>.</w:t>
            </w:r>
            <w:r>
              <w:rPr>
                <w:rFonts w:hint="eastAsia" w:ascii="Arial" w:hAnsi="Arial" w:cs="Arial"/>
                <w:i w:val="0"/>
                <w:color w:val="000000"/>
                <w:kern w:val="0"/>
                <w:sz w:val="18"/>
                <w:szCs w:val="18"/>
                <w:u w:val="none"/>
                <w:lang w:val="en-US" w:eastAsia="zh-CN" w:bidi="ar"/>
              </w:rPr>
              <w:t>85</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销售费用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000000"/>
                <w:kern w:val="2"/>
                <w:sz w:val="18"/>
                <w:szCs w:val="18"/>
                <w:u w:val="none"/>
                <w:lang w:val="en-US" w:eastAsia="zh-CN" w:bidi="ar-SA"/>
              </w:rPr>
            </w:pPr>
            <w:r>
              <w:rPr>
                <w:rFonts w:hint="default" w:ascii="Arial" w:hAnsi="Arial" w:eastAsia="宋体" w:cs="Arial"/>
                <w:i w:val="0"/>
                <w:color w:val="000000"/>
                <w:kern w:val="0"/>
                <w:sz w:val="18"/>
                <w:szCs w:val="18"/>
                <w:u w:val="none"/>
                <w:lang w:val="en-US" w:eastAsia="zh-CN" w:bidi="ar"/>
              </w:rPr>
              <w:t>4</w:t>
            </w:r>
            <w:r>
              <w:rPr>
                <w:rFonts w:hint="eastAsia" w:ascii="Arial" w:hAnsi="Arial" w:cs="Arial"/>
                <w:i w:val="0"/>
                <w:color w:val="000000"/>
                <w:kern w:val="0"/>
                <w:sz w:val="18"/>
                <w:szCs w:val="18"/>
                <w:u w:val="none"/>
                <w:lang w:val="en-US" w:eastAsia="zh-CN" w:bidi="ar"/>
              </w:rPr>
              <w:t>26</w:t>
            </w:r>
            <w:r>
              <w:rPr>
                <w:rFonts w:hint="default" w:ascii="Arial" w:hAnsi="Arial" w:eastAsia="宋体" w:cs="Arial"/>
                <w:i w:val="0"/>
                <w:color w:val="000000"/>
                <w:kern w:val="0"/>
                <w:sz w:val="18"/>
                <w:szCs w:val="18"/>
                <w:u w:val="none"/>
                <w:lang w:val="en-US" w:eastAsia="zh-CN" w:bidi="ar"/>
              </w:rPr>
              <w:t>.</w:t>
            </w:r>
            <w:r>
              <w:rPr>
                <w:rFonts w:hint="eastAsia" w:ascii="Arial" w:hAnsi="Arial" w:cs="Arial"/>
                <w:i w:val="0"/>
                <w:color w:val="000000"/>
                <w:kern w:val="0"/>
                <w:sz w:val="18"/>
                <w:szCs w:val="18"/>
                <w:u w:val="none"/>
                <w:lang w:val="en-US" w:eastAsia="zh-CN" w:bidi="ar"/>
              </w:rPr>
              <w:t>03</w:t>
            </w:r>
            <w:r>
              <w:rPr>
                <w:rFonts w:hint="default" w:ascii="Arial" w:hAnsi="Arial" w:eastAsia="宋体" w:cs="Arial"/>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管理费用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000000"/>
                <w:kern w:val="2"/>
                <w:sz w:val="18"/>
                <w:szCs w:val="18"/>
                <w:u w:val="none"/>
                <w:lang w:val="en-US" w:eastAsia="zh-CN" w:bidi="ar-SA"/>
              </w:rPr>
            </w:pPr>
            <w:r>
              <w:rPr>
                <w:rFonts w:hint="default" w:ascii="Arial" w:hAnsi="Arial" w:eastAsia="宋体" w:cs="Arial"/>
                <w:i w:val="0"/>
                <w:color w:val="000000"/>
                <w:kern w:val="0"/>
                <w:sz w:val="18"/>
                <w:szCs w:val="18"/>
                <w:u w:val="none"/>
                <w:lang w:val="en-US" w:eastAsia="zh-CN" w:bidi="ar"/>
              </w:rPr>
              <w:t>1</w:t>
            </w:r>
            <w:r>
              <w:rPr>
                <w:rFonts w:hint="eastAsia" w:ascii="Arial" w:hAnsi="Arial" w:cs="Arial"/>
                <w:i w:val="0"/>
                <w:color w:val="000000"/>
                <w:kern w:val="0"/>
                <w:sz w:val="18"/>
                <w:szCs w:val="18"/>
                <w:u w:val="none"/>
                <w:lang w:val="en-US" w:eastAsia="zh-CN" w:bidi="ar"/>
              </w:rPr>
              <w:t>8</w:t>
            </w:r>
            <w:r>
              <w:rPr>
                <w:rFonts w:hint="default" w:ascii="Arial" w:hAnsi="Arial" w:eastAsia="宋体" w:cs="Arial"/>
                <w:i w:val="0"/>
                <w:color w:val="000000"/>
                <w:kern w:val="0"/>
                <w:sz w:val="18"/>
                <w:szCs w:val="18"/>
                <w:u w:val="none"/>
                <w:lang w:val="en-US" w:eastAsia="zh-CN" w:bidi="ar"/>
              </w:rPr>
              <w:t>.</w:t>
            </w:r>
            <w:r>
              <w:rPr>
                <w:rFonts w:hint="eastAsia" w:ascii="Arial" w:hAnsi="Arial" w:cs="Arial"/>
                <w:i w:val="0"/>
                <w:color w:val="000000"/>
                <w:kern w:val="0"/>
                <w:sz w:val="18"/>
                <w:szCs w:val="18"/>
                <w:u w:val="none"/>
                <w:lang w:val="en-US" w:eastAsia="zh-CN" w:bidi="ar"/>
              </w:rPr>
              <w:t>24</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财务费用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8"/>
                <w:szCs w:val="18"/>
                <w:u w:val="none"/>
                <w:lang w:val="en-US" w:eastAsia="zh-CN"/>
              </w:rPr>
            </w:pPr>
            <w:r>
              <w:rPr>
                <w:rFonts w:hint="default" w:ascii="Arial" w:hAnsi="Arial" w:eastAsia="宋体" w:cs="Arial"/>
                <w:i w:val="0"/>
                <w:color w:val="000000"/>
                <w:sz w:val="18"/>
                <w:szCs w:val="18"/>
                <w:u w:val="none"/>
                <w:lang w:val="en-US" w:eastAsia="zh-CN"/>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营业税金及附加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default" w:ascii="Arial" w:hAnsi="Arial" w:eastAsia="宋体" w:cs="Arial"/>
                <w:b/>
                <w:i w:val="0"/>
                <w:color w:val="000000"/>
                <w:sz w:val="18"/>
                <w:szCs w:val="18"/>
                <w:u w:val="none"/>
                <w:lang w:val="en-US" w:eastAsia="zh-CN"/>
              </w:rPr>
            </w:pPr>
            <w:r>
              <w:rPr>
                <w:rFonts w:hint="default" w:ascii="Arial" w:hAnsi="Arial" w:eastAsia="宋体" w:cs="Arial"/>
                <w:b/>
                <w:i w:val="0"/>
                <w:color w:val="000000"/>
                <w:sz w:val="18"/>
                <w:szCs w:val="18"/>
                <w:u w:val="none"/>
                <w:lang w:val="en-US" w:eastAsia="zh-CN"/>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土地增值税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Arial" w:hAnsi="Arial" w:eastAsia="宋体" w:cs="Arial"/>
                <w:i w:val="0"/>
                <w:color w:val="000000"/>
                <w:sz w:val="18"/>
                <w:szCs w:val="18"/>
                <w:u w:val="none"/>
                <w:lang w:val="en-US" w:eastAsia="zh-CN"/>
              </w:rPr>
            </w:pPr>
            <w:r>
              <w:rPr>
                <w:rFonts w:hint="default" w:ascii="Arial" w:hAnsi="Arial" w:eastAsia="宋体" w:cs="Arial"/>
                <w:i w:val="0"/>
                <w:color w:val="000000"/>
                <w:sz w:val="18"/>
                <w:szCs w:val="18"/>
                <w:u w:val="none"/>
                <w:lang w:val="en-US" w:eastAsia="zh-CN"/>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所得税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Arial" w:hAnsi="Arial" w:eastAsia="宋体" w:cs="Arial"/>
                <w:i w:val="0"/>
                <w:color w:val="000000"/>
                <w:sz w:val="18"/>
                <w:szCs w:val="18"/>
                <w:u w:val="none"/>
                <w:lang w:val="en-US" w:eastAsia="zh-CN"/>
              </w:rPr>
            </w:pPr>
            <w:r>
              <w:rPr>
                <w:rFonts w:hint="default" w:ascii="Arial" w:hAnsi="Arial" w:eastAsia="宋体" w:cs="Arial"/>
                <w:i w:val="0"/>
                <w:color w:val="000000"/>
                <w:sz w:val="18"/>
                <w:szCs w:val="18"/>
                <w:u w:val="none"/>
                <w:lang w:val="en-US" w:eastAsia="zh-CN"/>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其他净支出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Arial" w:hAnsi="Arial" w:eastAsia="宋体" w:cs="Arial"/>
                <w:i w:val="0"/>
                <w:color w:val="000000"/>
                <w:sz w:val="18"/>
                <w:szCs w:val="18"/>
                <w:u w:val="none"/>
                <w:lang w:val="en-US" w:eastAsia="zh-CN"/>
              </w:rPr>
            </w:pPr>
            <w:r>
              <w:rPr>
                <w:rFonts w:hint="default" w:ascii="Arial" w:hAnsi="Arial" w:eastAsia="宋体" w:cs="Arial"/>
                <w:i w:val="0"/>
                <w:color w:val="000000"/>
                <w:sz w:val="18"/>
                <w:szCs w:val="18"/>
                <w:u w:val="none"/>
                <w:lang w:val="en-US" w:eastAsia="zh-CN"/>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与融创集团内各公司往来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Arial" w:hAnsi="Arial" w:eastAsia="宋体" w:cs="Arial"/>
                <w:i w:val="0"/>
                <w:color w:val="000000"/>
                <w:sz w:val="18"/>
                <w:szCs w:val="18"/>
                <w:u w:val="none"/>
                <w:lang w:val="en-US" w:eastAsia="zh-CN"/>
              </w:rPr>
            </w:pPr>
            <w:r>
              <w:rPr>
                <w:rFonts w:hint="default" w:ascii="Arial" w:hAnsi="Arial" w:eastAsia="宋体" w:cs="Arial"/>
                <w:i w:val="0"/>
                <w:color w:val="000000"/>
                <w:sz w:val="18"/>
                <w:szCs w:val="18"/>
                <w:u w:val="none"/>
                <w:lang w:val="en-US" w:eastAsia="zh-CN"/>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eastAsia="zh-CN"/>
              </w:rPr>
            </w:pPr>
            <w:r>
              <w:rPr>
                <w:rFonts w:hint="eastAsia" w:ascii="宋体" w:hAnsi="宋体" w:cs="宋体"/>
                <w:b w:val="0"/>
                <w:bCs/>
                <w:i w:val="0"/>
                <w:color w:val="000000"/>
                <w:sz w:val="24"/>
                <w:szCs w:val="24"/>
                <w:u w:val="none"/>
                <w:lang w:val="en-US" w:eastAsia="zh-CN"/>
              </w:rPr>
              <w:t>不可预见费</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b/>
                <w:i w:val="0"/>
                <w:color w:val="000000"/>
                <w:kern w:val="2"/>
                <w:sz w:val="18"/>
                <w:szCs w:val="18"/>
                <w:u w:val="none"/>
                <w:lang w:val="en-US" w:eastAsia="zh-CN" w:bidi="ar-SA"/>
              </w:rPr>
            </w:pPr>
            <w:r>
              <w:rPr>
                <w:rFonts w:hint="default" w:ascii="Arial" w:hAnsi="Arial" w:cs="Arial"/>
                <w:b w:val="0"/>
                <w:bCs/>
                <w:i w:val="0"/>
                <w:color w:val="000000"/>
                <w:kern w:val="2"/>
                <w:sz w:val="18"/>
                <w:szCs w:val="18"/>
                <w:u w:val="none"/>
                <w:lang w:val="en-US" w:eastAsia="zh-CN" w:bidi="ar-SA"/>
              </w:rPr>
              <w:t>200.00</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 xml:space="preserve"> 资金流出小计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b/>
                <w:i w:val="0"/>
                <w:color w:val="000000"/>
                <w:kern w:val="2"/>
                <w:sz w:val="18"/>
                <w:szCs w:val="18"/>
                <w:u w:val="none"/>
                <w:lang w:val="en-US" w:eastAsia="zh-CN" w:bidi="ar-SA"/>
              </w:rPr>
            </w:pPr>
            <w:r>
              <w:rPr>
                <w:rFonts w:hint="eastAsia" w:ascii="Arial" w:hAnsi="Arial" w:cs="Arial"/>
                <w:b/>
                <w:i w:val="0"/>
                <w:color w:val="000000"/>
                <w:kern w:val="0"/>
                <w:sz w:val="18"/>
                <w:szCs w:val="18"/>
                <w:u w:val="none"/>
                <w:lang w:val="en-US" w:eastAsia="zh-CN" w:bidi="ar"/>
              </w:rPr>
              <w:t>3</w:t>
            </w:r>
            <w:r>
              <w:rPr>
                <w:rFonts w:hint="default" w:ascii="Arial" w:hAnsi="Arial" w:eastAsia="宋体" w:cs="Arial"/>
                <w:b/>
                <w:i w:val="0"/>
                <w:color w:val="000000"/>
                <w:kern w:val="0"/>
                <w:sz w:val="18"/>
                <w:szCs w:val="18"/>
                <w:u w:val="none"/>
                <w:lang w:val="en-US" w:eastAsia="zh-CN" w:bidi="ar"/>
              </w:rPr>
              <w:t>,</w:t>
            </w:r>
            <w:r>
              <w:rPr>
                <w:rFonts w:hint="eastAsia" w:ascii="Arial" w:hAnsi="Arial" w:cs="Arial"/>
                <w:b/>
                <w:i w:val="0"/>
                <w:color w:val="000000"/>
                <w:kern w:val="0"/>
                <w:sz w:val="18"/>
                <w:szCs w:val="18"/>
                <w:u w:val="none"/>
                <w:lang w:val="en-US" w:eastAsia="zh-CN" w:bidi="ar"/>
              </w:rPr>
              <w:t>536</w:t>
            </w:r>
            <w:r>
              <w:rPr>
                <w:rFonts w:hint="default" w:ascii="Arial" w:hAnsi="Arial" w:eastAsia="宋体" w:cs="Arial"/>
                <w:b/>
                <w:i w:val="0"/>
                <w:color w:val="000000"/>
                <w:kern w:val="0"/>
                <w:sz w:val="18"/>
                <w:szCs w:val="18"/>
                <w:u w:val="none"/>
                <w:lang w:val="en-US" w:eastAsia="zh-CN" w:bidi="ar"/>
              </w:rPr>
              <w:t>.</w:t>
            </w:r>
            <w:r>
              <w:rPr>
                <w:rFonts w:hint="eastAsia" w:ascii="Arial" w:hAnsi="Arial" w:cs="Arial"/>
                <w:b/>
                <w:i w:val="0"/>
                <w:color w:val="000000"/>
                <w:kern w:val="0"/>
                <w:sz w:val="18"/>
                <w:szCs w:val="18"/>
                <w:u w:val="none"/>
                <w:lang w:val="en-US" w:eastAsia="zh-CN" w:bidi="ar"/>
              </w:rPr>
              <w:t>12</w:t>
            </w:r>
          </w:p>
        </w:tc>
      </w:tr>
    </w:tbl>
    <w:p>
      <w:pPr>
        <w:pStyle w:val="9"/>
        <w:spacing w:before="0" w:beforeLines="0" w:after="0" w:afterLines="0" w:line="360" w:lineRule="auto"/>
        <w:ind w:firstLine="0" w:firstLineChars="0"/>
        <w:rPr>
          <w:rFonts w:hint="eastAsia"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numPr>
          <w:ilvl w:val="0"/>
          <w:numId w:val="1"/>
        </w:numPr>
        <w:spacing w:before="156" w:beforeLines="50" w:after="156" w:afterLines="50" w:line="240" w:lineRule="auto"/>
        <w:ind w:firstLine="120" w:firstLineChars="50"/>
        <w:rPr>
          <w:rFonts w:ascii="宋体" w:hAnsi="宋体"/>
          <w:b/>
          <w:sz w:val="24"/>
          <w:szCs w:val="24"/>
          <w:lang w:bidi="zh-CN"/>
        </w:rPr>
      </w:pPr>
      <w:r>
        <w:rPr>
          <w:rFonts w:hint="default" w:ascii="宋体" w:hAnsi="宋体"/>
          <w:b/>
          <w:bCs w:val="0"/>
          <w:sz w:val="24"/>
          <w:szCs w:val="24"/>
          <w:lang w:bidi="zh-CN"/>
        </w:rPr>
        <w:t>福州螺洲T</w:t>
      </w:r>
      <w:r>
        <w:rPr>
          <w:rFonts w:ascii="宋体" w:hAnsi="宋体"/>
          <w:b/>
          <w:bCs w:val="0"/>
          <w:sz w:val="24"/>
          <w:szCs w:val="24"/>
          <w:lang w:bidi="zh-CN"/>
        </w:rPr>
        <w:t>OD</w:t>
      </w:r>
      <w:r>
        <w:rPr>
          <w:rFonts w:hint="default" w:ascii="宋体" w:hAnsi="宋体" w:cs="Times New Roman"/>
          <w:b/>
          <w:sz w:val="24"/>
          <w:szCs w:val="24"/>
          <w:lang w:bidi="zh-CN"/>
        </w:rPr>
        <w:t>项目公司</w:t>
      </w:r>
      <w:r>
        <w:rPr>
          <w:rFonts w:hint="default" w:ascii="宋体" w:hAnsi="宋体"/>
          <w:b/>
          <w:sz w:val="24"/>
          <w:szCs w:val="24"/>
          <w:lang w:val="zh-CN" w:bidi="zh-CN"/>
        </w:rPr>
        <w:t>资金计划</w:t>
      </w:r>
      <w:r>
        <w:rPr>
          <w:rFonts w:ascii="宋体" w:hAnsi="宋体"/>
          <w:b/>
          <w:sz w:val="24"/>
          <w:szCs w:val="24"/>
          <w:lang w:val="zh-CN" w:bidi="zh-CN"/>
        </w:rPr>
        <w:t>情况</w:t>
      </w:r>
      <w:r>
        <w:rPr>
          <w:rFonts w:hint="default" w:ascii="宋体" w:hAnsi="宋体"/>
          <w:b/>
          <w:sz w:val="24"/>
          <w:szCs w:val="24"/>
          <w:lang w:bidi="zh-CN"/>
        </w:rPr>
        <w:t>审核说明</w:t>
      </w:r>
    </w:p>
    <w:p>
      <w:pPr>
        <w:spacing w:before="156" w:beforeLines="50" w:after="156" w:afterLines="50" w:line="360" w:lineRule="auto"/>
        <w:ind w:firstLine="0" w:firstLineChars="0"/>
        <w:rPr>
          <w:rFonts w:hint="eastAsia"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项目公司在2020年</w:t>
      </w:r>
      <w:r>
        <w:rPr>
          <w:rFonts w:hint="eastAsia" w:ascii="宋体" w:hAnsi="宋体"/>
          <w:bCs/>
          <w:color w:val="000000"/>
          <w:sz w:val="24"/>
          <w:szCs w:val="24"/>
          <w:lang w:val="en-US" w:bidi="zh-CN"/>
        </w:rPr>
        <w:t>12</w:t>
      </w:r>
      <w:r>
        <w:rPr>
          <w:rFonts w:hint="eastAsia" w:ascii="宋体" w:hAnsi="宋体"/>
          <w:bCs/>
          <w:color w:val="000000"/>
          <w:sz w:val="24"/>
          <w:szCs w:val="24"/>
          <w:lang w:bidi="zh-CN"/>
        </w:rPr>
        <w:t>月工程款支出金额共计</w:t>
      </w:r>
      <w:r>
        <w:rPr>
          <w:rFonts w:hint="eastAsia" w:ascii="宋体" w:hAnsi="宋体"/>
          <w:bCs/>
          <w:color w:val="000000"/>
          <w:sz w:val="24"/>
          <w:szCs w:val="24"/>
          <w:lang w:val="en-US" w:eastAsia="zh-CN" w:bidi="zh-CN"/>
        </w:rPr>
        <w:t>2,891.85</w:t>
      </w:r>
      <w:r>
        <w:rPr>
          <w:rFonts w:hint="eastAsia" w:ascii="宋体" w:hAnsi="宋体"/>
          <w:bCs/>
          <w:color w:val="000000"/>
          <w:sz w:val="24"/>
          <w:szCs w:val="24"/>
          <w:lang w:bidi="zh-CN"/>
        </w:rPr>
        <w:t>万元，其中包含</w:t>
      </w:r>
      <w:r>
        <w:rPr>
          <w:rFonts w:hint="eastAsia" w:ascii="宋体" w:hAnsi="宋体"/>
          <w:bCs/>
          <w:color w:val="000000"/>
          <w:sz w:val="24"/>
          <w:szCs w:val="24"/>
          <w:lang w:eastAsia="zh-CN" w:bidi="zh-CN"/>
        </w:rPr>
        <w:t>工程款</w:t>
      </w:r>
      <w:r>
        <w:rPr>
          <w:rFonts w:hint="eastAsia" w:ascii="宋体" w:hAnsi="宋体"/>
          <w:bCs/>
          <w:color w:val="000000"/>
          <w:sz w:val="24"/>
          <w:szCs w:val="24"/>
          <w:lang w:val="en-US" w:eastAsia="zh-CN" w:bidi="zh-CN"/>
        </w:rPr>
        <w:t>1，385.96万元，</w:t>
      </w:r>
      <w:r>
        <w:rPr>
          <w:rFonts w:hint="eastAsia" w:ascii="宋体" w:hAnsi="宋体"/>
          <w:bCs/>
          <w:color w:val="000000"/>
          <w:sz w:val="24"/>
          <w:szCs w:val="24"/>
          <w:lang w:bidi="zh-CN"/>
        </w:rPr>
        <w:t>设计费用</w:t>
      </w:r>
      <w:r>
        <w:rPr>
          <w:rFonts w:hint="eastAsia" w:ascii="宋体" w:hAnsi="宋体"/>
          <w:bCs/>
          <w:color w:val="000000"/>
          <w:sz w:val="24"/>
          <w:szCs w:val="24"/>
          <w:lang w:val="en-US" w:bidi="zh-CN"/>
        </w:rPr>
        <w:t>1,319.13</w:t>
      </w:r>
      <w:r>
        <w:rPr>
          <w:rFonts w:hint="eastAsia" w:ascii="宋体" w:hAnsi="宋体"/>
          <w:bCs/>
          <w:color w:val="000000"/>
          <w:sz w:val="24"/>
          <w:szCs w:val="24"/>
          <w:lang w:bidi="zh-CN"/>
        </w:rPr>
        <w:t>万元，</w:t>
      </w:r>
      <w:r>
        <w:rPr>
          <w:rFonts w:hint="eastAsia" w:ascii="宋体" w:hAnsi="宋体"/>
          <w:bCs/>
          <w:color w:val="000000"/>
          <w:sz w:val="24"/>
          <w:szCs w:val="24"/>
          <w:lang w:val="en-US" w:bidi="zh-CN"/>
        </w:rPr>
        <w:t>前期费用186.77万元，</w:t>
      </w:r>
      <w:r>
        <w:rPr>
          <w:rFonts w:hint="eastAsia" w:ascii="宋体" w:hAnsi="宋体"/>
          <w:bCs/>
          <w:color w:val="000000"/>
          <w:sz w:val="24"/>
          <w:szCs w:val="24"/>
          <w:lang w:bidi="zh-CN"/>
        </w:rPr>
        <w:t>具体分析如下：</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项目公司11月18日用印的《福州螺洲TOD项目设计咨询委托服务合同》，委托深圳市筑地建筑设计咨询有限公司为项目公司提供建筑地下室设计咨询服务和结构设计咨询服务，合同总价款为181.90万元,规定在合同签订盖章后45个工作日内支付合同总金额的15%；乙方提供项目地下室设计优化建议及反馈落实情况、结构优化建议及反馈落实情况DWG电子版并得到甲方确认后30个工作日内支付合同总金额的35%；通过施工图审查后30个工作日内支付合同总金额的30%；提交建筑地下室、结构设计咨询成果报告后30个工作日内支付合同总金额的20%；项目公司12月份计划完成第三阶段，通过施工图审查，支付合同总金额80%，即145.52万元，</w:t>
      </w:r>
      <w:r>
        <w:rPr>
          <w:rFonts w:hint="eastAsia" w:ascii="宋体" w:hAnsi="宋体"/>
          <w:bCs/>
          <w:color w:val="000000"/>
          <w:sz w:val="24"/>
          <w:szCs w:val="24"/>
          <w:lang w:bidi="zh-CN"/>
        </w:rPr>
        <w:t>符合合同约定；</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计划支付给上海卡纳建筑装饰设计工程有限公司的软装设计及制作费264.49万元，目前合同尚未签订，</w:t>
      </w:r>
      <w:r>
        <w:rPr>
          <w:rFonts w:hint="eastAsia" w:ascii="宋体" w:hAnsi="宋体"/>
          <w:bCs/>
          <w:color w:val="000000"/>
          <w:sz w:val="24"/>
          <w:szCs w:val="24"/>
          <w:lang w:bidi="zh-CN"/>
        </w:rPr>
        <w:t>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计划支付给上海中房建筑设计有限公司的方案设计费570.34万元，目前合同尚未签订，</w:t>
      </w:r>
      <w:r>
        <w:rPr>
          <w:rFonts w:hint="eastAsia" w:ascii="宋体" w:hAnsi="宋体"/>
          <w:bCs/>
          <w:color w:val="000000"/>
          <w:sz w:val="24"/>
          <w:szCs w:val="24"/>
          <w:lang w:bidi="zh-CN"/>
        </w:rPr>
        <w:t>具体支付金额以实际签订的协议</w:t>
      </w:r>
      <w:bookmarkStart w:id="0" w:name="_GoBack"/>
      <w:bookmarkEnd w:id="0"/>
      <w:r>
        <w:rPr>
          <w:rFonts w:hint="eastAsia" w:ascii="宋体" w:hAnsi="宋体"/>
          <w:bCs/>
          <w:color w:val="000000"/>
          <w:sz w:val="24"/>
          <w:szCs w:val="24"/>
          <w:lang w:bidi="zh-CN"/>
        </w:rPr>
        <w:t>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项目公司11月26日用印的云洲郡项目《建设工程设计合同施工图阶段》，合同总金额为1,049.70万元，合同规定嘉博联合设计股份有限公司为云洲郡项目提供施工图设计服务，约定在合同生效后的20天内，发包人支付设计费总额的10%，即104.97万元作为预付款，在设计人提交初步设计成果文件，经发包人审核确认并获取外部批复后20天内，发包人支付设计费总额的20%；设计人提交完整施工图成果文件经发包人审核确认并完成施工图纸会审后20天内，发包人支付设计费总额的40%；设计人完成室外总体，市政配套，精装等配合服务工作成果后并经发包人审核确认后20天内，发包人支付设计费总额的15%；结构封顶后，经发包人审核确认后20天内，发包人支付设计费总额的10%；发包人在竣工备案后20天内进行结算，在发包人确认设计人完成各项设计任务及施工配合工作后，且设计人无任何违约的前提下，在结算完毕后20天内一次性结清设计费余款；本次计划在12月份支付合同总金额的10%，即104.97万元作为预付款，符合合同要求；</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11月19日用印的《建筑工程施工图文件审查合同》，合同指定由福建天正建筑工程施工图审查事务有限公司为云洲郡项目提供施工图审查服务,合同总金额为53.31万元，在甲方收到审查成果后15个工作日内，付清施工图文件审查费的全部金额；项目公司计划在12月份完成施工图审查，支付合同总金额53.31万元，符合合同规定；</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计划支付给福建中联众科环境技术有限公司的检测服务费1.30万元，目前合同尚未签订，</w:t>
      </w:r>
      <w:r>
        <w:rPr>
          <w:rFonts w:hint="eastAsia" w:ascii="宋体" w:hAnsi="宋体"/>
          <w:bCs/>
          <w:color w:val="000000"/>
          <w:sz w:val="24"/>
          <w:szCs w:val="24"/>
          <w:lang w:bidi="zh-CN"/>
        </w:rPr>
        <w:t>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计划支付给福建置信绿建工程咨询有限公司的设计费7.07万元，目前合同尚未签订，</w:t>
      </w:r>
      <w:r>
        <w:rPr>
          <w:rFonts w:hint="eastAsia" w:ascii="宋体" w:hAnsi="宋体"/>
          <w:bCs/>
          <w:color w:val="000000"/>
          <w:sz w:val="24"/>
          <w:szCs w:val="24"/>
          <w:lang w:bidi="zh-CN"/>
        </w:rPr>
        <w:t>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计划支付给杭州东昊照明工程有限公司的泛光设计费6.00万元，目前合同尚未签订，</w:t>
      </w:r>
      <w:r>
        <w:rPr>
          <w:rFonts w:hint="eastAsia" w:ascii="宋体" w:hAnsi="宋体"/>
          <w:bCs/>
          <w:color w:val="000000"/>
          <w:sz w:val="24"/>
          <w:szCs w:val="24"/>
          <w:lang w:bidi="zh-CN"/>
        </w:rPr>
        <w:t>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根据项目公司12月2</w:t>
      </w:r>
      <w:r>
        <w:rPr>
          <w:rFonts w:hint="eastAsia" w:ascii="宋体" w:hAnsi="宋体"/>
          <w:bCs/>
          <w:color w:val="000000"/>
          <w:sz w:val="24"/>
          <w:szCs w:val="24"/>
          <w:lang w:val="en-US" w:eastAsia="zh-CN" w:bidi="zh-CN"/>
        </w:rPr>
        <w:t>日</w:t>
      </w:r>
      <w:r>
        <w:rPr>
          <w:rFonts w:hint="eastAsia" w:ascii="宋体" w:hAnsi="宋体"/>
          <w:bCs/>
          <w:color w:val="000000"/>
          <w:sz w:val="24"/>
          <w:szCs w:val="24"/>
          <w:lang w:val="en-US" w:bidi="zh-CN"/>
        </w:rPr>
        <w:t>用印的文件《建设工程设计合同（幕墙）施工图阶段》，由福建省华荣建设集团有限公司为云洲郡项目提供幕墙设计服务，合同总金额为65.42万元，在合同生效后7天内，发包人支付设计费总额的20%，设计人提交初步设计成果文件经发包人审核确认并获取外部批复后7天内，发包人支付设计费总额的20%，设计人提交完整施工图成果文件经发包人审核确认并完成施工图纸会审后15天内，发包人支付设计费总额的40%，设计人完成室外总体、市政配套、精装等配合服务工作成果后，并经发包人审核确认后7天内，发包人支付设计费总额的15%，发包人在竣工备案后7天内进行结算，在发包人确认设计人完成各项设计任务及施工配合工作后，且设计人无任何违约的前提下，结算完毕后15天内一次性结清设计费余款；项目公司目前已经取得初步设计成果文件并且拿到第三阶段的施工图成果文件，计划在12月份支付合同总金额的40%，即26.17万元，符合合同的规定</w:t>
      </w:r>
      <w:r>
        <w:rPr>
          <w:rFonts w:hint="eastAsia" w:ascii="宋体" w:hAnsi="宋体"/>
          <w:bCs/>
          <w:color w:val="000000"/>
          <w:sz w:val="24"/>
          <w:szCs w:val="24"/>
          <w:lang w:val="en-US" w:eastAsia="zh-CN" w:bidi="zh-CN"/>
        </w:rPr>
        <w:t>；</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计划支付给荷于景观设计咨询（上海）有限公司的设计费76.00万元，目前合同尚未签订，</w:t>
      </w:r>
      <w:r>
        <w:rPr>
          <w:rFonts w:hint="eastAsia" w:ascii="宋体" w:hAnsi="宋体"/>
          <w:bCs/>
          <w:color w:val="000000"/>
          <w:sz w:val="24"/>
          <w:szCs w:val="24"/>
          <w:lang w:bidi="zh-CN"/>
        </w:rPr>
        <w:t>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计划支付给杭州优辰建筑设计咨询有限公司的设计费37.62万元，目前合同尚未签订，</w:t>
      </w:r>
      <w:r>
        <w:rPr>
          <w:rFonts w:hint="eastAsia" w:ascii="宋体" w:hAnsi="宋体"/>
          <w:bCs/>
          <w:color w:val="000000"/>
          <w:sz w:val="24"/>
          <w:szCs w:val="24"/>
          <w:lang w:bidi="zh-CN"/>
        </w:rPr>
        <w:t>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计划支付给福建省建研工程顾问有限公司的设计费13.36万元，目前合同尚未签订，</w:t>
      </w:r>
      <w:r>
        <w:rPr>
          <w:rFonts w:hint="eastAsia" w:ascii="宋体" w:hAnsi="宋体"/>
          <w:bCs/>
          <w:color w:val="000000"/>
          <w:sz w:val="24"/>
          <w:szCs w:val="24"/>
          <w:lang w:bidi="zh-CN"/>
        </w:rPr>
        <w:t>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计划支付给厦门万安智能有限公司的设计费12.98万元，目前合同尚未签订，</w:t>
      </w:r>
      <w:r>
        <w:rPr>
          <w:rFonts w:hint="eastAsia" w:ascii="宋体" w:hAnsi="宋体"/>
          <w:bCs/>
          <w:color w:val="000000"/>
          <w:sz w:val="24"/>
          <w:szCs w:val="24"/>
          <w:lang w:bidi="zh-CN"/>
        </w:rPr>
        <w:t>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根据8月份用印的展示区总包招标文件，中国建筑第二工程局有限公司为中标单位，中标价格为416.27万元，计划12月份支付工程款333.02万元，目前展示区总包工程合同尚未签订，</w:t>
      </w:r>
      <w:r>
        <w:rPr>
          <w:rFonts w:hint="eastAsia" w:ascii="宋体" w:hAnsi="宋体"/>
          <w:bCs/>
          <w:color w:val="000000"/>
          <w:sz w:val="24"/>
          <w:szCs w:val="24"/>
          <w:lang w:bidi="zh-CN"/>
        </w:rPr>
        <w:t>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项目公司11月份用印的景观工程中标文件，福建绿艺园林景观工程有限公司为中标单位，中标价格为638.97万元，计划在12月份支付工程款300.00万元，目前景观工程合同尚未签订，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项目公司10月份用印的外立面工程中标文件，泉州市磊盛装饰工程有限公司为中标单位，中标价格为372.99万元，计划在12月份支付工程款298.39万元，目前外立面工程合同尚未签订，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项目公司11月份用印的精装工程中标文件，齐家居美（苏州）精装科技有限公司为中标单位，中标价格为526.87万元，计划在12月份支付工程款300.00万元，目前精装工程合同尚未签订，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根据项目公司10月26日用印的临电合同，由福建榕普电力工程有限公司为云洲郡</w:t>
      </w:r>
      <w:r>
        <w:rPr>
          <w:rFonts w:hint="eastAsia" w:ascii="宋体" w:hAnsi="宋体" w:cs="宋体"/>
          <w:bCs/>
          <w:color w:val="000000"/>
          <w:sz w:val="24"/>
          <w:szCs w:val="24"/>
          <w:lang w:val="en-US" w:bidi="zh-CN"/>
        </w:rPr>
        <w:t>项目提供临时用电工程，合同总金额为92.70万元，</w:t>
      </w:r>
      <w:r>
        <w:rPr>
          <w:rFonts w:hint="eastAsia" w:ascii="宋体" w:hAnsi="宋体" w:cs="宋体"/>
          <w:color w:val="000000"/>
          <w:spacing w:val="-6"/>
          <w:sz w:val="24"/>
          <w:szCs w:val="24"/>
          <w:lang w:val="zh-CN"/>
        </w:rPr>
        <w:t>正式竣工且通电后并经甲方书面确认后，发包方</w:t>
      </w:r>
      <w:r>
        <w:rPr>
          <w:rFonts w:hint="eastAsia" w:ascii="宋体" w:hAnsi="宋体" w:cs="宋体"/>
          <w:color w:val="000000"/>
          <w:spacing w:val="-6"/>
          <w:sz w:val="24"/>
          <w:szCs w:val="24"/>
        </w:rPr>
        <w:t>按</w:t>
      </w:r>
      <w:r>
        <w:rPr>
          <w:rFonts w:hint="eastAsia" w:ascii="宋体" w:hAnsi="宋体" w:cs="宋体"/>
          <w:color w:val="000000"/>
          <w:spacing w:val="-6"/>
          <w:sz w:val="24"/>
          <w:szCs w:val="24"/>
          <w:lang w:val="zh-CN"/>
        </w:rPr>
        <w:t>合同价款</w:t>
      </w:r>
      <w:r>
        <w:rPr>
          <w:rFonts w:hint="eastAsia" w:ascii="宋体" w:hAnsi="宋体" w:cs="宋体"/>
          <w:color w:val="000000"/>
          <w:sz w:val="24"/>
          <w:szCs w:val="24"/>
        </w:rPr>
        <w:t>每台箱变安装完成付款至85%，前两台完成后，阶段结算付款至97%</w:t>
      </w:r>
      <w:r>
        <w:rPr>
          <w:rFonts w:hint="eastAsia" w:hAnsi="宋体" w:cs="Arial"/>
          <w:color w:val="000000"/>
        </w:rPr>
        <w:t>；</w:t>
      </w:r>
      <w:r>
        <w:rPr>
          <w:rFonts w:hint="eastAsia" w:ascii="宋体" w:hAnsi="宋体" w:cs="Times New Roman"/>
          <w:bCs/>
          <w:color w:val="000000"/>
          <w:sz w:val="24"/>
          <w:szCs w:val="24"/>
          <w:lang w:bidi="zh-CN"/>
        </w:rPr>
        <w:t>后两台结算一次，统一付款至97%，结算额的3%作为保修金；</w:t>
      </w:r>
      <w:r>
        <w:rPr>
          <w:rFonts w:hint="eastAsia" w:ascii="宋体" w:hAnsi="宋体" w:cs="Times New Roman"/>
          <w:bCs/>
          <w:color w:val="000000"/>
          <w:sz w:val="24"/>
          <w:szCs w:val="24"/>
          <w:lang w:val="en-US" w:eastAsia="zh-CN" w:bidi="zh-CN"/>
        </w:rPr>
        <w:t>项目共需要安装4台变压器，目前已完成1台变压器的安装工作，计划支付工程进度80%的款项，</w:t>
      </w:r>
      <w:r>
        <w:rPr>
          <w:rFonts w:hint="eastAsia" w:ascii="宋体" w:hAnsi="宋体"/>
          <w:bCs/>
          <w:color w:val="000000"/>
          <w:sz w:val="24"/>
          <w:szCs w:val="24"/>
          <w:lang w:val="en-US" w:bidi="zh-CN"/>
        </w:rPr>
        <w:t>计划12月份支付14.15万元，低于合同规定；</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项目公司11月12日用印的《地质勘察技术服务合同》，由福建岩土工程勘察研究院有限公司为云洲郡项目提供地质勘察技术服务，合同总价款为41.32万元，规定在乙方完成钻探工作，经甲方盖章审定合格后，甲方向乙方支付已完成工程合同价款的80%；乙方向甲方提供准确的勘探技术报告，经甲方审定且经图审中心审查合格通过后，双方办理工程结算，甲方向乙方支付至工程结算价款的95%；工程结算工程款的5%作为履约保证金，在本项目土方及桩基基础工程完成，且主体桩基础验收合格后30个工作日内，若实际情况与乙方提供的勘探技术报告内容相符，甲方一次性向乙方无息付清；若不相符，则甲方有权扣除相应的履约保证金。项目公司计划在12月份完成钻探工作，支付合同工程款的80%,即33.06万元，符合合同规定；</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计划支付天津宏易空调设备安装工程有限公司空调采购工程款43.94万元，目前合同尚未签订，</w:t>
      </w:r>
      <w:r>
        <w:rPr>
          <w:rFonts w:hint="eastAsia" w:ascii="宋体" w:hAnsi="宋体"/>
          <w:bCs/>
          <w:color w:val="000000"/>
          <w:sz w:val="24"/>
          <w:szCs w:val="24"/>
          <w:lang w:bidi="zh-CN"/>
        </w:rPr>
        <w:t>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计划支付天津宏易空调设备安装工程有限公司空调安装工程款22.50万元，目前合同尚未签订，</w:t>
      </w:r>
      <w:r>
        <w:rPr>
          <w:rFonts w:hint="eastAsia" w:ascii="宋体" w:hAnsi="宋体"/>
          <w:bCs/>
          <w:color w:val="000000"/>
          <w:sz w:val="24"/>
          <w:szCs w:val="24"/>
          <w:lang w:bidi="zh-CN"/>
        </w:rPr>
        <w:t>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项目公司11月18日用印的《云洲郡售楼部项目电梯采购合同》，合同约定由杭州西奥电梯有限公司为云洲郡项目提供售楼部电梯采购服务，合同总价款32.67万元，合同第一笔付款条件为采购合同签署生效后，甲方发出《订货通知单》之日起7个工作日内，甲方向实际供方支付产品合同价款的20%作为预付款，实际供方收到此款项即刻进行生产；合同第二笔付款条件为经甲方提前确认乙方具备发货条件后，甲方在《发货确认函》确认的发货日期前，向乙方支付产品该批次合同价款的50%；合同第三笔付款条件为电梯项目经监督检验合格并在当地质量技术监督局取得《电梯监督检验合格证》后7个工作日内，乙方协助甲方办毕使用登记手续并向甲方移交产品的全部竣工资料的情况下，且供方按规定格式开出银行质量保函给甲方后，甲方向乙方支付该批次合同价款的30%；项目公司计划12月份支付合同工程款32.67万元，目前电梯已全部到货，价款一次性支付给供货方，符合合同规定，该项支付计划合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项目公司11月18日用印的《云洲郡售楼部项目电梯安装合同》，合同约定由杭州西奥电梯有限公司为云洲郡项目提供售楼部电梯安装服务，合同总价款8.23万元，合同第一笔付款条件为发货前7个工作日内，甲方向乙方支付该批次产品安装费用总额的50%；合同第二笔付款条件为电梯安装完毕并通过当地政府部门的有关验收并取得相应的证件后，且乙方按规定格式开出银行质量保函给甲方后7日内，支付该批次产品安装费的50%；合同第三笔工程款付款条件为工程竣工验收和配合甲方全面工程验收后乙方需配合办理结算，结算完成且乙方按规定格式开出银行质量保函给甲方7日内，甲方向乙方支付至结算金额的100%，项目公司计划12月份完成电梯安装后一次性支付全部合同价款8.23万元，符合合同规定，该项支付计划合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项目公司11月26日用印的《测绘一体化服务合同》，由福州市勘测院为云洲郡项目提供测绘一体化服务，合同总金额为289.67万元，规定在合同生效后，甲方向乙方支付合同金额的40%作为预付款，即115.87万元；在项目规划监督测量进场前，甲方向乙方支付合同金额的30%作为进度款，即86.90万元；全部测绘工作结束后，乙方根据实际完成工作量进行项目结算，甲方收到项目结算材料并确认无误后，在领取全部成果资料前一次性结清余款；目前已完成工程进度的40%，本次计划在12月份支付合同预付款及进度款115.87万元，低于合同的规定，该支付计划款项合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计划支付给福州永洁环保服务有限公司的前期费用34.60万元，目前合同尚未签订，</w:t>
      </w:r>
      <w:r>
        <w:rPr>
          <w:rFonts w:hint="eastAsia" w:ascii="宋体" w:hAnsi="宋体"/>
          <w:bCs/>
          <w:color w:val="000000"/>
          <w:sz w:val="24"/>
          <w:szCs w:val="24"/>
          <w:lang w:bidi="zh-CN"/>
        </w:rPr>
        <w:t>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计划支付给福建省鑫耀峰建设工程有限公司基建用水二次施工的前期费用6.50万元，目前合同尚未签订，</w:t>
      </w:r>
      <w:r>
        <w:rPr>
          <w:rFonts w:hint="eastAsia" w:ascii="宋体" w:hAnsi="宋体"/>
          <w:bCs/>
          <w:color w:val="000000"/>
          <w:sz w:val="24"/>
          <w:szCs w:val="24"/>
          <w:lang w:bidi="zh-CN"/>
        </w:rPr>
        <w:t>具体支付金额以实际签订的协议为准；</w:t>
      </w:r>
    </w:p>
    <w:p>
      <w:pPr>
        <w:pStyle w:val="12"/>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项目公司11月份用印的云洲郡项目交通影响评价《技术咨询合同书》，由广州博厦建筑设计研究院有限公司福建分公司为云洲郡项目提供咨询服务，合同总金额为29.80万元，约定在项目总评或交评通过规划局审查后两周内一次性支付全款；对方在6月份已将交评报告提供到项目公司，项目公司计划在12月份支付合同总金额29.80万元，符合合同的规定，该资金支付计划款项合理。</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sz w:val="24"/>
          <w:szCs w:val="24"/>
          <w:lang w:bidi="zh-CN"/>
        </w:rPr>
        <w:t>经审核，</w:t>
      </w:r>
      <w:r>
        <w:rPr>
          <w:rFonts w:hint="eastAsia" w:ascii="宋体" w:hAnsi="宋体"/>
          <w:sz w:val="24"/>
          <w:szCs w:val="24"/>
          <w:lang w:val="en-US" w:bidi="zh-CN"/>
        </w:rPr>
        <w:t>本月工程款涉及的合同中9项已经签订，剩余的合同均未签订</w:t>
      </w:r>
      <w:r>
        <w:rPr>
          <w:rFonts w:hint="eastAsia" w:ascii="宋体" w:hAnsi="宋体"/>
          <w:sz w:val="24"/>
          <w:szCs w:val="24"/>
          <w:lang w:bidi="zh-CN"/>
        </w:rPr>
        <w:t>，资金计划表中的金额为预估金额，</w:t>
      </w:r>
      <w:r>
        <w:rPr>
          <w:rFonts w:hint="eastAsia" w:ascii="宋体" w:hAnsi="宋体"/>
          <w:sz w:val="24"/>
          <w:szCs w:val="24"/>
        </w:rPr>
        <w:t>需待合同签定后根据合同条款确定是否合理</w:t>
      </w:r>
      <w:r>
        <w:rPr>
          <w:rFonts w:hint="eastAsia" w:ascii="宋体" w:hAnsi="宋体"/>
          <w:sz w:val="24"/>
          <w:szCs w:val="24"/>
          <w:lang w:bidi="zh-CN"/>
        </w:rPr>
        <w:t>。</w:t>
      </w:r>
      <w:r>
        <w:rPr>
          <w:rFonts w:hint="eastAsia" w:ascii="宋体" w:hAnsi="宋体"/>
          <w:sz w:val="24"/>
          <w:szCs w:val="24"/>
        </w:rPr>
        <w:t>根据项目公司提供的《项目开发节奏表》，上述计划支付</w:t>
      </w:r>
      <w:r>
        <w:rPr>
          <w:rFonts w:hint="eastAsia" w:ascii="宋体" w:hAnsi="宋体"/>
          <w:sz w:val="24"/>
          <w:szCs w:val="24"/>
          <w:lang w:eastAsia="zh-CN"/>
        </w:rPr>
        <w:t>内容</w:t>
      </w:r>
      <w:r>
        <w:rPr>
          <w:rFonts w:hint="eastAsia" w:ascii="宋体" w:hAnsi="宋体"/>
          <w:sz w:val="24"/>
          <w:szCs w:val="24"/>
        </w:rPr>
        <w:t>与计划</w:t>
      </w:r>
      <w:r>
        <w:rPr>
          <w:rFonts w:hint="eastAsia" w:ascii="宋体" w:hAnsi="宋体"/>
          <w:sz w:val="24"/>
          <w:szCs w:val="24"/>
          <w:lang w:eastAsia="zh-CN"/>
        </w:rPr>
        <w:t>开发</w:t>
      </w:r>
      <w:r>
        <w:rPr>
          <w:rFonts w:hint="eastAsia" w:ascii="宋体" w:hAnsi="宋体"/>
          <w:sz w:val="24"/>
          <w:szCs w:val="24"/>
        </w:rPr>
        <w:t>进度相符，</w:t>
      </w:r>
      <w:r>
        <w:rPr>
          <w:rFonts w:hint="eastAsia" w:ascii="宋体" w:hAnsi="宋体"/>
          <w:sz w:val="24"/>
          <w:szCs w:val="24"/>
          <w:lang w:bidi="zh-CN"/>
        </w:rPr>
        <w:t>我司认为</w:t>
      </w:r>
      <w:r>
        <w:rPr>
          <w:rFonts w:hint="eastAsia" w:ascii="宋体" w:hAnsi="宋体"/>
          <w:sz w:val="24"/>
          <w:szCs w:val="24"/>
          <w:lang w:val="en-US" w:bidi="zh-CN"/>
        </w:rPr>
        <w:t>12</w:t>
      </w:r>
      <w:r>
        <w:rPr>
          <w:rFonts w:hint="eastAsia" w:ascii="宋体" w:hAnsi="宋体"/>
          <w:sz w:val="24"/>
          <w:szCs w:val="24"/>
          <w:lang w:bidi="zh-CN"/>
        </w:rPr>
        <w:t>月项目公司有关工程款支出的资金计划编制合理。后期我司会对合同签订严格把控，实际支付时，我司会对付款申请、发票、流程、工程合同、现场签证等依据进行审核、计算，根据实际情况复核该付款的合理性、合规性。</w:t>
      </w:r>
    </w:p>
    <w:p>
      <w:pPr>
        <w:spacing w:before="156" w:beforeLines="50" w:after="156" w:afterLines="50" w:line="360" w:lineRule="auto"/>
        <w:ind w:left="0"/>
        <w:rPr>
          <w:rFonts w:hint="eastAsia"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w:t>
      </w:r>
      <w:r>
        <w:rPr>
          <w:rFonts w:hint="eastAsia" w:ascii="宋体" w:hAnsi="宋体"/>
          <w:bCs/>
          <w:color w:val="000000"/>
          <w:sz w:val="24"/>
          <w:szCs w:val="24"/>
          <w:lang w:val="en-US" w:bidi="zh-CN"/>
        </w:rPr>
        <w:t>12</w:t>
      </w:r>
      <w:r>
        <w:rPr>
          <w:rFonts w:hint="eastAsia" w:ascii="宋体" w:hAnsi="宋体"/>
          <w:bCs/>
          <w:color w:val="000000"/>
          <w:sz w:val="24"/>
          <w:szCs w:val="24"/>
          <w:lang w:bidi="zh-CN"/>
        </w:rPr>
        <w:t>月的销售费用支出共</w:t>
      </w:r>
      <w:r>
        <w:rPr>
          <w:rFonts w:hint="eastAsia" w:ascii="宋体" w:hAnsi="宋体"/>
          <w:bCs/>
          <w:color w:val="000000"/>
          <w:sz w:val="24"/>
          <w:szCs w:val="24"/>
          <w:lang w:val="en-US" w:bidi="zh-CN"/>
        </w:rPr>
        <w:t>21</w:t>
      </w:r>
      <w:r>
        <w:rPr>
          <w:rFonts w:hint="eastAsia" w:ascii="宋体" w:hAnsi="宋体"/>
          <w:bCs/>
          <w:color w:val="000000"/>
          <w:sz w:val="24"/>
          <w:szCs w:val="24"/>
          <w:lang w:bidi="zh-CN"/>
        </w:rPr>
        <w:t>笔，共计</w:t>
      </w:r>
      <w:r>
        <w:rPr>
          <w:rFonts w:hint="eastAsia" w:ascii="宋体" w:hAnsi="宋体"/>
          <w:bCs/>
          <w:color w:val="000000"/>
          <w:sz w:val="24"/>
          <w:szCs w:val="24"/>
          <w:lang w:val="en-US" w:bidi="zh-CN"/>
        </w:rPr>
        <w:t>426</w:t>
      </w:r>
      <w:r>
        <w:rPr>
          <w:rFonts w:hint="eastAsia" w:ascii="宋体" w:hAnsi="宋体"/>
          <w:bCs/>
          <w:color w:val="000000"/>
          <w:sz w:val="24"/>
          <w:szCs w:val="24"/>
          <w:lang w:bidi="zh-CN"/>
        </w:rPr>
        <w:t>.</w:t>
      </w:r>
      <w:r>
        <w:rPr>
          <w:rFonts w:hint="eastAsia" w:ascii="宋体" w:hAnsi="宋体"/>
          <w:bCs/>
          <w:color w:val="000000"/>
          <w:sz w:val="24"/>
          <w:szCs w:val="24"/>
          <w:lang w:val="en-US" w:bidi="zh-CN"/>
        </w:rPr>
        <w:t>03</w:t>
      </w:r>
      <w:r>
        <w:rPr>
          <w:rFonts w:hint="eastAsia" w:ascii="宋体" w:hAnsi="宋体"/>
          <w:bCs/>
          <w:color w:val="000000"/>
          <w:sz w:val="24"/>
          <w:szCs w:val="24"/>
          <w:lang w:bidi="zh-CN"/>
        </w:rPr>
        <w:t>万元，包括营销部员工的工资、奖金、福利及餐费报销</w:t>
      </w:r>
      <w:r>
        <w:rPr>
          <w:rFonts w:hint="eastAsia" w:ascii="宋体" w:hAnsi="宋体"/>
          <w:bCs/>
          <w:color w:val="000000"/>
          <w:sz w:val="24"/>
          <w:szCs w:val="24"/>
          <w:lang w:val="en-US" w:bidi="zh-CN"/>
        </w:rPr>
        <w:t>以及广告宣传</w:t>
      </w:r>
      <w:r>
        <w:rPr>
          <w:rFonts w:hint="eastAsia" w:ascii="宋体" w:hAnsi="宋体"/>
          <w:bCs/>
          <w:color w:val="000000"/>
          <w:sz w:val="24"/>
          <w:szCs w:val="24"/>
          <w:lang w:bidi="zh-CN"/>
        </w:rPr>
        <w:t>等费用，具体分析如下：</w:t>
      </w:r>
    </w:p>
    <w:p>
      <w:pPr>
        <w:pStyle w:val="12"/>
        <w:numPr>
          <w:ilvl w:val="0"/>
          <w:numId w:val="3"/>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12</w:t>
      </w:r>
      <w:r>
        <w:rPr>
          <w:rFonts w:hint="eastAsia" w:ascii="宋体" w:hAnsi="宋体"/>
          <w:bCs/>
          <w:color w:val="000000"/>
          <w:sz w:val="24"/>
          <w:szCs w:val="24"/>
          <w:lang w:bidi="zh-CN"/>
        </w:rPr>
        <w:t>月的营销人员的</w:t>
      </w:r>
      <w:r>
        <w:rPr>
          <w:rFonts w:hint="eastAsia" w:ascii="宋体" w:hAnsi="宋体"/>
          <w:bCs/>
          <w:color w:val="000000"/>
          <w:sz w:val="24"/>
          <w:szCs w:val="24"/>
          <w:lang w:val="en-US" w:bidi="zh-CN"/>
        </w:rPr>
        <w:t>薪金费用为27</w:t>
      </w:r>
      <w:r>
        <w:rPr>
          <w:rFonts w:hint="eastAsia" w:ascii="宋体" w:hAnsi="宋体"/>
          <w:bCs/>
          <w:color w:val="000000"/>
          <w:sz w:val="24"/>
          <w:szCs w:val="24"/>
          <w:lang w:bidi="zh-CN"/>
        </w:rPr>
        <w:t>.</w:t>
      </w:r>
      <w:r>
        <w:rPr>
          <w:rFonts w:hint="eastAsia" w:ascii="宋体" w:hAnsi="宋体"/>
          <w:bCs/>
          <w:color w:val="000000"/>
          <w:sz w:val="24"/>
          <w:szCs w:val="24"/>
          <w:lang w:val="en-US" w:bidi="zh-CN"/>
        </w:rPr>
        <w:t>00</w:t>
      </w:r>
      <w:r>
        <w:rPr>
          <w:rFonts w:hint="eastAsia" w:ascii="宋体" w:hAnsi="宋体"/>
          <w:bCs/>
          <w:color w:val="000000"/>
          <w:sz w:val="24"/>
          <w:szCs w:val="24"/>
          <w:lang w:bidi="zh-CN"/>
        </w:rPr>
        <w:t>万元，</w:t>
      </w:r>
      <w:r>
        <w:rPr>
          <w:rFonts w:hint="eastAsia" w:ascii="宋体" w:hAnsi="宋体"/>
          <w:bCs/>
          <w:color w:val="000000"/>
          <w:sz w:val="24"/>
          <w:szCs w:val="24"/>
          <w:lang w:val="en-US" w:bidi="zh-CN"/>
        </w:rPr>
        <w:t>具体的销售人员数额尚未确认，项目公司目前正在组织销售人员的招聘工作；</w:t>
      </w:r>
    </w:p>
    <w:p>
      <w:pPr>
        <w:pStyle w:val="12"/>
        <w:numPr>
          <w:ilvl w:val="0"/>
          <w:numId w:val="3"/>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人员报销费用预计</w:t>
      </w:r>
      <w:r>
        <w:rPr>
          <w:rFonts w:hint="eastAsia" w:ascii="宋体" w:hAnsi="宋体"/>
          <w:bCs/>
          <w:color w:val="000000"/>
          <w:sz w:val="24"/>
          <w:szCs w:val="24"/>
          <w:lang w:val="en-US" w:bidi="zh-CN"/>
        </w:rPr>
        <w:t>16.23</w:t>
      </w:r>
      <w:r>
        <w:rPr>
          <w:rFonts w:hint="eastAsia" w:ascii="宋体" w:hAnsi="宋体"/>
          <w:bCs/>
          <w:color w:val="000000"/>
          <w:sz w:val="24"/>
          <w:szCs w:val="24"/>
          <w:lang w:bidi="zh-CN"/>
        </w:rPr>
        <w:t>万元，包括差旅费、社会统筹、</w:t>
      </w:r>
      <w:r>
        <w:rPr>
          <w:rFonts w:hint="eastAsia" w:ascii="宋体" w:hAnsi="宋体"/>
          <w:bCs/>
          <w:color w:val="000000"/>
          <w:sz w:val="24"/>
          <w:szCs w:val="24"/>
          <w:lang w:val="en-US" w:bidi="zh-CN"/>
        </w:rPr>
        <w:t>内部团建</w:t>
      </w:r>
      <w:r>
        <w:rPr>
          <w:rFonts w:hint="eastAsia" w:ascii="宋体" w:hAnsi="宋体"/>
          <w:bCs/>
          <w:color w:val="000000"/>
          <w:sz w:val="24"/>
          <w:szCs w:val="24"/>
          <w:lang w:bidi="zh-CN"/>
        </w:rPr>
        <w:t>等费用。</w:t>
      </w:r>
    </w:p>
    <w:p>
      <w:pPr>
        <w:pStyle w:val="12"/>
        <w:numPr>
          <w:ilvl w:val="0"/>
          <w:numId w:val="3"/>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12月份售楼处的电话通讯费和网络费用为8.00万元；</w:t>
      </w:r>
    </w:p>
    <w:p>
      <w:pPr>
        <w:pStyle w:val="12"/>
        <w:numPr>
          <w:ilvl w:val="0"/>
          <w:numId w:val="3"/>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员工通讯费、交通费补贴和会议费共计2.00万元；</w:t>
      </w:r>
    </w:p>
    <w:p>
      <w:pPr>
        <w:pStyle w:val="12"/>
        <w:numPr>
          <w:ilvl w:val="0"/>
          <w:numId w:val="3"/>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食堂费和员工福利费共计1.80万元；</w:t>
      </w:r>
    </w:p>
    <w:p>
      <w:pPr>
        <w:pStyle w:val="12"/>
        <w:numPr>
          <w:ilvl w:val="0"/>
          <w:numId w:val="3"/>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根据项目公司和杭州捷群广告有限公司签订的广告服务合同，合同总金额为55.00万元，每月服务费总额为11.00万元，12月份计划支付11.00万元，符合合同规定，该项资金计划款项合理；</w:t>
      </w:r>
    </w:p>
    <w:p>
      <w:pPr>
        <w:pStyle w:val="12"/>
        <w:numPr>
          <w:ilvl w:val="0"/>
          <w:numId w:val="3"/>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计划支付给杭州据象网络科技有限公司微信月费5.00万元，目前合同尚未签订，</w:t>
      </w:r>
      <w:r>
        <w:rPr>
          <w:rFonts w:hint="eastAsia" w:ascii="宋体" w:hAnsi="宋体"/>
          <w:bCs/>
          <w:color w:val="000000"/>
          <w:sz w:val="24"/>
          <w:szCs w:val="24"/>
          <w:lang w:bidi="zh-CN"/>
        </w:rPr>
        <w:t>具体支付金额以实际签订的协议为准；</w:t>
      </w:r>
    </w:p>
    <w:p>
      <w:pPr>
        <w:pStyle w:val="12"/>
        <w:numPr>
          <w:ilvl w:val="0"/>
          <w:numId w:val="3"/>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项目公司11月19日用印的《展厅服务合同》，由上海良晓信息科技有限公司为云洲郡项目提供展厅服务，合同总金额为292.00万元，合同规定在正式签订日起15个工作日内，甲方书面确认展厅及各展项设计方案、施工图、强弱电点位图，并支付合同总金额10%款项；第二次款项支付条件为完成软硬件深化阶段支付合同总金额为调整后合同包干总价的30%；第三次款项支付在硬件采购阶段支付至调整后合同包干总价的50%；第四次款项支付在安装与施工现场服务阶段支付至调整后合同包干总价的70%；第五次款项支付在软硬件现场调试阶段支付至结算合同总价的95%；最后在维护阶段，支付至结算合同总价的100%。11月份已支付合同总金额的10%，目前已经进行到第三阶段硬件采购，项目公司计划第二阶段和第三阶段的款项一起支付，故本次计划在12月份支付合同总价款的40%，即116.80万元，符合合同规定，该支付计划款项合理。</w:t>
      </w:r>
    </w:p>
    <w:p>
      <w:pPr>
        <w:pStyle w:val="12"/>
        <w:numPr>
          <w:ilvl w:val="0"/>
          <w:numId w:val="3"/>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计划支付给上海良晓信息科技有限公司的服务费为1.00万元，相关的增补展厅服务合同尚未签订，具体支付金额以实际签订的协议为准；</w:t>
      </w:r>
    </w:p>
    <w:p>
      <w:pPr>
        <w:pStyle w:val="12"/>
        <w:numPr>
          <w:ilvl w:val="0"/>
          <w:numId w:val="3"/>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项目公司拟与杭州绘物所文化创意有限公司签订两份合同，合同暂定总金额为9.90万元，预计12月份支付4.50万元，具体情况如下：根据11月份用印的《绘物所形象设计约稿合同</w:t>
      </w:r>
      <w:r>
        <w:rPr>
          <w:rFonts w:hint="eastAsia"/>
          <w:lang w:eastAsia="zh-CN"/>
        </w:rPr>
        <w:t>》</w:t>
      </w:r>
      <w:r>
        <w:rPr>
          <w:rFonts w:hint="eastAsia" w:ascii="宋体" w:hAnsi="宋体"/>
          <w:bCs/>
          <w:color w:val="000000"/>
          <w:sz w:val="24"/>
          <w:szCs w:val="24"/>
          <w:lang w:val="en-US" w:bidi="zh-CN"/>
        </w:rPr>
        <w:t>，由杭州绘物所文化创意有限公司为云洲郡项目提供二维形象设计，合同总金额为4.04万元，合同约定在甲方收到《验收结算单》等付款材料后15日内向乙方支付全部费用，目前乙方已经提交设计成果，项目公司计划在12月份支付手绘设计费4.04万元</w:t>
      </w:r>
      <w:r>
        <w:rPr>
          <w:rFonts w:hint="eastAsia"/>
          <w:lang w:eastAsia="zh-CN"/>
        </w:rPr>
        <w:t>，</w:t>
      </w:r>
      <w:r>
        <w:rPr>
          <w:rFonts w:hint="eastAsia" w:ascii="宋体" w:hAnsi="宋体"/>
          <w:bCs/>
          <w:color w:val="000000"/>
          <w:sz w:val="24"/>
          <w:szCs w:val="24"/>
          <w:lang w:val="en-US" w:eastAsia="zh-CN" w:bidi="zh-CN"/>
        </w:rPr>
        <w:t>符合合同约定；项目公司拟与</w:t>
      </w:r>
      <w:r>
        <w:rPr>
          <w:rFonts w:hint="eastAsia" w:ascii="宋体" w:hAnsi="宋体"/>
          <w:bCs/>
          <w:color w:val="000000"/>
          <w:sz w:val="24"/>
          <w:szCs w:val="24"/>
          <w:lang w:val="en-US" w:bidi="zh-CN"/>
        </w:rPr>
        <w:t>杭州绘物所文化创意有限公司签订的功能手绘地图合同尚未完成，金额尚未确定，资金计划中涉及该部分的金额预计延迟到1月份进行支付；</w:t>
      </w:r>
    </w:p>
    <w:p>
      <w:pPr>
        <w:pStyle w:val="12"/>
        <w:numPr>
          <w:ilvl w:val="0"/>
          <w:numId w:val="3"/>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计划支付给福州万达广场商业物业管理有限公司仓山分公司的场地租金费用为100.50万元，相关展览展示服务合同尚未签订，具体支付金额待合同签订后确定；</w:t>
      </w:r>
    </w:p>
    <w:p>
      <w:pPr>
        <w:pStyle w:val="12"/>
        <w:numPr>
          <w:ilvl w:val="0"/>
          <w:numId w:val="3"/>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计划支付给汇融和(福州）商业管理有限公司的场地租金费用为13.20万元，相关商业管理服务协议尚未签订，具体支付金额待合同签订后确定；</w:t>
      </w:r>
    </w:p>
    <w:p>
      <w:pPr>
        <w:pStyle w:val="12"/>
        <w:numPr>
          <w:ilvl w:val="0"/>
          <w:numId w:val="3"/>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计划在三坊七巷展点租赁场地的租金费用为9.00万元，相关租赁合同尚未签订，具体支付金额待合同签订后确定；</w:t>
      </w:r>
    </w:p>
    <w:p>
      <w:pPr>
        <w:pStyle w:val="12"/>
        <w:numPr>
          <w:ilvl w:val="0"/>
          <w:numId w:val="3"/>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计划支付给福州吉造传媒有限公司的营销费用为10.00万元，相关合同尚未签订，具体支付金额待合同签订后确定；</w:t>
      </w:r>
    </w:p>
    <w:p>
      <w:pPr>
        <w:pStyle w:val="12"/>
        <w:numPr>
          <w:ilvl w:val="0"/>
          <w:numId w:val="3"/>
        </w:numPr>
        <w:spacing w:before="157" w:beforeLines="50" w:after="157"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计划5G智慧平台搭建的费用为100.00万元，收款单位尚未确定，具体支付金额待合同签订后确定；</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ind w:firstLine="0" w:firstLineChars="0"/>
        <w:rPr>
          <w:rFonts w:hint="eastAsia"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w:t>
      </w:r>
      <w:r>
        <w:rPr>
          <w:rFonts w:hint="eastAsia" w:ascii="宋体" w:hAnsi="宋体"/>
          <w:bCs/>
          <w:color w:val="000000"/>
          <w:sz w:val="24"/>
          <w:szCs w:val="24"/>
          <w:lang w:val="en-US" w:bidi="zh-CN"/>
        </w:rPr>
        <w:t>12</w:t>
      </w:r>
      <w:r>
        <w:rPr>
          <w:rFonts w:hint="eastAsia" w:ascii="宋体" w:hAnsi="宋体"/>
          <w:bCs/>
          <w:color w:val="000000"/>
          <w:sz w:val="24"/>
          <w:szCs w:val="24"/>
          <w:lang w:bidi="zh-CN"/>
        </w:rPr>
        <w:t>月的管理费用支出共计</w:t>
      </w:r>
      <w:r>
        <w:rPr>
          <w:rFonts w:hint="eastAsia" w:ascii="宋体" w:hAnsi="宋体"/>
          <w:bCs/>
          <w:color w:val="000000"/>
          <w:sz w:val="24"/>
          <w:szCs w:val="24"/>
          <w:lang w:val="en-US" w:bidi="zh-CN"/>
        </w:rPr>
        <w:t>8</w:t>
      </w:r>
      <w:r>
        <w:rPr>
          <w:rFonts w:hint="eastAsia" w:ascii="宋体" w:hAnsi="宋体"/>
          <w:bCs/>
          <w:color w:val="000000"/>
          <w:sz w:val="24"/>
          <w:szCs w:val="24"/>
          <w:lang w:bidi="zh-CN"/>
        </w:rPr>
        <w:t>笔，共计</w:t>
      </w:r>
      <w:r>
        <w:rPr>
          <w:rFonts w:hint="eastAsia" w:ascii="宋体" w:hAnsi="宋体"/>
          <w:bCs/>
          <w:color w:val="000000"/>
          <w:sz w:val="24"/>
          <w:szCs w:val="24"/>
          <w:lang w:val="en-US" w:bidi="zh-CN"/>
        </w:rPr>
        <w:t>18.24</w:t>
      </w:r>
      <w:r>
        <w:rPr>
          <w:rFonts w:hint="eastAsia" w:ascii="宋体" w:hAnsi="宋体"/>
          <w:bCs/>
          <w:color w:val="000000"/>
          <w:sz w:val="24"/>
          <w:szCs w:val="24"/>
          <w:lang w:bidi="zh-CN"/>
        </w:rPr>
        <w:t>万元，包括月度招待费、</w:t>
      </w:r>
      <w:r>
        <w:rPr>
          <w:rFonts w:hint="eastAsia" w:ascii="宋体" w:hAnsi="宋体"/>
          <w:bCs/>
          <w:color w:val="000000"/>
          <w:sz w:val="24"/>
          <w:szCs w:val="24"/>
          <w:lang w:val="en-US" w:bidi="zh-CN"/>
        </w:rPr>
        <w:t>办公室房租、</w:t>
      </w:r>
      <w:r>
        <w:rPr>
          <w:rFonts w:hint="eastAsia" w:ascii="宋体" w:hAnsi="宋体"/>
          <w:bCs/>
          <w:color w:val="000000"/>
          <w:sz w:val="24"/>
          <w:szCs w:val="24"/>
          <w:lang w:bidi="zh-CN"/>
        </w:rPr>
        <w:t>水电物管及其他日常行政费用，具体分析如下：</w:t>
      </w:r>
    </w:p>
    <w:p>
      <w:pPr>
        <w:pStyle w:val="12"/>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月度招待费在</w:t>
      </w:r>
      <w:r>
        <w:rPr>
          <w:rFonts w:hint="eastAsia" w:ascii="宋体" w:hAnsi="宋体"/>
          <w:bCs/>
          <w:color w:val="000000"/>
          <w:sz w:val="24"/>
          <w:szCs w:val="24"/>
          <w:lang w:val="en-US" w:bidi="zh-CN"/>
        </w:rPr>
        <w:t>12</w:t>
      </w:r>
      <w:r>
        <w:rPr>
          <w:rFonts w:hint="eastAsia" w:ascii="宋体" w:hAnsi="宋体"/>
          <w:bCs/>
          <w:color w:val="000000"/>
          <w:sz w:val="24"/>
          <w:szCs w:val="24"/>
          <w:lang w:bidi="zh-CN"/>
        </w:rPr>
        <w:t>月预计支付</w:t>
      </w:r>
      <w:r>
        <w:rPr>
          <w:rFonts w:hint="eastAsia" w:ascii="宋体" w:hAnsi="宋体"/>
          <w:bCs/>
          <w:color w:val="000000"/>
          <w:sz w:val="24"/>
          <w:szCs w:val="24"/>
          <w:lang w:val="en-US" w:bidi="zh-CN"/>
        </w:rPr>
        <w:t>11</w:t>
      </w:r>
      <w:r>
        <w:rPr>
          <w:rFonts w:hint="eastAsia" w:ascii="宋体" w:hAnsi="宋体"/>
          <w:bCs/>
          <w:color w:val="000000"/>
          <w:sz w:val="24"/>
          <w:szCs w:val="24"/>
          <w:lang w:bidi="zh-CN"/>
        </w:rPr>
        <w:t>.00万元；</w:t>
      </w:r>
    </w:p>
    <w:p>
      <w:pPr>
        <w:pStyle w:val="12"/>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办公室房租12月份预计支付2.34万元，该笔费用按季度支付；</w:t>
      </w:r>
    </w:p>
    <w:p>
      <w:pPr>
        <w:pStyle w:val="12"/>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水电物管</w:t>
      </w:r>
      <w:r>
        <w:rPr>
          <w:rFonts w:hint="eastAsia" w:ascii="宋体" w:hAnsi="宋体"/>
          <w:bCs/>
          <w:color w:val="000000"/>
          <w:sz w:val="24"/>
          <w:szCs w:val="24"/>
          <w:lang w:val="en-US" w:bidi="zh-CN"/>
        </w:rPr>
        <w:t>12</w:t>
      </w:r>
      <w:r>
        <w:rPr>
          <w:rFonts w:hint="eastAsia" w:ascii="宋体" w:hAnsi="宋体"/>
          <w:bCs/>
          <w:color w:val="000000"/>
          <w:sz w:val="24"/>
          <w:szCs w:val="24"/>
          <w:lang w:bidi="zh-CN"/>
        </w:rPr>
        <w:t>月</w:t>
      </w:r>
      <w:r>
        <w:rPr>
          <w:rFonts w:hint="eastAsia" w:ascii="宋体" w:hAnsi="宋体"/>
          <w:bCs/>
          <w:color w:val="000000"/>
          <w:sz w:val="24"/>
          <w:szCs w:val="24"/>
          <w:lang w:val="en-US" w:bidi="zh-CN"/>
        </w:rPr>
        <w:t>份支付0.40万元</w:t>
      </w:r>
      <w:r>
        <w:rPr>
          <w:rFonts w:hint="eastAsia" w:ascii="宋体" w:hAnsi="宋体"/>
          <w:bCs/>
          <w:color w:val="000000"/>
          <w:sz w:val="24"/>
          <w:szCs w:val="24"/>
          <w:lang w:bidi="zh-CN"/>
        </w:rPr>
        <w:t>；</w:t>
      </w:r>
    </w:p>
    <w:p>
      <w:pPr>
        <w:pStyle w:val="12"/>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其他日常行政费用共计</w:t>
      </w:r>
      <w:r>
        <w:rPr>
          <w:rFonts w:hint="eastAsia" w:ascii="宋体" w:hAnsi="宋体"/>
          <w:bCs/>
          <w:color w:val="000000"/>
          <w:sz w:val="24"/>
          <w:szCs w:val="24"/>
          <w:lang w:val="en-US" w:bidi="zh-CN"/>
        </w:rPr>
        <w:t>4.5</w:t>
      </w:r>
      <w:r>
        <w:rPr>
          <w:rFonts w:hint="eastAsia" w:ascii="宋体" w:hAnsi="宋体"/>
          <w:bCs/>
          <w:color w:val="000000"/>
          <w:sz w:val="24"/>
          <w:szCs w:val="24"/>
          <w:lang w:bidi="zh-CN"/>
        </w:rPr>
        <w:t>0万元。</w:t>
      </w:r>
    </w:p>
    <w:p>
      <w:pPr>
        <w:spacing w:before="156" w:beforeLines="50" w:after="156" w:afterLines="50" w:line="360" w:lineRule="auto"/>
        <w:ind w:firstLine="480" w:firstLineChars="200"/>
        <w:rPr>
          <w:rFonts w:ascii="宋体" w:hAnsi="宋体"/>
          <w:sz w:val="24"/>
          <w:szCs w:val="24"/>
          <w:lang w:bidi="zh-CN"/>
        </w:rPr>
      </w:pPr>
      <w:r>
        <w:rPr>
          <w:rFonts w:ascii="宋体" w:hAnsi="宋体"/>
          <w:sz w:val="24"/>
          <w:szCs w:val="24"/>
          <w:lang w:bidi="zh-CN"/>
        </w:rPr>
        <w:t>经审核，我司认为</w:t>
      </w:r>
      <w:r>
        <w:rPr>
          <w:rFonts w:hint="eastAsia" w:ascii="宋体" w:hAnsi="宋体"/>
          <w:sz w:val="24"/>
          <w:szCs w:val="24"/>
          <w:lang w:bidi="zh-CN"/>
        </w:rPr>
        <w:t>项目公司</w:t>
      </w:r>
      <w:r>
        <w:rPr>
          <w:rFonts w:hint="eastAsia" w:ascii="宋体" w:hAnsi="宋体"/>
          <w:sz w:val="24"/>
          <w:szCs w:val="24"/>
          <w:lang w:val="en-US" w:bidi="zh-CN"/>
        </w:rPr>
        <w:t>12</w:t>
      </w:r>
      <w:r>
        <w:rPr>
          <w:rFonts w:hint="eastAsia" w:ascii="宋体" w:hAnsi="宋体"/>
          <w:sz w:val="24"/>
          <w:szCs w:val="24"/>
          <w:lang w:bidi="zh-CN"/>
        </w:rPr>
        <w:t>月份的管理费用资金支出计划表编制基本合理，公司的办公室房租及水电物管的支出符合企业情况，</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ind w:firstLine="0" w:firstLineChars="0"/>
        <w:rPr>
          <w:rFonts w:hint="default" w:ascii="宋体" w:hAnsi="宋体"/>
          <w:b/>
          <w:bCs/>
          <w:sz w:val="24"/>
          <w:szCs w:val="24"/>
          <w:lang w:val="en-US" w:bidi="zh-CN"/>
        </w:rPr>
      </w:pPr>
      <w:r>
        <w:rPr>
          <w:rFonts w:hint="eastAsia" w:ascii="宋体" w:hAnsi="宋体"/>
          <w:b/>
          <w:bCs/>
          <w:sz w:val="24"/>
          <w:szCs w:val="24"/>
          <w:lang w:bidi="zh-CN"/>
        </w:rPr>
        <w:t>（四）</w:t>
      </w:r>
      <w:r>
        <w:rPr>
          <w:rFonts w:hint="eastAsia" w:ascii="宋体" w:hAnsi="宋体"/>
          <w:b/>
          <w:bCs/>
          <w:sz w:val="24"/>
          <w:szCs w:val="24"/>
          <w:lang w:val="en-US" w:bidi="zh-CN"/>
        </w:rPr>
        <w:t>不可预见费用资金支出计划说明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val="en-US" w:bidi="zh-CN"/>
        </w:rPr>
        <w:t>项目公司在12月份的不可预见费用为200.00万元，以备一些不可预测的资金支付。</w:t>
      </w:r>
    </w:p>
    <w:p>
      <w:pPr>
        <w:numPr>
          <w:ilvl w:val="0"/>
          <w:numId w:val="1"/>
        </w:numPr>
        <w:spacing w:before="156" w:beforeLines="50" w:after="156" w:afterLines="50" w:line="240" w:lineRule="auto"/>
        <w:ind w:firstLine="120" w:firstLineChars="50"/>
        <w:rPr>
          <w:rFonts w:ascii="宋体" w:hAnsi="宋体"/>
          <w:b/>
          <w:bCs w:val="0"/>
          <w:sz w:val="24"/>
          <w:szCs w:val="24"/>
          <w:lang w:bidi="zh-CN"/>
        </w:rPr>
      </w:pPr>
      <w:r>
        <w:rPr>
          <w:rFonts w:hint="default" w:ascii="宋体" w:hAnsi="宋体"/>
          <w:b/>
          <w:bCs w:val="0"/>
          <w:sz w:val="24"/>
          <w:szCs w:val="24"/>
          <w:lang w:bidi="zh-CN"/>
        </w:rPr>
        <w:t>结论：</w:t>
      </w:r>
    </w:p>
    <w:p>
      <w:pPr>
        <w:pStyle w:val="12"/>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项目公司本次提交的2020年</w:t>
      </w:r>
      <w:r>
        <w:rPr>
          <w:rFonts w:hint="eastAsia" w:ascii="宋体" w:hAnsi="宋体"/>
          <w:sz w:val="24"/>
          <w:szCs w:val="24"/>
          <w:lang w:val="en-US" w:eastAsia="zh-CN"/>
        </w:rPr>
        <w:t>12月-2021年2</w:t>
      </w:r>
      <w:r>
        <w:rPr>
          <w:rFonts w:hint="eastAsia" w:ascii="宋体" w:hAnsi="宋体"/>
          <w:sz w:val="24"/>
          <w:szCs w:val="24"/>
        </w:rPr>
        <w:t>月《季度资金计划表》</w:t>
      </w:r>
      <w:r>
        <w:rPr>
          <w:rFonts w:hint="eastAsia" w:ascii="宋体" w:hAnsi="宋体"/>
          <w:sz w:val="24"/>
          <w:szCs w:val="24"/>
          <w:lang w:val="en-US" w:eastAsia="zh-CN"/>
        </w:rPr>
        <w:t>中12月份的资金计划</w:t>
      </w:r>
      <w:r>
        <w:rPr>
          <w:rFonts w:hint="eastAsia" w:ascii="宋体" w:hAnsi="宋体"/>
          <w:sz w:val="24"/>
          <w:szCs w:val="24"/>
        </w:rPr>
        <w:t>按款项类别分类，</w:t>
      </w:r>
      <w:r>
        <w:rPr>
          <w:rFonts w:ascii="宋体" w:hAnsi="宋体"/>
          <w:bCs/>
          <w:color w:val="000000"/>
          <w:sz w:val="24"/>
          <w:szCs w:val="24"/>
          <w:lang w:bidi="zh-CN"/>
        </w:rPr>
        <w:t>分类信息明确，直观，费用明细与现场实际情况基本吻合</w:t>
      </w:r>
      <w:r>
        <w:rPr>
          <w:rFonts w:hint="eastAsia" w:ascii="宋体" w:hAnsi="宋体"/>
          <w:bCs/>
          <w:color w:val="000000"/>
          <w:sz w:val="24"/>
          <w:szCs w:val="24"/>
          <w:lang w:bidi="zh-CN"/>
        </w:rPr>
        <w:t>。涉及的合同及付款与开发节奏匹配，部分付款时间较之现金流预测表略有调整。由于部分合同在提交预算时未签定属正常情况，</w:t>
      </w:r>
      <w:r>
        <w:rPr>
          <w:rFonts w:hint="eastAsia" w:ascii="宋体" w:hAnsi="宋体"/>
          <w:sz w:val="24"/>
          <w:szCs w:val="24"/>
          <w:lang w:bidi="zh-CN"/>
        </w:rPr>
        <w:t>后期我司会对合同签订严格把控。实际支付时，我司会对付款申请、发票、流程、合同、现场签证等依据进行审核、计算，根据实际申请情况该付款的合理性、合规性，</w:t>
      </w:r>
      <w:r>
        <w:rPr>
          <w:rFonts w:hint="eastAsia" w:ascii="宋体" w:hAnsi="宋体"/>
          <w:sz w:val="24"/>
          <w:szCs w:val="24"/>
          <w:lang w:val="en-US" w:bidi="zh-CN"/>
        </w:rPr>
        <w:t>同时因为项目公司的资金计划是以滚动预算方法编制，即以3个月为一个周期，每个月都会出具本月和未来两个月的资金计划预算，故12月份项目公司新出的资金预算可能和此次的季度预算中12月份的金额会略有差别</w:t>
      </w:r>
      <w:r>
        <w:rPr>
          <w:rFonts w:hint="eastAsia" w:ascii="宋体" w:hAnsi="宋体"/>
          <w:sz w:val="24"/>
          <w:szCs w:val="24"/>
          <w:lang w:bidi="zh-CN"/>
        </w:rPr>
        <w:t>。</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我司拟同意项目公司2020年</w:t>
      </w:r>
      <w:r>
        <w:rPr>
          <w:rFonts w:hint="eastAsia" w:ascii="宋体" w:hAnsi="宋体"/>
          <w:bCs/>
          <w:sz w:val="24"/>
          <w:szCs w:val="24"/>
          <w:lang w:val="en-US" w:bidi="zh-CN"/>
        </w:rPr>
        <w:t>12</w:t>
      </w:r>
      <w:r>
        <w:rPr>
          <w:rFonts w:hint="eastAsia" w:ascii="宋体" w:hAnsi="宋体"/>
          <w:bCs/>
          <w:sz w:val="24"/>
          <w:szCs w:val="24"/>
          <w:lang w:bidi="zh-CN"/>
        </w:rPr>
        <w:t>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before="156" w:beforeLines="50" w:line="360" w:lineRule="auto"/>
        <w:ind w:left="420" w:leftChars="200" w:firstLine="482" w:firstLineChars="200"/>
        <w:rPr>
          <w:rFonts w:ascii="宋体" w:hAnsi="宋体"/>
          <w:b/>
          <w:bCs/>
        </w:rPr>
      </w:pPr>
      <w:r>
        <w:rPr>
          <w:rFonts w:hint="eastAsia" w:ascii="宋体" w:hAnsi="宋体"/>
          <w:b/>
          <w:color w:val="000000"/>
          <w:sz w:val="24"/>
          <w:lang w:bidi="zh-CN"/>
        </w:rPr>
        <w:t xml:space="preserve">                                              </w:t>
      </w:r>
      <w:r>
        <w:rPr>
          <w:rFonts w:hint="eastAsia" w:ascii="宋体" w:hAnsi="宋体"/>
          <w:b/>
          <w:bCs/>
          <w:color w:val="000000"/>
          <w:sz w:val="24"/>
          <w:lang w:bidi="zh-CN"/>
        </w:rPr>
        <w:t xml:space="preserve"> 20</w:t>
      </w:r>
      <w:r>
        <w:rPr>
          <w:rFonts w:ascii="宋体" w:hAnsi="宋体"/>
          <w:b/>
          <w:bCs/>
          <w:color w:val="000000"/>
          <w:sz w:val="24"/>
          <w:lang w:bidi="zh-CN"/>
        </w:rPr>
        <w:t>20</w:t>
      </w:r>
      <w:r>
        <w:rPr>
          <w:rFonts w:hint="eastAsia" w:ascii="宋体" w:hAnsi="宋体"/>
          <w:b/>
          <w:bCs/>
          <w:color w:val="000000"/>
          <w:sz w:val="24"/>
          <w:lang w:bidi="zh-CN"/>
        </w:rPr>
        <w:t>年</w:t>
      </w:r>
      <w:r>
        <w:rPr>
          <w:rFonts w:hint="eastAsia" w:ascii="宋体" w:hAnsi="宋体"/>
          <w:b/>
          <w:bCs/>
          <w:color w:val="000000"/>
          <w:sz w:val="24"/>
          <w:lang w:val="en-US" w:bidi="zh-CN"/>
        </w:rPr>
        <w:t>12</w:t>
      </w:r>
      <w:r>
        <w:rPr>
          <w:rFonts w:ascii="宋体" w:hAnsi="宋体"/>
          <w:b/>
          <w:bCs/>
          <w:color w:val="000000"/>
          <w:sz w:val="24"/>
          <w:lang w:bidi="zh-CN"/>
        </w:rPr>
        <w:t>月</w:t>
      </w:r>
      <w:r>
        <w:rPr>
          <w:rFonts w:hint="eastAsia" w:ascii="宋体" w:hAnsi="宋体"/>
          <w:b/>
          <w:bCs/>
          <w:color w:val="000000"/>
          <w:sz w:val="24"/>
          <w:lang w:val="en-US" w:bidi="zh-CN"/>
        </w:rPr>
        <w:t>01</w:t>
      </w:r>
      <w:r>
        <w:rPr>
          <w:rFonts w:ascii="宋体" w:hAnsi="宋体"/>
          <w:b/>
          <w:bCs/>
          <w:color w:val="000000"/>
          <w:sz w:val="24"/>
          <w:lang w:bidi="zh-CN"/>
        </w:rPr>
        <w:t>日</w:t>
      </w:r>
    </w:p>
    <w:p>
      <w:pPr>
        <w:spacing w:line="360" w:lineRule="auto"/>
        <w:ind w:firstLine="4578" w:firstLineChars="1900"/>
        <w:rPr>
          <w:rFonts w:ascii="宋体" w:hAnsi="宋体"/>
          <w:b/>
          <w:color w:val="000000"/>
          <w:sz w:val="24"/>
          <w:lang w:bidi="zh-CN"/>
        </w:rPr>
      </w:pPr>
    </w:p>
    <w:sectPr>
      <w:headerReference r:id="rId3" w:type="default"/>
      <w:footerReference r:id="rId4" w:type="default"/>
      <w:pgSz w:w="11906" w:h="16838"/>
      <w:pgMar w:top="1417" w:right="1134" w:bottom="1134"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lang w:val="en-US" w:eastAsia="zh-CN"/>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4C624E7"/>
    <w:multiLevelType w:val="multilevel"/>
    <w:tmpl w:val="14C624E7"/>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43768D9D"/>
    <w:multiLevelType w:val="multilevel"/>
    <w:tmpl w:val="43768D9D"/>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3D1761"/>
    <w:rsid w:val="00040F89"/>
    <w:rsid w:val="00065207"/>
    <w:rsid w:val="000E3789"/>
    <w:rsid w:val="00136E9B"/>
    <w:rsid w:val="00142260"/>
    <w:rsid w:val="00194BA4"/>
    <w:rsid w:val="00237492"/>
    <w:rsid w:val="002A26CB"/>
    <w:rsid w:val="002B4D97"/>
    <w:rsid w:val="002E58E2"/>
    <w:rsid w:val="00473EDB"/>
    <w:rsid w:val="0049374E"/>
    <w:rsid w:val="004B1C61"/>
    <w:rsid w:val="004D1D0F"/>
    <w:rsid w:val="00571659"/>
    <w:rsid w:val="005B4A9C"/>
    <w:rsid w:val="005B5D70"/>
    <w:rsid w:val="00634457"/>
    <w:rsid w:val="00644ECF"/>
    <w:rsid w:val="007A22DB"/>
    <w:rsid w:val="007E1386"/>
    <w:rsid w:val="00832436"/>
    <w:rsid w:val="008610EA"/>
    <w:rsid w:val="00877846"/>
    <w:rsid w:val="008847E6"/>
    <w:rsid w:val="009A0579"/>
    <w:rsid w:val="00AF7AC5"/>
    <w:rsid w:val="00BA68DE"/>
    <w:rsid w:val="00C930E4"/>
    <w:rsid w:val="00C95AE7"/>
    <w:rsid w:val="00D306E0"/>
    <w:rsid w:val="00D76CDD"/>
    <w:rsid w:val="00E20E17"/>
    <w:rsid w:val="00E45716"/>
    <w:rsid w:val="00E568EC"/>
    <w:rsid w:val="00F01AF9"/>
    <w:rsid w:val="00F8220C"/>
    <w:rsid w:val="00FA3166"/>
    <w:rsid w:val="04143CD3"/>
    <w:rsid w:val="04982717"/>
    <w:rsid w:val="063D1761"/>
    <w:rsid w:val="07E03F89"/>
    <w:rsid w:val="08EE1EC1"/>
    <w:rsid w:val="0BD9562E"/>
    <w:rsid w:val="0C5374A3"/>
    <w:rsid w:val="0DEB56BA"/>
    <w:rsid w:val="0EB47384"/>
    <w:rsid w:val="0F2C2C9D"/>
    <w:rsid w:val="12EE54E0"/>
    <w:rsid w:val="178873E1"/>
    <w:rsid w:val="1D043C1A"/>
    <w:rsid w:val="25941A9C"/>
    <w:rsid w:val="25A8047B"/>
    <w:rsid w:val="2A9918BD"/>
    <w:rsid w:val="31BC4B3E"/>
    <w:rsid w:val="31ED37AF"/>
    <w:rsid w:val="35826B17"/>
    <w:rsid w:val="37052A1D"/>
    <w:rsid w:val="392817E4"/>
    <w:rsid w:val="39570990"/>
    <w:rsid w:val="3CF828BA"/>
    <w:rsid w:val="3D7C3CA5"/>
    <w:rsid w:val="3DF30266"/>
    <w:rsid w:val="407961B2"/>
    <w:rsid w:val="437C7673"/>
    <w:rsid w:val="43E87380"/>
    <w:rsid w:val="466923B3"/>
    <w:rsid w:val="48BF0390"/>
    <w:rsid w:val="4AA870DA"/>
    <w:rsid w:val="4E8809AE"/>
    <w:rsid w:val="54BD1A39"/>
    <w:rsid w:val="570876FE"/>
    <w:rsid w:val="59DE52E9"/>
    <w:rsid w:val="6A8601F9"/>
    <w:rsid w:val="6C9C7B61"/>
    <w:rsid w:val="73F773CD"/>
    <w:rsid w:val="7586575E"/>
    <w:rsid w:val="761B4740"/>
    <w:rsid w:val="780C51CB"/>
    <w:rsid w:val="79C755E3"/>
    <w:rsid w:val="7D0839FB"/>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3"/>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5"/>
    <w:unhideWhenUsed/>
    <w:qFormat/>
    <w:uiPriority w:val="99"/>
    <w:pPr>
      <w:ind w:firstLine="420" w:firstLineChars="100"/>
    </w:pPr>
    <w:rPr>
      <w:szCs w:val="24"/>
    </w:rPr>
  </w:style>
  <w:style w:type="paragraph" w:styleId="12">
    <w:name w:val="List Paragraph"/>
    <w:basedOn w:val="1"/>
    <w:qFormat/>
    <w:uiPriority w:val="99"/>
    <w:pPr>
      <w:ind w:firstLine="420" w:firstLineChars="200"/>
    </w:pPr>
  </w:style>
  <w:style w:type="character" w:customStyle="1" w:styleId="13">
    <w:name w:val="批注框文本 字符"/>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617</Words>
  <Characters>3518</Characters>
  <Lines>29</Lines>
  <Paragraphs>8</Paragraphs>
  <TotalTime>76</TotalTime>
  <ScaleCrop>false</ScaleCrop>
  <LinksUpToDate>false</LinksUpToDate>
  <CharactersWithSpaces>4127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KG</cp:lastModifiedBy>
  <dcterms:modified xsi:type="dcterms:W3CDTF">2020-12-03T07:26:56Z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