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w:t>
      </w:r>
      <w:r>
        <w:rPr>
          <w:rFonts w:hint="eastAsia" w:ascii="Arial" w:hAnsi="Arial" w:eastAsia="宋体" w:cs="Arial"/>
          <w:b/>
          <w:sz w:val="36"/>
          <w:szCs w:val="36"/>
          <w:lang w:val="en-US" w:eastAsia="zh-CN"/>
        </w:rPr>
        <w:t>4</w:t>
      </w:r>
      <w:r>
        <w:rPr>
          <w:rFonts w:hint="eastAsia" w:ascii="Arial" w:hAnsi="Arial" w:eastAsia="宋体" w:cs="Arial"/>
          <w:b/>
          <w:sz w:val="36"/>
          <w:szCs w:val="36"/>
          <w:lang w:val="en-US" w:eastAsia="zh-CN"/>
        </w:rPr>
        <w:t>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hint="eastAsia" w:ascii="Arial" w:hAnsi="Arial" w:eastAsia="宋体" w:cs="Arial"/>
          <w:b/>
          <w:sz w:val="36"/>
          <w:szCs w:val="36"/>
          <w:lang w:eastAsia="zh-CN"/>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7</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八</w:t>
      </w:r>
      <w:r>
        <w:rPr>
          <w:rFonts w:ascii="Arial" w:hAnsi="Arial" w:eastAsia="宋体" w:cs="Arial"/>
          <w:b/>
          <w:color w:val="000000"/>
          <w:szCs w:val="28"/>
        </w:rPr>
        <w:t>月</w:t>
      </w:r>
      <w:r>
        <w:rPr>
          <w:rFonts w:hint="eastAsia" w:ascii="Arial" w:hAnsi="Arial" w:eastAsia="宋体" w:cs="Arial"/>
          <w:b/>
          <w:color w:val="000000"/>
          <w:szCs w:val="28"/>
          <w:lang w:val="en-US" w:eastAsia="zh-CN"/>
        </w:rPr>
        <w:t>八</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hint="eastAsia" w:ascii="Arial" w:hAnsi="Arial" w:cs="Arial"/>
              <w:b w:val="0"/>
              <w:bCs/>
              <w:sz w:val="21"/>
              <w:szCs w:val="21"/>
              <w:lang w:eastAsia="zh-CN"/>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hint="eastAsia" w:ascii="Arial" w:hAnsi="Arial" w:cs="Arial"/>
              <w:b w:val="0"/>
              <w:bCs/>
              <w:sz w:val="21"/>
              <w:szCs w:val="21"/>
              <w:lang w:eastAsia="zh-CN"/>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rFonts w:hint="eastAsia" w:ascii="Arial" w:hAnsi="Arial"/>
              <w:b w:val="0"/>
              <w:bCs/>
              <w:sz w:val="21"/>
              <w:szCs w:val="21"/>
              <w:lang w:eastAsia="zh-CN"/>
            </w:rPr>
            <w:t>3</w:t>
          </w:r>
          <w:r>
            <w:rPr>
              <w:b w:val="0"/>
              <w:bCs/>
              <w:sz w:val="21"/>
              <w:szCs w:val="21"/>
            </w:rPr>
            <w:t>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项目截至</w:t>
          </w:r>
          <w:r>
            <w:rPr>
              <w:rFonts w:hint="eastAsia" w:ascii="Arial" w:hAnsi="Arial" w:cs="Arial"/>
              <w:b w:val="0"/>
              <w:bCs/>
              <w:sz w:val="21"/>
              <w:szCs w:val="21"/>
              <w:lang w:eastAsia="zh-CN"/>
            </w:rPr>
            <w:t>202</w:t>
          </w:r>
          <w:r>
            <w:rPr>
              <w:rFonts w:hint="eastAsia" w:ascii="Arial" w:hAnsi="Arial" w:cs="Arial"/>
              <w:b w:val="0"/>
              <w:bCs/>
              <w:sz w:val="21"/>
              <w:szCs w:val="21"/>
              <w:lang w:val="en-US" w:eastAsia="zh-CN"/>
            </w:rPr>
            <w:t>1</w:t>
          </w:r>
          <w:r>
            <w:rPr>
              <w:rFonts w:eastAsia="宋体" w:cs="Arial"/>
              <w:b w:val="0"/>
              <w:bCs/>
              <w:sz w:val="21"/>
              <w:szCs w:val="21"/>
            </w:rPr>
            <w:t>年</w:t>
          </w:r>
          <w:r>
            <w:rPr>
              <w:rFonts w:hint="eastAsia" w:ascii="Arial" w:hAnsi="Arial" w:cs="Arial"/>
              <w:b w:val="0"/>
              <w:bCs/>
              <w:sz w:val="21"/>
              <w:szCs w:val="21"/>
              <w:lang w:val="en-US" w:eastAsia="zh-CN"/>
            </w:rPr>
            <w:t>6</w:t>
          </w:r>
          <w:r>
            <w:rPr>
              <w:rFonts w:eastAsia="宋体" w:cs="Arial"/>
              <w:b w:val="0"/>
              <w:bCs/>
              <w:sz w:val="21"/>
              <w:szCs w:val="21"/>
            </w:rPr>
            <w:t>月</w:t>
          </w:r>
          <w:r>
            <w:rPr>
              <w:rFonts w:hint="eastAsia" w:ascii="Arial" w:hAnsi="Arial" w:cs="Arial"/>
              <w:b w:val="0"/>
              <w:bCs/>
              <w:sz w:val="21"/>
              <w:szCs w:val="21"/>
              <w:lang w:val="en-US" w:eastAsia="zh-CN"/>
            </w:rPr>
            <w:t>30</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hint="eastAsia" w:ascii="Arial" w:hAnsi="Arial" w:cs="Arial"/>
              <w:b w:val="0"/>
              <w:bCs/>
              <w:sz w:val="21"/>
              <w:szCs w:val="21"/>
              <w:lang w:eastAsia="zh-CN"/>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rFonts w:hint="eastAsia" w:ascii="Arial" w:hAnsi="Arial"/>
              <w:b w:val="0"/>
              <w:bCs/>
              <w:sz w:val="21"/>
              <w:szCs w:val="21"/>
              <w:lang w:eastAsia="zh-CN"/>
            </w:rPr>
            <w:t>5</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hint="eastAsia" w:ascii="Arial" w:hAnsi="Arial" w:cs="Arial"/>
              <w:b w:val="0"/>
              <w:bCs/>
              <w:sz w:val="21"/>
              <w:szCs w:val="21"/>
              <w:lang w:eastAsia="zh-CN"/>
            </w:rPr>
            <w:t>5</w:t>
          </w:r>
          <w:r>
            <w:rPr>
              <w:rFonts w:ascii="Arial" w:hAnsi="Arial" w:eastAsia="宋体" w:cs="Arial"/>
              <w:b w:val="0"/>
              <w:bCs/>
              <w:sz w:val="21"/>
              <w:szCs w:val="21"/>
            </w:rPr>
            <w:t>、合同签订情况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rFonts w:hint="eastAsia" w:ascii="Arial" w:hAnsi="Arial"/>
              <w:b w:val="0"/>
              <w:bCs/>
              <w:sz w:val="21"/>
              <w:szCs w:val="21"/>
              <w:lang w:eastAsia="zh-CN"/>
            </w:rPr>
            <w:t>7</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hint="eastAsia" w:ascii="Arial" w:hAnsi="Arial" w:cs="Arial"/>
              <w:b w:val="0"/>
              <w:bCs/>
              <w:sz w:val="21"/>
              <w:szCs w:val="21"/>
              <w:lang w:eastAsia="zh-CN"/>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hint="eastAsia" w:ascii="Arial" w:hAnsi="Arial" w:cs="Arial"/>
              <w:b w:val="0"/>
              <w:bCs/>
              <w:sz w:val="21"/>
              <w:szCs w:val="21"/>
              <w:lang w:eastAsia="zh-CN"/>
            </w:rPr>
            <w:t>6</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 xml:space="preserve"> 销售概况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hint="eastAsia" w:ascii="Arial" w:hAnsi="Arial" w:cs="Arial"/>
              <w:b w:val="0"/>
              <w:bCs/>
              <w:sz w:val="21"/>
              <w:szCs w:val="21"/>
              <w:lang w:eastAsia="zh-CN"/>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hint="eastAsia" w:ascii="Arial" w:hAnsi="Arial" w:cs="Arial"/>
              <w:b w:val="0"/>
              <w:bCs/>
              <w:sz w:val="21"/>
              <w:szCs w:val="21"/>
              <w:lang w:eastAsia="zh-CN"/>
            </w:rPr>
            <w:t>7</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rFonts w:hint="eastAsia" w:ascii="Arial" w:hAnsi="Arial"/>
              <w:b w:val="0"/>
              <w:bCs/>
              <w:sz w:val="21"/>
              <w:szCs w:val="21"/>
              <w:lang w:eastAsia="zh-CN"/>
            </w:rPr>
            <w:t>10</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bookmarkStart w:id="69" w:name="_GoBack"/>
      <w:bookmarkEnd w:id="69"/>
    </w:p>
    <w:p/>
    <w:p/>
    <w:p/>
    <w:p/>
    <w:p/>
    <w:p/>
    <w:p>
      <w:pPr>
        <w:tabs>
          <w:tab w:val="left" w:pos="6831"/>
        </w:tabs>
        <w:rPr>
          <w:rFonts w:hint="eastAsia" w:eastAsia="等线"/>
          <w:lang w:eastAsia="zh-CN"/>
        </w:rPr>
      </w:pPr>
      <w:r>
        <w:rPr>
          <w:rFonts w:hint="eastAsia"/>
          <w:lang w:eastAsia="zh-CN"/>
        </w:rPr>
        <w:tab/>
      </w:r>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eastAsia" w:asciiTheme="minorEastAsia" w:hAnsiTheme="minorEastAsia" w:eastAsiaTheme="minorEastAsia" w:cstheme="minorEastAsia"/>
          <w:b/>
          <w:bCs/>
          <w:lang w:val="en-US" w:eastAsia="zh-CN"/>
        </w:rPr>
      </w:pP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bookmarkStart w:id="0" w:name="_Toc641"/>
      <w:r>
        <w:rPr>
          <w:rFonts w:hint="eastAsia" w:asciiTheme="minorEastAsia" w:hAnsiTheme="minorEastAsia" w:eastAsiaTheme="minorEastAsia" w:cstheme="minorEastAsia"/>
          <w:b/>
          <w:bCs/>
        </w:rPr>
        <w:t>项目公司：湖州国源房地产开发有限公司</w:t>
      </w:r>
      <w:bookmarkEnd w:id="0"/>
    </w:p>
    <w:p>
      <w:pPr>
        <w:spacing w:line="240" w:lineRule="auto"/>
        <w:ind w:firstLine="0" w:firstLineChars="0"/>
        <w:jc w:val="left"/>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1" w:name="_Toc26750"/>
      <w:r>
        <w:rPr>
          <w:rFonts w:hint="eastAsia" w:asciiTheme="minorEastAsia" w:hAnsiTheme="minorEastAsia" w:eastAsiaTheme="minorEastAsia" w:cstheme="minorEastAsia"/>
          <w:b/>
          <w:bCs/>
        </w:rPr>
        <w:t>民生信托：中国民生信托有限公司</w:t>
      </w:r>
      <w:bookmarkEnd w:id="1"/>
    </w:p>
    <w:p>
      <w:pPr>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2" w:name="_Toc14152"/>
      <w:r>
        <w:rPr>
          <w:rFonts w:hint="eastAsia" w:asciiTheme="minorEastAsia" w:hAnsiTheme="minorEastAsia" w:eastAsiaTheme="minorEastAsia" w:cstheme="minorEastAsia"/>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532281654"/>
      <w:bookmarkStart w:id="4" w:name="_Toc535580086"/>
      <w:bookmarkStart w:id="5" w:name="_Toc28000"/>
      <w:bookmarkStart w:id="6" w:name="_Toc17935"/>
      <w:bookmarkStart w:id="7" w:name="_Toc32020"/>
      <w:bookmarkStart w:id="8" w:name="_Toc535508633"/>
      <w:bookmarkStart w:id="9" w:name="_Toc535580018"/>
      <w:bookmarkStart w:id="10" w:name="_Toc535570745"/>
      <w:bookmarkStart w:id="11" w:name="_Toc11227"/>
      <w:r>
        <w:rPr>
          <w:rFonts w:hint="eastAsia" w:ascii="Arial" w:hAnsi="Arial" w:cs="Arial"/>
          <w:color w:val="000000"/>
          <w:sz w:val="24"/>
          <w:szCs w:val="24"/>
          <w:lang w:eastAsia="zh-CN"/>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8"/>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ind w:firstLine="420" w:firstLineChars="200"/>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w:t>
      </w:r>
      <w:r>
        <w:rPr>
          <w:rFonts w:hint="eastAsia" w:ascii="Arial" w:hAnsi="Arial" w:eastAsia="宋体" w:cs="Arial"/>
          <w:lang w:eastAsia="zh-CN"/>
        </w:rPr>
        <w:t>600</w:t>
      </w:r>
      <w:r>
        <w:rPr>
          <w:rFonts w:hint="eastAsia" w:ascii="Arial" w:hAnsi="Arial" w:eastAsia="宋体" w:cs="Arial"/>
          <w:lang w:eastAsia="zh-CN"/>
        </w:rPr>
        <w:t>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ind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hint="eastAsia" w:ascii="Arial" w:hAnsi="Arial" w:eastAsia="宋体"/>
          <w:color w:val="auto"/>
          <w:szCs w:val="24"/>
          <w:lang w:eastAsia="zh-CN"/>
        </w:rPr>
        <w:t>3</w:t>
      </w:r>
      <w:r>
        <w:rPr>
          <w:rFonts w:hint="eastAsia" w:ascii="Arial" w:hAnsi="Arial"/>
          <w:color w:val="auto"/>
          <w:szCs w:val="24"/>
          <w:lang w:eastAsia="zh-CN"/>
        </w:rPr>
        <w:t>6</w:t>
      </w:r>
      <w:r>
        <w:rPr>
          <w:rFonts w:ascii="Times New Roman" w:hAnsi="Times New Roman"/>
          <w:color w:val="auto"/>
          <w:szCs w:val="24"/>
        </w:rPr>
        <w:t>,</w:t>
      </w:r>
      <w:r>
        <w:rPr>
          <w:rFonts w:hint="eastAsia" w:ascii="Arial" w:hAnsi="Arial"/>
          <w:color w:val="auto"/>
          <w:szCs w:val="24"/>
          <w:lang w:eastAsia="zh-CN"/>
        </w:rPr>
        <w:t>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万方，容积率为</w:t>
      </w: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，规划住宅</w:t>
      </w:r>
      <w:r>
        <w:rPr>
          <w:rFonts w:hint="eastAsia" w:ascii="Arial" w:hAnsi="Arial" w:eastAsia="宋体" w:cs="Arial"/>
          <w:bCs/>
          <w:kern w:val="44"/>
          <w:szCs w:val="21"/>
          <w:lang w:val="en-US" w:eastAsia="zh-CN"/>
        </w:rPr>
        <w:t>18</w:t>
      </w:r>
      <w:r>
        <w:rPr>
          <w:rFonts w:hint="eastAsia" w:ascii="Arial" w:hAnsi="Arial" w:eastAsia="宋体" w:cs="Arial"/>
          <w:bCs/>
          <w:kern w:val="44"/>
          <w:szCs w:val="21"/>
          <w:lang w:val="en-US" w:eastAsia="zh-CN"/>
        </w:rPr>
        <w:t>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16825"/>
      <w:bookmarkStart w:id="13" w:name="_Toc535508634"/>
      <w:bookmarkStart w:id="14" w:name="_Toc41"/>
      <w:bookmarkStart w:id="15" w:name="_Toc532281655"/>
      <w:bookmarkStart w:id="16" w:name="_Toc535580021"/>
      <w:bookmarkStart w:id="17" w:name="_Toc30681"/>
      <w:bookmarkStart w:id="18" w:name="_Toc775"/>
      <w:bookmarkStart w:id="19" w:name="_Toc535580089"/>
      <w:bookmarkStart w:id="20" w:name="_Toc535570748"/>
      <w:r>
        <w:rPr>
          <w:rFonts w:hint="eastAsia" w:ascii="Arial" w:hAnsi="Arial" w:cs="Arial"/>
          <w:color w:val="000000"/>
          <w:sz w:val="24"/>
          <w:szCs w:val="24"/>
          <w:lang w:eastAsia="zh-CN"/>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 关于开发贷办理情况，据项目公司反映，目前已递交相关审核资料至总行（广发银行和民生银行）审批，预计八月中下旬会有结果，我司会持续关注办理进度并及时反馈贵司。</w:t>
      </w:r>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2</w:t>
      </w:r>
      <w:r>
        <w:rPr>
          <w:rFonts w:hint="eastAsia" w:ascii="Arial" w:hAnsi="Arial" w:eastAsia="宋体" w:cs="Arial"/>
          <w:bCs/>
          <w:kern w:val="44"/>
          <w:szCs w:val="21"/>
          <w:lang w:val="en-US" w:eastAsia="zh-CN"/>
        </w:rPr>
        <w:t>. 随着开盘日益临近，目前项目公司正着手办理商品房预售许可证相关申报资料审核等工作，预计八月底开盘。</w:t>
      </w:r>
    </w:p>
    <w:p>
      <w:pPr>
        <w:pStyle w:val="2"/>
        <w:ind w:left="0" w:leftChars="0" w:firstLine="0" w:firstLineChars="0"/>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3</w:t>
      </w:r>
      <w:r>
        <w:rPr>
          <w:rFonts w:hint="eastAsia" w:ascii="Arial" w:hAnsi="Arial" w:eastAsia="宋体" w:cs="Arial"/>
          <w:bCs/>
          <w:kern w:val="44"/>
          <w:szCs w:val="21"/>
          <w:lang w:val="en-US" w:eastAsia="zh-CN"/>
        </w:rPr>
        <w:t>. 因受台风烟花影响，项目施工现场于</w:t>
      </w:r>
      <w:r>
        <w:rPr>
          <w:rFonts w:hint="eastAsia" w:ascii="Arial" w:hAnsi="Arial" w:eastAsia="宋体" w:cs="Arial"/>
          <w:bCs/>
          <w:kern w:val="44"/>
          <w:szCs w:val="21"/>
          <w:lang w:val="en-US" w:eastAsia="zh-CN"/>
        </w:rPr>
        <w:t>8</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24</w:t>
      </w:r>
      <w:r>
        <w:rPr>
          <w:rFonts w:hint="eastAsia" w:ascii="Arial" w:hAnsi="Arial" w:eastAsia="宋体" w:cs="Arial"/>
          <w:bCs/>
          <w:kern w:val="44"/>
          <w:szCs w:val="21"/>
          <w:lang w:val="en-US" w:eastAsia="zh-CN"/>
        </w:rPr>
        <w:t>日至</w:t>
      </w:r>
      <w:r>
        <w:rPr>
          <w:rFonts w:hint="eastAsia" w:ascii="Arial" w:hAnsi="Arial" w:eastAsia="宋体" w:cs="Arial"/>
          <w:bCs/>
          <w:kern w:val="44"/>
          <w:szCs w:val="21"/>
          <w:lang w:val="en-US" w:eastAsia="zh-CN"/>
        </w:rPr>
        <w:t>8</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28</w:t>
      </w:r>
      <w:r>
        <w:rPr>
          <w:rFonts w:hint="eastAsia" w:ascii="Arial" w:hAnsi="Arial" w:eastAsia="宋体" w:cs="Arial"/>
          <w:bCs/>
          <w:kern w:val="44"/>
          <w:szCs w:val="21"/>
          <w:lang w:val="en-US" w:eastAsia="zh-CN"/>
        </w:rPr>
        <w:t>日共停工</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天，无人员伤亡，</w:t>
      </w:r>
    </w:p>
    <w:p>
      <w:pPr>
        <w:pStyle w:val="2"/>
        <w:ind w:left="0" w:leftChars="0" w:firstLine="0" w:firstLineChars="0"/>
        <w:rPr>
          <w:rFonts w:hint="default"/>
          <w:lang w:val="en-US" w:eastAsia="zh-CN"/>
        </w:rPr>
      </w:pPr>
      <w:r>
        <w:rPr>
          <w:rFonts w:hint="eastAsia" w:ascii="Arial" w:hAnsi="Arial" w:eastAsia="宋体" w:cs="Arial"/>
          <w:bCs/>
          <w:kern w:val="44"/>
          <w:szCs w:val="21"/>
          <w:lang w:val="en-US" w:eastAsia="zh-CN"/>
        </w:rPr>
        <w:t>目前已恢复正常，现场已开工。</w:t>
      </w:r>
    </w:p>
    <w:p>
      <w:pPr>
        <w:pStyle w:val="2"/>
        <w:rPr>
          <w:rFonts w:hint="default"/>
          <w:lang w:val="en-US" w:eastAsia="zh-CN"/>
        </w:rPr>
      </w:pPr>
    </w:p>
    <w:p>
      <w:pPr>
        <w:pStyle w:val="4"/>
        <w:rPr>
          <w:rFonts w:hint="eastAsia"/>
          <w:sz w:val="24"/>
          <w:szCs w:val="24"/>
          <w:lang w:eastAsia="zh-CN"/>
        </w:rPr>
      </w:pPr>
      <w:bookmarkStart w:id="21" w:name="_Toc8714"/>
      <w:r>
        <w:rPr>
          <w:rFonts w:hint="eastAsia" w:ascii="Arial" w:hAnsi="Arial"/>
          <w:sz w:val="24"/>
          <w:szCs w:val="24"/>
          <w:lang w:eastAsia="zh-CN"/>
        </w:rPr>
        <w:t>3</w:t>
      </w:r>
      <w:r>
        <w:rPr>
          <w:sz w:val="24"/>
          <w:szCs w:val="24"/>
        </w:rPr>
        <w:t>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5580023"/>
      <w:bookmarkStart w:id="23" w:name="_Toc535570750"/>
      <w:bookmarkStart w:id="24" w:name="_Toc19233"/>
      <w:bookmarkStart w:id="25" w:name="_Toc535508636"/>
      <w:bookmarkStart w:id="26" w:name="_Toc14159"/>
      <w:bookmarkStart w:id="27" w:name="_Toc535580091"/>
      <w:bookmarkStart w:id="28" w:name="_Toc28826"/>
      <w:bookmarkStart w:id="29" w:name="_Toc532281657"/>
      <w:bookmarkStart w:id="30" w:name="_Toc25930"/>
      <w:r>
        <w:rPr>
          <w:rFonts w:hint="eastAsia" w:ascii="Arial" w:hAnsi="Arial" w:cs="Arial"/>
          <w:sz w:val="24"/>
          <w:lang w:eastAsia="zh-CN"/>
        </w:rPr>
        <w:t>3</w:t>
      </w:r>
      <w:r>
        <w:rPr>
          <w:rFonts w:eastAsia="宋体" w:cs="Arial"/>
          <w:sz w:val="24"/>
        </w:rPr>
        <w:t>.</w:t>
      </w:r>
      <w:r>
        <w:rPr>
          <w:rFonts w:hint="eastAsia" w:ascii="Arial" w:hAnsi="Arial" w:cs="Arial"/>
          <w:sz w:val="24"/>
          <w:lang w:eastAsia="zh-CN"/>
        </w:rPr>
        <w:t>1</w:t>
      </w:r>
      <w:r>
        <w:rPr>
          <w:rFonts w:eastAsia="宋体" w:cs="Arial"/>
          <w:sz w:val="24"/>
        </w:rPr>
        <w:t>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eastAsia="zh-CN"/>
              </w:rPr>
              <w:t>330502202100007</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2</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建设工程规划许可证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330502202100067</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28</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土地证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33003703313</w:t>
            </w:r>
            <w:r>
              <w:rPr>
                <w:rFonts w:hint="eastAsia" w:ascii="Arial" w:hAnsi="Arial" w:eastAsia="宋体" w:cs="Arial"/>
                <w:bCs/>
                <w:kern w:val="44"/>
                <w:sz w:val="18"/>
                <w:szCs w:val="18"/>
                <w:lang w:val="en-US" w:eastAsia="zh-CN"/>
              </w:rPr>
              <w:t xml:space="preserve"> 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11</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建筑工程施工许可证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330502202106290301</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29</w:t>
            </w:r>
            <w:r>
              <w:rPr>
                <w:rFonts w:hint="eastAsia" w:ascii="Arial" w:hAnsi="Arial" w:eastAsia="宋体" w:cs="Arial"/>
                <w:bCs/>
                <w:kern w:val="44"/>
                <w:sz w:val="18"/>
                <w:szCs w:val="18"/>
                <w:lang w:val="en-US" w:eastAsia="zh-CN"/>
              </w:rPr>
              <w:t>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hint="eastAsia" w:ascii="Arial" w:hAnsi="Arial" w:cs="Arial"/>
          <w:sz w:val="24"/>
          <w:lang w:eastAsia="zh-CN"/>
        </w:rPr>
        <w:t>3</w:t>
      </w:r>
      <w:r>
        <w:rPr>
          <w:rFonts w:eastAsia="宋体" w:cs="Arial"/>
          <w:sz w:val="24"/>
        </w:rPr>
        <w:t>.</w:t>
      </w:r>
      <w:r>
        <w:rPr>
          <w:rFonts w:hint="eastAsia" w:ascii="Arial" w:hAnsi="Arial" w:cs="Arial"/>
          <w:sz w:val="24"/>
          <w:lang w:eastAsia="zh-CN"/>
        </w:rPr>
        <w:t>2</w:t>
      </w:r>
      <w:r>
        <w:rPr>
          <w:rFonts w:eastAsia="宋体" w:cs="Arial"/>
          <w:sz w:val="24"/>
        </w:rPr>
        <w:t>项目截至</w:t>
      </w:r>
      <w:r>
        <w:rPr>
          <w:rFonts w:hint="eastAsia" w:ascii="Arial" w:hAnsi="Arial" w:cs="Arial"/>
          <w:sz w:val="24"/>
          <w:lang w:eastAsia="zh-CN"/>
        </w:rPr>
        <w:t>202</w:t>
      </w:r>
      <w:r>
        <w:rPr>
          <w:rFonts w:hint="eastAsia" w:ascii="Arial" w:hAnsi="Arial" w:cs="Arial"/>
          <w:sz w:val="24"/>
          <w:lang w:val="en-US" w:eastAsia="zh-CN"/>
        </w:rPr>
        <w:t>1</w:t>
      </w:r>
      <w:r>
        <w:rPr>
          <w:rFonts w:eastAsia="宋体" w:cs="Arial"/>
          <w:sz w:val="24"/>
        </w:rPr>
        <w:t>年</w:t>
      </w:r>
      <w:r>
        <w:rPr>
          <w:rFonts w:hint="eastAsia" w:ascii="Arial" w:hAnsi="Arial" w:cs="Arial"/>
          <w:sz w:val="24"/>
          <w:lang w:val="en-US" w:eastAsia="zh-CN"/>
        </w:rPr>
        <w:t>7</w:t>
      </w:r>
      <w:r>
        <w:rPr>
          <w:rFonts w:eastAsia="宋体" w:cs="Arial"/>
          <w:sz w:val="24"/>
        </w:rPr>
        <w:t>月</w:t>
      </w:r>
      <w:r>
        <w:rPr>
          <w:rFonts w:hint="eastAsia" w:ascii="Arial" w:hAnsi="Arial" w:cs="Arial"/>
          <w:sz w:val="24"/>
          <w:lang w:val="en-US" w:eastAsia="zh-CN"/>
        </w:rPr>
        <w:t>31</w:t>
      </w:r>
      <w:r>
        <w:rPr>
          <w:rFonts w:eastAsia="宋体" w:cs="Arial"/>
          <w:sz w:val="24"/>
        </w:rPr>
        <w:t>日施工进度情况</w:t>
      </w:r>
      <w:r>
        <w:rPr>
          <w:rFonts w:hint="eastAsia" w:cs="Arial"/>
          <w:sz w:val="24"/>
          <w:lang w:eastAsia="zh-CN"/>
        </w:rPr>
        <w:t>：</w:t>
      </w:r>
      <w:bookmarkEnd w:id="31"/>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6</w:t>
      </w:r>
      <w:r>
        <w:rPr>
          <w:rFonts w:hint="eastAsia" w:asciiTheme="minorEastAsia" w:hAnsiTheme="minorEastAsia" w:eastAsiaTheme="minorEastAsia" w:cstheme="minorEastAsia"/>
          <w:sz w:val="21"/>
          <w:szCs w:val="21"/>
          <w:lang w:val="en-US" w:eastAsia="zh-CN"/>
        </w:rPr>
        <w:t>#正负零钢筋绑扎，</w:t>
      </w:r>
      <w:r>
        <w:rPr>
          <w:rFonts w:hint="eastAsia" w:ascii="Arial" w:hAnsi="Arial" w:eastAsiaTheme="minorEastAsia" w:cstheme="minorEastAsia"/>
          <w:sz w:val="21"/>
          <w:szCs w:val="21"/>
          <w:lang w:val="en-US" w:eastAsia="zh-CN"/>
        </w:rPr>
        <w:t>9</w:t>
      </w:r>
      <w:r>
        <w:rPr>
          <w:rFonts w:hint="eastAsia" w:asciiTheme="minorEastAsia" w:hAnsiTheme="minorEastAsia" w:eastAsiaTheme="minorEastAsia" w:cstheme="minorEastAsia"/>
          <w:sz w:val="21"/>
          <w:szCs w:val="21"/>
          <w:lang w:val="en-US" w:eastAsia="zh-CN"/>
        </w:rPr>
        <w:t>#楼一层墙柱钢筋支模，</w:t>
      </w:r>
      <w:r>
        <w:rPr>
          <w:rFonts w:hint="eastAsia" w:ascii="Arial" w:hAnsi="Arial" w:eastAsiaTheme="minorEastAsia" w:cstheme="minorEastAsia"/>
          <w:sz w:val="21"/>
          <w:szCs w:val="21"/>
          <w:lang w:val="en-US" w:eastAsia="zh-CN"/>
        </w:rPr>
        <w:t>11</w:t>
      </w:r>
      <w:r>
        <w:rPr>
          <w:rFonts w:hint="eastAsia" w:asciiTheme="minorEastAsia" w:hAnsiTheme="minorEastAsia"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en-US" w:eastAsia="zh-CN"/>
        </w:rPr>
        <w:t>#基础钢筋绑扎.</w:t>
      </w:r>
      <w:r>
        <w:rPr>
          <w:rFonts w:hint="eastAsia" w:ascii="Arial" w:hAnsi="Arial" w:eastAsiaTheme="minorEastAsia" w:cstheme="minorEastAsia"/>
          <w:sz w:val="21"/>
          <w:szCs w:val="21"/>
          <w:lang w:val="en-US" w:eastAsia="zh-CN"/>
        </w:rPr>
        <w:t>13</w:t>
      </w:r>
      <w:r>
        <w:rPr>
          <w:rFonts w:hint="eastAsia" w:asciiTheme="minorEastAsia" w:hAnsiTheme="minorEastAsia" w:eastAsiaTheme="minorEastAsia" w:cstheme="minorEastAsia"/>
          <w:sz w:val="21"/>
          <w:szCs w:val="21"/>
          <w:lang w:val="en-US" w:eastAsia="zh-CN"/>
        </w:rPr>
        <w:t>#一层pc安装完成。</w:t>
      </w:r>
    </w:p>
    <w:p>
      <w:pPr>
        <w:pStyle w:val="2"/>
        <w:rPr>
          <w:rFonts w:hint="eastAsia"/>
          <w:lang w:val="en-US" w:eastAsia="zh-CN"/>
        </w:rPr>
      </w:pPr>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.标的物现场照片（</w:t>
      </w:r>
      <w:r>
        <w:rPr>
          <w:rFonts w:hint="eastAsia" w:ascii="Arial" w:hAnsi="Arial" w:eastAsiaTheme="minorEastAsia" w:cs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eastAsia" w:ascii="Arial" w:hAnsi="Arial" w:eastAsiaTheme="minorEastAsia" w:cstheme="minorEastAsia"/>
          <w:sz w:val="21"/>
          <w:szCs w:val="21"/>
          <w:lang w:val="en-US" w:eastAsia="zh-CN"/>
        </w:rPr>
        <w:t>7</w:t>
      </w:r>
      <w:r>
        <w:rPr>
          <w:rFonts w:hint="eastAsia" w:asciiTheme="minorEastAsia" w:hAnsiTheme="minorEastAsia" w:eastAsiaTheme="minorEastAsia" w:cstheme="minorEastAsia"/>
          <w:sz w:val="21"/>
          <w:szCs w:val="21"/>
          <w:lang w:val="en-US" w:eastAsia="zh-CN"/>
        </w:rPr>
        <w:t>月</w:t>
      </w:r>
      <w:r>
        <w:rPr>
          <w:rFonts w:hint="eastAsia" w:ascii="Arial" w:hAnsi="Arial" w:eastAsiaTheme="minorEastAsia" w:cstheme="minorEastAsia"/>
          <w:sz w:val="21"/>
          <w:szCs w:val="21"/>
          <w:lang w:val="en-US" w:eastAsia="zh-CN"/>
        </w:rPr>
        <w:t>31</w:t>
      </w:r>
      <w:r>
        <w:rPr>
          <w:rFonts w:hint="eastAsia" w:ascii="Arial" w:hAnsi="Arial" w:cs="Arial" w:eastAsiaTheme="minorEastAsia"/>
          <w:sz w:val="21"/>
          <w:szCs w:val="21"/>
          <w:lang w:val="en-US" w:eastAsia="zh-CN"/>
        </w:rPr>
        <w:t>号</w:t>
      </w:r>
      <w:r>
        <w:rPr>
          <w:rFonts w:hint="eastAsia" w:asciiTheme="minorEastAsia" w:hAnsiTheme="minorEastAsia" w:eastAsiaTheme="minorEastAsia" w:cstheme="minorEastAsia"/>
          <w:sz w:val="21"/>
          <w:szCs w:val="21"/>
          <w:lang w:val="en-US" w:eastAsia="zh-CN"/>
        </w:rPr>
        <w:t>）</w:t>
      </w:r>
    </w:p>
    <w:tbl>
      <w:tblPr>
        <w:tblStyle w:val="13"/>
        <w:tblW w:w="7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1"/>
        <w:gridCol w:w="3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46375" cy="3691255"/>
                  <wp:effectExtent l="0" t="0" r="15875" b="4445"/>
                  <wp:docPr id="2" name="图片 2" descr="1c58977273a57828a7a8c11c845d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58977273a57828a7a8c11c845d128"/>
                          <pic:cNvPicPr>
                            <a:picLocks noChangeAspect="1"/>
                          </pic:cNvPicPr>
                        </pic:nvPicPr>
                        <pic:blipFill>
                          <a:blip r:embed="rId9"/>
                          <a:stretch>
                            <a:fillRect/>
                          </a:stretch>
                        </pic:blipFill>
                        <pic:spPr>
                          <a:xfrm>
                            <a:off x="0" y="0"/>
                            <a:ext cx="2746375" cy="3691255"/>
                          </a:xfrm>
                          <a:prstGeom prst="rect">
                            <a:avLst/>
                          </a:prstGeom>
                        </pic:spPr>
                      </pic:pic>
                    </a:graphicData>
                  </a:graphic>
                </wp:inline>
              </w:drawing>
            </w:r>
          </w:p>
        </w:tc>
        <w:tc>
          <w:tcPr>
            <w:tcW w:w="3718"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66010" cy="3687445"/>
                  <wp:effectExtent l="0" t="0" r="15240" b="8255"/>
                  <wp:docPr id="4" name="图片 4" descr="40fa25d3f5591d4cbd270ebaa6ac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fa25d3f5591d4cbd270ebaa6ac1d7"/>
                          <pic:cNvPicPr>
                            <a:picLocks noChangeAspect="1"/>
                          </pic:cNvPicPr>
                        </pic:nvPicPr>
                        <pic:blipFill>
                          <a:blip r:embed="rId10"/>
                          <a:stretch>
                            <a:fillRect/>
                          </a:stretch>
                        </pic:blipFill>
                        <pic:spPr>
                          <a:xfrm>
                            <a:off x="0" y="0"/>
                            <a:ext cx="2366010" cy="36874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1" w:type="dxa"/>
          </w:tcPr>
          <w:p>
            <w:pPr>
              <w:pStyle w:val="6"/>
              <w:ind w:firstLine="0" w:firstLineChars="0"/>
              <w:rPr>
                <w:rFonts w:hint="eastAsia" w:ascii="宋体" w:hAnsi="宋体" w:eastAsia="等线" w:cs="宋体"/>
                <w:sz w:val="18"/>
                <w:szCs w:val="18"/>
                <w:lang w:eastAsia="zh-CN"/>
              </w:rPr>
            </w:pPr>
            <w:r>
              <w:rPr>
                <w:rFonts w:hint="eastAsia" w:ascii="Arial" w:hAnsi="Arial" w:cs="Arial"/>
                <w:sz w:val="24"/>
                <w:szCs w:val="24"/>
                <w:lang w:eastAsia="zh-CN"/>
              </w:rPr>
              <w:t>13</w:t>
            </w:r>
            <w:r>
              <w:rPr>
                <w:rFonts w:hint="eastAsia" w:ascii="Calibri" w:hAnsi="Calibri" w:eastAsia="等线" w:cs="Arial"/>
                <w:sz w:val="24"/>
                <w:szCs w:val="24"/>
                <w:lang w:eastAsia="zh-CN"/>
              </w:rPr>
              <w:t>#楼二层板钢筋</w:t>
            </w:r>
          </w:p>
        </w:tc>
        <w:tc>
          <w:tcPr>
            <w:tcW w:w="3718" w:type="dxa"/>
          </w:tcPr>
          <w:p>
            <w:pPr>
              <w:pStyle w:val="6"/>
              <w:ind w:firstLine="0" w:firstLineChars="0"/>
              <w:rPr>
                <w:rFonts w:hint="default" w:ascii="宋体" w:hAnsi="宋体" w:eastAsia="等线" w:cs="宋体"/>
                <w:sz w:val="18"/>
                <w:szCs w:val="18"/>
                <w:lang w:val="en-US" w:eastAsia="zh-CN"/>
              </w:rPr>
            </w:pPr>
            <w:r>
              <w:rPr>
                <w:rFonts w:hint="eastAsia" w:ascii="Arial" w:hAnsi="Arial" w:cs="Arial"/>
                <w:sz w:val="24"/>
                <w:szCs w:val="24"/>
                <w:lang w:eastAsia="zh-CN"/>
              </w:rPr>
              <w:t>12</w:t>
            </w:r>
            <w:r>
              <w:rPr>
                <w:rFonts w:hint="eastAsia" w:ascii="Calibri" w:hAnsi="Calibri" w:eastAsia="等线" w:cs="Arial"/>
                <w:sz w:val="24"/>
                <w:szCs w:val="24"/>
                <w:lang w:eastAsia="zh-CN"/>
              </w:rPr>
              <w:t>#基础</w:t>
            </w:r>
            <w:r>
              <w:rPr>
                <w:rFonts w:hint="eastAsia" w:ascii="Calibri" w:hAnsi="Calibri" w:cs="Arial"/>
                <w:sz w:val="24"/>
                <w:szCs w:val="24"/>
                <w:lang w:val="en-US" w:eastAsia="zh-CN"/>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4037330"/>
                  <wp:effectExtent l="0" t="0" r="5080" b="1270"/>
                  <wp:docPr id="11" name="图片 11" descr="379af4d5285ff33a54fa39e8b635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79af4d5285ff33a54fa39e8b63576f"/>
                          <pic:cNvPicPr>
                            <a:picLocks noChangeAspect="1"/>
                          </pic:cNvPicPr>
                        </pic:nvPicPr>
                        <pic:blipFill>
                          <a:blip r:embed="rId11"/>
                          <a:stretch>
                            <a:fillRect/>
                          </a:stretch>
                        </pic:blipFill>
                        <pic:spPr>
                          <a:xfrm>
                            <a:off x="0" y="0"/>
                            <a:ext cx="2757170" cy="4037330"/>
                          </a:xfrm>
                          <a:prstGeom prst="rect">
                            <a:avLst/>
                          </a:prstGeom>
                        </pic:spPr>
                      </pic:pic>
                    </a:graphicData>
                  </a:graphic>
                </wp:inline>
              </w:drawing>
            </w:r>
          </w:p>
        </w:tc>
        <w:tc>
          <w:tcPr>
            <w:tcW w:w="3718"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6170" cy="4091305"/>
                  <wp:effectExtent l="0" t="0" r="5080" b="4445"/>
                  <wp:docPr id="6" name="图片 6" descr="598480906bbe263d91bed6d5132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8480906bbe263d91bed6d51325347"/>
                          <pic:cNvPicPr>
                            <a:picLocks noChangeAspect="1"/>
                          </pic:cNvPicPr>
                        </pic:nvPicPr>
                        <pic:blipFill>
                          <a:blip r:embed="rId12"/>
                          <a:stretch>
                            <a:fillRect/>
                          </a:stretch>
                        </pic:blipFill>
                        <pic:spPr>
                          <a:xfrm>
                            <a:off x="0" y="0"/>
                            <a:ext cx="2376170" cy="4091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1" w:type="dxa"/>
          </w:tcPr>
          <w:p>
            <w:pPr>
              <w:pStyle w:val="6"/>
              <w:ind w:firstLine="0" w:firstLineChars="0"/>
              <w:rPr>
                <w:rFonts w:hint="eastAsia" w:ascii="宋体" w:hAnsi="宋体" w:eastAsia="等线" w:cs="宋体"/>
                <w:sz w:val="18"/>
                <w:szCs w:val="18"/>
                <w:lang w:eastAsia="zh-CN"/>
              </w:rPr>
            </w:pPr>
            <w:r>
              <w:rPr>
                <w:rFonts w:hint="eastAsia" w:ascii="Arial" w:hAnsi="Arial" w:cs="Arial"/>
                <w:sz w:val="24"/>
                <w:lang w:val="en-US" w:eastAsia="zh-CN"/>
              </w:rPr>
              <w:t>9</w:t>
            </w:r>
            <w:r>
              <w:rPr>
                <w:rFonts w:hint="eastAsia" w:cs="Arial"/>
                <w:sz w:val="24"/>
                <w:lang w:val="en-US" w:eastAsia="zh-CN"/>
              </w:rPr>
              <w:t>#一层墙柱已经完成</w:t>
            </w:r>
          </w:p>
        </w:tc>
        <w:tc>
          <w:tcPr>
            <w:tcW w:w="3718" w:type="dxa"/>
          </w:tcPr>
          <w:p>
            <w:pPr>
              <w:numPr>
                <w:ilvl w:val="0"/>
                <w:numId w:val="0"/>
              </w:numPr>
              <w:ind w:leftChars="0"/>
              <w:rPr>
                <w:rFonts w:hint="default" w:cs="Arial"/>
                <w:sz w:val="24"/>
                <w:lang w:val="en-US" w:eastAsia="zh-CN"/>
              </w:rPr>
            </w:pPr>
            <w:r>
              <w:rPr>
                <w:rFonts w:hint="eastAsia" w:ascii="Arial" w:hAnsi="Arial" w:cs="Arial"/>
                <w:sz w:val="24"/>
                <w:lang w:val="en-US" w:eastAsia="zh-CN"/>
              </w:rPr>
              <w:t>6</w:t>
            </w:r>
            <w:r>
              <w:rPr>
                <w:rFonts w:hint="eastAsia" w:cs="Arial"/>
                <w:sz w:val="24"/>
                <w:lang w:val="en-US" w:eastAsia="zh-CN"/>
              </w:rPr>
              <w:t>#正负零钢筋绑扎中</w:t>
            </w:r>
          </w:p>
          <w:p>
            <w:pPr>
              <w:pStyle w:val="6"/>
              <w:ind w:firstLine="0" w:firstLineChars="0"/>
              <w:rPr>
                <w:rFonts w:hint="eastAsia" w:ascii="宋体" w:hAnsi="宋体" w:eastAsia="等线" w:cs="宋体"/>
                <w:sz w:val="18"/>
                <w:szCs w:val="18"/>
                <w:lang w:eastAsia="zh-CN"/>
              </w:rPr>
            </w:pPr>
          </w:p>
        </w:tc>
      </w:tr>
    </w:tbl>
    <w:p>
      <w:pPr>
        <w:numPr>
          <w:ilvl w:val="0"/>
          <w:numId w:val="0"/>
        </w:numPr>
        <w:ind w:leftChars="0"/>
        <w:rPr>
          <w:rFonts w:hint="default" w:cs="Arial"/>
          <w:sz w:val="24"/>
          <w:lang w:val="en-US" w:eastAsia="zh-CN"/>
        </w:rPr>
      </w:pPr>
    </w:p>
    <w:p>
      <w:pPr>
        <w:numPr>
          <w:ilvl w:val="0"/>
          <w:numId w:val="0"/>
        </w:numPr>
        <w:ind w:leftChars="0"/>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hint="eastAsia" w:ascii="Arial" w:hAnsi="Arial" w:cs="Arial"/>
          <w:color w:val="000000"/>
          <w:sz w:val="24"/>
          <w:szCs w:val="24"/>
          <w:lang w:eastAsia="zh-CN"/>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7</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7</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民用天然气配套申请表申请用印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民用天然气配套申请表，共计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白蚁防治办理资料申请用印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相关资料详见扫描件，共计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不动产面积审核资料申请用印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相关资料详见扫描件，共计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办理广发银行开发贷所需资料申请用印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办理广发银行开发贷所需资料，共计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地块日照复核合同节点进度确认单申请用印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地块日照复核合同节点进度确认单，共计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售楼处景观工程合同付款节点进度确认单申请用印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售楼处景观工程合同付款节点进度确认单，共计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工程质量监督工作方案申请用印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工程质量监督工作方案，共计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员工体检协议申请用印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员工体检协议，共计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办理广发银行开发贷补充资料申请用印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办理广发银行开发贷补充资料，共计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办理建设银行按揭准入协议资料申请用印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办理建设银行按揭准入协议资料，共计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办理兴业银行按揭准入协议资料申请用印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办理兴业银行按揭准入协议资料，共计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桩基打桩相关审核资料申请用印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桩基打桩相关审核资料，共计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项目总监理工程师及土建监理工程师变更资料申请用印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项目总监理工程师及土建监理工程师变更资料，共计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项目施工单位安全员变更申请报告资料申请用印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项目施工单位安全员变更申请报告资料，共计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项目节能评估技术服务合同付款节点进度确认单申请用印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项目节能评估技术服务合同付款节点进度确认单，共计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施工图审查专用合同书申请用印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施工图审查专用合同书，共计</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办理工商银行按揭准入协议资料申请用印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工商银行按揭准入协议前期基础资料，共计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售楼处佳源工程联系单申请用印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售楼处佳源工程联系单，共计</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施工停工令整改回复单申请用印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施工停工令整改回复单，共计</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号楼桩基工程验收记录及打桩记录表申请用印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号楼桩基工程验收记录及打桩记录表，共计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办理广发银行按揭准入协议资料申请用印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广发银行按揭准入协议资料，共计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物业中标通知书，招投标中标公示，咨询委托合同申请用印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物业中标通知书，招投标中标公示，咨询委托合同，共计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发总包单位工作联系函申请用印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工作联系函，共计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#创建湖州市建筑工程优质结构计划表申请用印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#创建湖州市建筑工程优质结构计划表，共计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佳源工程联系单（对施工单位罚款）申请用印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佳源工程联系单，共计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项目地块规划方案设计合同付款节点进度确认单申请用印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项目地块规划方案设计合同付款节点进度确认单，共计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施工图设计合同付款节点进度确认单申请用印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施工图设计合同付款节点进度确认单，共计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售楼处屋面制作安装合同付款节点进度确认单申请用印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售楼处屋面制作安装合同付款节点进度确认单，共计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w:t>
            </w:r>
            <w:r>
              <w:rPr>
                <w:rFonts w:hint="eastAsia" w:ascii="Arial" w:hAnsi="Arial" w:eastAsia="宋体" w:cs="Arial"/>
                <w:i w:val="0"/>
                <w:iCs w:val="0"/>
                <w:color w:val="000000"/>
                <w:kern w:val="0"/>
                <w:sz w:val="18"/>
                <w:szCs w:val="18"/>
                <w:u w:val="none"/>
                <w:lang w:val="en-US" w:eastAsia="zh-CN" w:bidi="ar"/>
              </w:rPr>
              <w:t>#基桩资料申请用印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w:t>
            </w:r>
            <w:r>
              <w:rPr>
                <w:rFonts w:hint="eastAsia" w:ascii="Arial" w:hAnsi="Arial" w:eastAsia="宋体" w:cs="Arial"/>
                <w:i w:val="0"/>
                <w:iCs w:val="0"/>
                <w:color w:val="000000"/>
                <w:kern w:val="0"/>
                <w:sz w:val="18"/>
                <w:szCs w:val="18"/>
                <w:u w:val="none"/>
                <w:lang w:val="en-US" w:eastAsia="zh-CN" w:bidi="ar"/>
              </w:rPr>
              <w:t>#基桩资料，共计</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市政设施保护协议及申请报告申请用印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市政设施保护协议及申请报告，共计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办理民生银行按揭准入协议资料申请用印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办理民生银行按揭准入协议前期基础资料，共计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办理邮政储蓄银行按揭准入协议资料申请用印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办理邮政储蓄银行按揭准入协议前期基础资料，共计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eastAsia" w:ascii="Arial" w:hAnsi="Arial"/>
          <w:b/>
          <w:bCs/>
          <w:sz w:val="24"/>
          <w:lang w:eastAsia="zh-CN"/>
        </w:rPr>
        <w:t>202</w:t>
      </w:r>
      <w:r>
        <w:rPr>
          <w:rFonts w:hint="eastAsia" w:ascii="Arial" w:hAnsi="Arial"/>
          <w:b/>
          <w:bCs/>
          <w:sz w:val="24"/>
          <w:lang w:val="en-US" w:eastAsia="zh-CN"/>
        </w:rPr>
        <w:t>1</w:t>
      </w:r>
      <w:r>
        <w:rPr>
          <w:rFonts w:hint="default"/>
          <w:b/>
          <w:bCs/>
          <w:sz w:val="24"/>
        </w:rPr>
        <w:t>年</w:t>
      </w:r>
      <w:r>
        <w:rPr>
          <w:rFonts w:hint="eastAsia" w:ascii="Arial" w:hAnsi="Arial"/>
          <w:b/>
          <w:bCs/>
          <w:sz w:val="24"/>
          <w:lang w:val="en-US" w:eastAsia="zh-CN"/>
        </w:rPr>
        <w:t>7</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营业执照</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办理企业征信查询</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只查阅，无复印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办理企业征信查询</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bl>
    <w:p>
      <w:pPr>
        <w:pStyle w:val="4"/>
        <w:keepNext w:val="0"/>
        <w:keepLines w:val="0"/>
        <w:numPr>
          <w:ilvl w:val="0"/>
          <w:numId w:val="1"/>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7</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5</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7</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9013" w:type="dxa"/>
        <w:jc w:val="center"/>
        <w:tblLayout w:type="fixed"/>
        <w:tblCellMar>
          <w:top w:w="0" w:type="dxa"/>
          <w:left w:w="0" w:type="dxa"/>
          <w:bottom w:w="0" w:type="dxa"/>
          <w:right w:w="0" w:type="dxa"/>
        </w:tblCellMar>
      </w:tblPr>
      <w:tblGrid>
        <w:gridCol w:w="1275"/>
        <w:gridCol w:w="1166"/>
        <w:gridCol w:w="1569"/>
        <w:gridCol w:w="2436"/>
        <w:gridCol w:w="1262"/>
        <w:gridCol w:w="1065"/>
        <w:gridCol w:w="240"/>
      </w:tblGrid>
      <w:tr>
        <w:tblPrEx>
          <w:tblCellMar>
            <w:top w:w="0" w:type="dxa"/>
            <w:left w:w="0" w:type="dxa"/>
            <w:bottom w:w="0" w:type="dxa"/>
            <w:right w:w="0" w:type="dxa"/>
          </w:tblCellMar>
        </w:tblPrEx>
        <w:trPr>
          <w:trHeight w:val="61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56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3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262"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嘉兴禾人枫语房产经纪有限公司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《禾枫说楼》公众号推广合作合同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.《禾枫说楼》公众号</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篇微信推送，配合项目推广节点和主题，</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针对项目具体户型产品解析、事件营销，配合楼盘节点，用文章解读。</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.广告价格： 人民币：￥</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元；大写：叁万元整。 （此价格含</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%增值税） </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湖州飞英红豆鲜花店</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MJN</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328</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鲜花采购合同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.金额合计（人民币大写）：贰万零陆佰捌拾元整 。小写：￥</w:t>
            </w:r>
            <w:r>
              <w:rPr>
                <w:rFonts w:hint="eastAsia" w:ascii="Arial" w:hAnsi="Arial" w:eastAsia="宋体" w:cs="Arial"/>
                <w:i w:val="0"/>
                <w:iCs w:val="0"/>
                <w:color w:val="000000"/>
                <w:kern w:val="0"/>
                <w:sz w:val="18"/>
                <w:szCs w:val="18"/>
                <w:u w:val="none"/>
                <w:lang w:val="en-US" w:eastAsia="zh-CN" w:bidi="ar"/>
              </w:rPr>
              <w:t>20680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.付款方式：电汇或转账付款</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680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湖州萤火虫文化传播有限公司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广告合作协议</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、合同总价款： </w:t>
            </w:r>
            <w:r>
              <w:rPr>
                <w:rFonts w:hint="eastAsia" w:ascii="Arial" w:hAnsi="Arial" w:eastAsia="宋体" w:cs="Arial"/>
                <w:i w:val="0"/>
                <w:iCs w:val="0"/>
                <w:color w:val="000000"/>
                <w:kern w:val="0"/>
                <w:sz w:val="18"/>
                <w:szCs w:val="18"/>
                <w:u w:val="none"/>
                <w:lang w:val="en-US" w:eastAsia="zh-CN" w:bidi="ar"/>
              </w:rPr>
              <w:t>4950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元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.活动内容：父亲节暖场活动</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湖州透明传媒有限公司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透明售房网广告协议（</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.发布内容： 甲方公司品牌传播及项目宣传（限房产相关宣传）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.发布形式： 动画、多媒体、文字、广告链接</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.广告价格：优惠后费用总价为：</w:t>
            </w:r>
            <w:r>
              <w:rPr>
                <w:rFonts w:hint="eastAsia" w:ascii="Arial" w:hAnsi="Arial" w:eastAsia="宋体" w:cs="Arial"/>
                <w:i w:val="0"/>
                <w:iCs w:val="0"/>
                <w:color w:val="000000"/>
                <w:kern w:val="0"/>
                <w:sz w:val="18"/>
                <w:szCs w:val="18"/>
                <w:u w:val="none"/>
                <w:lang w:val="en-US" w:eastAsia="zh-CN" w:bidi="ar"/>
              </w:rPr>
              <w:t>120000</w:t>
            </w:r>
            <w:r>
              <w:rPr>
                <w:rFonts w:hint="eastAsia" w:ascii="Arial" w:hAnsi="Arial" w:eastAsia="宋体" w:cs="Arial"/>
                <w:i w:val="0"/>
                <w:iCs w:val="0"/>
                <w:color w:val="000000"/>
                <w:kern w:val="0"/>
                <w:sz w:val="18"/>
                <w:szCs w:val="18"/>
                <w:u w:val="none"/>
                <w:lang w:val="en-US" w:eastAsia="zh-CN" w:bidi="ar"/>
              </w:rPr>
              <w:t>元（大写：人民币壹拾贰万元整）其中税额：</w:t>
            </w:r>
            <w:r>
              <w:rPr>
                <w:rFonts w:hint="eastAsia" w:ascii="Arial" w:hAnsi="Arial" w:eastAsia="宋体" w:cs="Arial"/>
                <w:i w:val="0"/>
                <w:iCs w:val="0"/>
                <w:color w:val="000000"/>
                <w:kern w:val="0"/>
                <w:sz w:val="18"/>
                <w:szCs w:val="18"/>
                <w:u w:val="none"/>
                <w:lang w:val="en-US" w:eastAsia="zh-CN" w:bidi="ar"/>
              </w:rPr>
              <w:t>3495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r>
              <w:rPr>
                <w:rFonts w:hint="eastAsia" w:ascii="Arial" w:hAnsi="Arial" w:eastAsia="宋体" w:cs="Arial"/>
                <w:i w:val="0"/>
                <w:iCs w:val="0"/>
                <w:color w:val="000000"/>
                <w:kern w:val="0"/>
                <w:sz w:val="18"/>
                <w:szCs w:val="18"/>
                <w:u w:val="none"/>
                <w:lang w:val="en-US" w:eastAsia="zh-CN" w:bidi="ar"/>
              </w:rPr>
              <w:t>元，不含税为：</w:t>
            </w:r>
            <w:r>
              <w:rPr>
                <w:rFonts w:hint="eastAsia" w:ascii="Arial" w:hAnsi="Arial" w:eastAsia="宋体" w:cs="Arial"/>
                <w:i w:val="0"/>
                <w:iCs w:val="0"/>
                <w:color w:val="000000"/>
                <w:kern w:val="0"/>
                <w:sz w:val="18"/>
                <w:szCs w:val="18"/>
                <w:u w:val="none"/>
                <w:lang w:val="en-US" w:eastAsia="zh-CN" w:bidi="ar"/>
              </w:rPr>
              <w:t>116504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85</w:t>
            </w:r>
            <w:r>
              <w:rPr>
                <w:rFonts w:hint="eastAsia" w:ascii="Arial" w:hAnsi="Arial" w:eastAsia="宋体" w:cs="Arial"/>
                <w:i w:val="0"/>
                <w:iCs w:val="0"/>
                <w:color w:val="000000"/>
                <w:kern w:val="0"/>
                <w:sz w:val="18"/>
                <w:szCs w:val="18"/>
                <w:u w:val="none"/>
                <w:lang w:val="en-US" w:eastAsia="zh-CN" w:bidi="ar"/>
              </w:rPr>
              <w:t>元，税率为</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湖州安骐广告装饰有限公司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广告物料制作合同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.本合同预算价为</w:t>
            </w:r>
            <w:r>
              <w:rPr>
                <w:rFonts w:hint="eastAsia" w:ascii="Arial" w:hAnsi="Arial" w:eastAsia="宋体" w:cs="Arial"/>
                <w:i w:val="0"/>
                <w:iCs w:val="0"/>
                <w:color w:val="000000"/>
                <w:kern w:val="0"/>
                <w:sz w:val="18"/>
                <w:szCs w:val="18"/>
                <w:u w:val="none"/>
                <w:lang w:val="en-US" w:eastAsia="zh-CN" w:bidi="ar"/>
              </w:rPr>
              <w:t>32579</w:t>
            </w:r>
            <w:r>
              <w:rPr>
                <w:rFonts w:hint="eastAsia" w:ascii="Arial" w:hAnsi="Arial" w:eastAsia="宋体" w:cs="Arial"/>
                <w:i w:val="0"/>
                <w:iCs w:val="0"/>
                <w:color w:val="000000"/>
                <w:kern w:val="0"/>
                <w:sz w:val="18"/>
                <w:szCs w:val="18"/>
                <w:u w:val="none"/>
                <w:lang w:val="en-US" w:eastAsia="zh-CN" w:bidi="ar"/>
              </w:rPr>
              <w:t>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.付款方式：采用银行转账方式付款。</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579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4010"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合计</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208</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209</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hint="eastAsia" w:ascii="Arial" w:hAnsi="Arial" w:cs="Arial"/>
          <w:color w:val="000000"/>
          <w:sz w:val="24"/>
          <w:szCs w:val="24"/>
          <w:lang w:eastAsia="zh-CN"/>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31698"/>
      <w:bookmarkStart w:id="39" w:name="_Toc2086"/>
      <w:bookmarkStart w:id="40" w:name="_Toc31684"/>
      <w:bookmarkStart w:id="41" w:name="_Toc9946"/>
      <w:bookmarkStart w:id="42" w:name="_Toc532281663"/>
      <w:r>
        <w:rPr>
          <w:rFonts w:hint="eastAsia" w:ascii="Arial" w:hAnsi="Arial" w:cs="Arial"/>
          <w:sz w:val="24"/>
          <w:lang w:eastAsia="zh-CN"/>
        </w:rPr>
        <w:t>6</w:t>
      </w:r>
      <w:r>
        <w:rPr>
          <w:rFonts w:eastAsia="宋体" w:cs="Arial"/>
          <w:sz w:val="24"/>
        </w:rPr>
        <w:t>.</w:t>
      </w:r>
      <w:r>
        <w:rPr>
          <w:rFonts w:hint="eastAsia" w:ascii="Arial" w:hAnsi="Arial" w:cs="Arial"/>
          <w:sz w:val="24"/>
          <w:lang w:eastAsia="zh-CN"/>
        </w:rPr>
        <w:t>1</w:t>
      </w:r>
      <w:r>
        <w:rPr>
          <w:rFonts w:eastAsia="宋体" w:cs="Arial"/>
          <w:sz w:val="24"/>
        </w:rPr>
        <w:t xml:space="preserve"> 销售概况</w:t>
      </w:r>
      <w:bookmarkEnd w:id="38"/>
      <w:bookmarkEnd w:id="39"/>
      <w:bookmarkEnd w:id="40"/>
      <w:r>
        <w:rPr>
          <w:rFonts w:hint="eastAsia" w:cs="Arial"/>
          <w:sz w:val="24"/>
          <w:lang w:eastAsia="zh-CN"/>
        </w:rPr>
        <w:t>：</w:t>
      </w:r>
      <w:bookmarkEnd w:id="41"/>
    </w:p>
    <w:p>
      <w:pPr>
        <w:outlineLvl w:val="0"/>
        <w:rPr>
          <w:rFonts w:hint="eastAsia" w:asciiTheme="minorEastAsia" w:hAnsiTheme="minorEastAsia" w:eastAsiaTheme="minorEastAsia" w:cstheme="minorEastAsia"/>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bookmarkStart w:id="43" w:name="_Toc27120"/>
      <w:r>
        <w:rPr>
          <w:rFonts w:hint="eastAsia" w:cs="Arial"/>
          <w:sz w:val="21"/>
          <w:szCs w:val="21"/>
          <w:lang w:val="en-US" w:eastAsia="zh-CN"/>
        </w:rPr>
        <w:t>截至</w:t>
      </w:r>
      <w:r>
        <w:rPr>
          <w:rFonts w:hint="eastAsia" w:ascii="Arial" w:hAnsi="Arial" w:cs="Arial"/>
          <w:sz w:val="21"/>
          <w:szCs w:val="21"/>
          <w:lang w:val="en-US" w:eastAsia="zh-CN"/>
        </w:rPr>
        <w:t>7</w:t>
      </w:r>
      <w:r>
        <w:rPr>
          <w:rFonts w:hint="eastAsia" w:cs="Arial"/>
          <w:sz w:val="21"/>
          <w:szCs w:val="21"/>
          <w:lang w:val="en-US" w:eastAsia="zh-CN"/>
        </w:rPr>
        <w:t>月底，</w:t>
      </w:r>
      <w:r>
        <w:rPr>
          <w:rFonts w:hint="eastAsia" w:asciiTheme="minorEastAsia" w:hAnsiTheme="minorEastAsia" w:eastAsiaTheme="minorEastAsia" w:cstheme="minorEastAsia"/>
          <w:sz w:val="21"/>
          <w:szCs w:val="21"/>
          <w:lang w:val="en-US" w:eastAsia="zh-CN"/>
        </w:rPr>
        <w:t>项目公司目前暂未取得预售许可证，无销售。</w:t>
      </w:r>
      <w:bookmarkEnd w:id="43"/>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4" w:name="_Toc991"/>
      <w:r>
        <w:rPr>
          <w:rFonts w:hint="eastAsia" w:ascii="Arial" w:hAnsi="Arial" w:cs="Arial"/>
          <w:color w:val="000000"/>
          <w:sz w:val="24"/>
          <w:szCs w:val="24"/>
          <w:lang w:eastAsia="zh-CN"/>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4"/>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5" w:name="_Toc535570757"/>
      <w:bookmarkStart w:id="46" w:name="_Toc535508643"/>
      <w:bookmarkStart w:id="47" w:name="_Toc10612"/>
      <w:bookmarkStart w:id="48" w:name="_Toc535580030"/>
      <w:bookmarkStart w:id="49" w:name="_Toc27175"/>
      <w:bookmarkStart w:id="50" w:name="_Toc535580098"/>
      <w:bookmarkStart w:id="51" w:name="_Toc32304"/>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资金流出情况</w:t>
      </w:r>
      <w:bookmarkEnd w:id="45"/>
      <w:bookmarkEnd w:id="46"/>
      <w:bookmarkEnd w:id="47"/>
      <w:bookmarkEnd w:id="48"/>
      <w:bookmarkEnd w:id="49"/>
      <w:bookmarkEnd w:id="50"/>
      <w:r>
        <w:rPr>
          <w:rFonts w:hint="eastAsia" w:cs="Arial" w:eastAsiaTheme="minorEastAsia"/>
          <w:sz w:val="24"/>
          <w:szCs w:val="24"/>
          <w:lang w:eastAsia="zh-CN"/>
        </w:rPr>
        <w:t>：</w:t>
      </w:r>
      <w:bookmarkEnd w:id="51"/>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7</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eastAsia" w:ascii="Arial" w:hAnsi="Arial" w:eastAsia="宋体" w:cs="Arial"/>
          <w:b w:val="0"/>
          <w:bCs w:val="0"/>
          <w:i w:val="0"/>
          <w:color w:val="000000"/>
          <w:kern w:val="0"/>
          <w:sz w:val="21"/>
          <w:szCs w:val="21"/>
          <w:u w:val="none"/>
          <w:lang w:val="en-US" w:eastAsia="zh-CN" w:bidi="ar"/>
        </w:rPr>
        <w:t>392</w:t>
      </w:r>
      <w:r>
        <w:rPr>
          <w:rFonts w:hint="eastAsia"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380</w:t>
      </w:r>
      <w:r>
        <w:rPr>
          <w:rFonts w:hint="default"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14</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2" w:name="_Toc866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7</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2"/>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318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湖州市水务集团有限公司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868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676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15</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363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w:t>
            </w:r>
            <w:r>
              <w:rPr>
                <w:rFonts w:hint="eastAsia" w:ascii="Arial" w:hAnsi="Arial" w:eastAsia="宋体" w:cs="宋体"/>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月份员工工资</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231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878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48</w:t>
            </w:r>
            <w:r>
              <w:rPr>
                <w:rFonts w:hint="default" w:ascii="Arial" w:hAnsi="Arial" w:eastAsia="宋体" w:cs="Arial"/>
                <w:i w:val="0"/>
                <w:color w:val="000000"/>
                <w:kern w:val="0"/>
                <w:sz w:val="22"/>
                <w:szCs w:val="22"/>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Arial"/>
                <w:b/>
                <w:bCs/>
                <w:i w:val="0"/>
                <w:color w:val="000000"/>
                <w:kern w:val="0"/>
                <w:sz w:val="18"/>
                <w:szCs w:val="18"/>
                <w:highlight w:val="none"/>
                <w:u w:val="none"/>
                <w:lang w:val="en-US" w:eastAsia="zh-CN" w:bidi="ar"/>
              </w:rPr>
              <w:t>392</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380</w:t>
            </w:r>
            <w:r>
              <w:rPr>
                <w:rFonts w:hint="default"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14</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3" w:name="_Toc9645"/>
      <w:bookmarkStart w:id="54" w:name="_Toc20803"/>
      <w:bookmarkStart w:id="55" w:name="_Toc14147"/>
      <w:bookmarkStart w:id="56" w:name="_Toc32342"/>
      <w:r>
        <w:rPr>
          <w:rFonts w:hint="eastAsia" w:ascii="Arial" w:hAnsi="Arial" w:cs="Arial"/>
          <w:sz w:val="24"/>
          <w:lang w:eastAsia="zh-CN"/>
        </w:rPr>
        <w:t>7</w:t>
      </w:r>
      <w:r>
        <w:rPr>
          <w:rFonts w:eastAsia="宋体" w:cs="Arial"/>
          <w:sz w:val="24"/>
        </w:rPr>
        <w:t>.</w:t>
      </w:r>
      <w:r>
        <w:rPr>
          <w:rFonts w:hint="eastAsia" w:ascii="Arial" w:hAnsi="Arial" w:cs="Arial"/>
          <w:sz w:val="24"/>
          <w:lang w:eastAsia="zh-CN"/>
        </w:rPr>
        <w:t>2</w:t>
      </w:r>
      <w:r>
        <w:rPr>
          <w:rFonts w:eastAsia="宋体" w:cs="Arial"/>
          <w:sz w:val="24"/>
        </w:rPr>
        <w:t>资金流入情况</w:t>
      </w:r>
      <w:bookmarkEnd w:id="53"/>
      <w:bookmarkEnd w:id="54"/>
      <w:bookmarkEnd w:id="55"/>
      <w:r>
        <w:rPr>
          <w:rFonts w:hint="eastAsia" w:cs="Arial"/>
          <w:sz w:val="24"/>
          <w:lang w:eastAsia="zh-CN"/>
        </w:rPr>
        <w:t>：</w:t>
      </w:r>
      <w:bookmarkEnd w:id="56"/>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w:t>
      </w:r>
      <w:r>
        <w:rPr>
          <w:rFonts w:hint="eastAsia" w:ascii="Arial" w:hAnsi="Arial" w:eastAsia="宋体" w:cs="Arial"/>
          <w:sz w:val="21"/>
          <w:szCs w:val="21"/>
          <w:lang w:val="en-US" w:eastAsia="zh-CN"/>
        </w:rPr>
        <w:t>2021</w:t>
      </w:r>
      <w:r>
        <w:rPr>
          <w:rFonts w:hint="default" w:ascii="Arial" w:hAnsi="Arial" w:eastAsia="宋体" w:cs="Arial"/>
          <w:sz w:val="21"/>
          <w:szCs w:val="21"/>
          <w:lang w:val="en-US" w:eastAsia="zh-CN"/>
        </w:rPr>
        <w:t>年</w:t>
      </w:r>
      <w:r>
        <w:rPr>
          <w:rFonts w:hint="eastAsia" w:ascii="Arial" w:hAnsi="Arial" w:eastAsia="宋体" w:cs="Arial"/>
          <w:sz w:val="21"/>
          <w:szCs w:val="21"/>
          <w:lang w:val="en-US" w:eastAsia="zh-CN"/>
        </w:rPr>
        <w:t>7</w:t>
      </w:r>
      <w:r>
        <w:rPr>
          <w:rFonts w:hint="default" w:ascii="Arial" w:hAnsi="Arial" w:eastAsia="宋体" w:cs="Arial"/>
          <w:sz w:val="21"/>
          <w:szCs w:val="21"/>
          <w:lang w:val="en-US" w:eastAsia="zh-CN"/>
        </w:rPr>
        <w:t>月</w:t>
      </w:r>
      <w:r>
        <w:rPr>
          <w:rFonts w:hint="eastAsia" w:ascii="Arial" w:hAnsi="Arial" w:eastAsia="宋体" w:cs="Arial"/>
          <w:sz w:val="21"/>
          <w:szCs w:val="21"/>
          <w:lang w:val="en-US" w:eastAsia="zh-CN"/>
        </w:rPr>
        <w:t>份资金流入合计金额：</w:t>
      </w:r>
      <w:r>
        <w:rPr>
          <w:rFonts w:hint="eastAsia" w:ascii="Arial" w:hAnsi="Arial" w:eastAsia="宋体" w:cs="Arial"/>
          <w:b/>
          <w:bCs/>
          <w:color w:val="000000"/>
          <w:sz w:val="21"/>
          <w:szCs w:val="21"/>
          <w:lang w:val="en-US" w:eastAsia="zh-CN"/>
        </w:rPr>
        <w:t>302</w:t>
      </w:r>
      <w:r>
        <w:rPr>
          <w:rFonts w:hint="eastAsia" w:ascii="Arial" w:hAnsi="Arial" w:eastAsia="宋体" w:cs="Arial"/>
          <w:b/>
          <w:bCs/>
          <w:color w:val="000000"/>
          <w:sz w:val="21"/>
          <w:szCs w:val="21"/>
          <w:lang w:val="en-US" w:eastAsia="zh-CN"/>
        </w:rPr>
        <w:t>,</w:t>
      </w:r>
      <w:r>
        <w:rPr>
          <w:rFonts w:hint="eastAsia" w:ascii="Arial" w:hAnsi="Arial" w:eastAsia="宋体" w:cs="Arial"/>
          <w:b/>
          <w:bCs/>
          <w:color w:val="000000"/>
          <w:sz w:val="21"/>
          <w:szCs w:val="21"/>
          <w:lang w:val="en-US" w:eastAsia="zh-CN"/>
        </w:rPr>
        <w:t>075</w:t>
      </w:r>
      <w:r>
        <w:rPr>
          <w:rFonts w:hint="eastAsia" w:ascii="Arial" w:hAnsi="Arial" w:eastAsia="宋体" w:cs="Arial"/>
          <w:b/>
          <w:bCs/>
          <w:color w:val="auto"/>
          <w:sz w:val="21"/>
          <w:szCs w:val="21"/>
          <w:lang w:val="en-US" w:eastAsia="zh-CN"/>
        </w:rPr>
        <w:t>.</w:t>
      </w:r>
      <w:r>
        <w:rPr>
          <w:rFonts w:hint="eastAsia" w:ascii="Arial" w:hAnsi="Arial" w:eastAsia="宋体" w:cs="Arial"/>
          <w:b/>
          <w:bCs/>
          <w:color w:val="auto"/>
          <w:sz w:val="21"/>
          <w:szCs w:val="21"/>
          <w:lang w:val="en-US" w:eastAsia="zh-CN"/>
        </w:rPr>
        <w:t>00</w:t>
      </w:r>
      <w:r>
        <w:rPr>
          <w:rFonts w:hint="eastAsia" w:ascii="Arial" w:hAnsi="Arial" w:eastAsia="宋体" w:cs="Arial"/>
          <w:b/>
          <w:bCs/>
          <w:color w:val="000000"/>
          <w:sz w:val="21"/>
          <w:szCs w:val="21"/>
          <w:lang w:val="en-US" w:eastAsia="zh-CN"/>
        </w:rPr>
        <w:t>元</w:t>
      </w:r>
      <w:r>
        <w:rPr>
          <w:rFonts w:hint="default" w:ascii="Arial" w:hAnsi="Arial" w:eastAsia="宋体" w:cs="Arial"/>
          <w:sz w:val="21"/>
          <w:szCs w:val="21"/>
          <w:lang w:val="en-US" w:eastAsia="zh-CN"/>
        </w:rPr>
        <w:t>，</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7" w:name="_Toc5432"/>
      <w:bookmarkStart w:id="58" w:name="_Toc1505"/>
    </w:p>
    <w:p>
      <w:pPr>
        <w:pStyle w:val="2"/>
      </w:pPr>
    </w:p>
    <w:p>
      <w:pPr>
        <w:spacing w:before="0" w:beforeLines="-2147483648" w:after="0" w:afterLines="-2147483648"/>
        <w:jc w:val="center"/>
        <w:outlineLvl w:val="0"/>
        <w:rPr>
          <w:b/>
          <w:bCs/>
          <w:sz w:val="24"/>
        </w:rPr>
      </w:pPr>
      <w:bookmarkStart w:id="59" w:name="_Toc2175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7</w:t>
      </w:r>
      <w:r>
        <w:rPr>
          <w:b/>
          <w:bCs/>
          <w:sz w:val="24"/>
        </w:rPr>
        <w:t>月</w:t>
      </w:r>
      <w:r>
        <w:rPr>
          <w:rFonts w:hint="default"/>
          <w:b/>
          <w:bCs/>
          <w:sz w:val="24"/>
        </w:rPr>
        <w:t>份</w:t>
      </w:r>
      <w:r>
        <w:rPr>
          <w:b/>
          <w:bCs/>
          <w:sz w:val="24"/>
        </w:rPr>
        <w:t>资金流入情况表</w:t>
      </w:r>
      <w:bookmarkEnd w:id="57"/>
      <w:bookmarkEnd w:id="58"/>
      <w:bookmarkEnd w:id="59"/>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eastAsia="zh-CN"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发放项目公司</w:t>
            </w:r>
            <w:r>
              <w:rPr>
                <w:rFonts w:hint="eastAsia" w:ascii="Arial" w:hAnsi="Arial" w:eastAsia="宋体" w:cs="宋体"/>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月份员工工资</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收个人社保退回款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 xml:space="preserve">重庆佳源名城房地产开发有限公司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075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302</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075</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00</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60" w:name="_Toc10798"/>
      <w:bookmarkStart w:id="61" w:name="_Toc1362"/>
      <w:bookmarkStart w:id="62" w:name="_Toc21774"/>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资金结算</w:t>
      </w:r>
      <w:bookmarkEnd w:id="60"/>
      <w:bookmarkEnd w:id="61"/>
      <w:bookmarkEnd w:id="62"/>
    </w:p>
    <w:p>
      <w:pPr>
        <w:pStyle w:val="5"/>
        <w:keepNext w:val="0"/>
        <w:keepLines w:val="0"/>
        <w:spacing w:before="300" w:after="300" w:line="360" w:lineRule="exact"/>
        <w:jc w:val="left"/>
        <w:rPr>
          <w:rFonts w:hint="eastAsia" w:cs="Arial" w:eastAsiaTheme="minorEastAsia"/>
          <w:sz w:val="24"/>
          <w:szCs w:val="24"/>
          <w:lang w:eastAsia="zh-CN"/>
        </w:rPr>
      </w:pPr>
      <w:bookmarkStart w:id="63" w:name="_Toc29165"/>
      <w:bookmarkStart w:id="64" w:name="_Toc2303"/>
      <w:bookmarkStart w:id="65" w:name="_Toc1163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各账户余额</w:t>
      </w:r>
      <w:bookmarkEnd w:id="63"/>
      <w:bookmarkEnd w:id="64"/>
      <w:r>
        <w:rPr>
          <w:rFonts w:hint="eastAsia" w:cs="Arial" w:eastAsiaTheme="minorEastAsia"/>
          <w:sz w:val="24"/>
          <w:szCs w:val="24"/>
          <w:lang w:eastAsia="zh-CN"/>
        </w:rPr>
        <w:t>：</w:t>
      </w:r>
      <w:bookmarkEnd w:id="65"/>
    </w:p>
    <w:p>
      <w:pPr>
        <w:widowControl/>
        <w:spacing w:beforeLines="0" w:line="480" w:lineRule="auto"/>
        <w:ind w:firstLine="420" w:firstLineChars="200"/>
        <w:rPr>
          <w:rFonts w:ascii="Arial" w:hAnsi="Arial" w:eastAsia="宋体" w:cs="Arial"/>
          <w:bCs w:val="0"/>
          <w:kern w:val="2"/>
          <w:szCs w:val="24"/>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w:t>
      </w:r>
      <w:r>
        <w:rPr>
          <w:rFonts w:hint="eastAsia" w:ascii="Arial" w:hAnsi="Arial" w:eastAsia="宋体" w:cs="Arial"/>
          <w:bCs w:val="0"/>
          <w:kern w:val="2"/>
          <w:szCs w:val="24"/>
          <w:lang w:eastAsia="zh-CN"/>
        </w:rPr>
        <w:t>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7</w:t>
      </w:r>
      <w:r>
        <w:rPr>
          <w:rFonts w:ascii="Arial" w:hAnsi="Arial" w:eastAsia="宋体" w:cs="Arial"/>
          <w:bCs w:val="0"/>
          <w:kern w:val="2"/>
          <w:szCs w:val="24"/>
        </w:rPr>
        <w:t>月</w:t>
      </w:r>
      <w:r>
        <w:rPr>
          <w:rFonts w:hint="eastAsia" w:ascii="Arial" w:hAnsi="Arial" w:eastAsia="宋体" w:cs="Arial"/>
          <w:bCs w:val="0"/>
          <w:kern w:val="2"/>
          <w:szCs w:val="24"/>
          <w:lang w:val="en-US" w:eastAsia="zh-CN"/>
        </w:rPr>
        <w:t>31</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val="en-US" w:eastAsia="zh-CN"/>
        </w:rPr>
        <w:t>275</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385</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43</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一</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6" w:name="_Toc18317"/>
      <w:r>
        <w:rPr>
          <w:b/>
          <w:bCs/>
          <w:sz w:val="24"/>
        </w:rPr>
        <w:t>截至</w:t>
      </w:r>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7</w:t>
      </w:r>
      <w:r>
        <w:rPr>
          <w:b/>
          <w:bCs/>
          <w:sz w:val="24"/>
        </w:rPr>
        <w:t>月</w:t>
      </w:r>
      <w:r>
        <w:rPr>
          <w:rFonts w:hint="eastAsia" w:ascii="Arial" w:hAnsi="Arial"/>
          <w:b/>
          <w:bCs/>
          <w:sz w:val="24"/>
          <w:lang w:val="en-US" w:eastAsia="zh-CN"/>
        </w:rPr>
        <w:t>31</w:t>
      </w:r>
      <w:r>
        <w:rPr>
          <w:b/>
          <w:bCs/>
          <w:sz w:val="24"/>
        </w:rPr>
        <w:t>日各银行账户余额表</w:t>
      </w:r>
      <w:bookmarkEnd w:id="66"/>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275</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385</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43</w:t>
            </w:r>
          </w:p>
        </w:tc>
      </w:tr>
      <w:bookmarkEnd w:id="42"/>
    </w:tbl>
    <w:p>
      <w:pPr>
        <w:pStyle w:val="4"/>
        <w:spacing w:before="300" w:after="300" w:line="360" w:lineRule="exact"/>
        <w:jc w:val="left"/>
        <w:rPr>
          <w:rFonts w:hint="eastAsia" w:ascii="Arial" w:hAnsi="Arial" w:cs="Arial" w:eastAsiaTheme="minorEastAsia"/>
          <w:sz w:val="24"/>
          <w:szCs w:val="24"/>
          <w:lang w:eastAsia="zh-CN"/>
        </w:rPr>
      </w:pPr>
      <w:bookmarkStart w:id="67" w:name="_Toc18226"/>
      <w:r>
        <w:rPr>
          <w:rFonts w:ascii="Arial" w:hAnsi="Arial" w:cs="Arial" w:eastAsiaTheme="minorEastAsia"/>
          <w:sz w:val="24"/>
          <w:szCs w:val="24"/>
        </w:rPr>
        <w:t>附件</w:t>
      </w:r>
      <w:bookmarkEnd w:id="67"/>
      <w:r>
        <w:rPr>
          <w:rFonts w:hint="eastAsia" w:ascii="Arial" w:hAnsi="Arial" w:cs="Arial" w:eastAsiaTheme="minorEastAsia"/>
          <w:sz w:val="24"/>
          <w:szCs w:val="24"/>
          <w:lang w:eastAsia="zh-CN"/>
        </w:rPr>
        <w:t>：</w:t>
      </w:r>
    </w:p>
    <w:p>
      <w:pPr>
        <w:jc w:val="left"/>
        <w:outlineLvl w:val="0"/>
        <w:rPr>
          <w:rFonts w:hint="eastAsia" w:cs="Arial" w:eastAsiaTheme="minorEastAsia"/>
          <w:sz w:val="24"/>
          <w:szCs w:val="24"/>
        </w:rPr>
      </w:pPr>
      <w:bookmarkStart w:id="68" w:name="_Toc3641"/>
      <w:r>
        <w:rPr>
          <w:rFonts w:hint="eastAsia" w:asciiTheme="minorEastAsia" w:hAnsiTheme="minorEastAsia" w:eastAsiaTheme="minorEastAsia" w:cstheme="minorEastAsia"/>
          <w:b/>
          <w:bCs/>
          <w:sz w:val="21"/>
          <w:szCs w:val="21"/>
          <w:lang w:val="en-US" w:eastAsia="zh-CN"/>
        </w:rPr>
        <w:t>附件一 ：</w:t>
      </w:r>
      <w:bookmarkEnd w:id="68"/>
      <w:r>
        <w:rPr>
          <w:rFonts w:hint="default" w:eastAsia="宋体" w:cs="Times New Roman"/>
          <w:b/>
          <w:bCs/>
          <w:sz w:val="21"/>
          <w:szCs w:val="32"/>
        </w:rPr>
        <w:t>银行对账单</w:t>
      </w:r>
      <w:r>
        <w:rPr>
          <w:rFonts w:hint="eastAsia" w:cs="Arial" w:eastAsiaTheme="minorEastAsia"/>
          <w:sz w:val="24"/>
          <w:szCs w:val="24"/>
        </w:rPr>
        <w:t xml:space="preserve"> </w:t>
      </w:r>
    </w:p>
    <w:p>
      <w:pPr>
        <w:pStyle w:val="2"/>
        <w:rPr>
          <w:rFonts w:hint="eastAsia" w:cs="Arial" w:eastAsiaTheme="minorEastAsia"/>
          <w:sz w:val="24"/>
          <w:szCs w:val="24"/>
        </w:rPr>
      </w:pPr>
    </w:p>
    <w:p>
      <w:pPr>
        <w:pStyle w:val="2"/>
        <w:rPr>
          <w:rFonts w:hint="eastAsia" w:cs="Arial" w:eastAsiaTheme="minorEastAsia"/>
          <w:sz w:val="24"/>
          <w:szCs w:val="24"/>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56225" cy="3478530"/>
            <wp:effectExtent l="0" t="0" r="15875" b="7620"/>
            <wp:docPr id="7" name="图片 7" descr="1628216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8216339(1)"/>
                    <pic:cNvPicPr>
                      <a:picLocks noChangeAspect="1"/>
                    </pic:cNvPicPr>
                  </pic:nvPicPr>
                  <pic:blipFill>
                    <a:blip r:embed="rId13"/>
                    <a:stretch>
                      <a:fillRect/>
                    </a:stretch>
                  </pic:blipFill>
                  <pic:spPr>
                    <a:xfrm>
                      <a:off x="0" y="0"/>
                      <a:ext cx="5356225" cy="3478530"/>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65115" cy="1830705"/>
            <wp:effectExtent l="0" t="0" r="6985" b="17145"/>
            <wp:docPr id="8" name="图片 8" descr="7.31银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31银行余额"/>
                    <pic:cNvPicPr>
                      <a:picLocks noChangeAspect="1"/>
                    </pic:cNvPicPr>
                  </pic:nvPicPr>
                  <pic:blipFill>
                    <a:blip r:embed="rId14"/>
                    <a:stretch>
                      <a:fillRect/>
                    </a:stretch>
                  </pic:blipFill>
                  <pic:spPr>
                    <a:xfrm>
                      <a:off x="0" y="0"/>
                      <a:ext cx="5365115" cy="1830705"/>
                    </a:xfrm>
                    <a:prstGeom prst="rect">
                      <a:avLst/>
                    </a:prstGeom>
                  </pic:spPr>
                </pic:pic>
              </a:graphicData>
            </a:graphic>
          </wp:inline>
        </w:drawing>
      </w:r>
    </w:p>
    <w:p>
      <w:pPr>
        <w:bidi w:val="0"/>
        <w:jc w:val="left"/>
        <w:rPr>
          <w:rFonts w:hint="eastAsia"/>
          <w:lang w:val="en-US" w:eastAsia="zh-CN"/>
        </w:rPr>
      </w:pPr>
    </w:p>
    <w:p>
      <w:pPr>
        <w:bidi w:val="0"/>
        <w:jc w:val="left"/>
        <w:rPr>
          <w:rFonts w:hint="eastAsia" w:ascii="Arial" w:hAnsi="Arial" w:eastAsia="宋体" w:cs="Arial"/>
          <w:lang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Ar">
    <w:altName w:val="Segoe Print"/>
    <w:panose1 w:val="00000000000000000000"/>
    <w:charset w:val="00"/>
    <w:family w:val="auto"/>
    <w:pitch w:val="default"/>
    <w:sig w:usb0="00000000" w:usb1="00000000" w:usb2="00000000" w:usb3="00000000" w:csb0="00000000" w:csb1="00000000"/>
  </w:font>
  <w:font w:name="Ari">
    <w:altName w:val="Segoe Print"/>
    <w:panose1 w:val="00000000000000000000"/>
    <w:charset w:val="00"/>
    <w:family w:val="auto"/>
    <w:pitch w:val="default"/>
    <w:sig w:usb0="00000000" w:usb1="00000000" w:usb2="00000000" w:usb3="00000000" w:csb0="00000000" w:csb1="00000000"/>
  </w:font>
  <w:font w:name="Aria">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eastAsia" w:ascii="Arial" w:hAnsi="Arial" w:cs="Arial"/>
        <w:lang w:eastAsia="zh-CN"/>
      </w:rPr>
      <w:t>202</w:t>
    </w:r>
    <w:r>
      <w:rPr>
        <w:rFonts w:hint="eastAsia" w:ascii="Arial" w:hAnsi="Arial" w:cs="Arial"/>
        <w:lang w:val="en-US" w:eastAsia="zh-CN"/>
      </w:rPr>
      <w:t>1</w:t>
    </w:r>
    <w:r>
      <w:rPr>
        <w:rFonts w:hint="eastAsia" w:ascii="宋体" w:hAnsi="宋体" w:cs="宋体"/>
      </w:rPr>
      <w:t>年</w:t>
    </w:r>
    <w:r>
      <w:rPr>
        <w:rFonts w:hint="eastAsia" w:ascii="Arial" w:hAnsi="Arial" w:cs="宋体"/>
        <w:lang w:val="en-US" w:eastAsia="zh-CN"/>
      </w:rPr>
      <w:t>7</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C7A6A"/>
    <w:multiLevelType w:val="singleLevel"/>
    <w:tmpl w:val="DB3C7A6A"/>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2372640"/>
    <w:rsid w:val="038914B2"/>
    <w:rsid w:val="03BA5018"/>
    <w:rsid w:val="045C1DBE"/>
    <w:rsid w:val="0548262D"/>
    <w:rsid w:val="055D630E"/>
    <w:rsid w:val="05740424"/>
    <w:rsid w:val="066206FA"/>
    <w:rsid w:val="06B607E6"/>
    <w:rsid w:val="06FC7348"/>
    <w:rsid w:val="082B3E03"/>
    <w:rsid w:val="08324A87"/>
    <w:rsid w:val="0902081A"/>
    <w:rsid w:val="09664FAB"/>
    <w:rsid w:val="098C2D6D"/>
    <w:rsid w:val="0A0117F8"/>
    <w:rsid w:val="0A6478A0"/>
    <w:rsid w:val="0AE81DF0"/>
    <w:rsid w:val="0B05419C"/>
    <w:rsid w:val="0B19568A"/>
    <w:rsid w:val="0B312E59"/>
    <w:rsid w:val="0BD2622B"/>
    <w:rsid w:val="0C1B7E5B"/>
    <w:rsid w:val="0D195CB2"/>
    <w:rsid w:val="0D3C0F7B"/>
    <w:rsid w:val="0E3108BF"/>
    <w:rsid w:val="0E915882"/>
    <w:rsid w:val="0F485050"/>
    <w:rsid w:val="112034D1"/>
    <w:rsid w:val="114354A5"/>
    <w:rsid w:val="121F5B0D"/>
    <w:rsid w:val="12637F72"/>
    <w:rsid w:val="1268588B"/>
    <w:rsid w:val="12C23418"/>
    <w:rsid w:val="13077E48"/>
    <w:rsid w:val="133266AA"/>
    <w:rsid w:val="13EB54F6"/>
    <w:rsid w:val="142B04A3"/>
    <w:rsid w:val="15451757"/>
    <w:rsid w:val="15D173FB"/>
    <w:rsid w:val="15F4799A"/>
    <w:rsid w:val="15FC5610"/>
    <w:rsid w:val="161711DC"/>
    <w:rsid w:val="165B15E9"/>
    <w:rsid w:val="17162BB3"/>
    <w:rsid w:val="17693131"/>
    <w:rsid w:val="183B0DC5"/>
    <w:rsid w:val="18642972"/>
    <w:rsid w:val="18A6635D"/>
    <w:rsid w:val="192E7C10"/>
    <w:rsid w:val="1A6016EF"/>
    <w:rsid w:val="1AB6789E"/>
    <w:rsid w:val="1B626667"/>
    <w:rsid w:val="1B921F7B"/>
    <w:rsid w:val="1C950172"/>
    <w:rsid w:val="1CE16716"/>
    <w:rsid w:val="1CE35EE5"/>
    <w:rsid w:val="1D5171BF"/>
    <w:rsid w:val="1D9405F2"/>
    <w:rsid w:val="1DAE63F1"/>
    <w:rsid w:val="1F2D45F6"/>
    <w:rsid w:val="1F3F0776"/>
    <w:rsid w:val="1F912DA7"/>
    <w:rsid w:val="200F75DF"/>
    <w:rsid w:val="20850DDB"/>
    <w:rsid w:val="21FC25D5"/>
    <w:rsid w:val="22FC3AE1"/>
    <w:rsid w:val="23511674"/>
    <w:rsid w:val="23F87A62"/>
    <w:rsid w:val="24F34FA3"/>
    <w:rsid w:val="25962571"/>
    <w:rsid w:val="271041CA"/>
    <w:rsid w:val="278D67B0"/>
    <w:rsid w:val="27E10A1A"/>
    <w:rsid w:val="281260B3"/>
    <w:rsid w:val="28131235"/>
    <w:rsid w:val="281557E5"/>
    <w:rsid w:val="28C23ABB"/>
    <w:rsid w:val="2965774F"/>
    <w:rsid w:val="2A495BDE"/>
    <w:rsid w:val="2A77253E"/>
    <w:rsid w:val="2AEE3D24"/>
    <w:rsid w:val="2B040443"/>
    <w:rsid w:val="2B25187C"/>
    <w:rsid w:val="2BBC32CC"/>
    <w:rsid w:val="2C0D0A34"/>
    <w:rsid w:val="2C8D7C83"/>
    <w:rsid w:val="2CC34BCF"/>
    <w:rsid w:val="2D940088"/>
    <w:rsid w:val="2DF725FC"/>
    <w:rsid w:val="2E1A557D"/>
    <w:rsid w:val="2E2F4274"/>
    <w:rsid w:val="2EBE41D3"/>
    <w:rsid w:val="2EE773CC"/>
    <w:rsid w:val="2F1301D3"/>
    <w:rsid w:val="2F405000"/>
    <w:rsid w:val="2F6F3AE4"/>
    <w:rsid w:val="2FB0375B"/>
    <w:rsid w:val="30507A39"/>
    <w:rsid w:val="307572BA"/>
    <w:rsid w:val="308778C5"/>
    <w:rsid w:val="308E7895"/>
    <w:rsid w:val="31FE71FC"/>
    <w:rsid w:val="321F0A81"/>
    <w:rsid w:val="32943448"/>
    <w:rsid w:val="32B452C5"/>
    <w:rsid w:val="32CE2098"/>
    <w:rsid w:val="33726BA5"/>
    <w:rsid w:val="33E31EB4"/>
    <w:rsid w:val="344C1F88"/>
    <w:rsid w:val="351272C8"/>
    <w:rsid w:val="35A46BAB"/>
    <w:rsid w:val="364A032A"/>
    <w:rsid w:val="37325D26"/>
    <w:rsid w:val="3797646D"/>
    <w:rsid w:val="3A0A27F7"/>
    <w:rsid w:val="3A1B3E21"/>
    <w:rsid w:val="3A3A658F"/>
    <w:rsid w:val="3A6A6CFA"/>
    <w:rsid w:val="3B69669C"/>
    <w:rsid w:val="3B8A3CA0"/>
    <w:rsid w:val="3D2C32CA"/>
    <w:rsid w:val="3EAD389B"/>
    <w:rsid w:val="3F595582"/>
    <w:rsid w:val="404431D7"/>
    <w:rsid w:val="4094601D"/>
    <w:rsid w:val="40D26829"/>
    <w:rsid w:val="42C43E3B"/>
    <w:rsid w:val="433160C0"/>
    <w:rsid w:val="43324336"/>
    <w:rsid w:val="433C411F"/>
    <w:rsid w:val="43B67FA4"/>
    <w:rsid w:val="44BA669B"/>
    <w:rsid w:val="44ED0170"/>
    <w:rsid w:val="457047FC"/>
    <w:rsid w:val="459E18CC"/>
    <w:rsid w:val="460F434A"/>
    <w:rsid w:val="47A80DA0"/>
    <w:rsid w:val="49012D53"/>
    <w:rsid w:val="491A3F14"/>
    <w:rsid w:val="49627DD9"/>
    <w:rsid w:val="49865435"/>
    <w:rsid w:val="49CF3588"/>
    <w:rsid w:val="4A3C6604"/>
    <w:rsid w:val="4A6051C4"/>
    <w:rsid w:val="4AC7726F"/>
    <w:rsid w:val="4B090B80"/>
    <w:rsid w:val="4D3B6ECD"/>
    <w:rsid w:val="4DEF3051"/>
    <w:rsid w:val="4E2813FB"/>
    <w:rsid w:val="4EAB7F8E"/>
    <w:rsid w:val="4F20238B"/>
    <w:rsid w:val="4F415F64"/>
    <w:rsid w:val="503240D7"/>
    <w:rsid w:val="50B26626"/>
    <w:rsid w:val="515327E2"/>
    <w:rsid w:val="51E334A1"/>
    <w:rsid w:val="526127B8"/>
    <w:rsid w:val="52762265"/>
    <w:rsid w:val="52D35384"/>
    <w:rsid w:val="536C7C10"/>
    <w:rsid w:val="54425F11"/>
    <w:rsid w:val="54824601"/>
    <w:rsid w:val="551275E0"/>
    <w:rsid w:val="55A64C3F"/>
    <w:rsid w:val="5613108B"/>
    <w:rsid w:val="56746C85"/>
    <w:rsid w:val="56E77C1B"/>
    <w:rsid w:val="572F5526"/>
    <w:rsid w:val="57FB4A73"/>
    <w:rsid w:val="5834366B"/>
    <w:rsid w:val="58F02F93"/>
    <w:rsid w:val="596E6738"/>
    <w:rsid w:val="599E3DF5"/>
    <w:rsid w:val="59C554F9"/>
    <w:rsid w:val="5A4359A7"/>
    <w:rsid w:val="5AC14787"/>
    <w:rsid w:val="5B6B4E3B"/>
    <w:rsid w:val="5BB56847"/>
    <w:rsid w:val="5CFC6FCA"/>
    <w:rsid w:val="5D554F62"/>
    <w:rsid w:val="5EB717CF"/>
    <w:rsid w:val="5ED812AF"/>
    <w:rsid w:val="5F143EA9"/>
    <w:rsid w:val="5F287B83"/>
    <w:rsid w:val="5F6F29A1"/>
    <w:rsid w:val="605410CC"/>
    <w:rsid w:val="60793023"/>
    <w:rsid w:val="60884B95"/>
    <w:rsid w:val="614210E2"/>
    <w:rsid w:val="614A0048"/>
    <w:rsid w:val="61603824"/>
    <w:rsid w:val="61F2500B"/>
    <w:rsid w:val="639D203B"/>
    <w:rsid w:val="63D8623B"/>
    <w:rsid w:val="645D1036"/>
    <w:rsid w:val="64F02A84"/>
    <w:rsid w:val="651D5558"/>
    <w:rsid w:val="65273007"/>
    <w:rsid w:val="65C05E4B"/>
    <w:rsid w:val="662F0661"/>
    <w:rsid w:val="663171AA"/>
    <w:rsid w:val="663835E3"/>
    <w:rsid w:val="66BA4597"/>
    <w:rsid w:val="66BF169E"/>
    <w:rsid w:val="66F9528F"/>
    <w:rsid w:val="676D2146"/>
    <w:rsid w:val="67956A2F"/>
    <w:rsid w:val="67E816C0"/>
    <w:rsid w:val="684124BF"/>
    <w:rsid w:val="69F354B2"/>
    <w:rsid w:val="6AB724ED"/>
    <w:rsid w:val="6AD1728E"/>
    <w:rsid w:val="6BBE6593"/>
    <w:rsid w:val="6C436ACE"/>
    <w:rsid w:val="6CA009E5"/>
    <w:rsid w:val="6CDF4040"/>
    <w:rsid w:val="6CF57AF8"/>
    <w:rsid w:val="6D50631C"/>
    <w:rsid w:val="6E55522F"/>
    <w:rsid w:val="6EBB6CF2"/>
    <w:rsid w:val="6EEB4F8E"/>
    <w:rsid w:val="6F5A30D4"/>
    <w:rsid w:val="6F664F68"/>
    <w:rsid w:val="702B15C6"/>
    <w:rsid w:val="70CE0E31"/>
    <w:rsid w:val="712A39A5"/>
    <w:rsid w:val="71905B02"/>
    <w:rsid w:val="71F17A67"/>
    <w:rsid w:val="7362713F"/>
    <w:rsid w:val="74B55DAC"/>
    <w:rsid w:val="763F5A68"/>
    <w:rsid w:val="77835F8B"/>
    <w:rsid w:val="78B63DAF"/>
    <w:rsid w:val="78CA28FC"/>
    <w:rsid w:val="795B780E"/>
    <w:rsid w:val="79652BD2"/>
    <w:rsid w:val="799D57FD"/>
    <w:rsid w:val="79A54B26"/>
    <w:rsid w:val="79AB6CC5"/>
    <w:rsid w:val="79B17C8F"/>
    <w:rsid w:val="79C54A67"/>
    <w:rsid w:val="79D12106"/>
    <w:rsid w:val="7B08044A"/>
    <w:rsid w:val="7C8402E4"/>
    <w:rsid w:val="7C842A28"/>
    <w:rsid w:val="7C9C608E"/>
    <w:rsid w:val="7D831C9C"/>
    <w:rsid w:val="7DAC501A"/>
    <w:rsid w:val="7DB230E4"/>
    <w:rsid w:val="7E1904FF"/>
    <w:rsid w:val="7E8C49F5"/>
    <w:rsid w:val="7EB43F9C"/>
    <w:rsid w:val="7F055855"/>
    <w:rsid w:val="7F764C9C"/>
    <w:rsid w:val="7F9F5DF7"/>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qFormat/>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 w:type="character" w:customStyle="1" w:styleId="19">
    <w:name w:val="font41"/>
    <w:basedOn w:val="14"/>
    <w:qFormat/>
    <w:uiPriority w:val="0"/>
    <w:rPr>
      <w:rFonts w:hint="eastAsia" w:ascii="宋体" w:hAnsi="宋体" w:eastAsia="宋体" w:cs="宋体"/>
      <w:color w:val="000000"/>
      <w:sz w:val="28"/>
      <w:szCs w:val="28"/>
      <w:u w:val="none"/>
    </w:rPr>
  </w:style>
  <w:style w:type="character" w:customStyle="1" w:styleId="20">
    <w:name w:val="font31"/>
    <w:basedOn w:val="14"/>
    <w:qFormat/>
    <w:uiPriority w:val="0"/>
    <w:rPr>
      <w:rFonts w:ascii="仿宋_GB2312" w:eastAsia="仿宋_GB2312" w:cs="仿宋_GB2312"/>
      <w:color w:val="000000"/>
      <w:sz w:val="21"/>
      <w:szCs w:val="21"/>
      <w:u w:val="single"/>
    </w:rPr>
  </w:style>
  <w:style w:type="character" w:customStyle="1" w:styleId="21">
    <w:name w:val="font21"/>
    <w:basedOn w:val="14"/>
    <w:qFormat/>
    <w:uiPriority w:val="0"/>
    <w:rPr>
      <w:rFonts w:hint="default" w:ascii="仿宋_GB2312" w:eastAsia="仿宋_GB2312" w:cs="仿宋_GB2312"/>
      <w:color w:val="000000"/>
      <w:sz w:val="28"/>
      <w:szCs w:val="28"/>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王旌行</cp:lastModifiedBy>
  <dcterms:modified xsi:type="dcterms:W3CDTF">2021-08-06T03:42:08Z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A4C934B00B0F430BAEBD02A70913CFFD</vt:lpwstr>
  </property>
</Properties>
</file>