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b/>
          <w:sz w:val="21"/>
          <w:szCs w:val="21"/>
          <w:lang w:val="en-US" w:eastAsia="zh-CN"/>
        </w:rPr>
      </w:pPr>
      <w:r>
        <w:rPr>
          <w:rFonts w:hint="eastAsia" w:ascii="宋体" w:hAnsi="宋体"/>
          <w:b/>
          <w:sz w:val="21"/>
          <w:szCs w:val="21"/>
          <w:lang w:val="en-US" w:eastAsia="zh-CN"/>
        </w:rPr>
        <w:t xml:space="preserve">                                                                                          </w:t>
      </w:r>
    </w:p>
    <w:p>
      <w:pPr>
        <w:widowControl w:val="0"/>
        <w:spacing w:line="480" w:lineRule="auto"/>
        <w:jc w:val="center"/>
        <w:rPr>
          <w:rFonts w:ascii="Arial" w:hAnsi="Arial" w:cs="Arial"/>
          <w:b/>
          <w:bCs/>
          <w:kern w:val="2"/>
          <w:sz w:val="30"/>
          <w:szCs w:val="30"/>
        </w:rPr>
      </w:pP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2021年中航信托•天启【2020】565号宜宾站前广场项目</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股权投资集合资金信托计划</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（中航信托•天启【2020】565号宜宾站前广场项目）</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监管月报</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第</w:t>
      </w:r>
      <w:r>
        <w:rPr>
          <w:rFonts w:hint="eastAsia" w:ascii="Arial" w:hAnsi="Arial" w:cs="Arial"/>
          <w:b/>
          <w:bCs/>
          <w:kern w:val="2"/>
          <w:sz w:val="30"/>
          <w:szCs w:val="30"/>
          <w:lang w:val="en-US" w:eastAsia="zh-CN"/>
        </w:rPr>
        <w:t>4</w:t>
      </w:r>
      <w:r>
        <w:rPr>
          <w:rFonts w:hint="eastAsia" w:ascii="Arial" w:hAnsi="Arial" w:cs="Arial"/>
          <w:b/>
          <w:bCs/>
          <w:kern w:val="2"/>
          <w:sz w:val="30"/>
          <w:szCs w:val="30"/>
        </w:rPr>
        <w:t>期</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 xml:space="preserve">（ 2021年 </w:t>
      </w:r>
      <w:r>
        <w:rPr>
          <w:rFonts w:hint="eastAsia" w:ascii="Arial" w:hAnsi="Arial" w:cs="Arial"/>
          <w:b/>
          <w:bCs/>
          <w:kern w:val="2"/>
          <w:sz w:val="30"/>
          <w:szCs w:val="30"/>
          <w:lang w:val="en-US" w:eastAsia="zh-CN"/>
        </w:rPr>
        <w:t>5</w:t>
      </w:r>
      <w:r>
        <w:rPr>
          <w:rFonts w:hint="eastAsia" w:ascii="Arial" w:hAnsi="Arial" w:cs="Arial"/>
          <w:b/>
          <w:bCs/>
          <w:kern w:val="2"/>
          <w:sz w:val="30"/>
          <w:szCs w:val="30"/>
        </w:rPr>
        <w:t>月）</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编号：AVICTC2020X1312</w:t>
      </w: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编制单位：北京康信君安资产管理有限公司</w:t>
      </w: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监管人员：陈文丽</w:t>
      </w: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编制时间：2021年</w:t>
      </w:r>
      <w:r>
        <w:rPr>
          <w:rFonts w:hint="eastAsia" w:ascii="Arial" w:hAnsi="Arial" w:cs="Arial"/>
          <w:b/>
          <w:bCs/>
          <w:color w:val="000000"/>
          <w:kern w:val="2"/>
          <w:sz w:val="21"/>
          <w:szCs w:val="21"/>
          <w:lang w:val="en-US" w:eastAsia="zh-CN"/>
        </w:rPr>
        <w:t>6</w:t>
      </w:r>
      <w:r>
        <w:rPr>
          <w:rFonts w:hint="eastAsia" w:ascii="Arial" w:hAnsi="Arial" w:cs="Arial"/>
          <w:b/>
          <w:bCs/>
          <w:color w:val="000000"/>
          <w:kern w:val="2"/>
          <w:sz w:val="21"/>
          <w:szCs w:val="21"/>
        </w:rPr>
        <w:t>月</w:t>
      </w:r>
      <w:r>
        <w:rPr>
          <w:rFonts w:hint="eastAsia" w:ascii="Arial" w:hAnsi="Arial" w:cs="Arial"/>
          <w:b/>
          <w:bCs/>
          <w:color w:val="000000"/>
          <w:kern w:val="2"/>
          <w:sz w:val="21"/>
          <w:szCs w:val="21"/>
          <w:lang w:val="en-US" w:eastAsia="zh-CN"/>
        </w:rPr>
        <w:t>7</w:t>
      </w:r>
      <w:r>
        <w:rPr>
          <w:rFonts w:hint="eastAsia" w:ascii="Arial" w:hAnsi="Arial" w:cs="Arial"/>
          <w:b/>
          <w:bCs/>
          <w:color w:val="000000"/>
          <w:kern w:val="2"/>
          <w:sz w:val="21"/>
          <w:szCs w:val="21"/>
        </w:rPr>
        <w:t>日</w:t>
      </w: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widowControl w:val="0"/>
        <w:spacing w:line="360" w:lineRule="auto"/>
        <w:jc w:val="center"/>
        <w:rPr>
          <w:rFonts w:ascii="宋体" w:hAnsi="宋体"/>
          <w:b/>
          <w:bCs/>
          <w:sz w:val="28"/>
        </w:rPr>
        <w:sectPr>
          <w:pgSz w:w="11906" w:h="16838"/>
          <w:pgMar w:top="1134" w:right="1134" w:bottom="1134" w:left="1134" w:header="851" w:footer="992" w:gutter="0"/>
          <w:pgBorders>
            <w:top w:val="none" w:sz="0" w:space="0"/>
            <w:left w:val="none" w:sz="0" w:space="0"/>
            <w:bottom w:val="none" w:sz="0" w:space="0"/>
            <w:right w:val="none" w:sz="0" w:space="0"/>
          </w:pgBorders>
          <w:pgNumType w:start="1"/>
          <w:cols w:space="425" w:num="1"/>
          <w:docGrid w:type="linesAndChars" w:linePitch="326" w:charSpace="0"/>
        </w:sectPr>
      </w:pPr>
      <w:bookmarkStart w:id="0" w:name="_Toc133693353"/>
    </w:p>
    <w:sdt>
      <w:sdtPr>
        <w:rPr>
          <w:rFonts w:ascii="宋体" w:hAnsi="宋体"/>
          <w:b/>
          <w:bCs/>
          <w:sz w:val="28"/>
        </w:rPr>
        <w:id w:val="147481098"/>
        <w15:color w:val="DBDBDB"/>
        <w:docPartObj>
          <w:docPartGallery w:val="Table of Contents"/>
          <w:docPartUnique/>
        </w:docPartObj>
      </w:sdtPr>
      <w:sdtEndPr>
        <w:rPr>
          <w:rFonts w:ascii="Arial" w:hAnsi="Arial" w:cs="Arial"/>
          <w:b w:val="0"/>
          <w:bCs w:val="0"/>
          <w:sz w:val="21"/>
          <w:szCs w:val="21"/>
        </w:rPr>
      </w:sdtEndPr>
      <w:sdtContent>
        <w:p>
          <w:pPr>
            <w:widowControl w:val="0"/>
            <w:spacing w:line="360" w:lineRule="auto"/>
            <w:jc w:val="center"/>
            <w:rPr>
              <w:b/>
              <w:bCs/>
              <w:sz w:val="28"/>
            </w:rPr>
          </w:pPr>
          <w:r>
            <w:rPr>
              <w:rFonts w:hint="eastAsia" w:ascii="Arial" w:hAnsi="Arial" w:cs="Arial"/>
              <w:b/>
              <w:bCs/>
              <w:sz w:val="28"/>
              <w:szCs w:val="22"/>
            </w:rPr>
            <w:t>目录</w:t>
          </w:r>
        </w:p>
        <w:p>
          <w:pPr>
            <w:pStyle w:val="13"/>
            <w:tabs>
              <w:tab w:val="right" w:leader="dot" w:pos="9638"/>
            </w:tabs>
            <w:spacing w:after="0" w:line="36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TOC \o "1-1" \h \u </w:instrText>
          </w:r>
          <w:r>
            <w:rPr>
              <w:rFonts w:ascii="Arial" w:hAnsi="Arial" w:cs="Arial"/>
              <w:sz w:val="21"/>
              <w:szCs w:val="21"/>
            </w:rPr>
            <w:fldChar w:fldCharType="separate"/>
          </w:r>
          <w:r>
            <w:fldChar w:fldCharType="begin"/>
          </w:r>
          <w:r>
            <w:instrText xml:space="preserve"> HYPERLINK \l "_Toc30775" </w:instrText>
          </w:r>
          <w:r>
            <w:fldChar w:fldCharType="separate"/>
          </w:r>
          <w:r>
            <w:rPr>
              <w:rFonts w:hint="eastAsia" w:ascii="Arial" w:hAnsi="Arial" w:cs="Arial"/>
              <w:sz w:val="21"/>
              <w:szCs w:val="21"/>
            </w:rPr>
            <w:t>一、项目基本情况介绍</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_Toc30775 \h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"_Toc2240" </w:instrText>
          </w:r>
          <w:r>
            <w:fldChar w:fldCharType="separate"/>
          </w:r>
          <w:r>
            <w:rPr>
              <w:rFonts w:hint="eastAsia" w:ascii="Arial" w:hAnsi="Arial" w:cs="Arial"/>
              <w:sz w:val="21"/>
              <w:szCs w:val="21"/>
            </w:rPr>
            <w:t>二、信托资金使用情况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_Toc2240 \h </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"_Toc26476" </w:instrText>
          </w:r>
          <w:r>
            <w:fldChar w:fldCharType="separate"/>
          </w:r>
          <w:r>
            <w:rPr>
              <w:rFonts w:hint="eastAsia" w:ascii="Arial" w:hAnsi="Arial" w:cs="Arial"/>
              <w:sz w:val="21"/>
              <w:szCs w:val="21"/>
            </w:rPr>
            <w:t>三、项目证件办理情况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_Toc26476 \h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"_Toc27011" </w:instrText>
          </w:r>
          <w:r>
            <w:fldChar w:fldCharType="separate"/>
          </w:r>
          <w:r>
            <w:rPr>
              <w:rFonts w:hint="eastAsia" w:ascii="Arial" w:hAnsi="Arial" w:cs="Arial"/>
              <w:sz w:val="21"/>
              <w:szCs w:val="21"/>
            </w:rPr>
            <w:t>四、项目开发建设情况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_Toc27011 \h </w:instrText>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"_Toc23579" </w:instrText>
          </w:r>
          <w:r>
            <w:fldChar w:fldCharType="separate"/>
          </w:r>
          <w:r>
            <w:rPr>
              <w:rFonts w:hint="eastAsia" w:ascii="Arial" w:hAnsi="Arial" w:cs="Arial"/>
              <w:sz w:val="21"/>
              <w:szCs w:val="21"/>
            </w:rPr>
            <w:t>五、项目合同及成本执行情况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_Toc23579 \h </w:instrText>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"_Toc24614" </w:instrText>
          </w:r>
          <w:r>
            <w:fldChar w:fldCharType="separate"/>
          </w:r>
          <w:r>
            <w:rPr>
              <w:rFonts w:hint="eastAsia" w:ascii="Arial" w:hAnsi="Arial" w:cs="Arial"/>
              <w:sz w:val="21"/>
              <w:szCs w:val="21"/>
            </w:rPr>
            <w:t>六、项目销售情况统计</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_Toc24614 \h </w:instrText>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"_Toc11579" </w:instrText>
          </w:r>
          <w:r>
            <w:fldChar w:fldCharType="separate"/>
          </w:r>
          <w:r>
            <w:rPr>
              <w:rFonts w:hint="eastAsia" w:ascii="Arial" w:hAnsi="Arial" w:cs="Arial"/>
              <w:sz w:val="21"/>
              <w:szCs w:val="21"/>
            </w:rPr>
            <w:t>七、项目银行账户情况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_Toc11579 \h </w:instrText>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"_Toc13388" </w:instrText>
          </w:r>
          <w:r>
            <w:fldChar w:fldCharType="separate"/>
          </w:r>
          <w:r>
            <w:rPr>
              <w:rFonts w:hint="eastAsia" w:ascii="Arial" w:hAnsi="Arial" w:cs="Arial"/>
              <w:sz w:val="21"/>
              <w:szCs w:val="21"/>
            </w:rPr>
            <w:t>八、资金收支情况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_Toc13388 \h </w:instrText>
          </w:r>
          <w:r>
            <w:rPr>
              <w:rFonts w:ascii="Arial" w:hAnsi="Arial" w:cs="Arial"/>
              <w:sz w:val="21"/>
              <w:szCs w:val="21"/>
            </w:rPr>
            <w:fldChar w:fldCharType="separate"/>
          </w:r>
          <w:r>
            <w:rPr>
              <w:rFonts w:ascii="Arial" w:hAnsi="Arial" w:cs="Arial"/>
              <w:sz w:val="21"/>
              <w:szCs w:val="21"/>
            </w:rPr>
            <w:t>9</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"_Toc9822" </w:instrText>
          </w:r>
          <w:r>
            <w:fldChar w:fldCharType="separate"/>
          </w:r>
          <w:r>
            <w:rPr>
              <w:rFonts w:hint="eastAsia" w:ascii="Arial" w:hAnsi="Arial" w:cs="Arial"/>
              <w:sz w:val="21"/>
              <w:szCs w:val="21"/>
            </w:rPr>
            <w:t>九、融资情况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_Toc9822 \h </w:instrText>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"_Toc972" </w:instrText>
          </w:r>
          <w:r>
            <w:fldChar w:fldCharType="separate"/>
          </w:r>
          <w:r>
            <w:rPr>
              <w:rFonts w:hint="eastAsia" w:ascii="Arial" w:hAnsi="Arial" w:cs="Arial"/>
              <w:sz w:val="21"/>
              <w:szCs w:val="21"/>
            </w:rPr>
            <w:t>十、项目周边竞品情况分析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_Toc972 \h </w:instrText>
          </w:r>
          <w:r>
            <w:rPr>
              <w:rFonts w:ascii="Arial" w:hAnsi="Arial" w:cs="Arial"/>
              <w:sz w:val="21"/>
              <w:szCs w:val="21"/>
            </w:rPr>
            <w:fldChar w:fldCharType="separate"/>
          </w:r>
          <w:r>
            <w:rPr>
              <w:rFonts w:ascii="Arial" w:hAnsi="Arial" w:cs="Arial"/>
              <w:sz w:val="21"/>
              <w:szCs w:val="21"/>
            </w:rPr>
            <w:t>21</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"_Toc13379" </w:instrText>
          </w:r>
          <w:r>
            <w:fldChar w:fldCharType="separate"/>
          </w:r>
          <w:r>
            <w:rPr>
              <w:rFonts w:hint="eastAsia" w:ascii="Arial" w:hAnsi="Arial" w:cs="Arial"/>
              <w:sz w:val="21"/>
              <w:szCs w:val="21"/>
            </w:rPr>
            <w:t>十一、区域市场情况分析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_Toc13379 \h </w:instrText>
          </w:r>
          <w:r>
            <w:rPr>
              <w:rFonts w:ascii="Arial" w:hAnsi="Arial" w:cs="Arial"/>
              <w:sz w:val="21"/>
              <w:szCs w:val="21"/>
            </w:rPr>
            <w:fldChar w:fldCharType="separate"/>
          </w:r>
          <w:r>
            <w:rPr>
              <w:rFonts w:ascii="Arial" w:hAnsi="Arial" w:cs="Arial"/>
              <w:sz w:val="21"/>
              <w:szCs w:val="21"/>
            </w:rPr>
            <w:t>22</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"_Toc23949" </w:instrText>
          </w:r>
          <w:r>
            <w:fldChar w:fldCharType="separate"/>
          </w:r>
          <w:r>
            <w:rPr>
              <w:rFonts w:hint="eastAsia" w:ascii="Arial" w:hAnsi="Arial" w:cs="Arial"/>
              <w:sz w:val="21"/>
              <w:szCs w:val="21"/>
            </w:rPr>
            <w:t>十二、项目公司资金计划执行情况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_Toc23949 \h </w:instrText>
          </w:r>
          <w:r>
            <w:rPr>
              <w:rFonts w:ascii="Arial" w:hAnsi="Arial" w:cs="Arial"/>
              <w:sz w:val="21"/>
              <w:szCs w:val="21"/>
            </w:rPr>
            <w:fldChar w:fldCharType="separate"/>
          </w:r>
          <w:r>
            <w:rPr>
              <w:rFonts w:ascii="Arial" w:hAnsi="Arial" w:cs="Arial"/>
              <w:sz w:val="21"/>
              <w:szCs w:val="21"/>
            </w:rPr>
            <w:t>24</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"_Toc13011" </w:instrText>
          </w:r>
          <w:r>
            <w:fldChar w:fldCharType="separate"/>
          </w:r>
          <w:r>
            <w:rPr>
              <w:rFonts w:hint="eastAsia" w:ascii="Arial" w:hAnsi="Arial" w:cs="Arial"/>
              <w:sz w:val="21"/>
              <w:szCs w:val="21"/>
            </w:rPr>
            <w:t>十三、项目公司用印情况（明细台账作为附件）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_Toc13011 \h </w:instrText>
          </w:r>
          <w:r>
            <w:rPr>
              <w:rFonts w:ascii="Arial" w:hAnsi="Arial" w:cs="Arial"/>
              <w:sz w:val="21"/>
              <w:szCs w:val="21"/>
            </w:rPr>
            <w:fldChar w:fldCharType="separate"/>
          </w:r>
          <w:r>
            <w:rPr>
              <w:rFonts w:ascii="Arial" w:hAnsi="Arial" w:cs="Arial"/>
              <w:sz w:val="21"/>
              <w:szCs w:val="21"/>
            </w:rPr>
            <w:t>24</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"_Toc31746" </w:instrText>
          </w:r>
          <w:r>
            <w:fldChar w:fldCharType="separate"/>
          </w:r>
          <w:r>
            <w:rPr>
              <w:rFonts w:hint="eastAsia" w:ascii="Arial" w:hAnsi="Arial" w:cs="Arial"/>
              <w:sz w:val="21"/>
              <w:szCs w:val="21"/>
            </w:rPr>
            <w:t>十四、项目公司印章证照外出使用情况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_Toc31746 \h </w:instrText>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"_Toc20509" </w:instrText>
          </w:r>
          <w:r>
            <w:fldChar w:fldCharType="separate"/>
          </w:r>
          <w:r>
            <w:rPr>
              <w:rFonts w:hint="eastAsia" w:ascii="Arial" w:hAnsi="Arial" w:cs="Arial"/>
              <w:sz w:val="21"/>
              <w:szCs w:val="21"/>
            </w:rPr>
            <w:t>十五、项目公司签约情况（明细台账作为附件）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_Toc20509 \h </w:instrText>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"_Toc25799" </w:instrText>
          </w:r>
          <w:r>
            <w:fldChar w:fldCharType="separate"/>
          </w:r>
          <w:r>
            <w:rPr>
              <w:rFonts w:hint="eastAsia" w:ascii="Arial" w:hAnsi="Arial" w:cs="Arial"/>
              <w:sz w:val="21"/>
              <w:szCs w:val="21"/>
            </w:rPr>
            <w:t>十六、项目整体运行情况分析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_Toc25799 \h </w:instrText>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"_Toc21512" </w:instrText>
          </w:r>
          <w:r>
            <w:fldChar w:fldCharType="separate"/>
          </w:r>
          <w:r>
            <w:rPr>
              <w:rFonts w:hint="eastAsia" w:ascii="Arial" w:hAnsi="Arial" w:cs="Arial"/>
              <w:sz w:val="21"/>
              <w:szCs w:val="21"/>
            </w:rPr>
            <w:t>十七、附件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_Toc21512 \h </w:instrText>
          </w:r>
          <w:r>
            <w:rPr>
              <w:rFonts w:ascii="Arial" w:hAnsi="Arial" w:cs="Arial"/>
              <w:sz w:val="21"/>
              <w:szCs w:val="21"/>
            </w:rPr>
            <w:fldChar w:fldCharType="separate"/>
          </w:r>
          <w:r>
            <w:rPr>
              <w:rFonts w:ascii="Arial" w:hAnsi="Arial" w:cs="Arial"/>
              <w:sz w:val="21"/>
              <w:szCs w:val="21"/>
            </w:rPr>
            <w:t>27</w:t>
          </w:r>
          <w:r>
            <w:rPr>
              <w:rFonts w:ascii="Arial" w:hAnsi="Arial" w:cs="Arial"/>
              <w:sz w:val="21"/>
              <w:szCs w:val="21"/>
            </w:rPr>
            <w:fldChar w:fldCharType="end"/>
          </w:r>
          <w:r>
            <w:rPr>
              <w:rFonts w:ascii="Arial" w:hAnsi="Arial" w:cs="Arial"/>
              <w:sz w:val="21"/>
              <w:szCs w:val="21"/>
            </w:rPr>
            <w:fldChar w:fldCharType="end"/>
          </w:r>
        </w:p>
        <w:p>
          <w:pPr>
            <w:rPr>
              <w:rFonts w:ascii="Arial" w:hAnsi="Arial" w:cs="Arial"/>
              <w:sz w:val="21"/>
              <w:szCs w:val="21"/>
            </w:rPr>
          </w:pPr>
          <w:r>
            <w:rPr>
              <w:rFonts w:ascii="Arial" w:hAnsi="Arial" w:cs="Arial"/>
              <w:sz w:val="21"/>
              <w:szCs w:val="21"/>
            </w:rPr>
            <w:fldChar w:fldCharType="end"/>
          </w:r>
        </w:p>
      </w:sdtContent>
    </w:sdt>
    <w:p>
      <w:pPr>
        <w:spacing w:line="480" w:lineRule="auto"/>
        <w:rPr>
          <w:rFonts w:hint="eastAsia" w:ascii="宋体" w:hAnsi="宋体" w:cs="宋体"/>
          <w:b/>
          <w:bCs/>
          <w:szCs w:val="21"/>
        </w:rPr>
        <w:sectPr>
          <w:footerReference r:id="rId3" w:type="default"/>
          <w:pgSz w:w="11906" w:h="16838"/>
          <w:pgMar w:top="1134" w:right="1134" w:bottom="1134" w:left="1134" w:header="851" w:footer="992" w:gutter="0"/>
          <w:pgBorders>
            <w:top w:val="none" w:sz="0" w:space="0"/>
            <w:left w:val="none" w:sz="0" w:space="0"/>
            <w:bottom w:val="none" w:sz="0" w:space="0"/>
            <w:right w:val="none" w:sz="0" w:space="0"/>
          </w:pgBorders>
          <w:pgNumType w:start="1"/>
          <w:cols w:space="425" w:num="1"/>
          <w:docGrid w:type="linesAndChars" w:linePitch="326" w:charSpace="0"/>
        </w:sectPr>
      </w:pPr>
    </w:p>
    <w:p>
      <w:pPr>
        <w:spacing w:line="480" w:lineRule="auto"/>
        <w:rPr>
          <w:rFonts w:ascii="宋体" w:hAnsi="宋体" w:cs="宋体"/>
          <w:b/>
          <w:bCs/>
          <w:szCs w:val="21"/>
        </w:rPr>
      </w:pPr>
      <w:r>
        <w:rPr>
          <w:rFonts w:hint="eastAsia" w:ascii="宋体" w:hAnsi="宋体" w:cs="宋体"/>
          <w:b/>
          <w:bCs/>
          <w:szCs w:val="21"/>
        </w:rPr>
        <w:t>中航信托股份有限公司：</w:t>
      </w:r>
      <w:bookmarkEnd w:id="0"/>
      <w:r>
        <w:rPr>
          <w:rFonts w:ascii="宋体" w:hAnsi="宋体" w:cs="宋体"/>
          <w:b/>
          <w:bCs/>
          <w:szCs w:val="21"/>
        </w:rPr>
        <w:t xml:space="preserve"> </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 xml:space="preserve">受贵司委托，北京康信君安资产管理有限公司对宜宾骏继洪骥置业有限责任公司开发建设位于四川省    宜宾市宜宾站前广场项目提供投后管理监管服务。根据贵司与我司签署的编号为 【AVICTC2020X1312-3】《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为方便阅读之目的，本报告中将部分名称简写为：</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•项目公司：宜宾骏继洪骥置业有限责任公司</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•SPV公司：成都信茂涵置业有限公司</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（以上公司均已纳入监管范围）</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•中航信托：中航信托股份有限公司</w:t>
      </w:r>
    </w:p>
    <w:p>
      <w:pPr>
        <w:widowControl w:val="0"/>
        <w:spacing w:line="480" w:lineRule="auto"/>
        <w:ind w:firstLine="420" w:firstLineChars="200"/>
        <w:jc w:val="both"/>
        <w:rPr>
          <w:rFonts w:ascii="Arial" w:hAnsi="Arial" w:cs="Arial"/>
          <w:kern w:val="44"/>
          <w:sz w:val="21"/>
          <w:szCs w:val="21"/>
          <w:lang w:val="zh-CN"/>
        </w:rPr>
      </w:pPr>
      <w:r>
        <w:rPr>
          <w:rFonts w:hint="eastAsia" w:ascii="Arial" w:hAnsi="Arial" w:cs="Arial"/>
          <w:kern w:val="44"/>
          <w:sz w:val="21"/>
          <w:szCs w:val="21"/>
        </w:rPr>
        <w:t>•康信君安：北京康信君安资产管理有限公司</w:t>
      </w:r>
      <w:r>
        <w:rPr>
          <w:rFonts w:hint="eastAsia" w:ascii="Arial" w:hAnsi="Arial" w:cs="Arial"/>
          <w:kern w:val="44"/>
          <w:sz w:val="21"/>
          <w:szCs w:val="21"/>
          <w:lang w:val="zh-CN"/>
        </w:rPr>
        <w:tab/>
      </w:r>
    </w:p>
    <w:p>
      <w:pPr>
        <w:jc w:val="center"/>
        <w:rPr>
          <w:rFonts w:ascii="宋体" w:hAnsi="宋体" w:cs="宋体"/>
          <w:b/>
          <w:bCs/>
          <w:sz w:val="21"/>
          <w:szCs w:val="21"/>
        </w:rPr>
      </w:pPr>
    </w:p>
    <w:p>
      <w:pPr>
        <w:jc w:val="center"/>
        <w:rPr>
          <w:rFonts w:hint="eastAsia" w:ascii="宋体" w:hAnsi="宋体" w:cs="宋体"/>
          <w:b/>
          <w:bCs/>
          <w:sz w:val="21"/>
          <w:szCs w:val="21"/>
        </w:rPr>
        <w:sectPr>
          <w:footerReference r:id="rId4" w:type="default"/>
          <w:pgSz w:w="11906" w:h="16838"/>
          <w:pgMar w:top="1134" w:right="1134" w:bottom="1134" w:left="1134" w:header="851" w:footer="992" w:gutter="0"/>
          <w:pgBorders>
            <w:top w:val="none" w:sz="0" w:space="0"/>
            <w:left w:val="none" w:sz="0" w:space="0"/>
            <w:bottom w:val="none" w:sz="0" w:space="0"/>
            <w:right w:val="none" w:sz="0" w:space="0"/>
          </w:pgBorders>
          <w:pgNumType w:start="1"/>
          <w:cols w:space="425" w:num="1"/>
          <w:docGrid w:type="linesAndChars" w:linePitch="326" w:charSpace="0"/>
        </w:sectPr>
      </w:pPr>
    </w:p>
    <w:p>
      <w:pPr>
        <w:jc w:val="cente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widowControl w:val="0"/>
        <w:spacing w:line="480" w:lineRule="auto"/>
        <w:ind w:firstLine="420" w:firstLineChars="200"/>
        <w:jc w:val="both"/>
        <w:rPr>
          <w:rFonts w:ascii="Arial" w:hAnsi="Arial" w:cs="Arial"/>
          <w:kern w:val="44"/>
          <w:sz w:val="21"/>
          <w:szCs w:val="21"/>
        </w:rPr>
      </w:pPr>
      <w:bookmarkStart w:id="1" w:name="_Toc29548"/>
      <w:r>
        <w:rPr>
          <w:rFonts w:hint="eastAsia" w:ascii="Arial" w:hAnsi="Arial" w:cs="Arial"/>
          <w:kern w:val="44"/>
          <w:sz w:val="21"/>
          <w:szCs w:val="21"/>
        </w:rPr>
        <w:t>（1）项目简况：</w:t>
      </w:r>
      <w:bookmarkEnd w:id="1"/>
    </w:p>
    <w:tbl>
      <w:tblPr>
        <w:tblStyle w:val="18"/>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中航信托•天启【2020】565号宜宾站前广场项目</w:t>
            </w:r>
          </w:p>
          <w:p>
            <w:pPr>
              <w:jc w:val="center"/>
              <w:rPr>
                <w:rFonts w:ascii="Arial" w:hAnsi="Arial" w:cs="Arial"/>
                <w:color w:val="000000"/>
                <w:sz w:val="18"/>
                <w:szCs w:val="18"/>
              </w:rPr>
            </w:pPr>
            <w:r>
              <w:rPr>
                <w:rFonts w:hint="eastAsia" w:ascii="Arial" w:hAnsi="Arial" w:cs="Arial"/>
                <w:color w:val="000000"/>
                <w:sz w:val="18"/>
                <w:szCs w:val="18"/>
                <w:lang w:bidi="ar"/>
              </w:rPr>
              <w:t>股权投资集合资金信托计划</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西南业务部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kern w:val="0"/>
                <w:sz w:val="18"/>
                <w:szCs w:val="18"/>
                <w:lang w:bidi="ar"/>
              </w:rPr>
              <w:t>2021年4月2日</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项目总规模（万）</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28000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截至报告日已投放规模（万）</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kern w:val="0"/>
                <w:sz w:val="18"/>
                <w:szCs w:val="18"/>
                <w:lang w:bidi="ar"/>
              </w:rPr>
              <w:t>28000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世茂集团控股有限公司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hint="eastAsia" w:ascii="Arial" w:hAnsi="Arial" w:cs="Arial"/>
                <w:color w:val="000000"/>
                <w:sz w:val="18"/>
                <w:szCs w:val="18"/>
                <w:lang w:bidi="ar"/>
              </w:rPr>
              <w:t>（1）2.8亿元全部用于认缴深圳航宜投资合伙企业（有限合伙）的有限合伙LP份额。</w:t>
            </w:r>
          </w:p>
          <w:p>
            <w:pPr>
              <w:rPr>
                <w:rFonts w:ascii="Arial" w:hAnsi="Arial" w:cs="Arial"/>
                <w:color w:val="000000"/>
                <w:sz w:val="18"/>
                <w:szCs w:val="18"/>
                <w:lang w:bidi="ar"/>
              </w:rPr>
            </w:pPr>
            <w:r>
              <w:rPr>
                <w:rFonts w:hint="eastAsia" w:ascii="Arial" w:hAnsi="Arial" w:cs="Arial"/>
                <w:color w:val="000000"/>
                <w:sz w:val="18"/>
                <w:szCs w:val="18"/>
                <w:lang w:bidi="ar"/>
              </w:rPr>
              <w:t>（2）合伙企业收到资金后，以1.5亿元注册资本+1.3亿元资本公积形式向成都信茂涵增资，此时合伙企业持有成都信茂涵49%股权。</w:t>
            </w:r>
          </w:p>
          <w:p>
            <w:pPr>
              <w:rPr>
                <w:rFonts w:ascii="Arial" w:hAnsi="Arial" w:cs="Arial"/>
                <w:color w:val="000000"/>
                <w:sz w:val="18"/>
                <w:szCs w:val="18"/>
              </w:rPr>
            </w:pPr>
            <w:r>
              <w:rPr>
                <w:rFonts w:hint="eastAsia" w:ascii="Arial" w:hAnsi="Arial" w:cs="Arial"/>
                <w:color w:val="000000"/>
                <w:sz w:val="18"/>
                <w:szCs w:val="18"/>
                <w:lang w:bidi="ar"/>
              </w:rPr>
              <w:t>（3）成都信茂涵收到增资款后，全部以资本公积形式投入项目公司，资金最终用于标的项目建设或归还世茂方的前期投入。</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宜宾站前广场项目</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lang w:bidi="ar"/>
              </w:rPr>
              <w:t>宜宾市翠屏区天柏组团ZB07-01地块、ZB07-04地块、ZB07-05地块、ZB07-06-02地块、ZB07-06-03地块、ZB07-08地块</w:t>
            </w:r>
          </w:p>
        </w:tc>
      </w:tr>
      <w:tr>
        <w:tblPrEx>
          <w:tblCellMar>
            <w:top w:w="0" w:type="dxa"/>
            <w:left w:w="0" w:type="dxa"/>
            <w:bottom w:w="0" w:type="dxa"/>
            <w:right w:w="0" w:type="dxa"/>
          </w:tblCellMar>
        </w:tblPrEx>
        <w:trPr>
          <w:trHeight w:val="449"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360" w:lineRule="auto"/>
              <w:ind w:firstLine="360" w:firstLineChars="200"/>
              <w:rPr>
                <w:rFonts w:ascii="Arial" w:hAnsi="Arial" w:cs="Arial"/>
                <w:color w:val="000000"/>
                <w:sz w:val="18"/>
                <w:szCs w:val="18"/>
              </w:rPr>
            </w:pPr>
            <w:r>
              <w:rPr>
                <w:rFonts w:hint="eastAsia" w:ascii="Arial" w:hAnsi="Arial" w:cs="Arial"/>
                <w:color w:val="000000"/>
                <w:sz w:val="18"/>
                <w:szCs w:val="18"/>
                <w:lang w:bidi="ar"/>
              </w:rPr>
              <w:t>高层204,770㎡、LOFT 22,804㎡、商业15,200㎡、公共配套6,894㎡</w:t>
            </w:r>
          </w:p>
        </w:tc>
      </w:tr>
    </w:tbl>
    <w:p>
      <w:pPr>
        <w:spacing w:line="360" w:lineRule="auto"/>
        <w:jc w:val="both"/>
        <w:rPr>
          <w:rFonts w:ascii="Arial" w:hAnsi="Arial" w:cs="Arial"/>
          <w:sz w:val="21"/>
          <w:szCs w:val="21"/>
        </w:rPr>
      </w:pPr>
    </w:p>
    <w:p>
      <w:pPr>
        <w:widowControl w:val="0"/>
        <w:spacing w:line="480" w:lineRule="auto"/>
        <w:ind w:firstLine="420" w:firstLineChars="200"/>
        <w:jc w:val="both"/>
        <w:rPr>
          <w:rFonts w:ascii="Arial" w:hAnsi="Arial" w:cs="Arial"/>
          <w:kern w:val="44"/>
          <w:sz w:val="21"/>
          <w:szCs w:val="21"/>
        </w:rPr>
      </w:pPr>
      <w:bookmarkStart w:id="2" w:name="_Toc3889"/>
      <w:r>
        <w:rPr>
          <w:rFonts w:hint="eastAsia" w:ascii="Arial" w:hAnsi="Arial" w:cs="Arial"/>
          <w:kern w:val="44"/>
          <w:sz w:val="21"/>
          <w:szCs w:val="21"/>
        </w:rPr>
        <w:t>（2）监管交接情况：</w:t>
      </w:r>
      <w:bookmarkEnd w:id="2"/>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被监管主体：成都信茂涵置业有限公司、宜宾骏继洪骥置业有限责任公司</w:t>
      </w:r>
    </w:p>
    <w:p>
      <w:pPr>
        <w:widowControl w:val="0"/>
        <w:spacing w:line="480" w:lineRule="auto"/>
        <w:ind w:firstLine="420" w:firstLineChars="200"/>
        <w:jc w:val="both"/>
        <w:rPr>
          <w:rFonts w:ascii="Arial" w:hAnsi="Arial" w:cs="Arial"/>
          <w:kern w:val="44"/>
          <w:szCs w:val="21"/>
        </w:rPr>
      </w:pPr>
      <w:r>
        <w:rPr>
          <w:rFonts w:hint="eastAsia" w:ascii="Arial" w:hAnsi="Arial" w:cs="Arial"/>
          <w:kern w:val="44"/>
          <w:sz w:val="21"/>
          <w:szCs w:val="21"/>
        </w:rPr>
        <w:t>驻场时间：2021年02月03日起   驻场人员：陈文丽  联系方式：15989266142</w:t>
      </w:r>
    </w:p>
    <w:tbl>
      <w:tblPr>
        <w:tblStyle w:val="18"/>
        <w:tblW w:w="9318" w:type="dxa"/>
        <w:tblInd w:w="0" w:type="dxa"/>
        <w:tblLayout w:type="fixed"/>
        <w:tblCellMar>
          <w:top w:w="0" w:type="dxa"/>
          <w:left w:w="0" w:type="dxa"/>
          <w:bottom w:w="0" w:type="dxa"/>
          <w:right w:w="0" w:type="dxa"/>
        </w:tblCellMar>
      </w:tblPr>
      <w:tblGrid>
        <w:gridCol w:w="1698"/>
        <w:gridCol w:w="1350"/>
        <w:gridCol w:w="4605"/>
        <w:gridCol w:w="1665"/>
      </w:tblGrid>
      <w:tr>
        <w:tblPrEx>
          <w:tblCellMar>
            <w:top w:w="0" w:type="dxa"/>
            <w:left w:w="0" w:type="dxa"/>
            <w:bottom w:w="0" w:type="dxa"/>
            <w:right w:w="0" w:type="dxa"/>
          </w:tblCellMar>
        </w:tblPrEx>
        <w:trPr>
          <w:trHeight w:val="662"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监管内容</w:t>
            </w:r>
          </w:p>
        </w:tc>
        <w:tc>
          <w:tcPr>
            <w:tcW w:w="7620"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股东会/董事会议案</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资金监管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印鉴监管 </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证照监管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账户监管</w:t>
            </w:r>
            <w:r>
              <w:rPr>
                <w:rFonts w:hint="eastAsia" w:ascii="Arial" w:hAnsi="Arial" w:cs="Arial"/>
                <w:color w:val="000000"/>
                <w:sz w:val="18"/>
                <w:szCs w:val="18"/>
                <w:lang w:bidi="ar"/>
              </w:rPr>
              <w:sym w:font="Wingdings 2" w:char="0052"/>
            </w:r>
          </w:p>
          <w:p>
            <w:pPr>
              <w:textAlignment w:val="center"/>
              <w:rPr>
                <w:rFonts w:ascii="Arial" w:hAnsi="Arial" w:cs="Arial"/>
                <w:color w:val="000000"/>
                <w:sz w:val="18"/>
                <w:szCs w:val="18"/>
              </w:rPr>
            </w:pPr>
            <w:r>
              <w:rPr>
                <w:rFonts w:hint="eastAsia" w:ascii="Arial" w:hAnsi="Arial" w:cs="Arial"/>
                <w:color w:val="000000"/>
                <w:sz w:val="18"/>
                <w:szCs w:val="18"/>
                <w:lang w:bidi="ar"/>
              </w:rPr>
              <w:t>合同监管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工程监管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成本监管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财务监管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销售进度监管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w:t>
            </w:r>
          </w:p>
        </w:tc>
      </w:tr>
      <w:tr>
        <w:tblPrEx>
          <w:tblCellMar>
            <w:top w:w="0" w:type="dxa"/>
            <w:left w:w="0" w:type="dxa"/>
            <w:bottom w:w="0" w:type="dxa"/>
            <w:right w:w="0" w:type="dxa"/>
          </w:tblCellMar>
        </w:tblPrEx>
        <w:trPr>
          <w:cantSplit/>
          <w:trHeight w:val="319"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59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待管物品/待</w:t>
            </w:r>
          </w:p>
          <w:p>
            <w:pPr>
              <w:jc w:val="center"/>
              <w:textAlignment w:val="center"/>
              <w:rPr>
                <w:rFonts w:ascii="Arial" w:hAnsi="Arial" w:cs="Arial"/>
                <w:color w:val="000000"/>
                <w:sz w:val="18"/>
                <w:szCs w:val="18"/>
              </w:rPr>
            </w:pPr>
            <w:r>
              <w:rPr>
                <w:rFonts w:ascii="Arial" w:hAnsi="Arial" w:cs="Arial"/>
                <w:color w:val="000000"/>
                <w:sz w:val="18"/>
                <w:szCs w:val="18"/>
                <w:lang w:bidi="ar"/>
              </w:rPr>
              <w:t>落实监管事项</w:t>
            </w:r>
          </w:p>
        </w:tc>
      </w:tr>
      <w:tr>
        <w:tblPrEx>
          <w:tblCellMar>
            <w:top w:w="0" w:type="dxa"/>
            <w:left w:w="0" w:type="dxa"/>
            <w:bottom w:w="0" w:type="dxa"/>
            <w:right w:w="0" w:type="dxa"/>
          </w:tblCellMar>
        </w:tblPrEx>
        <w:trPr>
          <w:trHeight w:val="363" w:hRule="atLeast"/>
        </w:trPr>
        <w:tc>
          <w:tcPr>
            <w:tcW w:w="169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SPV公司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公章</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财务章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法人章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项目公司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公章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财务章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法人章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发票章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合同专用章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SPV公司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营业执照</w:t>
            </w:r>
            <w:r>
              <w:rPr>
                <w:rFonts w:hint="eastAsia" w:ascii="Arial" w:hAnsi="Arial" w:cs="Arial"/>
                <w:color w:val="000000"/>
                <w:sz w:val="18"/>
                <w:szCs w:val="18"/>
                <w:lang w:bidi="ar"/>
              </w:rPr>
              <w:t>正副本</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基本存款账户信息</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项目公司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营业执照</w:t>
            </w:r>
            <w:r>
              <w:rPr>
                <w:rFonts w:hint="eastAsia" w:ascii="Arial" w:hAnsi="Arial" w:cs="Arial"/>
                <w:color w:val="000000"/>
                <w:sz w:val="18"/>
                <w:szCs w:val="18"/>
                <w:lang w:bidi="ar"/>
              </w:rPr>
              <w:t>正副本</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p>
      <w:pPr>
        <w:jc w:val="center"/>
        <w:rPr>
          <w:rFonts w:ascii="Arial" w:hAnsi="Arial" w:cs="Arial"/>
          <w:color w:val="000000"/>
          <w:sz w:val="18"/>
          <w:szCs w:val="18"/>
        </w:rPr>
        <w:sectPr>
          <w:footerReference r:id="rId5" w:type="default"/>
          <w:pgSz w:w="11906" w:h="16838"/>
          <w:pgMar w:top="1134" w:right="1134" w:bottom="1134" w:left="1134" w:header="851" w:footer="992" w:gutter="0"/>
          <w:pgBorders>
            <w:top w:val="none" w:sz="0" w:space="0"/>
            <w:left w:val="none" w:sz="0" w:space="0"/>
            <w:bottom w:val="none" w:sz="0" w:space="0"/>
            <w:right w:val="none" w:sz="0" w:space="0"/>
          </w:pgBorders>
          <w:pgNumType w:start="1"/>
          <w:cols w:space="425" w:num="1"/>
          <w:docGrid w:type="linesAndChars" w:linePitch="326" w:charSpace="0"/>
        </w:sectPr>
      </w:pPr>
    </w:p>
    <w:tbl>
      <w:tblPr>
        <w:tblStyle w:val="18"/>
        <w:tblW w:w="9318" w:type="dxa"/>
        <w:tblInd w:w="0" w:type="dxa"/>
        <w:tblLayout w:type="fixed"/>
        <w:tblCellMar>
          <w:top w:w="0" w:type="dxa"/>
          <w:left w:w="0" w:type="dxa"/>
          <w:bottom w:w="0" w:type="dxa"/>
          <w:right w:w="0" w:type="dxa"/>
        </w:tblCellMar>
      </w:tblPr>
      <w:tblGrid>
        <w:gridCol w:w="1698"/>
        <w:gridCol w:w="1350"/>
        <w:gridCol w:w="4605"/>
        <w:gridCol w:w="1665"/>
      </w:tblGrid>
      <w:tr>
        <w:tblPrEx>
          <w:tblCellMar>
            <w:top w:w="0" w:type="dxa"/>
            <w:left w:w="0" w:type="dxa"/>
            <w:bottom w:w="0" w:type="dxa"/>
            <w:right w:w="0" w:type="dxa"/>
          </w:tblCellMar>
        </w:tblPrEx>
        <w:trPr>
          <w:trHeight w:val="363" w:hRule="atLeast"/>
        </w:trPr>
        <w:tc>
          <w:tcPr>
            <w:tcW w:w="1698" w:type="dxa"/>
            <w:tcBorders>
              <w:left w:val="single" w:color="000000" w:sz="4" w:space="0"/>
              <w:right w:val="single" w:color="000000" w:sz="4" w:space="0"/>
            </w:tcBorders>
            <w:shd w:val="clear" w:color="auto" w:fill="auto"/>
            <w:noWrap/>
            <w:tcMar>
              <w:top w:w="10" w:type="dxa"/>
              <w:left w:w="10" w:type="dxa"/>
              <w:right w:w="10" w:type="dxa"/>
            </w:tcMar>
            <w:vAlign w:val="center"/>
          </w:tcPr>
          <w:p>
            <w:pPr>
              <w:pStyle w:val="2"/>
            </w:pPr>
          </w:p>
        </w:tc>
        <w:tc>
          <w:tcPr>
            <w:tcW w:w="1350" w:type="dxa"/>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基本存款账户信息</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tbl>
      <w:tblPr>
        <w:tblStyle w:val="18"/>
        <w:tblpPr w:leftFromText="180" w:rightFromText="180" w:vertAnchor="text" w:horzAnchor="page" w:tblpX="1137" w:tblpY="419"/>
        <w:tblOverlap w:val="never"/>
        <w:tblW w:w="9318" w:type="dxa"/>
        <w:tblInd w:w="0" w:type="dxa"/>
        <w:tblLayout w:type="fixed"/>
        <w:tblCellMar>
          <w:top w:w="0" w:type="dxa"/>
          <w:left w:w="0" w:type="dxa"/>
          <w:bottom w:w="0" w:type="dxa"/>
          <w:right w:w="0" w:type="dxa"/>
        </w:tblCellMar>
      </w:tblPr>
      <w:tblGrid>
        <w:gridCol w:w="1668"/>
        <w:gridCol w:w="1365"/>
        <w:gridCol w:w="4620"/>
        <w:gridCol w:w="1665"/>
      </w:tblGrid>
      <w:tr>
        <w:tblPrEx>
          <w:tblCellMar>
            <w:top w:w="0" w:type="dxa"/>
            <w:left w:w="0" w:type="dxa"/>
            <w:bottom w:w="0" w:type="dxa"/>
            <w:right w:w="0" w:type="dxa"/>
          </w:tblCellMar>
        </w:tblPrEx>
        <w:trPr>
          <w:trHeight w:val="399" w:hRule="atLeast"/>
        </w:trPr>
        <w:tc>
          <w:tcPr>
            <w:tcW w:w="1668"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jc w:val="both"/>
              <w:rPr>
                <w:rFonts w:ascii="Arial" w:hAnsi="Arial" w:cs="Arial"/>
                <w:color w:val="000000"/>
                <w:sz w:val="18"/>
                <w:szCs w:val="18"/>
              </w:rPr>
            </w:pPr>
          </w:p>
        </w:tc>
        <w:tc>
          <w:tcPr>
            <w:tcW w:w="1365"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暂定资质证书正副本</w:t>
            </w:r>
          </w:p>
        </w:tc>
        <w:tc>
          <w:tcPr>
            <w:tcW w:w="166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(宜宾市翠屏区天柏组团ZB07-04地块)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(宜宾市翠屏区天柏组团ZB07-05地块)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(宜宾市翠屏区天柏组团ZB07-06-02地块)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(宜宾市翠屏区天柏组团ZB07-06-03地块)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(宜宾市翠屏区天柏组团ZB07-08地块)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建设用地规划许可证</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建设工程规划许可证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建筑工程施工许可证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（宜宾市天柏组团中坝片区站前广场ZB07-01地块</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云锦一期一批次1#、2#、3#、4#、1#门卫及电商服务，2#门卫及地下室）</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建筑工程施工许可证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（宜宾市天柏组团中坝片区站前广场ZB07-01地块云锦一期二批次5#、6#、7#、地下室）</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（宜宾市翠屏区天柏组团ZB07-01地块云锦一期）1#楼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（宜宾市翠屏区天柏组团ZB07-01地块云锦一期）2#楼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（宜宾市翠屏区天柏组团ZB07-01地块云锦一期）3#楼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合同监管</w:t>
            </w:r>
          </w:p>
        </w:tc>
        <w:tc>
          <w:tcPr>
            <w:tcW w:w="5985" w:type="dxa"/>
            <w:gridSpan w:val="2"/>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进场前签署</w:t>
            </w:r>
            <w:r>
              <w:rPr>
                <w:rFonts w:hint="eastAsia" w:ascii="Arial" w:hAnsi="Arial" w:cs="Arial"/>
                <w:color w:val="000000"/>
                <w:sz w:val="18"/>
                <w:szCs w:val="18"/>
                <w:lang w:bidi="ar"/>
              </w:rPr>
              <w:t>工程</w:t>
            </w:r>
            <w:r>
              <w:rPr>
                <w:rFonts w:ascii="Arial" w:hAnsi="Arial" w:cs="Arial"/>
                <w:color w:val="000000"/>
                <w:sz w:val="18"/>
                <w:szCs w:val="18"/>
                <w:lang w:bidi="ar"/>
              </w:rPr>
              <w:t>合同</w:t>
            </w:r>
            <w:r>
              <w:rPr>
                <w:rFonts w:hint="eastAsia" w:ascii="Arial" w:hAnsi="Arial" w:cs="Arial"/>
                <w:color w:val="000000"/>
                <w:sz w:val="18"/>
                <w:szCs w:val="18"/>
                <w:lang w:bidi="ar"/>
              </w:rPr>
              <w:t>部分交接，营销合同</w:t>
            </w:r>
            <w:r>
              <w:rPr>
                <w:rFonts w:ascii="Arial" w:hAnsi="Arial" w:cs="Arial"/>
                <w:color w:val="000000"/>
                <w:sz w:val="18"/>
                <w:szCs w:val="18"/>
                <w:lang w:bidi="ar"/>
              </w:rPr>
              <w:t>全部交接，建立台账，合计</w:t>
            </w:r>
            <w:r>
              <w:rPr>
                <w:rFonts w:hint="eastAsia" w:ascii="Arial" w:hAnsi="Arial" w:cs="Arial"/>
                <w:color w:val="000000"/>
                <w:sz w:val="18"/>
                <w:szCs w:val="18"/>
                <w:lang w:bidi="ar"/>
              </w:rPr>
              <w:t>144</w:t>
            </w:r>
            <w:r>
              <w:rPr>
                <w:rFonts w:ascii="Arial" w:hAnsi="Arial" w:cs="Arial"/>
                <w:color w:val="000000"/>
                <w:sz w:val="18"/>
                <w:szCs w:val="18"/>
                <w:lang w:bidi="ar"/>
              </w:rPr>
              <w:t>份，合同金额</w:t>
            </w:r>
            <w:r>
              <w:rPr>
                <w:rFonts w:hint="eastAsia" w:ascii="Arial" w:hAnsi="Arial" w:cs="Arial"/>
                <w:color w:val="000000"/>
                <w:sz w:val="18"/>
                <w:szCs w:val="18"/>
                <w:lang w:bidi="ar"/>
              </w:rPr>
              <w:t>1,166,268,025.63元</w:t>
            </w:r>
            <w:r>
              <w:rPr>
                <w:rFonts w:ascii="Arial" w:hAnsi="Arial" w:cs="Arial"/>
                <w:color w:val="000000"/>
                <w:sz w:val="18"/>
                <w:szCs w:val="18"/>
                <w:lang w:bidi="ar"/>
              </w:rPr>
              <w:t>，已付金额</w:t>
            </w:r>
            <w:r>
              <w:rPr>
                <w:rFonts w:hint="eastAsia" w:ascii="Arial" w:hAnsi="Arial" w:cs="Arial"/>
                <w:color w:val="000000"/>
                <w:sz w:val="18"/>
                <w:szCs w:val="18"/>
                <w:lang w:bidi="ar"/>
              </w:rPr>
              <w:t>817,993,351.94元。</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r>
              <w:rPr>
                <w:rFonts w:hint="eastAsia" w:ascii="Arial" w:hAnsi="Arial" w:cs="Arial"/>
                <w:color w:val="000000"/>
                <w:sz w:val="18"/>
                <w:szCs w:val="18"/>
                <w:lang w:bidi="ar"/>
              </w:rPr>
              <w:t>（已交接的网银密钥均为最后一道）</w:t>
            </w:r>
          </w:p>
        </w:tc>
        <w:tc>
          <w:tcPr>
            <w:tcW w:w="1365"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SPV公司</w:t>
            </w:r>
          </w:p>
        </w:tc>
        <w:tc>
          <w:tcPr>
            <w:tcW w:w="46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账号：</w:t>
            </w:r>
            <w:r>
              <w:rPr>
                <w:rFonts w:hint="eastAsia" w:ascii="Arial" w:hAnsi="Arial" w:cs="Arial"/>
                <w:color w:val="000000"/>
                <w:sz w:val="18"/>
                <w:szCs w:val="18"/>
                <w:lang w:bidi="ar"/>
              </w:rPr>
              <w:t>130711887990</w:t>
            </w:r>
            <w:r>
              <w:rPr>
                <w:rFonts w:ascii="Arial" w:hAnsi="Arial" w:cs="Arial"/>
                <w:color w:val="000000"/>
                <w:sz w:val="18"/>
                <w:szCs w:val="18"/>
                <w:lang w:bidi="ar"/>
              </w:rPr>
              <w:t xml:space="preserve"> </w:t>
            </w:r>
          </w:p>
        </w:tc>
        <w:tc>
          <w:tcPr>
            <w:tcW w:w="1665" w:type="dxa"/>
            <w:vMerge w:val="restart"/>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均为最后一道U盾</w:t>
            </w:r>
          </w:p>
        </w:tc>
      </w:tr>
      <w:tr>
        <w:tblPrEx>
          <w:tblCellMar>
            <w:top w:w="0" w:type="dxa"/>
            <w:left w:w="0" w:type="dxa"/>
            <w:bottom w:w="0" w:type="dxa"/>
            <w:right w:w="0" w:type="dxa"/>
          </w:tblCellMar>
        </w:tblPrEx>
        <w:trPr>
          <w:trHeight w:val="363" w:hRule="atLeast"/>
        </w:trPr>
        <w:tc>
          <w:tcPr>
            <w:tcW w:w="1668"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restar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项目公司</w:t>
            </w:r>
          </w:p>
        </w:tc>
        <w:tc>
          <w:tcPr>
            <w:tcW w:w="46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账号：2314506209100058473</w:t>
            </w:r>
            <w:r>
              <w:rPr>
                <w:rFonts w:ascii="Arial" w:hAnsi="Arial" w:cs="Arial"/>
                <w:color w:val="000000"/>
                <w:sz w:val="18"/>
                <w:szCs w:val="18"/>
                <w:lang w:bidi="ar"/>
              </w:rPr>
              <w:t xml:space="preserve"> </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账号：51050172610800000904</w:t>
            </w:r>
            <w:r>
              <w:rPr>
                <w:rFonts w:ascii="Arial" w:hAnsi="Arial" w:cs="Arial"/>
                <w:color w:val="000000"/>
                <w:sz w:val="18"/>
                <w:szCs w:val="18"/>
                <w:lang w:bidi="ar"/>
              </w:rPr>
              <w:t xml:space="preserve"> </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账号：22470201040022852</w:t>
            </w:r>
            <w:r>
              <w:rPr>
                <w:rFonts w:ascii="Arial" w:hAnsi="Arial" w:cs="Arial"/>
                <w:color w:val="000000"/>
                <w:sz w:val="18"/>
                <w:szCs w:val="18"/>
                <w:lang w:bidi="ar"/>
              </w:rPr>
              <w:t xml:space="preserve"> </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账号：51050172610800000895</w:t>
            </w:r>
            <w:r>
              <w:rPr>
                <w:rFonts w:ascii="Arial" w:hAnsi="Arial" w:cs="Arial"/>
                <w:color w:val="000000"/>
                <w:sz w:val="18"/>
                <w:szCs w:val="18"/>
                <w:lang w:bidi="ar"/>
              </w:rPr>
              <w:t xml:space="preserve"> </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账号：115868581512</w:t>
            </w:r>
          </w:p>
        </w:tc>
        <w:tc>
          <w:tcPr>
            <w:tcW w:w="1665" w:type="dxa"/>
            <w:vMerge w:val="continue"/>
            <w:tcBorders>
              <w:left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auto" w:sz="4" w:space="0"/>
              <w:left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top w:val="single" w:color="auto"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auto"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账号：8111001012900684397</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lang w:bidi="ar"/>
              </w:rPr>
              <w:t>账号：632327658</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lang w:bidi="ar"/>
              </w:rPr>
              <w:t>账号：830900346010301</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保险柜钥匙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SPV公司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钥匙1把（驻场保管）</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项目</w:t>
            </w:r>
            <w:r>
              <w:rPr>
                <w:rFonts w:ascii="Arial" w:hAnsi="Arial" w:cs="Arial"/>
                <w:color w:val="000000"/>
                <w:sz w:val="18"/>
                <w:szCs w:val="18"/>
              </w:rPr>
              <w:t>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柜中柜：</w:t>
            </w:r>
          </w:p>
          <w:p>
            <w:pPr>
              <w:rPr>
                <w:rFonts w:ascii="Arial" w:hAnsi="Arial" w:cs="Arial"/>
                <w:color w:val="000000"/>
                <w:sz w:val="18"/>
                <w:szCs w:val="18"/>
              </w:rPr>
            </w:pPr>
            <w:r>
              <w:rPr>
                <w:rFonts w:hint="eastAsia" w:ascii="Arial" w:hAnsi="Arial" w:cs="Arial"/>
                <w:color w:val="000000"/>
                <w:sz w:val="18"/>
                <w:szCs w:val="18"/>
              </w:rPr>
              <w:t>大密码柜（钥匙+密码）套住项目公司原保险柜，驻场保管大密码柜的钥匙+密码，合作方金座保管原保险柜钥匙，项目公司保管原保险柜密码</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已更换保险柜</w:t>
            </w:r>
          </w:p>
        </w:tc>
      </w:tr>
    </w:tbl>
    <w:p/>
    <w:p>
      <w:pPr>
        <w:widowControl w:val="0"/>
        <w:spacing w:line="480" w:lineRule="auto"/>
        <w:ind w:firstLine="420" w:firstLineChars="200"/>
        <w:jc w:val="both"/>
        <w:rPr>
          <w:rFonts w:ascii="Arial" w:hAnsi="Arial" w:cs="Arial"/>
          <w:kern w:val="44"/>
          <w:sz w:val="21"/>
          <w:szCs w:val="21"/>
        </w:rPr>
      </w:pPr>
      <w:bookmarkStart w:id="3" w:name="_Toc5895"/>
      <w:r>
        <w:rPr>
          <w:rFonts w:hint="eastAsia" w:ascii="Arial" w:hAnsi="Arial" w:cs="Arial"/>
          <w:kern w:val="44"/>
          <w:sz w:val="21"/>
          <w:szCs w:val="21"/>
        </w:rPr>
        <w:t>（3）项目重要节点跟踪：</w:t>
      </w:r>
      <w:bookmarkEnd w:id="3"/>
    </w:p>
    <w:p>
      <w:pPr>
        <w:widowControl w:val="0"/>
        <w:spacing w:line="480" w:lineRule="auto"/>
        <w:ind w:firstLine="420" w:firstLineChars="200"/>
        <w:jc w:val="both"/>
        <w:rPr>
          <w:rFonts w:hint="eastAsia" w:ascii="Arial" w:hAnsi="Arial" w:cs="Arial"/>
          <w:kern w:val="44"/>
          <w:sz w:val="21"/>
          <w:szCs w:val="21"/>
        </w:rPr>
      </w:pPr>
      <w:bookmarkStart w:id="4" w:name="_Toc4229"/>
      <w:r>
        <w:rPr>
          <w:rFonts w:hint="eastAsia" w:ascii="Arial" w:hAnsi="Arial" w:cs="Arial"/>
          <w:kern w:val="44"/>
          <w:sz w:val="21"/>
          <w:szCs w:val="21"/>
          <w:lang w:val="en-US" w:eastAsia="zh-CN"/>
        </w:rPr>
        <w:t>3.</w:t>
      </w:r>
      <w:r>
        <w:rPr>
          <w:rFonts w:hint="eastAsia" w:ascii="Arial" w:hAnsi="Arial" w:cs="Arial"/>
          <w:kern w:val="44"/>
          <w:sz w:val="21"/>
          <w:szCs w:val="21"/>
        </w:rPr>
        <w:t>1项目公司经营计划节点达成情况</w:t>
      </w:r>
    </w:p>
    <w:tbl>
      <w:tblPr>
        <w:tblStyle w:val="19"/>
        <w:tblW w:w="9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731"/>
        <w:gridCol w:w="1609"/>
        <w:gridCol w:w="4031"/>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blHeader/>
        </w:trPr>
        <w:tc>
          <w:tcPr>
            <w:tcW w:w="644" w:type="dxa"/>
            <w:vAlign w:val="center"/>
          </w:tcPr>
          <w:p>
            <w:pPr>
              <w:spacing w:line="360" w:lineRule="auto"/>
              <w:jc w:val="center"/>
              <w:rPr>
                <w:rFonts w:ascii="Arial" w:hAnsi="Arial" w:cs="Arial"/>
                <w:b/>
                <w:bCs/>
                <w:sz w:val="18"/>
                <w:szCs w:val="18"/>
              </w:rPr>
            </w:pPr>
            <w:r>
              <w:rPr>
                <w:rFonts w:hint="eastAsia" w:ascii="Arial" w:hAnsi="Arial" w:cs="Arial"/>
                <w:b/>
                <w:bCs/>
                <w:sz w:val="18"/>
                <w:szCs w:val="18"/>
              </w:rPr>
              <w:t>序号</w:t>
            </w:r>
          </w:p>
        </w:tc>
        <w:tc>
          <w:tcPr>
            <w:tcW w:w="1731" w:type="dxa"/>
            <w:vAlign w:val="center"/>
          </w:tcPr>
          <w:p>
            <w:pPr>
              <w:spacing w:line="360" w:lineRule="auto"/>
              <w:jc w:val="center"/>
              <w:rPr>
                <w:rFonts w:ascii="Arial" w:hAnsi="Arial" w:cs="Arial"/>
                <w:b/>
                <w:bCs/>
                <w:sz w:val="18"/>
                <w:szCs w:val="18"/>
              </w:rPr>
            </w:pPr>
            <w:r>
              <w:rPr>
                <w:rFonts w:hint="eastAsia" w:ascii="Arial" w:hAnsi="Arial" w:cs="Arial"/>
                <w:b/>
                <w:bCs/>
                <w:sz w:val="18"/>
                <w:szCs w:val="18"/>
              </w:rPr>
              <w:t>时间节点</w:t>
            </w:r>
          </w:p>
        </w:tc>
        <w:tc>
          <w:tcPr>
            <w:tcW w:w="1609" w:type="dxa"/>
            <w:vAlign w:val="center"/>
          </w:tcPr>
          <w:p>
            <w:pPr>
              <w:spacing w:line="360" w:lineRule="auto"/>
              <w:jc w:val="center"/>
              <w:rPr>
                <w:rFonts w:ascii="Arial" w:hAnsi="Arial" w:cs="Arial"/>
                <w:b/>
                <w:bCs/>
                <w:sz w:val="18"/>
                <w:szCs w:val="18"/>
              </w:rPr>
            </w:pPr>
            <w:r>
              <w:rPr>
                <w:rFonts w:hint="eastAsia" w:ascii="Arial" w:hAnsi="Arial" w:cs="Arial"/>
                <w:b/>
                <w:bCs/>
                <w:sz w:val="18"/>
                <w:szCs w:val="18"/>
              </w:rPr>
              <w:t>计划</w:t>
            </w:r>
          </w:p>
        </w:tc>
        <w:tc>
          <w:tcPr>
            <w:tcW w:w="4031" w:type="dxa"/>
            <w:vAlign w:val="center"/>
          </w:tcPr>
          <w:p>
            <w:pPr>
              <w:spacing w:line="360" w:lineRule="auto"/>
              <w:jc w:val="center"/>
              <w:rPr>
                <w:rFonts w:ascii="Arial" w:hAnsi="Arial" w:cs="Arial"/>
                <w:b/>
                <w:bCs/>
                <w:sz w:val="18"/>
                <w:szCs w:val="18"/>
              </w:rPr>
            </w:pPr>
            <w:r>
              <w:rPr>
                <w:rFonts w:hint="eastAsia" w:ascii="Arial" w:hAnsi="Arial" w:cs="Arial"/>
                <w:b/>
                <w:bCs/>
                <w:sz w:val="18"/>
                <w:szCs w:val="18"/>
              </w:rPr>
              <w:t>实际</w:t>
            </w:r>
          </w:p>
        </w:tc>
        <w:tc>
          <w:tcPr>
            <w:tcW w:w="1292" w:type="dxa"/>
            <w:vAlign w:val="center"/>
          </w:tcPr>
          <w:p>
            <w:pPr>
              <w:spacing w:line="360" w:lineRule="auto"/>
              <w:jc w:val="center"/>
              <w:rPr>
                <w:rFonts w:ascii="Arial" w:hAnsi="Arial" w:cs="Arial"/>
                <w:b/>
                <w:bCs/>
                <w:sz w:val="18"/>
                <w:szCs w:val="18"/>
              </w:rPr>
            </w:pPr>
            <w:r>
              <w:rPr>
                <w:rFonts w:hint="eastAsia" w:ascii="Arial" w:hAnsi="Arial" w:cs="Arial"/>
                <w:b/>
                <w:bCs/>
                <w:sz w:val="18"/>
                <w:szCs w:val="18"/>
              </w:rPr>
              <w:t>未达成原因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w:t>
            </w:r>
          </w:p>
        </w:tc>
        <w:tc>
          <w:tcPr>
            <w:tcW w:w="1731"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2020年6月</w:t>
            </w:r>
          </w:p>
        </w:tc>
        <w:tc>
          <w:tcPr>
            <w:tcW w:w="1609"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立项批复</w:t>
            </w:r>
          </w:p>
        </w:tc>
        <w:tc>
          <w:tcPr>
            <w:tcW w:w="4031" w:type="dxa"/>
            <w:vAlign w:val="center"/>
          </w:tcPr>
          <w:p>
            <w:pPr>
              <w:rPr>
                <w:rFonts w:hint="eastAsia" w:ascii="Arial" w:hAnsi="Arial" w:cs="Arial"/>
                <w:color w:val="000000"/>
                <w:sz w:val="18"/>
                <w:szCs w:val="18"/>
              </w:rPr>
            </w:pPr>
            <w:r>
              <w:rPr>
                <w:rFonts w:hint="eastAsia" w:ascii="Arial" w:hAnsi="Arial" w:cs="Arial"/>
                <w:color w:val="000000"/>
                <w:sz w:val="18"/>
                <w:szCs w:val="18"/>
              </w:rPr>
              <w:t>2020年5月26日</w:t>
            </w:r>
          </w:p>
        </w:tc>
        <w:tc>
          <w:tcPr>
            <w:tcW w:w="1292" w:type="dxa"/>
            <w:vAlign w:val="center"/>
          </w:tcPr>
          <w:p>
            <w:pPr>
              <w:spacing w:line="360" w:lineRule="auto"/>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w:t>
            </w:r>
          </w:p>
        </w:tc>
        <w:tc>
          <w:tcPr>
            <w:tcW w:w="1731"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2020年7月</w:t>
            </w:r>
          </w:p>
        </w:tc>
        <w:tc>
          <w:tcPr>
            <w:tcW w:w="1609"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用地规划许可证</w:t>
            </w:r>
          </w:p>
        </w:tc>
        <w:tc>
          <w:tcPr>
            <w:tcW w:w="4031" w:type="dxa"/>
            <w:vAlign w:val="center"/>
          </w:tcPr>
          <w:p>
            <w:pPr>
              <w:rPr>
                <w:rFonts w:hint="eastAsia" w:ascii="Arial" w:hAnsi="Arial" w:cs="Arial"/>
                <w:color w:val="000000"/>
                <w:sz w:val="18"/>
                <w:szCs w:val="18"/>
              </w:rPr>
            </w:pPr>
            <w:r>
              <w:rPr>
                <w:rFonts w:hint="eastAsia" w:ascii="Arial" w:hAnsi="Arial" w:cs="Arial"/>
                <w:color w:val="000000"/>
                <w:sz w:val="18"/>
                <w:szCs w:val="18"/>
              </w:rPr>
              <w:t>2020年6月 5日</w:t>
            </w:r>
          </w:p>
        </w:tc>
        <w:tc>
          <w:tcPr>
            <w:tcW w:w="1292" w:type="dxa"/>
            <w:vAlign w:val="center"/>
          </w:tcPr>
          <w:p>
            <w:pPr>
              <w:spacing w:line="360" w:lineRule="auto"/>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2020年10月（一期），剩余证11月取得</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国有土地使用权证</w:t>
            </w:r>
          </w:p>
        </w:tc>
        <w:tc>
          <w:tcPr>
            <w:tcW w:w="4031" w:type="dxa"/>
            <w:vAlign w:val="center"/>
          </w:tcPr>
          <w:p>
            <w:pPr>
              <w:rPr>
                <w:rFonts w:hint="eastAsia" w:ascii="Arial" w:hAnsi="Arial" w:cs="Arial"/>
                <w:color w:val="000000"/>
                <w:sz w:val="18"/>
                <w:szCs w:val="18"/>
              </w:rPr>
            </w:pPr>
            <w:r>
              <w:rPr>
                <w:rFonts w:hint="eastAsia" w:ascii="Arial" w:hAnsi="Arial" w:cs="Arial"/>
                <w:color w:val="000000"/>
                <w:sz w:val="18"/>
                <w:szCs w:val="18"/>
              </w:rPr>
              <w:t>1.2020年09月27日(宜宾市翠屏区天柏组团ZB07-01地块)；</w:t>
            </w:r>
          </w:p>
          <w:p>
            <w:pPr>
              <w:rPr>
                <w:rFonts w:hint="eastAsia" w:ascii="Arial" w:hAnsi="Arial" w:cs="Arial"/>
                <w:color w:val="000000"/>
                <w:sz w:val="18"/>
                <w:szCs w:val="18"/>
              </w:rPr>
            </w:pPr>
            <w:r>
              <w:rPr>
                <w:rFonts w:hint="eastAsia" w:ascii="Arial" w:hAnsi="Arial" w:cs="Arial"/>
                <w:color w:val="000000"/>
                <w:sz w:val="18"/>
                <w:szCs w:val="18"/>
              </w:rPr>
              <w:t>2.2020年10月10日(宜宾市翠屏区天柏组团ZB07-04地块)；</w:t>
            </w:r>
          </w:p>
          <w:p>
            <w:pPr>
              <w:rPr>
                <w:rFonts w:hint="eastAsia" w:ascii="Arial" w:hAnsi="Arial" w:cs="Arial"/>
                <w:color w:val="000000"/>
                <w:sz w:val="18"/>
                <w:szCs w:val="18"/>
              </w:rPr>
            </w:pPr>
            <w:r>
              <w:rPr>
                <w:rFonts w:hint="eastAsia" w:ascii="Arial" w:hAnsi="Arial" w:cs="Arial"/>
                <w:color w:val="000000"/>
                <w:sz w:val="18"/>
                <w:szCs w:val="18"/>
              </w:rPr>
              <w:t>3.2020年10月10日(宜宾市翠屏区天柏组团ZB07-05地块)；</w:t>
            </w:r>
          </w:p>
          <w:p>
            <w:pPr>
              <w:rPr>
                <w:rFonts w:hint="eastAsia" w:ascii="Arial" w:hAnsi="Arial" w:cs="Arial"/>
                <w:color w:val="000000"/>
                <w:sz w:val="18"/>
                <w:szCs w:val="18"/>
              </w:rPr>
            </w:pPr>
            <w:r>
              <w:rPr>
                <w:rFonts w:hint="eastAsia" w:ascii="Arial" w:hAnsi="Arial" w:cs="Arial"/>
                <w:color w:val="000000"/>
                <w:sz w:val="18"/>
                <w:szCs w:val="18"/>
              </w:rPr>
              <w:t>4.2020年10月10日(宜宾市翠屏区天柏组团ZB07-06-02地块)；</w:t>
            </w:r>
          </w:p>
          <w:p>
            <w:pPr>
              <w:rPr>
                <w:rFonts w:hint="eastAsia" w:ascii="Arial" w:hAnsi="Arial" w:cs="Arial"/>
                <w:color w:val="000000"/>
                <w:sz w:val="18"/>
                <w:szCs w:val="18"/>
              </w:rPr>
            </w:pPr>
            <w:r>
              <w:rPr>
                <w:rFonts w:hint="eastAsia" w:ascii="Arial" w:hAnsi="Arial" w:cs="Arial"/>
                <w:color w:val="000000"/>
                <w:sz w:val="18"/>
                <w:szCs w:val="18"/>
              </w:rPr>
              <w:t>5.2020年10月10日(宜宾市翠屏区天柏组团ZB07-06-03地块)；</w:t>
            </w:r>
          </w:p>
          <w:p>
            <w:pPr>
              <w:rPr>
                <w:rFonts w:hint="eastAsia" w:ascii="Arial" w:hAnsi="Arial" w:cs="Arial"/>
                <w:color w:val="000000"/>
                <w:sz w:val="18"/>
                <w:szCs w:val="18"/>
              </w:rPr>
            </w:pPr>
            <w:r>
              <w:rPr>
                <w:rFonts w:hint="eastAsia" w:ascii="Arial" w:hAnsi="Arial" w:cs="Arial"/>
                <w:color w:val="000000"/>
                <w:sz w:val="18"/>
                <w:szCs w:val="18"/>
              </w:rPr>
              <w:t>6.2020年10月10日(宜宾市翠屏区天柏组团ZB07-08地块)。</w:t>
            </w:r>
          </w:p>
        </w:tc>
        <w:tc>
          <w:tcPr>
            <w:tcW w:w="1292"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2020年8月</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设计方案批复</w:t>
            </w:r>
          </w:p>
        </w:tc>
        <w:tc>
          <w:tcPr>
            <w:tcW w:w="4031" w:type="dxa"/>
            <w:vAlign w:val="center"/>
          </w:tcPr>
          <w:p>
            <w:pPr>
              <w:rPr>
                <w:rFonts w:hint="eastAsia" w:ascii="Arial" w:hAnsi="Arial" w:cs="Arial"/>
                <w:color w:val="000000"/>
                <w:sz w:val="18"/>
                <w:szCs w:val="18"/>
              </w:rPr>
            </w:pPr>
            <w:r>
              <w:rPr>
                <w:rFonts w:hint="eastAsia" w:ascii="Arial" w:hAnsi="Arial" w:cs="Arial"/>
                <w:color w:val="000000"/>
                <w:sz w:val="18"/>
                <w:szCs w:val="18"/>
              </w:rPr>
              <w:t>2020年8月（翠资源规划函【2020】154号）</w:t>
            </w:r>
          </w:p>
        </w:tc>
        <w:tc>
          <w:tcPr>
            <w:tcW w:w="1292"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2020年9月</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工程规划许可证</w:t>
            </w:r>
          </w:p>
        </w:tc>
        <w:tc>
          <w:tcPr>
            <w:tcW w:w="4031" w:type="dxa"/>
            <w:vAlign w:val="center"/>
          </w:tcPr>
          <w:p>
            <w:pPr>
              <w:rPr>
                <w:rFonts w:hint="eastAsia" w:ascii="Arial" w:hAnsi="Arial" w:cs="Arial"/>
                <w:color w:val="000000"/>
                <w:sz w:val="18"/>
                <w:szCs w:val="18"/>
              </w:rPr>
            </w:pPr>
            <w:r>
              <w:rPr>
                <w:rFonts w:hint="eastAsia" w:ascii="Arial" w:hAnsi="Arial" w:cs="Arial"/>
                <w:color w:val="000000"/>
                <w:sz w:val="18"/>
                <w:szCs w:val="18"/>
              </w:rPr>
              <w:t>1.2020年8月14日取得一期（建字第511502202000036号）</w:t>
            </w:r>
          </w:p>
        </w:tc>
        <w:tc>
          <w:tcPr>
            <w:tcW w:w="1292"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6</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施工许可证</w:t>
            </w:r>
          </w:p>
        </w:tc>
        <w:tc>
          <w:tcPr>
            <w:tcW w:w="4031" w:type="dxa"/>
            <w:vAlign w:val="center"/>
          </w:tcPr>
          <w:p>
            <w:pPr>
              <w:rPr>
                <w:rFonts w:hint="eastAsia" w:ascii="Arial" w:hAnsi="Arial" w:cs="Arial"/>
                <w:color w:val="000000"/>
                <w:sz w:val="18"/>
                <w:szCs w:val="18"/>
              </w:rPr>
            </w:pPr>
            <w:r>
              <w:rPr>
                <w:rFonts w:hint="eastAsia" w:ascii="Arial" w:hAnsi="Arial" w:cs="Arial"/>
                <w:color w:val="000000"/>
                <w:sz w:val="18"/>
                <w:szCs w:val="18"/>
              </w:rPr>
              <w:t>1.2020年09月10日（宜宾市天柏组团中坝片区站前广场ZB07-01地块</w:t>
            </w:r>
          </w:p>
          <w:p>
            <w:pPr>
              <w:rPr>
                <w:rFonts w:hint="eastAsia" w:ascii="Arial" w:hAnsi="Arial" w:cs="Arial"/>
                <w:color w:val="000000"/>
                <w:sz w:val="18"/>
                <w:szCs w:val="18"/>
              </w:rPr>
            </w:pPr>
            <w:r>
              <w:rPr>
                <w:rFonts w:hint="eastAsia" w:ascii="Arial" w:hAnsi="Arial" w:cs="Arial"/>
                <w:color w:val="000000"/>
                <w:sz w:val="18"/>
                <w:szCs w:val="18"/>
              </w:rPr>
              <w:t>云锦一期一批次1#、2#、3#、4#、1#门卫及电商服务，2#门卫及地下室）；</w:t>
            </w:r>
          </w:p>
          <w:p>
            <w:pPr>
              <w:rPr>
                <w:rFonts w:hint="eastAsia" w:ascii="Arial" w:hAnsi="Arial" w:cs="Arial"/>
                <w:color w:val="000000"/>
                <w:sz w:val="18"/>
                <w:szCs w:val="18"/>
              </w:rPr>
            </w:pPr>
            <w:r>
              <w:rPr>
                <w:rFonts w:hint="eastAsia" w:ascii="Arial" w:hAnsi="Arial" w:cs="Arial"/>
                <w:color w:val="000000"/>
                <w:sz w:val="18"/>
                <w:szCs w:val="18"/>
              </w:rPr>
              <w:t>2.2020年12月18日（宜宾市天柏组团中坝片区站前广场ZB07-01地块云锦一期二批次5#、6#、7#、地下室）</w:t>
            </w:r>
          </w:p>
        </w:tc>
        <w:tc>
          <w:tcPr>
            <w:tcW w:w="1292"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w:t>
            </w:r>
          </w:p>
        </w:tc>
        <w:tc>
          <w:tcPr>
            <w:tcW w:w="1731"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2020年8月</w:t>
            </w:r>
          </w:p>
        </w:tc>
        <w:tc>
          <w:tcPr>
            <w:tcW w:w="1609"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开工</w:t>
            </w:r>
          </w:p>
        </w:tc>
        <w:tc>
          <w:tcPr>
            <w:tcW w:w="4031" w:type="dxa"/>
            <w:vAlign w:val="center"/>
          </w:tcPr>
          <w:p>
            <w:pPr>
              <w:rPr>
                <w:rFonts w:hint="eastAsia" w:ascii="Arial" w:hAnsi="Arial" w:cs="Arial"/>
                <w:color w:val="000000"/>
                <w:sz w:val="18"/>
                <w:szCs w:val="18"/>
              </w:rPr>
            </w:pPr>
            <w:r>
              <w:rPr>
                <w:rFonts w:hint="eastAsia" w:ascii="Arial" w:hAnsi="Arial" w:cs="Arial"/>
                <w:color w:val="000000"/>
                <w:sz w:val="18"/>
                <w:szCs w:val="18"/>
              </w:rPr>
              <w:t>2020年8月</w:t>
            </w:r>
          </w:p>
        </w:tc>
        <w:tc>
          <w:tcPr>
            <w:tcW w:w="1292" w:type="dxa"/>
            <w:vAlign w:val="center"/>
          </w:tcPr>
          <w:p>
            <w:pPr>
              <w:spacing w:line="360" w:lineRule="auto"/>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w:t>
            </w:r>
          </w:p>
        </w:tc>
        <w:tc>
          <w:tcPr>
            <w:tcW w:w="1731"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2020年11月</w:t>
            </w:r>
          </w:p>
        </w:tc>
        <w:tc>
          <w:tcPr>
            <w:tcW w:w="1609"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达到预售条件</w:t>
            </w:r>
          </w:p>
        </w:tc>
        <w:tc>
          <w:tcPr>
            <w:tcW w:w="4031" w:type="dxa"/>
            <w:vAlign w:val="center"/>
          </w:tcPr>
          <w:p>
            <w:pPr>
              <w:rPr>
                <w:rFonts w:hint="eastAsia" w:ascii="Arial" w:hAnsi="Arial" w:cs="Arial"/>
                <w:color w:val="000000"/>
                <w:sz w:val="18"/>
                <w:szCs w:val="18"/>
              </w:rPr>
            </w:pPr>
            <w:r>
              <w:rPr>
                <w:rFonts w:hint="eastAsia" w:ascii="Arial" w:hAnsi="Arial" w:cs="Arial"/>
                <w:color w:val="000000"/>
                <w:sz w:val="18"/>
                <w:szCs w:val="18"/>
              </w:rPr>
              <w:t>2020年11月10日</w:t>
            </w:r>
          </w:p>
        </w:tc>
        <w:tc>
          <w:tcPr>
            <w:tcW w:w="1292" w:type="dxa"/>
            <w:vAlign w:val="center"/>
          </w:tcPr>
          <w:p>
            <w:pPr>
              <w:spacing w:line="360" w:lineRule="auto"/>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9</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2020年12月</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首期预售证</w:t>
            </w:r>
          </w:p>
        </w:tc>
        <w:tc>
          <w:tcPr>
            <w:tcW w:w="4031" w:type="dxa"/>
            <w:vAlign w:val="center"/>
          </w:tcPr>
          <w:p>
            <w:pPr>
              <w:rPr>
                <w:rFonts w:hint="eastAsia" w:ascii="Arial" w:hAnsi="Arial" w:cs="Arial"/>
                <w:color w:val="000000"/>
                <w:sz w:val="18"/>
                <w:szCs w:val="18"/>
              </w:rPr>
            </w:pPr>
            <w:r>
              <w:rPr>
                <w:rFonts w:hint="eastAsia" w:ascii="Arial" w:hAnsi="Arial" w:cs="Arial"/>
                <w:color w:val="000000"/>
                <w:sz w:val="18"/>
                <w:szCs w:val="18"/>
              </w:rPr>
              <w:t>1.2020年11月10日（宜宾市翠屏区天柏组团ZB07-01地块云锦一期）云锦一期1#楼；</w:t>
            </w:r>
          </w:p>
          <w:p>
            <w:pPr>
              <w:rPr>
                <w:rFonts w:hint="eastAsia" w:ascii="Arial" w:hAnsi="Arial" w:cs="Arial"/>
                <w:color w:val="000000"/>
                <w:sz w:val="18"/>
                <w:szCs w:val="18"/>
              </w:rPr>
            </w:pPr>
            <w:r>
              <w:rPr>
                <w:rFonts w:hint="eastAsia" w:ascii="Arial" w:hAnsi="Arial" w:cs="Arial"/>
                <w:color w:val="000000"/>
                <w:sz w:val="18"/>
                <w:szCs w:val="18"/>
              </w:rPr>
              <w:t>2.2020年12月31日（宜宾市翠屏区天柏组团ZB07-01地块云锦一期）云锦一期2#楼；</w:t>
            </w:r>
          </w:p>
          <w:p>
            <w:pPr>
              <w:rPr>
                <w:rFonts w:hint="eastAsia" w:ascii="Arial" w:hAnsi="Arial" w:cs="Arial"/>
                <w:color w:val="000000"/>
                <w:sz w:val="18"/>
                <w:szCs w:val="18"/>
              </w:rPr>
            </w:pPr>
            <w:r>
              <w:rPr>
                <w:rFonts w:hint="eastAsia" w:ascii="Arial" w:hAnsi="Arial" w:cs="Arial"/>
                <w:color w:val="000000"/>
                <w:sz w:val="18"/>
                <w:szCs w:val="18"/>
              </w:rPr>
              <w:t>3.2020年11年10日（宜宾市翠屏区天柏组团ZB07-01地块云锦一期）云锦一期3#楼；</w:t>
            </w:r>
          </w:p>
        </w:tc>
        <w:tc>
          <w:tcPr>
            <w:tcW w:w="1292"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10</w:t>
            </w:r>
          </w:p>
        </w:tc>
        <w:tc>
          <w:tcPr>
            <w:tcW w:w="1731"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2020年12月</w:t>
            </w:r>
          </w:p>
        </w:tc>
        <w:tc>
          <w:tcPr>
            <w:tcW w:w="1609" w:type="dxa"/>
            <w:vAlign w:val="center"/>
          </w:tcPr>
          <w:p>
            <w:pPr>
              <w:spacing w:line="360" w:lineRule="auto"/>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开盘</w:t>
            </w:r>
          </w:p>
        </w:tc>
        <w:tc>
          <w:tcPr>
            <w:tcW w:w="4031" w:type="dxa"/>
            <w:vAlign w:val="center"/>
          </w:tcPr>
          <w:p>
            <w:pPr>
              <w:rPr>
                <w:rFonts w:hint="eastAsia" w:ascii="Arial" w:hAnsi="Arial" w:cs="Arial"/>
                <w:color w:val="000000"/>
                <w:sz w:val="18"/>
                <w:szCs w:val="18"/>
              </w:rPr>
            </w:pPr>
            <w:r>
              <w:rPr>
                <w:rFonts w:hint="eastAsia" w:ascii="Arial" w:hAnsi="Arial" w:cs="Arial"/>
                <w:color w:val="000000"/>
                <w:sz w:val="18"/>
                <w:szCs w:val="18"/>
              </w:rPr>
              <w:t>2020年10月17日</w:t>
            </w:r>
          </w:p>
        </w:tc>
        <w:tc>
          <w:tcPr>
            <w:tcW w:w="1292" w:type="dxa"/>
            <w:vAlign w:val="center"/>
          </w:tcPr>
          <w:p>
            <w:pPr>
              <w:spacing w:line="360" w:lineRule="auto"/>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11</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2021年6月（首批次），2023年3月（最后批次）</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结构封顶</w:t>
            </w:r>
          </w:p>
        </w:tc>
        <w:tc>
          <w:tcPr>
            <w:tcW w:w="4031" w:type="dxa"/>
            <w:vAlign w:val="center"/>
          </w:tcPr>
          <w:p>
            <w:pPr>
              <w:rPr>
                <w:rFonts w:hint="eastAsia" w:ascii="Arial" w:hAnsi="Arial" w:cs="Arial"/>
                <w:color w:val="000000"/>
                <w:sz w:val="18"/>
                <w:szCs w:val="18"/>
              </w:rPr>
            </w:pPr>
          </w:p>
        </w:tc>
        <w:tc>
          <w:tcPr>
            <w:tcW w:w="1292"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12</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2022年10月（首批次），2023年12月（最后批次）</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竣工备案证</w:t>
            </w:r>
          </w:p>
        </w:tc>
        <w:tc>
          <w:tcPr>
            <w:tcW w:w="4031" w:type="dxa"/>
            <w:vAlign w:val="center"/>
          </w:tcPr>
          <w:p>
            <w:pPr>
              <w:rPr>
                <w:rFonts w:hint="eastAsia" w:ascii="Arial" w:hAnsi="Arial" w:cs="Arial"/>
                <w:color w:val="000000"/>
                <w:sz w:val="18"/>
                <w:szCs w:val="18"/>
              </w:rPr>
            </w:pPr>
          </w:p>
        </w:tc>
        <w:tc>
          <w:tcPr>
            <w:tcW w:w="1292"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13</w:t>
            </w:r>
          </w:p>
        </w:tc>
        <w:tc>
          <w:tcPr>
            <w:tcW w:w="1731"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2022年12月（首批次），2024年6月（最后批次）</w:t>
            </w:r>
          </w:p>
        </w:tc>
        <w:tc>
          <w:tcPr>
            <w:tcW w:w="1609"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交付证</w:t>
            </w:r>
          </w:p>
        </w:tc>
        <w:tc>
          <w:tcPr>
            <w:tcW w:w="4031" w:type="dxa"/>
            <w:vAlign w:val="center"/>
          </w:tcPr>
          <w:p>
            <w:pPr>
              <w:rPr>
                <w:rFonts w:hint="eastAsia" w:ascii="Arial" w:hAnsi="Arial" w:cs="Arial"/>
                <w:color w:val="000000"/>
                <w:sz w:val="18"/>
                <w:szCs w:val="18"/>
              </w:rPr>
            </w:pPr>
          </w:p>
        </w:tc>
        <w:tc>
          <w:tcPr>
            <w:tcW w:w="1292" w:type="dxa"/>
            <w:vAlign w:val="center"/>
          </w:tcPr>
          <w:p>
            <w:pPr>
              <w:jc w:val="center"/>
              <w:textAlignment w:val="center"/>
              <w:rPr>
                <w:rFonts w:ascii="Arial" w:hAnsi="Arial" w:cs="Arial"/>
                <w:color w:val="000000"/>
                <w:sz w:val="18"/>
                <w:szCs w:val="18"/>
                <w:lang w:bidi="ar"/>
              </w:rPr>
            </w:pPr>
          </w:p>
        </w:tc>
      </w:tr>
    </w:tbl>
    <w:p>
      <w:pPr>
        <w:widowControl w:val="0"/>
        <w:spacing w:line="480" w:lineRule="auto"/>
        <w:ind w:firstLine="420" w:firstLineChars="200"/>
        <w:jc w:val="both"/>
        <w:rPr>
          <w:rFonts w:hint="eastAsia" w:ascii="Arial" w:hAnsi="Arial" w:cs="Arial"/>
          <w:kern w:val="44"/>
          <w:sz w:val="21"/>
          <w:szCs w:val="21"/>
          <w:lang w:val="en-US" w:eastAsia="zh-CN"/>
        </w:rPr>
      </w:pPr>
      <w:r>
        <w:rPr>
          <w:rFonts w:hint="eastAsia" w:ascii="Arial" w:hAnsi="Arial" w:cs="Arial"/>
          <w:kern w:val="44"/>
          <w:sz w:val="21"/>
          <w:szCs w:val="21"/>
          <w:lang w:val="en-US" w:eastAsia="zh-CN"/>
        </w:rPr>
        <w:t>3.2对赌节点达成情况</w:t>
      </w:r>
    </w:p>
    <w:tbl>
      <w:tblPr>
        <w:tblStyle w:val="19"/>
        <w:tblW w:w="9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10"/>
        <w:gridCol w:w="2370"/>
        <w:gridCol w:w="2310"/>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846" w:type="dxa"/>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序号</w:t>
            </w:r>
          </w:p>
        </w:tc>
        <w:tc>
          <w:tcPr>
            <w:tcW w:w="2510" w:type="dxa"/>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时间节点</w:t>
            </w:r>
          </w:p>
        </w:tc>
        <w:tc>
          <w:tcPr>
            <w:tcW w:w="2370" w:type="dxa"/>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对赌要求</w:t>
            </w:r>
          </w:p>
        </w:tc>
        <w:tc>
          <w:tcPr>
            <w:tcW w:w="2310" w:type="dxa"/>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实际达成情况</w:t>
            </w:r>
          </w:p>
        </w:tc>
        <w:tc>
          <w:tcPr>
            <w:tcW w:w="1271" w:type="dxa"/>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应对方案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1</w:t>
            </w:r>
          </w:p>
        </w:tc>
        <w:tc>
          <w:tcPr>
            <w:tcW w:w="2510" w:type="dxa"/>
            <w:vAlign w:val="center"/>
          </w:tcPr>
          <w:p>
            <w:pPr>
              <w:jc w:val="center"/>
              <w:textAlignment w:val="center"/>
              <w:rPr>
                <w:rFonts w:ascii="宋体" w:hAnsi="宋体" w:cs="宋体"/>
                <w:kern w:val="0"/>
                <w:sz w:val="18"/>
                <w:szCs w:val="18"/>
              </w:rPr>
            </w:pPr>
            <w:r>
              <w:rPr>
                <w:rFonts w:hint="eastAsia" w:ascii="Arial" w:hAnsi="Arial" w:cs="Arial"/>
                <w:color w:val="000000"/>
                <w:sz w:val="18"/>
                <w:szCs w:val="18"/>
                <w:lang w:bidi="ar"/>
              </w:rPr>
              <w:t>2020年10月30日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取得首期四证</w:t>
            </w:r>
          </w:p>
        </w:tc>
        <w:tc>
          <w:tcPr>
            <w:tcW w:w="231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已完成</w:t>
            </w:r>
          </w:p>
        </w:tc>
        <w:tc>
          <w:tcPr>
            <w:tcW w:w="1271" w:type="dxa"/>
          </w:tcPr>
          <w:p>
            <w:pPr>
              <w:widowControl/>
              <w:spacing w:line="360" w:lineRule="auto"/>
              <w:jc w:val="center"/>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tabs>
                <w:tab w:val="left" w:pos="301"/>
              </w:tabs>
              <w:spacing w:line="360" w:lineRule="auto"/>
              <w:rPr>
                <w:rFonts w:ascii="仿宋" w:hAnsi="仿宋" w:eastAsia="仿宋" w:cs="宋体"/>
                <w:b/>
                <w:bCs/>
                <w:sz w:val="28"/>
                <w:szCs w:val="28"/>
              </w:rPr>
            </w:pPr>
            <w:r>
              <w:rPr>
                <w:rFonts w:hint="eastAsia" w:ascii="Arial" w:hAnsi="Arial" w:cs="Arial"/>
                <w:sz w:val="18"/>
                <w:szCs w:val="18"/>
              </w:rPr>
              <w:tab/>
            </w:r>
            <w:r>
              <w:rPr>
                <w:rFonts w:hint="eastAsia" w:ascii="Arial" w:hAnsi="Arial" w:cs="Arial"/>
                <w:sz w:val="18"/>
                <w:szCs w:val="18"/>
              </w:rPr>
              <w:t>2</w:t>
            </w:r>
          </w:p>
        </w:tc>
        <w:tc>
          <w:tcPr>
            <w:tcW w:w="251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2020年11月10日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达到首期预售形象进度</w:t>
            </w:r>
          </w:p>
        </w:tc>
        <w:tc>
          <w:tcPr>
            <w:tcW w:w="2310" w:type="dxa"/>
            <w:vAlign w:val="center"/>
          </w:tcPr>
          <w:p>
            <w:pPr>
              <w:jc w:val="center"/>
              <w:textAlignment w:val="center"/>
              <w:rPr>
                <w:rFonts w:ascii="宋体" w:hAnsi="宋体" w:cs="宋体"/>
                <w:kern w:val="0"/>
                <w:sz w:val="18"/>
                <w:szCs w:val="18"/>
              </w:rPr>
            </w:pPr>
            <w:r>
              <w:rPr>
                <w:rFonts w:hint="eastAsia" w:ascii="Arial" w:hAnsi="Arial" w:cs="Arial"/>
                <w:color w:val="000000"/>
                <w:sz w:val="18"/>
                <w:szCs w:val="18"/>
                <w:lang w:bidi="ar"/>
              </w:rPr>
              <w:t>已完成</w:t>
            </w:r>
          </w:p>
        </w:tc>
        <w:tc>
          <w:tcPr>
            <w:tcW w:w="1271" w:type="dxa"/>
          </w:tcPr>
          <w:p>
            <w:pPr>
              <w:spacing w:line="360" w:lineRule="auto"/>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3</w:t>
            </w:r>
          </w:p>
        </w:tc>
        <w:tc>
          <w:tcPr>
            <w:tcW w:w="251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2020年12月20日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取得首期预售许可证</w:t>
            </w:r>
          </w:p>
        </w:tc>
        <w:tc>
          <w:tcPr>
            <w:tcW w:w="2310" w:type="dxa"/>
            <w:vAlign w:val="center"/>
          </w:tcPr>
          <w:p>
            <w:pPr>
              <w:jc w:val="center"/>
              <w:textAlignment w:val="center"/>
              <w:rPr>
                <w:rFonts w:ascii="宋体" w:hAnsi="宋体" w:cs="宋体"/>
                <w:kern w:val="0"/>
                <w:sz w:val="18"/>
                <w:szCs w:val="18"/>
              </w:rPr>
            </w:pPr>
            <w:r>
              <w:rPr>
                <w:rFonts w:hint="eastAsia" w:ascii="Arial" w:hAnsi="Arial" w:cs="Arial"/>
                <w:color w:val="000000"/>
                <w:sz w:val="18"/>
                <w:szCs w:val="18"/>
                <w:lang w:bidi="ar"/>
              </w:rPr>
              <w:t>已取得商品房预售许可证（ZB07-01地块云锦一期1#楼、2#楼和3#楼）</w:t>
            </w:r>
          </w:p>
        </w:tc>
        <w:tc>
          <w:tcPr>
            <w:tcW w:w="1271" w:type="dxa"/>
          </w:tcPr>
          <w:p>
            <w:pPr>
              <w:spacing w:line="360" w:lineRule="auto"/>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4</w:t>
            </w:r>
          </w:p>
        </w:tc>
        <w:tc>
          <w:tcPr>
            <w:tcW w:w="251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bidi="ar"/>
              </w:rPr>
              <w:t>2021年12月31日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首期主体结构封顶</w:t>
            </w:r>
          </w:p>
        </w:tc>
        <w:tc>
          <w:tcPr>
            <w:tcW w:w="2310" w:type="dxa"/>
            <w:vAlign w:val="center"/>
          </w:tcPr>
          <w:p>
            <w:pPr>
              <w:jc w:val="center"/>
              <w:textAlignment w:val="center"/>
              <w:rPr>
                <w:rFonts w:ascii="宋体" w:hAnsi="宋体" w:cs="宋体"/>
                <w:kern w:val="0"/>
                <w:sz w:val="18"/>
                <w:szCs w:val="18"/>
              </w:rPr>
            </w:pPr>
          </w:p>
        </w:tc>
        <w:tc>
          <w:tcPr>
            <w:tcW w:w="1271" w:type="dxa"/>
          </w:tcPr>
          <w:p>
            <w:pPr>
              <w:spacing w:line="360" w:lineRule="auto"/>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5</w:t>
            </w:r>
          </w:p>
        </w:tc>
        <w:tc>
          <w:tcPr>
            <w:tcW w:w="251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bidi="ar"/>
              </w:rPr>
              <w:t>信托计划存续满12个月</w:t>
            </w:r>
          </w:p>
          <w:p>
            <w:pPr>
              <w:jc w:val="center"/>
              <w:textAlignment w:val="center"/>
              <w:rPr>
                <w:rFonts w:hint="eastAsia" w:ascii="Arial" w:hAnsi="Arial" w:cs="Arial"/>
                <w:color w:val="000000"/>
                <w:sz w:val="18"/>
                <w:szCs w:val="18"/>
                <w:lang w:eastAsia="zh-CN" w:bidi="ar"/>
              </w:rPr>
            </w:pPr>
            <w:r>
              <w:rPr>
                <w:rFonts w:hint="eastAsia" w:ascii="Arial" w:hAnsi="Arial" w:cs="Arial"/>
                <w:color w:val="000000"/>
                <w:sz w:val="18"/>
                <w:szCs w:val="18"/>
                <w:lang w:eastAsia="zh-CN" w:bidi="ar"/>
              </w:rPr>
              <w:t>（</w:t>
            </w:r>
            <w:r>
              <w:rPr>
                <w:rFonts w:hint="eastAsia" w:ascii="Arial" w:hAnsi="Arial" w:cs="Arial"/>
                <w:color w:val="000000"/>
                <w:sz w:val="18"/>
                <w:szCs w:val="18"/>
                <w:lang w:val="en-US" w:eastAsia="zh-CN" w:bidi="ar"/>
              </w:rPr>
              <w:t>2022年4月1日</w:t>
            </w:r>
            <w:r>
              <w:rPr>
                <w:rFonts w:hint="eastAsia" w:ascii="Arial" w:hAnsi="Arial" w:cs="Arial"/>
                <w:color w:val="000000"/>
                <w:sz w:val="18"/>
                <w:szCs w:val="18"/>
                <w:lang w:eastAsia="zh-CN" w:bidi="ar"/>
              </w:rPr>
              <w:t>）</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全盘住宅销售去化30%</w:t>
            </w:r>
          </w:p>
        </w:tc>
        <w:tc>
          <w:tcPr>
            <w:tcW w:w="2310" w:type="dxa"/>
            <w:vAlign w:val="center"/>
          </w:tcPr>
          <w:p>
            <w:pPr>
              <w:jc w:val="center"/>
              <w:textAlignment w:val="center"/>
              <w:rPr>
                <w:rFonts w:ascii="宋体" w:hAnsi="宋体" w:cs="宋体"/>
                <w:kern w:val="0"/>
                <w:sz w:val="18"/>
                <w:szCs w:val="18"/>
              </w:rPr>
            </w:pPr>
          </w:p>
        </w:tc>
        <w:tc>
          <w:tcPr>
            <w:tcW w:w="1271" w:type="dxa"/>
          </w:tcPr>
          <w:p>
            <w:pPr>
              <w:spacing w:line="360" w:lineRule="auto"/>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6</w:t>
            </w:r>
          </w:p>
        </w:tc>
        <w:tc>
          <w:tcPr>
            <w:tcW w:w="251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bidi="ar"/>
              </w:rPr>
              <w:t>信托计划存续满18个月</w:t>
            </w:r>
          </w:p>
          <w:p>
            <w:pPr>
              <w:jc w:val="center"/>
              <w:textAlignment w:val="center"/>
              <w:rPr>
                <w:rFonts w:hint="eastAsia" w:ascii="Arial" w:hAnsi="Arial" w:cs="Arial"/>
                <w:color w:val="000000"/>
                <w:sz w:val="18"/>
                <w:szCs w:val="18"/>
                <w:lang w:eastAsia="zh-CN" w:bidi="ar"/>
              </w:rPr>
            </w:pPr>
            <w:r>
              <w:rPr>
                <w:rFonts w:hint="eastAsia" w:ascii="Arial" w:hAnsi="Arial" w:cs="Arial"/>
                <w:color w:val="000000"/>
                <w:sz w:val="18"/>
                <w:szCs w:val="18"/>
                <w:lang w:eastAsia="zh-CN" w:bidi="ar"/>
              </w:rPr>
              <w:t>（</w:t>
            </w:r>
            <w:r>
              <w:rPr>
                <w:rFonts w:hint="eastAsia" w:ascii="Arial" w:hAnsi="Arial" w:cs="Arial"/>
                <w:color w:val="000000"/>
                <w:sz w:val="18"/>
                <w:szCs w:val="18"/>
                <w:lang w:val="en-US" w:eastAsia="zh-CN" w:bidi="ar"/>
              </w:rPr>
              <w:t>2022年10月1日</w:t>
            </w:r>
            <w:r>
              <w:rPr>
                <w:rFonts w:hint="eastAsia" w:ascii="Arial" w:hAnsi="Arial" w:cs="Arial"/>
                <w:color w:val="000000"/>
                <w:sz w:val="18"/>
                <w:szCs w:val="18"/>
                <w:lang w:eastAsia="zh-CN" w:bidi="ar"/>
              </w:rPr>
              <w:t>）</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lang w:bidi="ar"/>
              </w:rPr>
              <w:t>全盘住宅销售去化60%</w:t>
            </w:r>
          </w:p>
        </w:tc>
        <w:tc>
          <w:tcPr>
            <w:tcW w:w="2310" w:type="dxa"/>
            <w:vAlign w:val="center"/>
          </w:tcPr>
          <w:p>
            <w:pPr>
              <w:jc w:val="center"/>
              <w:textAlignment w:val="center"/>
              <w:rPr>
                <w:rFonts w:ascii="宋体" w:hAnsi="宋体" w:cs="宋体"/>
                <w:kern w:val="0"/>
                <w:sz w:val="18"/>
                <w:szCs w:val="18"/>
              </w:rPr>
            </w:pPr>
          </w:p>
        </w:tc>
        <w:tc>
          <w:tcPr>
            <w:tcW w:w="1271" w:type="dxa"/>
          </w:tcPr>
          <w:p>
            <w:pPr>
              <w:spacing w:line="360" w:lineRule="auto"/>
              <w:rPr>
                <w:rFonts w:ascii="仿宋" w:hAnsi="仿宋" w:eastAsia="仿宋" w:cs="宋体"/>
                <w:b/>
                <w:bCs/>
                <w:sz w:val="28"/>
                <w:szCs w:val="28"/>
              </w:rPr>
            </w:pPr>
          </w:p>
        </w:tc>
      </w:tr>
    </w:tbl>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（4）其他增信或风控措施落实</w:t>
      </w:r>
      <w:bookmarkEnd w:id="4"/>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无。</w:t>
      </w:r>
    </w:p>
    <w:p>
      <w:pPr>
        <w:widowControl w:val="0"/>
        <w:spacing w:line="480" w:lineRule="auto"/>
        <w:ind w:firstLine="420" w:firstLineChars="200"/>
        <w:jc w:val="both"/>
        <w:rPr>
          <w:rFonts w:ascii="Arial" w:hAnsi="Arial" w:cs="Arial"/>
          <w:kern w:val="44"/>
          <w:sz w:val="21"/>
          <w:szCs w:val="21"/>
          <w:highlight w:val="none"/>
        </w:rPr>
      </w:pPr>
      <w:bookmarkStart w:id="5" w:name="_Toc18879"/>
      <w:r>
        <w:rPr>
          <w:rFonts w:hint="eastAsia" w:ascii="Arial" w:hAnsi="Arial" w:cs="Arial"/>
          <w:kern w:val="44"/>
          <w:sz w:val="21"/>
          <w:szCs w:val="21"/>
          <w:highlight w:val="none"/>
        </w:rPr>
        <w:t>（5）销售情况</w:t>
      </w:r>
      <w:bookmarkEnd w:id="5"/>
    </w:p>
    <w:p>
      <w:pPr>
        <w:widowControl w:val="0"/>
        <w:spacing w:line="480" w:lineRule="auto"/>
        <w:ind w:firstLine="420" w:firstLineChars="200"/>
        <w:jc w:val="both"/>
        <w:rPr>
          <w:rFonts w:hint="eastAsia" w:ascii="Arial" w:hAnsi="Arial" w:cs="Arial"/>
          <w:kern w:val="44"/>
          <w:sz w:val="21"/>
          <w:szCs w:val="21"/>
          <w:lang w:eastAsia="zh-CN"/>
        </w:rPr>
      </w:pPr>
      <w:r>
        <w:rPr>
          <w:rFonts w:hint="eastAsia" w:ascii="Arial" w:hAnsi="Arial" w:cs="Arial"/>
          <w:kern w:val="44"/>
          <w:sz w:val="21"/>
          <w:szCs w:val="21"/>
        </w:rPr>
        <w:t>本月收到销售回款</w:t>
      </w:r>
      <w:r>
        <w:rPr>
          <w:rFonts w:hint="eastAsia" w:ascii="Arial" w:hAnsi="Arial" w:cs="Arial"/>
          <w:kern w:val="44"/>
          <w:sz w:val="21"/>
          <w:szCs w:val="21"/>
          <w:lang w:val="en-US" w:eastAsia="zh-CN"/>
        </w:rPr>
        <w:t>25,654,997.00</w:t>
      </w:r>
      <w:r>
        <w:rPr>
          <w:rFonts w:hint="eastAsia" w:ascii="Arial" w:hAnsi="Arial" w:cs="Arial"/>
          <w:kern w:val="44"/>
          <w:sz w:val="21"/>
          <w:szCs w:val="21"/>
        </w:rPr>
        <w:t>元，开盘</w:t>
      </w:r>
      <w:r>
        <w:rPr>
          <w:rFonts w:hint="eastAsia" w:ascii="Arial" w:hAnsi="Arial" w:cs="Arial"/>
          <w:kern w:val="44"/>
          <w:sz w:val="21"/>
          <w:szCs w:val="21"/>
          <w:lang w:val="en-US" w:eastAsia="zh-CN"/>
        </w:rPr>
        <w:t>609</w:t>
      </w:r>
      <w:r>
        <w:rPr>
          <w:rFonts w:hint="eastAsia" w:ascii="Arial" w:hAnsi="Arial" w:cs="Arial"/>
          <w:kern w:val="44"/>
          <w:sz w:val="21"/>
          <w:szCs w:val="21"/>
        </w:rPr>
        <w:t xml:space="preserve"> 套房源，已售</w:t>
      </w:r>
      <w:r>
        <w:rPr>
          <w:rFonts w:hint="eastAsia" w:ascii="Arial" w:hAnsi="Arial" w:cs="Arial"/>
          <w:kern w:val="44"/>
          <w:sz w:val="21"/>
          <w:szCs w:val="21"/>
          <w:lang w:val="en-US" w:eastAsia="zh-CN"/>
        </w:rPr>
        <w:t>319</w:t>
      </w:r>
      <w:r>
        <w:rPr>
          <w:rFonts w:hint="eastAsia" w:ascii="Arial" w:hAnsi="Arial" w:cs="Arial"/>
          <w:kern w:val="44"/>
          <w:sz w:val="21"/>
          <w:szCs w:val="21"/>
        </w:rPr>
        <w:t>套</w:t>
      </w:r>
      <w:r>
        <w:rPr>
          <w:rFonts w:hint="eastAsia" w:ascii="Arial" w:hAnsi="Arial" w:cs="Arial"/>
          <w:kern w:val="44"/>
          <w:sz w:val="21"/>
          <w:szCs w:val="21"/>
          <w:lang w:val="en-US" w:eastAsia="zh-CN"/>
        </w:rPr>
        <w:t>，</w:t>
      </w:r>
      <w:r>
        <w:rPr>
          <w:rFonts w:hint="eastAsia" w:ascii="Arial" w:hAnsi="Arial" w:cs="Arial"/>
          <w:kern w:val="44"/>
          <w:sz w:val="21"/>
          <w:szCs w:val="21"/>
        </w:rPr>
        <w:t>合同总价为271</w:t>
      </w:r>
      <w:r>
        <w:rPr>
          <w:rFonts w:hint="eastAsia" w:ascii="Arial" w:hAnsi="Arial" w:cs="Arial"/>
          <w:kern w:val="44"/>
          <w:sz w:val="21"/>
          <w:szCs w:val="21"/>
          <w:lang w:val="en-US" w:eastAsia="zh-CN"/>
        </w:rPr>
        <w:t>,</w:t>
      </w:r>
      <w:r>
        <w:rPr>
          <w:rFonts w:hint="eastAsia" w:ascii="Arial" w:hAnsi="Arial" w:cs="Arial"/>
          <w:kern w:val="44"/>
          <w:sz w:val="21"/>
          <w:szCs w:val="21"/>
        </w:rPr>
        <w:t>274</w:t>
      </w:r>
      <w:r>
        <w:rPr>
          <w:rFonts w:hint="eastAsia" w:ascii="Arial" w:hAnsi="Arial" w:cs="Arial"/>
          <w:kern w:val="44"/>
          <w:sz w:val="21"/>
          <w:szCs w:val="21"/>
          <w:lang w:val="en-US" w:eastAsia="zh-CN"/>
        </w:rPr>
        <w:t>,</w:t>
      </w:r>
      <w:r>
        <w:rPr>
          <w:rFonts w:hint="eastAsia" w:ascii="Arial" w:hAnsi="Arial" w:cs="Arial"/>
          <w:kern w:val="44"/>
          <w:sz w:val="21"/>
          <w:szCs w:val="21"/>
        </w:rPr>
        <w:t>804</w:t>
      </w:r>
      <w:r>
        <w:rPr>
          <w:rFonts w:hint="eastAsia" w:ascii="Arial" w:hAnsi="Arial" w:cs="Arial"/>
          <w:kern w:val="44"/>
          <w:sz w:val="21"/>
          <w:szCs w:val="21"/>
          <w:lang w:val="en-US" w:eastAsia="zh-CN"/>
        </w:rPr>
        <w:t>.00</w:t>
      </w:r>
      <w:r>
        <w:rPr>
          <w:rFonts w:hint="eastAsia" w:ascii="Arial" w:hAnsi="Arial" w:cs="Arial"/>
          <w:kern w:val="44"/>
          <w:sz w:val="21"/>
          <w:szCs w:val="21"/>
        </w:rPr>
        <w:t>元</w:t>
      </w:r>
      <w:r>
        <w:rPr>
          <w:rFonts w:hint="eastAsia" w:ascii="Arial" w:hAnsi="Arial" w:cs="Arial"/>
          <w:kern w:val="44"/>
          <w:sz w:val="21"/>
          <w:szCs w:val="21"/>
          <w:lang w:eastAsia="zh-CN"/>
        </w:rPr>
        <w:t>，</w:t>
      </w:r>
      <w:r>
        <w:rPr>
          <w:rFonts w:hint="eastAsia" w:ascii="Arial" w:hAnsi="Arial" w:cs="Arial"/>
          <w:kern w:val="44"/>
          <w:sz w:val="21"/>
          <w:szCs w:val="21"/>
          <w:lang w:val="en-US" w:eastAsia="zh-CN"/>
        </w:rPr>
        <w:t>销售</w:t>
      </w:r>
      <w:r>
        <w:rPr>
          <w:rFonts w:hint="eastAsia" w:ascii="Arial" w:hAnsi="Arial" w:cs="Arial"/>
          <w:kern w:val="44"/>
          <w:sz w:val="21"/>
          <w:szCs w:val="21"/>
        </w:rPr>
        <w:t>回款为278</w:t>
      </w:r>
      <w:r>
        <w:rPr>
          <w:rFonts w:hint="eastAsia" w:ascii="Arial" w:hAnsi="Arial" w:cs="Arial"/>
          <w:kern w:val="44"/>
          <w:sz w:val="21"/>
          <w:szCs w:val="21"/>
          <w:lang w:val="en-US" w:eastAsia="zh-CN"/>
        </w:rPr>
        <w:t>,</w:t>
      </w:r>
      <w:r>
        <w:rPr>
          <w:rFonts w:hint="eastAsia" w:ascii="Arial" w:hAnsi="Arial" w:cs="Arial"/>
          <w:kern w:val="44"/>
          <w:sz w:val="21"/>
          <w:szCs w:val="21"/>
        </w:rPr>
        <w:t>854</w:t>
      </w:r>
      <w:r>
        <w:rPr>
          <w:rFonts w:hint="eastAsia" w:ascii="Arial" w:hAnsi="Arial" w:cs="Arial"/>
          <w:kern w:val="44"/>
          <w:sz w:val="21"/>
          <w:szCs w:val="21"/>
          <w:lang w:val="en-US" w:eastAsia="zh-CN"/>
        </w:rPr>
        <w:t>,</w:t>
      </w:r>
      <w:r>
        <w:rPr>
          <w:rFonts w:hint="eastAsia" w:ascii="Arial" w:hAnsi="Arial" w:cs="Arial"/>
          <w:kern w:val="44"/>
          <w:sz w:val="21"/>
          <w:szCs w:val="21"/>
        </w:rPr>
        <w:t>842.24元</w:t>
      </w:r>
      <w:bookmarkStart w:id="6" w:name="_Toc25313"/>
      <w:r>
        <w:rPr>
          <w:rFonts w:hint="eastAsia" w:ascii="Arial" w:hAnsi="Arial" w:cs="Arial"/>
          <w:kern w:val="44"/>
          <w:sz w:val="21"/>
          <w:szCs w:val="21"/>
        </w:rPr>
        <w:t>(销售回款说明：1.减去进场后已知退房款；2.最终数字含诚意金等收款）。</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（6）四证审批：本</w:t>
      </w:r>
      <w:r>
        <w:rPr>
          <w:rFonts w:hint="eastAsia" w:ascii="Arial" w:hAnsi="Arial" w:cs="Arial"/>
          <w:kern w:val="44"/>
          <w:sz w:val="21"/>
          <w:szCs w:val="21"/>
          <w:lang w:val="en-US" w:eastAsia="zh-CN"/>
        </w:rPr>
        <w:t>月</w:t>
      </w:r>
      <w:r>
        <w:rPr>
          <w:rFonts w:hint="eastAsia" w:ascii="Arial" w:hAnsi="Arial" w:cs="Arial"/>
          <w:kern w:val="44"/>
          <w:sz w:val="21"/>
          <w:szCs w:val="21"/>
        </w:rPr>
        <w:t>云锦一期4#楼预售许可证申请资料用印。</w:t>
      </w:r>
      <w:bookmarkEnd w:id="6"/>
    </w:p>
    <w:p>
      <w:pPr>
        <w:widowControl w:val="0"/>
        <w:spacing w:line="480" w:lineRule="auto"/>
        <w:ind w:firstLine="420" w:firstLineChars="200"/>
        <w:jc w:val="both"/>
        <w:rPr>
          <w:rFonts w:ascii="Arial" w:hAnsi="Arial" w:cs="Arial"/>
          <w:kern w:val="44"/>
          <w:sz w:val="21"/>
          <w:szCs w:val="21"/>
        </w:rPr>
      </w:pPr>
      <w:bookmarkStart w:id="7" w:name="_Toc26422"/>
      <w:r>
        <w:rPr>
          <w:rFonts w:hint="eastAsia" w:ascii="Arial" w:hAnsi="Arial" w:cs="Arial"/>
          <w:kern w:val="44"/>
          <w:sz w:val="21"/>
          <w:szCs w:val="21"/>
        </w:rPr>
        <w:t>（7）工程进度：首批推盘区最高施工至</w:t>
      </w:r>
      <w:r>
        <w:rPr>
          <w:rFonts w:hint="eastAsia" w:ascii="Arial" w:hAnsi="Arial" w:cs="Arial"/>
          <w:kern w:val="44"/>
          <w:sz w:val="21"/>
          <w:szCs w:val="21"/>
          <w:lang w:val="en-US" w:eastAsia="zh-CN"/>
        </w:rPr>
        <w:t>13</w:t>
      </w:r>
      <w:r>
        <w:rPr>
          <w:rFonts w:hint="eastAsia" w:ascii="Arial" w:hAnsi="Arial" w:cs="Arial"/>
          <w:kern w:val="44"/>
          <w:sz w:val="21"/>
          <w:szCs w:val="21"/>
        </w:rPr>
        <w:t>层。</w:t>
      </w:r>
      <w:bookmarkEnd w:id="7"/>
    </w:p>
    <w:p>
      <w:pPr>
        <w:widowControl w:val="0"/>
        <w:spacing w:line="480" w:lineRule="auto"/>
        <w:ind w:firstLine="420" w:firstLineChars="200"/>
        <w:jc w:val="both"/>
        <w:rPr>
          <w:rFonts w:ascii="Arial" w:hAnsi="Arial" w:cs="Arial"/>
          <w:kern w:val="44"/>
          <w:sz w:val="21"/>
          <w:szCs w:val="21"/>
        </w:rPr>
      </w:pPr>
      <w:bookmarkStart w:id="8" w:name="_Toc20601"/>
      <w:r>
        <w:rPr>
          <w:rFonts w:hint="eastAsia" w:ascii="Arial" w:hAnsi="Arial" w:cs="Arial"/>
          <w:kern w:val="44"/>
          <w:sz w:val="21"/>
          <w:szCs w:val="21"/>
        </w:rPr>
        <w:t>（8）资金收支：</w:t>
      </w:r>
      <w:bookmarkEnd w:id="8"/>
    </w:p>
    <w:p>
      <w:pPr>
        <w:widowControl w:val="0"/>
        <w:spacing w:line="480" w:lineRule="auto"/>
        <w:ind w:firstLine="420" w:firstLineChars="200"/>
        <w:jc w:val="both"/>
        <w:rPr>
          <w:rFonts w:hint="eastAsia" w:ascii="Arial" w:hAnsi="Arial" w:cs="Arial"/>
          <w:kern w:val="44"/>
          <w:sz w:val="21"/>
          <w:szCs w:val="21"/>
        </w:rPr>
      </w:pPr>
      <w:bookmarkStart w:id="9" w:name="_Toc16799"/>
      <w:r>
        <w:rPr>
          <w:rFonts w:hint="eastAsia" w:ascii="Arial" w:hAnsi="Arial" w:cs="Arial"/>
          <w:kern w:val="44"/>
          <w:sz w:val="21"/>
          <w:szCs w:val="21"/>
        </w:rPr>
        <w:t>SPV公司本</w:t>
      </w:r>
      <w:r>
        <w:rPr>
          <w:rFonts w:hint="eastAsia" w:ascii="Arial" w:hAnsi="Arial" w:cs="Arial"/>
          <w:kern w:val="44"/>
          <w:sz w:val="21"/>
          <w:szCs w:val="21"/>
          <w:lang w:val="en-US" w:eastAsia="zh-CN"/>
        </w:rPr>
        <w:t>月</w:t>
      </w:r>
      <w:r>
        <w:rPr>
          <w:rFonts w:hint="eastAsia" w:ascii="Arial" w:hAnsi="Arial" w:cs="Arial"/>
          <w:kern w:val="44"/>
          <w:sz w:val="21"/>
          <w:szCs w:val="21"/>
        </w:rPr>
        <w:t>流入</w:t>
      </w:r>
      <w:r>
        <w:rPr>
          <w:rFonts w:hint="eastAsia" w:ascii="Arial" w:hAnsi="Arial" w:cs="Arial"/>
          <w:kern w:val="44"/>
          <w:sz w:val="21"/>
          <w:szCs w:val="21"/>
          <w:lang w:val="en-US" w:eastAsia="zh-CN"/>
        </w:rPr>
        <w:t>14,790,000.00</w:t>
      </w:r>
      <w:r>
        <w:rPr>
          <w:rFonts w:hint="eastAsia" w:ascii="Arial" w:hAnsi="Arial" w:cs="Arial"/>
          <w:kern w:val="44"/>
          <w:sz w:val="21"/>
          <w:szCs w:val="21"/>
        </w:rPr>
        <w:t>元</w:t>
      </w:r>
      <w:r>
        <w:rPr>
          <w:rFonts w:hint="eastAsia" w:ascii="Arial" w:hAnsi="Arial" w:cs="Arial"/>
          <w:kern w:val="44"/>
          <w:sz w:val="21"/>
          <w:szCs w:val="21"/>
          <w:lang w:eastAsia="zh-CN"/>
        </w:rPr>
        <w:t>，</w:t>
      </w:r>
      <w:r>
        <w:rPr>
          <w:rFonts w:hint="eastAsia" w:ascii="Arial" w:hAnsi="Arial" w:cs="Arial"/>
          <w:kern w:val="44"/>
          <w:sz w:val="21"/>
          <w:szCs w:val="21"/>
          <w:lang w:val="en-US" w:eastAsia="zh-CN"/>
        </w:rPr>
        <w:t>其中宜宾骏继洪骥置业有限责任公司投入14,790,000.00元</w:t>
      </w:r>
      <w:r>
        <w:rPr>
          <w:rFonts w:hint="eastAsia" w:ascii="Arial" w:hAnsi="Arial" w:cs="Arial"/>
          <w:kern w:val="44"/>
          <w:sz w:val="21"/>
          <w:szCs w:val="21"/>
        </w:rPr>
        <w:t>；本周流出</w:t>
      </w:r>
      <w:r>
        <w:rPr>
          <w:rFonts w:hint="eastAsia" w:ascii="Arial" w:hAnsi="Arial" w:cs="Arial"/>
          <w:kern w:val="44"/>
          <w:sz w:val="21"/>
          <w:szCs w:val="21"/>
          <w:lang w:val="en-US" w:eastAsia="zh-CN"/>
        </w:rPr>
        <w:t>4,455,463.74</w:t>
      </w:r>
      <w:r>
        <w:rPr>
          <w:rFonts w:hint="eastAsia" w:ascii="Arial" w:hAnsi="Arial" w:cs="Arial"/>
          <w:kern w:val="44"/>
          <w:sz w:val="21"/>
          <w:szCs w:val="21"/>
        </w:rPr>
        <w:t>元</w:t>
      </w:r>
      <w:r>
        <w:rPr>
          <w:rFonts w:hint="eastAsia" w:ascii="Arial" w:hAnsi="Arial" w:cs="Arial"/>
          <w:kern w:val="44"/>
          <w:sz w:val="21"/>
          <w:szCs w:val="21"/>
          <w:lang w:eastAsia="zh-CN"/>
        </w:rPr>
        <w:t>，</w:t>
      </w:r>
      <w:r>
        <w:rPr>
          <w:rFonts w:hint="eastAsia" w:ascii="Arial" w:hAnsi="Arial" w:cs="Arial"/>
          <w:kern w:val="44"/>
          <w:sz w:val="21"/>
          <w:szCs w:val="21"/>
          <w:lang w:val="en-US" w:eastAsia="zh-CN"/>
        </w:rPr>
        <w:t>其中</w:t>
      </w:r>
      <w:r>
        <w:rPr>
          <w:rFonts w:hint="eastAsia" w:ascii="Arial" w:hAnsi="Arial" w:cs="Arial"/>
          <w:kern w:val="44"/>
          <w:sz w:val="21"/>
          <w:szCs w:val="21"/>
          <w:lang w:eastAsia="zh-CN"/>
        </w:rPr>
        <w:t>常州世茂房地产有限公司</w:t>
      </w:r>
      <w:r>
        <w:rPr>
          <w:rFonts w:hint="eastAsia" w:ascii="Arial" w:hAnsi="Arial" w:cs="Arial"/>
          <w:kern w:val="44"/>
          <w:sz w:val="21"/>
          <w:szCs w:val="21"/>
          <w:lang w:val="en-US" w:eastAsia="zh-CN"/>
        </w:rPr>
        <w:t>分配4,437,000.00元，财务费用88.74元，税费18,375.00元</w:t>
      </w:r>
      <w:r>
        <w:rPr>
          <w:rFonts w:hint="eastAsia" w:ascii="Arial" w:hAnsi="Arial" w:cs="Arial"/>
          <w:kern w:val="44"/>
          <w:sz w:val="21"/>
          <w:szCs w:val="21"/>
        </w:rPr>
        <w:t>；SPV所有账户余额10</w:t>
      </w:r>
      <w:r>
        <w:rPr>
          <w:rFonts w:hint="eastAsia" w:ascii="Arial" w:hAnsi="Arial" w:cs="Arial"/>
          <w:kern w:val="44"/>
          <w:sz w:val="21"/>
          <w:szCs w:val="21"/>
          <w:lang w:val="en-US" w:eastAsia="zh-CN"/>
        </w:rPr>
        <w:t>,</w:t>
      </w:r>
      <w:r>
        <w:rPr>
          <w:rFonts w:hint="eastAsia" w:ascii="Arial" w:hAnsi="Arial" w:cs="Arial"/>
          <w:kern w:val="44"/>
          <w:sz w:val="21"/>
          <w:szCs w:val="21"/>
        </w:rPr>
        <w:t>341</w:t>
      </w:r>
      <w:r>
        <w:rPr>
          <w:rFonts w:hint="eastAsia" w:ascii="Arial" w:hAnsi="Arial" w:cs="Arial"/>
          <w:kern w:val="44"/>
          <w:sz w:val="21"/>
          <w:szCs w:val="21"/>
          <w:lang w:val="en-US" w:eastAsia="zh-CN"/>
        </w:rPr>
        <w:t>,</w:t>
      </w:r>
      <w:r>
        <w:rPr>
          <w:rFonts w:hint="eastAsia" w:ascii="Arial" w:hAnsi="Arial" w:cs="Arial"/>
          <w:kern w:val="44"/>
          <w:sz w:val="21"/>
          <w:szCs w:val="21"/>
        </w:rPr>
        <w:t>404.73元，其中受限资金0元。</w:t>
      </w:r>
    </w:p>
    <w:p>
      <w:pPr>
        <w:widowControl w:val="0"/>
        <w:spacing w:line="480" w:lineRule="auto"/>
        <w:ind w:firstLine="420" w:firstLineChars="200"/>
        <w:jc w:val="both"/>
        <w:rPr>
          <w:rFonts w:hint="eastAsia" w:ascii="Arial" w:hAnsi="Arial" w:cs="Arial"/>
          <w:kern w:val="44"/>
          <w:sz w:val="21"/>
          <w:szCs w:val="21"/>
          <w:lang w:val="en-US" w:eastAsia="zh-CN"/>
        </w:rPr>
      </w:pPr>
      <w:r>
        <w:rPr>
          <w:rFonts w:hint="eastAsia" w:ascii="Arial" w:hAnsi="Arial" w:cs="Arial"/>
          <w:kern w:val="44"/>
          <w:sz w:val="21"/>
          <w:szCs w:val="21"/>
          <w:lang w:val="en-US" w:eastAsia="zh-CN"/>
        </w:rPr>
        <w:t>项目公司本月流入54,654,997.00元，其中销售回款25,654,997.00元，宜宾佳鑫建筑工程有限责任公司盘活资金29,000,000.00元；本月流出69,120,287.42元，其中开发费用48,800.00元，建安费用6,510,000.00元，管理费用2,989,880.36元，营销费用163,904.56元，财务费用2,096.58元，税费1,171,605.92元，退房款70,000.00元，公积金贷款保证金164,000.00元，宜宾佳鑫建筑工程有限责任公司盘活资金29,000,000.00元，成都金座置业有限公司分配14,210,000.00元，成都信茂涵置业有限公司分配14,790,000.00元；项目公司所有账户余额为108,897,151.44元，其中银行账户余额为108,634,515.84元，其他货币资金-POS机收款余额为262,635.60元（多次询问项目公司未提供最新数据），受限资金94,815,063.14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（9）成本合约</w:t>
      </w:r>
      <w:bookmarkEnd w:id="9"/>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本</w:t>
      </w:r>
      <w:r>
        <w:rPr>
          <w:rFonts w:hint="eastAsia" w:ascii="Arial" w:hAnsi="Arial" w:cs="Arial"/>
          <w:kern w:val="44"/>
          <w:sz w:val="21"/>
          <w:szCs w:val="21"/>
          <w:lang w:val="en-US" w:eastAsia="zh-CN"/>
        </w:rPr>
        <w:t>月</w:t>
      </w:r>
      <w:r>
        <w:rPr>
          <w:rFonts w:hint="eastAsia" w:ascii="Arial" w:hAnsi="Arial" w:cs="Arial"/>
          <w:kern w:val="44"/>
          <w:sz w:val="21"/>
          <w:szCs w:val="21"/>
        </w:rPr>
        <w:t>签订开发成本类合同</w:t>
      </w:r>
      <w:r>
        <w:rPr>
          <w:rFonts w:hint="eastAsia" w:ascii="Arial" w:hAnsi="Arial" w:cs="Arial"/>
          <w:kern w:val="44"/>
          <w:sz w:val="21"/>
          <w:szCs w:val="21"/>
          <w:lang w:val="en-US" w:eastAsia="zh-CN"/>
        </w:rPr>
        <w:t>3</w:t>
      </w:r>
      <w:r>
        <w:rPr>
          <w:rFonts w:hint="eastAsia" w:ascii="Arial" w:hAnsi="Arial" w:cs="Arial"/>
          <w:kern w:val="44"/>
          <w:sz w:val="21"/>
          <w:szCs w:val="21"/>
        </w:rPr>
        <w:t>份，开发成本累计合同金额(含无合同已发生成本)1</w:t>
      </w:r>
      <w:r>
        <w:rPr>
          <w:rFonts w:hint="eastAsia" w:ascii="Arial" w:hAnsi="Arial" w:cs="Arial"/>
          <w:kern w:val="44"/>
          <w:sz w:val="21"/>
          <w:szCs w:val="21"/>
          <w:lang w:val="en-US" w:eastAsia="zh-CN"/>
        </w:rPr>
        <w:t>,</w:t>
      </w:r>
      <w:r>
        <w:rPr>
          <w:rFonts w:hint="eastAsia" w:ascii="Arial" w:hAnsi="Arial" w:cs="Arial"/>
          <w:kern w:val="44"/>
          <w:sz w:val="21"/>
          <w:szCs w:val="21"/>
        </w:rPr>
        <w:t>178</w:t>
      </w:r>
      <w:r>
        <w:rPr>
          <w:rFonts w:hint="eastAsia" w:ascii="Arial" w:hAnsi="Arial" w:cs="Arial"/>
          <w:kern w:val="44"/>
          <w:sz w:val="21"/>
          <w:szCs w:val="21"/>
          <w:lang w:val="en-US" w:eastAsia="zh-CN"/>
        </w:rPr>
        <w:t>,</w:t>
      </w:r>
      <w:r>
        <w:rPr>
          <w:rFonts w:hint="eastAsia" w:ascii="Arial" w:hAnsi="Arial" w:cs="Arial"/>
          <w:kern w:val="44"/>
          <w:sz w:val="21"/>
          <w:szCs w:val="21"/>
        </w:rPr>
        <w:t>562</w:t>
      </w:r>
      <w:r>
        <w:rPr>
          <w:rFonts w:hint="eastAsia" w:ascii="Arial" w:hAnsi="Arial" w:cs="Arial"/>
          <w:kern w:val="44"/>
          <w:sz w:val="21"/>
          <w:szCs w:val="21"/>
          <w:lang w:val="en-US" w:eastAsia="zh-CN"/>
        </w:rPr>
        <w:t>,</w:t>
      </w:r>
      <w:r>
        <w:rPr>
          <w:rFonts w:hint="eastAsia" w:ascii="Arial" w:hAnsi="Arial" w:cs="Arial"/>
          <w:kern w:val="44"/>
          <w:sz w:val="21"/>
          <w:szCs w:val="21"/>
        </w:rPr>
        <w:t>131.12元，占开发成本总预算的1,953,280,000.00元60.</w:t>
      </w:r>
      <w:r>
        <w:rPr>
          <w:rFonts w:hint="eastAsia" w:ascii="Arial" w:hAnsi="Arial" w:cs="Arial"/>
          <w:kern w:val="44"/>
          <w:sz w:val="21"/>
          <w:szCs w:val="21"/>
          <w:lang w:val="en-US" w:eastAsia="zh-CN"/>
        </w:rPr>
        <w:t>34</w:t>
      </w:r>
      <w:r>
        <w:rPr>
          <w:rFonts w:hint="eastAsia" w:ascii="Arial" w:hAnsi="Arial" w:cs="Arial"/>
          <w:kern w:val="44"/>
          <w:sz w:val="21"/>
          <w:szCs w:val="21"/>
        </w:rPr>
        <w:t>%，开发成本累计支付855</w:t>
      </w:r>
      <w:r>
        <w:rPr>
          <w:rFonts w:hint="eastAsia" w:ascii="Arial" w:hAnsi="Arial" w:cs="Arial"/>
          <w:kern w:val="44"/>
          <w:sz w:val="21"/>
          <w:szCs w:val="21"/>
          <w:lang w:val="en-US" w:eastAsia="zh-CN"/>
        </w:rPr>
        <w:t>,</w:t>
      </w:r>
      <w:r>
        <w:rPr>
          <w:rFonts w:hint="eastAsia" w:ascii="Arial" w:hAnsi="Arial" w:cs="Arial"/>
          <w:kern w:val="44"/>
          <w:sz w:val="21"/>
          <w:szCs w:val="21"/>
        </w:rPr>
        <w:t>656</w:t>
      </w:r>
      <w:r>
        <w:rPr>
          <w:rFonts w:hint="eastAsia" w:ascii="Arial" w:hAnsi="Arial" w:cs="Arial"/>
          <w:kern w:val="44"/>
          <w:sz w:val="21"/>
          <w:szCs w:val="21"/>
          <w:lang w:val="en-US" w:eastAsia="zh-CN"/>
        </w:rPr>
        <w:t>,</w:t>
      </w:r>
      <w:r>
        <w:rPr>
          <w:rFonts w:hint="eastAsia" w:ascii="Arial" w:hAnsi="Arial" w:cs="Arial"/>
          <w:kern w:val="44"/>
          <w:sz w:val="21"/>
          <w:szCs w:val="21"/>
        </w:rPr>
        <w:t>628.78元，占开发成本总预算的43.</w:t>
      </w:r>
      <w:r>
        <w:rPr>
          <w:rFonts w:hint="eastAsia" w:ascii="Arial" w:hAnsi="Arial" w:cs="Arial"/>
          <w:kern w:val="44"/>
          <w:sz w:val="21"/>
          <w:szCs w:val="21"/>
          <w:lang w:val="en-US" w:eastAsia="zh-CN"/>
        </w:rPr>
        <w:t>81</w:t>
      </w:r>
      <w:r>
        <w:rPr>
          <w:rFonts w:hint="eastAsia" w:ascii="Arial" w:hAnsi="Arial" w:cs="Arial"/>
          <w:kern w:val="44"/>
          <w:sz w:val="21"/>
          <w:szCs w:val="21"/>
        </w:rPr>
        <w:t>%。</w:t>
      </w:r>
    </w:p>
    <w:p>
      <w:pPr>
        <w:widowControl w:val="0"/>
        <w:spacing w:line="480" w:lineRule="auto"/>
        <w:ind w:firstLine="420" w:firstLineChars="200"/>
        <w:jc w:val="both"/>
        <w:rPr>
          <w:rFonts w:ascii="Arial" w:hAnsi="Arial" w:cs="Arial"/>
          <w:kern w:val="44"/>
          <w:sz w:val="21"/>
          <w:szCs w:val="21"/>
        </w:rPr>
      </w:pPr>
      <w:bookmarkStart w:id="10" w:name="_Toc30798"/>
      <w:r>
        <w:rPr>
          <w:rFonts w:hint="eastAsia" w:ascii="Arial" w:hAnsi="Arial" w:cs="Arial"/>
          <w:kern w:val="44"/>
          <w:sz w:val="21"/>
          <w:szCs w:val="21"/>
        </w:rPr>
        <w:t>（10）项目开发贷及其他融资</w:t>
      </w:r>
      <w:bookmarkEnd w:id="10"/>
    </w:p>
    <w:p>
      <w:pPr>
        <w:widowControl w:val="0"/>
        <w:spacing w:line="480" w:lineRule="auto"/>
        <w:ind w:firstLine="420" w:firstLineChars="200"/>
        <w:jc w:val="both"/>
        <w:rPr>
          <w:rFonts w:hint="eastAsia" w:ascii="Arial" w:hAnsi="Arial" w:cs="Arial"/>
          <w:kern w:val="44"/>
          <w:sz w:val="21"/>
          <w:szCs w:val="21"/>
        </w:rPr>
      </w:pPr>
      <w:bookmarkStart w:id="11" w:name="_Toc17164"/>
      <w:r>
        <w:rPr>
          <w:rFonts w:hint="eastAsia" w:ascii="Arial" w:hAnsi="Arial" w:cs="Arial"/>
          <w:kern w:val="44"/>
          <w:sz w:val="21"/>
          <w:szCs w:val="21"/>
        </w:rPr>
        <w:t>项目公司</w:t>
      </w:r>
      <w:r>
        <w:rPr>
          <w:rFonts w:hint="eastAsia" w:ascii="Arial" w:hAnsi="Arial" w:cs="Arial"/>
          <w:kern w:val="44"/>
          <w:sz w:val="21"/>
          <w:szCs w:val="21"/>
          <w:lang w:val="en-US" w:eastAsia="zh-CN"/>
        </w:rPr>
        <w:t>已提供</w:t>
      </w:r>
      <w:r>
        <w:rPr>
          <w:rFonts w:hint="eastAsia" w:ascii="Arial" w:hAnsi="Arial" w:cs="Arial"/>
          <w:kern w:val="44"/>
          <w:sz w:val="21"/>
          <w:szCs w:val="21"/>
        </w:rPr>
        <w:t>三月份报表显示累计未兑付的商业承兑汇票共计</w:t>
      </w:r>
      <w:r>
        <w:rPr>
          <w:rFonts w:hint="eastAsia" w:ascii="Arial" w:hAnsi="Arial" w:cs="Arial"/>
          <w:kern w:val="44"/>
          <w:sz w:val="21"/>
          <w:szCs w:val="21"/>
          <w:lang w:val="en-US" w:eastAsia="zh-CN"/>
        </w:rPr>
        <w:t>金额26,622,936.95元明细（为</w:t>
      </w:r>
      <w:r>
        <w:rPr>
          <w:rFonts w:hint="eastAsia" w:ascii="Arial" w:hAnsi="Arial" w:cs="Arial"/>
          <w:kern w:val="44"/>
          <w:sz w:val="21"/>
          <w:szCs w:val="21"/>
        </w:rPr>
        <w:t>商业承兑汇票金额</w:t>
      </w:r>
      <w:r>
        <w:rPr>
          <w:rFonts w:hint="eastAsia" w:ascii="Arial" w:hAnsi="Arial" w:cs="Arial"/>
          <w:kern w:val="44"/>
          <w:sz w:val="21"/>
          <w:szCs w:val="21"/>
          <w:lang w:val="en-US" w:eastAsia="zh-CN"/>
        </w:rPr>
        <w:t>与</w:t>
      </w:r>
      <w:r>
        <w:rPr>
          <w:rFonts w:hint="eastAsia" w:ascii="Arial" w:hAnsi="Arial" w:cs="Arial"/>
          <w:kern w:val="44"/>
          <w:sz w:val="21"/>
          <w:szCs w:val="21"/>
        </w:rPr>
        <w:t>保理金额</w:t>
      </w:r>
      <w:r>
        <w:rPr>
          <w:rFonts w:hint="eastAsia" w:ascii="Arial" w:hAnsi="Arial" w:cs="Arial"/>
          <w:kern w:val="44"/>
          <w:sz w:val="21"/>
          <w:szCs w:val="21"/>
          <w:lang w:val="en-US" w:eastAsia="zh-CN"/>
        </w:rPr>
        <w:t xml:space="preserve">），截至5月31日未兑付的商业承兑汇票总额为 </w:t>
      </w:r>
      <w:r>
        <w:rPr>
          <w:rFonts w:hint="eastAsia" w:ascii="Arial" w:hAnsi="Arial" w:cs="Arial"/>
          <w:kern w:val="44"/>
          <w:sz w:val="21"/>
          <w:szCs w:val="21"/>
        </w:rPr>
        <w:t>26</w:t>
      </w:r>
      <w:r>
        <w:rPr>
          <w:rFonts w:hint="eastAsia" w:ascii="Arial" w:hAnsi="Arial" w:cs="Arial"/>
          <w:kern w:val="44"/>
          <w:sz w:val="21"/>
          <w:szCs w:val="21"/>
          <w:lang w:val="en-US" w:eastAsia="zh-CN"/>
        </w:rPr>
        <w:t>,</w:t>
      </w:r>
      <w:r>
        <w:rPr>
          <w:rFonts w:hint="eastAsia" w:ascii="Arial" w:hAnsi="Arial" w:cs="Arial"/>
          <w:kern w:val="44"/>
          <w:sz w:val="21"/>
          <w:szCs w:val="21"/>
        </w:rPr>
        <w:t>260</w:t>
      </w:r>
      <w:r>
        <w:rPr>
          <w:rFonts w:hint="eastAsia" w:ascii="Arial" w:hAnsi="Arial" w:cs="Arial"/>
          <w:kern w:val="44"/>
          <w:sz w:val="21"/>
          <w:szCs w:val="21"/>
          <w:lang w:val="en-US" w:eastAsia="zh-CN"/>
        </w:rPr>
        <w:t>,</w:t>
      </w:r>
      <w:r>
        <w:rPr>
          <w:rFonts w:hint="eastAsia" w:ascii="Arial" w:hAnsi="Arial" w:cs="Arial"/>
          <w:kern w:val="44"/>
          <w:sz w:val="21"/>
          <w:szCs w:val="21"/>
        </w:rPr>
        <w:t>580.94元，项目公司提供的明细台账累计未兑付的商业承兑汇票金额为14</w:t>
      </w:r>
      <w:r>
        <w:rPr>
          <w:rFonts w:hint="eastAsia" w:ascii="Arial" w:hAnsi="Arial" w:cs="Arial"/>
          <w:kern w:val="44"/>
          <w:sz w:val="21"/>
          <w:szCs w:val="21"/>
          <w:lang w:val="en-US" w:eastAsia="zh-CN"/>
        </w:rPr>
        <w:t>,</w:t>
      </w:r>
      <w:r>
        <w:rPr>
          <w:rFonts w:hint="eastAsia" w:ascii="Arial" w:hAnsi="Arial" w:cs="Arial"/>
          <w:kern w:val="44"/>
          <w:sz w:val="21"/>
          <w:szCs w:val="21"/>
        </w:rPr>
        <w:t>710</w:t>
      </w:r>
      <w:r>
        <w:rPr>
          <w:rFonts w:hint="eastAsia" w:ascii="Arial" w:hAnsi="Arial" w:cs="Arial"/>
          <w:kern w:val="44"/>
          <w:sz w:val="21"/>
          <w:szCs w:val="21"/>
          <w:lang w:val="en-US" w:eastAsia="zh-CN"/>
        </w:rPr>
        <w:t>,</w:t>
      </w:r>
      <w:r>
        <w:rPr>
          <w:rFonts w:hint="eastAsia" w:ascii="Arial" w:hAnsi="Arial" w:cs="Arial"/>
          <w:kern w:val="44"/>
          <w:sz w:val="21"/>
          <w:szCs w:val="21"/>
        </w:rPr>
        <w:t>125.05元，保理金额为11</w:t>
      </w:r>
      <w:r>
        <w:rPr>
          <w:rFonts w:hint="eastAsia" w:ascii="Arial" w:hAnsi="Arial" w:cs="Arial"/>
          <w:kern w:val="44"/>
          <w:sz w:val="21"/>
          <w:szCs w:val="21"/>
          <w:lang w:val="en-US" w:eastAsia="zh-CN"/>
        </w:rPr>
        <w:t>,</w:t>
      </w:r>
      <w:r>
        <w:rPr>
          <w:rFonts w:hint="eastAsia" w:ascii="Arial" w:hAnsi="Arial" w:cs="Arial"/>
          <w:kern w:val="44"/>
          <w:sz w:val="21"/>
          <w:szCs w:val="21"/>
        </w:rPr>
        <w:t>550</w:t>
      </w:r>
      <w:r>
        <w:rPr>
          <w:rFonts w:hint="eastAsia" w:ascii="Arial" w:hAnsi="Arial" w:cs="Arial"/>
          <w:kern w:val="44"/>
          <w:sz w:val="21"/>
          <w:szCs w:val="21"/>
          <w:lang w:val="en-US" w:eastAsia="zh-CN"/>
        </w:rPr>
        <w:t>,</w:t>
      </w:r>
      <w:r>
        <w:rPr>
          <w:rFonts w:hint="eastAsia" w:ascii="Arial" w:hAnsi="Arial" w:cs="Arial"/>
          <w:kern w:val="44"/>
          <w:sz w:val="21"/>
          <w:szCs w:val="21"/>
        </w:rPr>
        <w:t>455.89</w:t>
      </w:r>
      <w:r>
        <w:rPr>
          <w:rFonts w:hint="eastAsia" w:ascii="Arial" w:hAnsi="Arial" w:cs="Arial"/>
          <w:kern w:val="44"/>
          <w:sz w:val="21"/>
          <w:szCs w:val="21"/>
          <w:lang w:val="en-US" w:eastAsia="zh-CN"/>
        </w:rPr>
        <w:t>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（11）其他重大事件及存在的风险情况披露：</w:t>
      </w:r>
      <w:bookmarkEnd w:id="11"/>
    </w:p>
    <w:p>
      <w:pPr>
        <w:widowControl w:val="0"/>
        <w:spacing w:line="480" w:lineRule="auto"/>
        <w:ind w:firstLine="420" w:firstLineChars="200"/>
        <w:jc w:val="both"/>
        <w:rPr>
          <w:rFonts w:hint="eastAsia" w:ascii="Arial" w:hAnsi="Arial" w:cs="Arial"/>
          <w:kern w:val="44"/>
          <w:sz w:val="21"/>
          <w:szCs w:val="21"/>
        </w:rPr>
      </w:pPr>
      <w:bookmarkStart w:id="12" w:name="_Toc12000"/>
      <w:r>
        <w:rPr>
          <w:rFonts w:hint="eastAsia" w:ascii="Arial" w:hAnsi="Arial" w:cs="Arial"/>
          <w:kern w:val="44"/>
          <w:sz w:val="21"/>
          <w:szCs w:val="21"/>
        </w:rPr>
        <w:t>1）项目公司已增加一台新保险柜，由驻场监管人员保管主钥匙及密码，原存放印章证照的旧保险柜现放置于新保险柜内，由合作方金座保管主钥匙、世茂保管密码。</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2）项目公司未提供全部工程合同完整资料。</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3）项目公司提交云锦一期4#楼预售许可证申请资料用印，表示云锦一期5#楼预售许可证前期已提交资料办理，因工程进度未达要求暂未领取，计划领取4#楼预售许可证时一起领取5#楼预售许可证。</w:t>
      </w:r>
    </w:p>
    <w:p>
      <w:pPr>
        <w:widowControl w:val="0"/>
        <w:spacing w:line="480" w:lineRule="auto"/>
        <w:ind w:firstLine="420" w:firstLineChars="200"/>
        <w:jc w:val="both"/>
        <w:rPr>
          <w:rFonts w:hint="eastAsia" w:ascii="Arial" w:hAnsi="Arial" w:cs="Arial"/>
          <w:kern w:val="44"/>
          <w:sz w:val="21"/>
          <w:szCs w:val="21"/>
          <w:lang w:val="en-US" w:eastAsia="zh-CN"/>
        </w:rPr>
      </w:pPr>
      <w:r>
        <w:rPr>
          <w:rFonts w:hint="eastAsia" w:ascii="Arial" w:hAnsi="Arial" w:cs="Arial"/>
          <w:kern w:val="44"/>
          <w:sz w:val="21"/>
          <w:szCs w:val="21"/>
          <w:lang w:val="en-US" w:eastAsia="zh-CN"/>
        </w:rPr>
        <w:t>4）2021年5月26日，SPV公司法人印鉴变更。</w:t>
      </w:r>
    </w:p>
    <w:p>
      <w:pPr>
        <w:widowControl w:val="0"/>
        <w:spacing w:line="480" w:lineRule="auto"/>
        <w:ind w:firstLine="420" w:firstLineChars="200"/>
        <w:jc w:val="both"/>
        <w:rPr>
          <w:rFonts w:hint="eastAsia" w:ascii="Arial" w:hAnsi="Arial" w:cs="Arial"/>
          <w:kern w:val="44"/>
          <w:sz w:val="21"/>
          <w:szCs w:val="21"/>
        </w:rPr>
        <w:sectPr>
          <w:footerReference r:id="rId6"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425" w:num="1"/>
          <w:docGrid w:type="linesAndChars" w:linePitch="326" w:charSpace="0"/>
        </w:sectPr>
      </w:pPr>
      <w:r>
        <w:rPr>
          <w:rFonts w:hint="eastAsia" w:ascii="Arial" w:hAnsi="Arial" w:cs="Arial"/>
          <w:kern w:val="44"/>
          <w:sz w:val="21"/>
          <w:szCs w:val="21"/>
          <w:lang w:val="en-US" w:eastAsia="zh-CN"/>
        </w:rPr>
        <w:t>5）2021年5月27日，SPV公司办理基本户法人变更，提交资料未齐全，待资料齐全后3-5个工作日可领取新的开户许可证。</w:t>
      </w:r>
    </w:p>
    <w:p>
      <w:pPr>
        <w:jc w:val="center"/>
        <w:rPr>
          <w:rFonts w:ascii="宋体" w:hAnsi="宋体" w:cs="宋体"/>
          <w:b/>
          <w:bCs/>
          <w:sz w:val="21"/>
          <w:szCs w:val="21"/>
        </w:rPr>
      </w:pPr>
      <w:r>
        <w:rPr>
          <w:rFonts w:hint="eastAsia" w:ascii="宋体" w:hAnsi="宋体" w:cs="宋体"/>
          <w:b/>
          <w:bCs/>
          <w:sz w:val="21"/>
          <w:szCs w:val="21"/>
        </w:rPr>
        <w:t>中航信托•天启【2020】565号宜宾站前广场项目</w:t>
      </w:r>
      <w:bookmarkEnd w:id="12"/>
    </w:p>
    <w:p>
      <w:pPr>
        <w:jc w:val="center"/>
        <w:rPr>
          <w:rFonts w:ascii="宋体" w:hAnsi="宋体" w:cs="宋体"/>
          <w:b/>
          <w:bCs/>
          <w:sz w:val="21"/>
          <w:szCs w:val="21"/>
        </w:rPr>
      </w:pPr>
      <w:bookmarkStart w:id="13" w:name="_Toc32234"/>
      <w:r>
        <w:rPr>
          <w:rFonts w:hint="eastAsia" w:ascii="宋体" w:hAnsi="宋体" w:cs="宋体"/>
          <w:b/>
          <w:bCs/>
          <w:sz w:val="21"/>
          <w:szCs w:val="21"/>
        </w:rPr>
        <w:t>监管月报</w:t>
      </w:r>
      <w:bookmarkEnd w:id="13"/>
    </w:p>
    <w:p>
      <w:pPr>
        <w:pStyle w:val="3"/>
        <w:keepNext w:val="0"/>
        <w:keepLines w:val="0"/>
        <w:spacing w:before="300" w:after="300" w:line="360" w:lineRule="exact"/>
        <w:jc w:val="left"/>
        <w:rPr>
          <w:rFonts w:ascii="Arial" w:hAnsi="Arial" w:eastAsia="宋体" w:cs="Arial"/>
          <w:bCs/>
          <w:color w:val="000000"/>
          <w:sz w:val="24"/>
          <w:szCs w:val="24"/>
          <w:highlight w:val="none"/>
        </w:rPr>
      </w:pPr>
      <w:bookmarkStart w:id="14" w:name="_Toc66115195"/>
      <w:bookmarkStart w:id="15" w:name="_Toc13609"/>
      <w:bookmarkStart w:id="16" w:name="_Toc30775"/>
      <w:r>
        <w:rPr>
          <w:rFonts w:hint="eastAsia" w:ascii="Arial" w:hAnsi="Arial" w:eastAsia="宋体" w:cs="Arial"/>
          <w:bCs/>
          <w:color w:val="000000"/>
          <w:sz w:val="24"/>
          <w:szCs w:val="24"/>
          <w:highlight w:val="none"/>
        </w:rPr>
        <w:t>一、项目基本情况介绍</w:t>
      </w:r>
      <w:bookmarkEnd w:id="14"/>
      <w:bookmarkEnd w:id="15"/>
      <w:bookmarkEnd w:id="16"/>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1.项目公司即宜宾骏继洪骥置业有限责任公司由成都信茂涵置业有限公司与成都金座置业有限公司分别持股51%、49%。</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成都信茂涵置业有限公司成立于2018年09月13日，现法定代表人郭晓鹏，注册资本1,000万元，注册地址为成都市成华区猛追湾横街99号29层2924号。唯一股东为成都世茂新城房地产开发有限公司。2019年7月30日，公司唯一股东变更为常州世茂房地产有限公司。公司100%股东为常州世茂，向上穿透世茂集团控有成都信茂涵100%股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成都金座置业有限公司成立于2010年11月24日，现法定代表人洪金界，注册资本10,000万元，注册地址为成都市武侯区临江西路1号1幢1单元锦江国际写字楼10楼。成都金座置业有限公司控股股东为洪金界，持股90%。</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标的项目现对外推广名“宜宾站前广场项目”，坐落于宜宾市翠屏区天柏组团ZB07-01地块、ZB07-04地块、ZB07-05地块、ZB07-06-02地块、ZB07-06-03地块、ZB07-08地块。紧邻宜宾火车站、西门汽车客运站，同时项目地块紧临金沙江，具有江景资源优势。项目紧邻城市主干道翠柏路，周边主次支路发达。周边交通、医疗及教育配套极为成熟。用地性质均为商业居住混合用地用地，总用地面积ZB07-01地块33671平方米、ZB07-04地块2782平方米、ZB07-05地块2971平方米、ZB07-06-02地块2807平方米、ZB07-06-03地块3187平方米、ZB07-08地块19430平方米，总规划建筑面积337967平方米，其中计容建筑面积249669平方米、不计容建筑面积88298平方米，容积率3.85，建筑密度20%，绿地率30%。高层204770㎡、LOFT 22804㎡、商业15200㎡、公共配套6894㎡。</w:t>
      </w:r>
    </w:p>
    <w:tbl>
      <w:tblPr>
        <w:tblStyle w:val="18"/>
        <w:tblW w:w="6780" w:type="dxa"/>
        <w:jc w:val="center"/>
        <w:tblLayout w:type="fixed"/>
        <w:tblCellMar>
          <w:top w:w="0" w:type="dxa"/>
          <w:left w:w="0" w:type="dxa"/>
          <w:bottom w:w="0" w:type="dxa"/>
          <w:right w:w="0" w:type="dxa"/>
        </w:tblCellMar>
      </w:tblPr>
      <w:tblGrid>
        <w:gridCol w:w="1682"/>
        <w:gridCol w:w="1396"/>
        <w:gridCol w:w="2213"/>
        <w:gridCol w:w="1489"/>
      </w:tblGrid>
      <w:tr>
        <w:tblPrEx>
          <w:tblCellMar>
            <w:top w:w="0" w:type="dxa"/>
            <w:left w:w="0" w:type="dxa"/>
            <w:bottom w:w="0" w:type="dxa"/>
            <w:right w:w="0" w:type="dxa"/>
          </w:tblCellMar>
        </w:tblPrEx>
        <w:trPr>
          <w:trHeight w:val="270" w:hRule="atLeast"/>
          <w:jc w:val="center"/>
        </w:trPr>
        <w:tc>
          <w:tcPr>
            <w:tcW w:w="307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项目</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设计数值</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计量单位</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建设用地面积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64,848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总建筑面积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337,967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其中</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地上建筑面积</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249,669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地下建筑面积</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88,299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地上可售面积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242,774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其中</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高层</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204,770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LOFT</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22,804</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商业</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15,200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公共配套</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6,894</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地下车库</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69,166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总计容建筑面积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249,669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容积率</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3.85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建筑密度</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绿地率</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停车位</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1976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个</w:t>
            </w:r>
          </w:p>
        </w:tc>
      </w:tr>
    </w:tbl>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其中：一期占地约50亩，7栋高层建筑（≤100米），效果图及经济指标如下：</w:t>
      </w:r>
    </w:p>
    <w:p>
      <w:pPr>
        <w:pStyle w:val="2"/>
        <w:jc w:val="center"/>
        <w:rPr>
          <w:rFonts w:ascii="Times New Roman"/>
        </w:rPr>
      </w:pPr>
      <w:r>
        <w:rPr>
          <w:rFonts w:ascii="Times New Roman"/>
        </w:rPr>
        <w:drawing>
          <wp:inline distT="0" distB="0" distL="0" distR="0">
            <wp:extent cx="2781300" cy="3086100"/>
            <wp:effectExtent l="0" t="0" r="7620" b="7620"/>
            <wp:docPr id="14399" name="图片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 name="图片 14399"/>
                    <pic:cNvPicPr>
                      <a:picLocks noChangeAspect="1"/>
                    </pic:cNvPicPr>
                  </pic:nvPicPr>
                  <pic:blipFill>
                    <a:blip r:embed="rId9" cstate="print"/>
                    <a:stretch>
                      <a:fillRect/>
                    </a:stretch>
                  </pic:blipFill>
                  <pic:spPr>
                    <a:xfrm>
                      <a:off x="0" y="0"/>
                      <a:ext cx="2781300" cy="3086100"/>
                    </a:xfrm>
                    <a:prstGeom prst="rect">
                      <a:avLst/>
                    </a:prstGeom>
                  </pic:spPr>
                </pic:pic>
              </a:graphicData>
            </a:graphic>
          </wp:inline>
        </w:drawing>
      </w:r>
      <w:r>
        <w:rPr>
          <w:rFonts w:ascii="Times New Roman"/>
        </w:rPr>
        <w:drawing>
          <wp:inline distT="0" distB="0" distL="0" distR="0">
            <wp:extent cx="2362835" cy="3077210"/>
            <wp:effectExtent l="0" t="0" r="14605" b="127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cstate="print"/>
                    <a:stretch>
                      <a:fillRect/>
                    </a:stretch>
                  </pic:blipFill>
                  <pic:spPr>
                    <a:xfrm>
                      <a:off x="0" y="0"/>
                      <a:ext cx="2362835" cy="3077210"/>
                    </a:xfrm>
                    <a:prstGeom prst="rect">
                      <a:avLst/>
                    </a:prstGeom>
                  </pic:spPr>
                </pic:pic>
              </a:graphicData>
            </a:graphic>
          </wp:inline>
        </w:drawing>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项目处于老城区中坝片区，板块处于发展成熟阶段，在保证与竞品相同功能情况下控面积及总价，本项目一期户型设计为：高层户型面积在80-110㎡（三房为主）、LOFT户型面积在40-60㎡。</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注：（上述指标从尽调报告中获取）</w:t>
      </w:r>
    </w:p>
    <w:p>
      <w:pPr>
        <w:pStyle w:val="3"/>
        <w:keepNext w:val="0"/>
        <w:keepLines w:val="0"/>
        <w:spacing w:before="300" w:after="300" w:line="360" w:lineRule="exact"/>
        <w:jc w:val="left"/>
        <w:rPr>
          <w:rFonts w:hint="eastAsia" w:ascii="Arial" w:hAnsi="Arial" w:eastAsia="宋体" w:cs="Arial"/>
          <w:bCs/>
          <w:color w:val="000000"/>
          <w:sz w:val="24"/>
          <w:szCs w:val="24"/>
        </w:rPr>
      </w:pPr>
      <w:bookmarkStart w:id="17" w:name="_Toc2240"/>
      <w:bookmarkStart w:id="18" w:name="_Toc20100"/>
      <w:bookmarkStart w:id="19" w:name="_Toc66115196"/>
      <w:r>
        <w:rPr>
          <w:rFonts w:hint="eastAsia" w:ascii="Arial" w:hAnsi="Arial" w:eastAsia="宋体" w:cs="Arial"/>
          <w:bCs/>
          <w:color w:val="000000"/>
          <w:sz w:val="24"/>
          <w:szCs w:val="24"/>
        </w:rPr>
        <w:t>二、信托资金使用情况</w:t>
      </w:r>
      <w:bookmarkEnd w:id="17"/>
      <w:bookmarkEnd w:id="18"/>
      <w:bookmarkEnd w:id="19"/>
    </w:p>
    <w:tbl>
      <w:tblPr>
        <w:tblStyle w:val="18"/>
        <w:tblW w:w="9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269"/>
        <w:gridCol w:w="1560"/>
        <w:gridCol w:w="1516"/>
        <w:gridCol w:w="1697"/>
        <w:gridCol w:w="994"/>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620" w:type="dxa"/>
            <w:vAlign w:val="center"/>
          </w:tcPr>
          <w:p>
            <w:pPr>
              <w:jc w:val="center"/>
              <w:textAlignment w:val="center"/>
              <w:rPr>
                <w:rFonts w:hint="eastAsia" w:ascii="Arial" w:hAnsi="Arial" w:cs="Arial"/>
                <w:b/>
                <w:bCs/>
                <w:color w:val="000000"/>
                <w:sz w:val="18"/>
                <w:szCs w:val="18"/>
                <w:lang w:bidi="ar"/>
              </w:rPr>
            </w:pPr>
            <w:bookmarkStart w:id="20" w:name="_Toc66115197"/>
            <w:r>
              <w:rPr>
                <w:rFonts w:hint="eastAsia" w:ascii="Arial" w:hAnsi="Arial" w:cs="Arial"/>
                <w:b/>
                <w:bCs/>
                <w:color w:val="000000"/>
                <w:sz w:val="18"/>
                <w:szCs w:val="18"/>
                <w:lang w:bidi="ar"/>
              </w:rPr>
              <w:t>序号</w:t>
            </w:r>
          </w:p>
        </w:tc>
        <w:tc>
          <w:tcPr>
            <w:tcW w:w="1269"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时间</w:t>
            </w:r>
          </w:p>
        </w:tc>
        <w:tc>
          <w:tcPr>
            <w:tcW w:w="1560"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信托出资金额</w:t>
            </w:r>
          </w:p>
        </w:tc>
        <w:tc>
          <w:tcPr>
            <w:tcW w:w="1516"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信托累计</w:t>
            </w:r>
          </w:p>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出资金额</w:t>
            </w:r>
          </w:p>
        </w:tc>
        <w:tc>
          <w:tcPr>
            <w:tcW w:w="1697"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已使用金额</w:t>
            </w:r>
          </w:p>
        </w:tc>
        <w:tc>
          <w:tcPr>
            <w:tcW w:w="994"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用途</w:t>
            </w:r>
          </w:p>
        </w:tc>
        <w:tc>
          <w:tcPr>
            <w:tcW w:w="1570"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2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1</w:t>
            </w:r>
          </w:p>
        </w:tc>
        <w:tc>
          <w:tcPr>
            <w:tcW w:w="1269"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2021-4-2</w:t>
            </w:r>
          </w:p>
        </w:tc>
        <w:tc>
          <w:tcPr>
            <w:tcW w:w="156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39,800,000.00 </w:t>
            </w:r>
          </w:p>
        </w:tc>
        <w:tc>
          <w:tcPr>
            <w:tcW w:w="1516" w:type="dxa"/>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 xml:space="preserve">39,800,000.00 </w:t>
            </w:r>
          </w:p>
        </w:tc>
        <w:tc>
          <w:tcPr>
            <w:tcW w:w="1697"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39,800,000.00 </w:t>
            </w:r>
          </w:p>
        </w:tc>
        <w:tc>
          <w:tcPr>
            <w:tcW w:w="994" w:type="dxa"/>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股东投入</w:t>
            </w:r>
          </w:p>
        </w:tc>
        <w:tc>
          <w:tcPr>
            <w:tcW w:w="157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w:t>
            </w:r>
          </w:p>
        </w:tc>
        <w:tc>
          <w:tcPr>
            <w:tcW w:w="1269"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2021-4-6</w:t>
            </w:r>
          </w:p>
        </w:tc>
        <w:tc>
          <w:tcPr>
            <w:tcW w:w="156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80,100,000.00 </w:t>
            </w:r>
          </w:p>
        </w:tc>
        <w:tc>
          <w:tcPr>
            <w:tcW w:w="1516" w:type="dxa"/>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 xml:space="preserve">119,900,000.00 </w:t>
            </w:r>
          </w:p>
        </w:tc>
        <w:tc>
          <w:tcPr>
            <w:tcW w:w="1697"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119,900,000.00 </w:t>
            </w:r>
          </w:p>
        </w:tc>
        <w:tc>
          <w:tcPr>
            <w:tcW w:w="994"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股东投入</w:t>
            </w:r>
          </w:p>
        </w:tc>
        <w:tc>
          <w:tcPr>
            <w:tcW w:w="157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3</w:t>
            </w:r>
          </w:p>
        </w:tc>
        <w:tc>
          <w:tcPr>
            <w:tcW w:w="1269"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2021-4-9</w:t>
            </w:r>
          </w:p>
        </w:tc>
        <w:tc>
          <w:tcPr>
            <w:tcW w:w="156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25,600,000.00 </w:t>
            </w:r>
          </w:p>
        </w:tc>
        <w:tc>
          <w:tcPr>
            <w:tcW w:w="1516"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 xml:space="preserve">145,500,000.00 </w:t>
            </w:r>
          </w:p>
        </w:tc>
        <w:tc>
          <w:tcPr>
            <w:tcW w:w="1697"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145,500,000.00 </w:t>
            </w:r>
          </w:p>
        </w:tc>
        <w:tc>
          <w:tcPr>
            <w:tcW w:w="994"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股东投入</w:t>
            </w:r>
          </w:p>
        </w:tc>
        <w:tc>
          <w:tcPr>
            <w:tcW w:w="157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4</w:t>
            </w:r>
          </w:p>
        </w:tc>
        <w:tc>
          <w:tcPr>
            <w:tcW w:w="1269"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2021-4-16</w:t>
            </w:r>
          </w:p>
        </w:tc>
        <w:tc>
          <w:tcPr>
            <w:tcW w:w="156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71,000,000.00 </w:t>
            </w:r>
          </w:p>
        </w:tc>
        <w:tc>
          <w:tcPr>
            <w:tcW w:w="1516"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 xml:space="preserve">216,500,000.00 </w:t>
            </w:r>
          </w:p>
        </w:tc>
        <w:tc>
          <w:tcPr>
            <w:tcW w:w="1697"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145,500,000.00 </w:t>
            </w:r>
          </w:p>
        </w:tc>
        <w:tc>
          <w:tcPr>
            <w:tcW w:w="994"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股东投入</w:t>
            </w:r>
          </w:p>
        </w:tc>
        <w:tc>
          <w:tcPr>
            <w:tcW w:w="157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71,000,000.00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5</w:t>
            </w:r>
          </w:p>
        </w:tc>
        <w:tc>
          <w:tcPr>
            <w:tcW w:w="1269"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2021-4-16</w:t>
            </w:r>
          </w:p>
        </w:tc>
        <w:tc>
          <w:tcPr>
            <w:tcW w:w="156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1,500,000.00 </w:t>
            </w:r>
          </w:p>
        </w:tc>
        <w:tc>
          <w:tcPr>
            <w:tcW w:w="1516"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 xml:space="preserve">218,000,000.00 </w:t>
            </w:r>
          </w:p>
        </w:tc>
        <w:tc>
          <w:tcPr>
            <w:tcW w:w="1697"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218,000,000.00 </w:t>
            </w:r>
          </w:p>
        </w:tc>
        <w:tc>
          <w:tcPr>
            <w:tcW w:w="994"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股东投入</w:t>
            </w:r>
          </w:p>
        </w:tc>
        <w:tc>
          <w:tcPr>
            <w:tcW w:w="157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6</w:t>
            </w:r>
          </w:p>
        </w:tc>
        <w:tc>
          <w:tcPr>
            <w:tcW w:w="1269"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2021-4-20</w:t>
            </w:r>
          </w:p>
        </w:tc>
        <w:tc>
          <w:tcPr>
            <w:tcW w:w="156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62,000,000.00 </w:t>
            </w:r>
          </w:p>
        </w:tc>
        <w:tc>
          <w:tcPr>
            <w:tcW w:w="1516"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 xml:space="preserve">280,000,000.00 </w:t>
            </w:r>
          </w:p>
        </w:tc>
        <w:tc>
          <w:tcPr>
            <w:tcW w:w="1697"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280,000,000.00 </w:t>
            </w:r>
          </w:p>
        </w:tc>
        <w:tc>
          <w:tcPr>
            <w:tcW w:w="994"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股东投入</w:t>
            </w:r>
          </w:p>
        </w:tc>
        <w:tc>
          <w:tcPr>
            <w:tcW w:w="157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val="en-US" w:eastAsia="zh-CN" w:bidi="ar"/>
              </w:rPr>
              <w:t>7</w:t>
            </w:r>
          </w:p>
        </w:tc>
        <w:tc>
          <w:tcPr>
            <w:tcW w:w="1269"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val="en-US" w:eastAsia="zh-CN" w:bidi="ar"/>
              </w:rPr>
              <w:t>合计</w:t>
            </w:r>
          </w:p>
        </w:tc>
        <w:tc>
          <w:tcPr>
            <w:tcW w:w="1560"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val="en-US" w:eastAsia="zh-CN" w:bidi="ar"/>
              </w:rPr>
              <w:t xml:space="preserve">280,000,000.00 </w:t>
            </w:r>
          </w:p>
        </w:tc>
        <w:tc>
          <w:tcPr>
            <w:tcW w:w="1516" w:type="dxa"/>
            <w:vAlign w:val="center"/>
          </w:tcPr>
          <w:p>
            <w:pPr>
              <w:jc w:val="center"/>
              <w:textAlignment w:val="center"/>
              <w:rPr>
                <w:rFonts w:hint="eastAsia" w:ascii="Arial" w:hAnsi="Arial" w:cs="Arial"/>
                <w:b/>
                <w:bCs/>
                <w:color w:val="000000"/>
                <w:sz w:val="18"/>
                <w:szCs w:val="18"/>
                <w:lang w:bidi="ar"/>
              </w:rPr>
            </w:pPr>
          </w:p>
        </w:tc>
        <w:tc>
          <w:tcPr>
            <w:tcW w:w="1697" w:type="dxa"/>
            <w:vAlign w:val="center"/>
          </w:tcPr>
          <w:p>
            <w:pPr>
              <w:jc w:val="center"/>
              <w:textAlignment w:val="center"/>
              <w:rPr>
                <w:rFonts w:hint="eastAsia" w:ascii="Arial" w:hAnsi="Arial" w:cs="Arial"/>
                <w:b/>
                <w:bCs/>
                <w:color w:val="000000"/>
                <w:sz w:val="18"/>
                <w:szCs w:val="18"/>
                <w:lang w:bidi="ar"/>
              </w:rPr>
            </w:pPr>
          </w:p>
        </w:tc>
        <w:tc>
          <w:tcPr>
            <w:tcW w:w="994" w:type="dxa"/>
            <w:vAlign w:val="center"/>
          </w:tcPr>
          <w:p>
            <w:pPr>
              <w:jc w:val="center"/>
              <w:textAlignment w:val="center"/>
              <w:rPr>
                <w:rFonts w:hint="eastAsia" w:ascii="Arial" w:hAnsi="Arial" w:cs="Arial"/>
                <w:b/>
                <w:bCs/>
                <w:color w:val="000000"/>
                <w:sz w:val="18"/>
                <w:szCs w:val="18"/>
                <w:lang w:bidi="ar"/>
              </w:rPr>
            </w:pPr>
          </w:p>
        </w:tc>
        <w:tc>
          <w:tcPr>
            <w:tcW w:w="1570" w:type="dxa"/>
            <w:vAlign w:val="center"/>
          </w:tcPr>
          <w:p>
            <w:pPr>
              <w:jc w:val="center"/>
              <w:textAlignment w:val="center"/>
              <w:rPr>
                <w:rFonts w:hint="eastAsia" w:ascii="Arial" w:hAnsi="Arial" w:cs="Arial"/>
                <w:b/>
                <w:bCs/>
                <w:color w:val="000000"/>
                <w:sz w:val="18"/>
                <w:szCs w:val="18"/>
                <w:lang w:bidi="ar"/>
              </w:rPr>
            </w:pPr>
          </w:p>
        </w:tc>
      </w:tr>
    </w:tbl>
    <w:p>
      <w:pPr>
        <w:pStyle w:val="3"/>
        <w:keepNext w:val="0"/>
        <w:keepLines w:val="0"/>
        <w:spacing w:before="300" w:after="300" w:line="360" w:lineRule="exact"/>
        <w:jc w:val="left"/>
        <w:rPr>
          <w:rFonts w:hint="eastAsia" w:ascii="Arial" w:hAnsi="Arial" w:eastAsia="宋体" w:cs="Arial"/>
          <w:bCs/>
          <w:color w:val="000000"/>
          <w:sz w:val="24"/>
          <w:szCs w:val="24"/>
        </w:rPr>
      </w:pPr>
      <w:bookmarkStart w:id="21" w:name="_Toc26476"/>
      <w:bookmarkStart w:id="22" w:name="_Toc157"/>
      <w:r>
        <w:rPr>
          <w:rFonts w:hint="eastAsia" w:ascii="Arial" w:hAnsi="Arial" w:eastAsia="宋体" w:cs="Arial"/>
          <w:bCs/>
          <w:color w:val="000000"/>
          <w:sz w:val="24"/>
          <w:szCs w:val="24"/>
        </w:rPr>
        <w:t>三、项目证件办理情况</w:t>
      </w:r>
      <w:bookmarkEnd w:id="20"/>
      <w:bookmarkEnd w:id="21"/>
      <w:bookmarkEnd w:id="22"/>
    </w:p>
    <w:p>
      <w:pPr>
        <w:jc w:val="center"/>
        <w:rPr>
          <w:rFonts w:ascii="宋体" w:hAnsi="宋体" w:cs="宋体"/>
          <w:b/>
          <w:bCs/>
          <w:color w:val="000000"/>
          <w:sz w:val="21"/>
          <w:szCs w:val="21"/>
        </w:rPr>
      </w:pPr>
      <w:bookmarkStart w:id="23" w:name="_Toc32138"/>
      <w:r>
        <w:rPr>
          <w:rFonts w:hint="eastAsia" w:ascii="宋体" w:hAnsi="宋体" w:cs="宋体"/>
          <w:b/>
          <w:bCs/>
          <w:color w:val="000000"/>
          <w:sz w:val="21"/>
          <w:szCs w:val="21"/>
        </w:rPr>
        <w:t>表二：项目五证办理情况</w:t>
      </w:r>
      <w:bookmarkEnd w:id="23"/>
    </w:p>
    <w:tbl>
      <w:tblPr>
        <w:tblStyle w:val="18"/>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080"/>
        <w:gridCol w:w="3810"/>
        <w:gridCol w:w="2807"/>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blHeader/>
          <w:jc w:val="center"/>
        </w:trPr>
        <w:tc>
          <w:tcPr>
            <w:tcW w:w="97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序号</w:t>
            </w:r>
          </w:p>
        </w:tc>
        <w:tc>
          <w:tcPr>
            <w:tcW w:w="108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证件名称</w:t>
            </w:r>
          </w:p>
        </w:tc>
        <w:tc>
          <w:tcPr>
            <w:tcW w:w="381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取证日期</w:t>
            </w:r>
          </w:p>
        </w:tc>
        <w:tc>
          <w:tcPr>
            <w:tcW w:w="280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证书编号</w:t>
            </w:r>
          </w:p>
        </w:tc>
        <w:tc>
          <w:tcPr>
            <w:tcW w:w="885"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73" w:type="dxa"/>
            <w:vMerge w:val="restart"/>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1</w:t>
            </w:r>
          </w:p>
        </w:tc>
        <w:tc>
          <w:tcPr>
            <w:tcW w:w="1080" w:type="dxa"/>
            <w:vMerge w:val="restart"/>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2020年09月27日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川（2020）宜宾市不动产权第0015637号（33671㎡）</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(宜宾市翠屏区天柏组团ZB07-04地块)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川（2020）宜宾市不动产权第0015991号（2782㎡）</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(宜宾市翠屏区天柏组团ZB07-05地块)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川（2020）宜宾市不动产权第0015992号（2971㎡）</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(宜宾市翠屏区天柏组团ZB07-06-02地块)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川（2020）宜宾市不动产权第0015993号（2807㎡）</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(宜宾市翠屏区天柏组团ZB07-06-03地块)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川（2020）宜宾市不动产权第0015994号（3187㎡）</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(宜宾市翠屏区天柏组团ZB07-08地块)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川（2020）宜宾市不动产权第0016043号（19430㎡）</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2</w:t>
            </w:r>
          </w:p>
        </w:tc>
        <w:tc>
          <w:tcPr>
            <w:tcW w:w="108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建设用地规划许可证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2020年06月05日</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511502202000013</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（ZB07-01地块33671㎡ZB07-04地块2782㎡ZB07-05地块2971㎡ZB07-06-02地块2807㎡ZB07-06-03地块3187㎡ZB07-08地块19430㎡）</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7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3</w:t>
            </w:r>
          </w:p>
        </w:tc>
        <w:tc>
          <w:tcPr>
            <w:tcW w:w="108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建设工程规划许可证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2020年08月14日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建字第511502202000036号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（134684㎡）</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restart"/>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4</w:t>
            </w:r>
          </w:p>
        </w:tc>
        <w:tc>
          <w:tcPr>
            <w:tcW w:w="1080" w:type="dxa"/>
            <w:vMerge w:val="restart"/>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建筑工程施工许可证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2020年09月10日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站前广场ZB07-01地块</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云锦一期一批次1#、2#、3#、4#、1#门卫及电商服务，2#门卫及地下室）</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511502202009100101</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（99953.33㎡）</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2020年12月18日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（宜宾市天柏组团中坝片区站前广场ZB07-01地块云锦一期二批次5#、6#、7#、地下室）</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511502202012180101</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（80955.44㎡）</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restart"/>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5</w:t>
            </w:r>
          </w:p>
        </w:tc>
        <w:tc>
          <w:tcPr>
            <w:tcW w:w="1080" w:type="dxa"/>
            <w:vMerge w:val="restart"/>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2020年11月10日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（2020）房预售证第20032号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（20264.23㎡）</w:t>
            </w:r>
          </w:p>
        </w:tc>
        <w:tc>
          <w:tcPr>
            <w:tcW w:w="8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2020年12月31日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（2020）房预售证第20048号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（20264.23㎡）</w:t>
            </w:r>
          </w:p>
        </w:tc>
        <w:tc>
          <w:tcPr>
            <w:tcW w:w="8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2020年11年10日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（2020）房预售证第20044号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（19681.46㎡）</w:t>
            </w:r>
          </w:p>
        </w:tc>
        <w:tc>
          <w:tcPr>
            <w:tcW w:w="8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云锦一期3#楼</w:t>
            </w:r>
          </w:p>
        </w:tc>
      </w:tr>
    </w:tbl>
    <w:p>
      <w:pPr>
        <w:widowControl w:val="0"/>
        <w:spacing w:line="480" w:lineRule="auto"/>
        <w:jc w:val="both"/>
        <w:rPr>
          <w:rFonts w:ascii="Arial" w:hAnsi="Arial" w:cs="Arial"/>
          <w:kern w:val="44"/>
          <w:sz w:val="21"/>
          <w:szCs w:val="21"/>
        </w:rPr>
      </w:pPr>
      <w:r>
        <w:rPr>
          <w:rFonts w:hint="eastAsia" w:ascii="Arial" w:hAnsi="Arial" w:cs="Arial"/>
          <w:kern w:val="44"/>
          <w:sz w:val="21"/>
          <w:szCs w:val="21"/>
        </w:rPr>
        <w:t>说明：以上证书均存放在共管保险柜。</w:t>
      </w:r>
    </w:p>
    <w:p>
      <w:pPr>
        <w:pStyle w:val="3"/>
        <w:keepNext w:val="0"/>
        <w:keepLines w:val="0"/>
        <w:spacing w:before="300" w:after="300" w:line="360" w:lineRule="exact"/>
        <w:jc w:val="left"/>
        <w:rPr>
          <w:rFonts w:ascii="Arial" w:hAnsi="Arial" w:eastAsia="宋体" w:cs="Arial"/>
          <w:bCs/>
          <w:color w:val="000000"/>
          <w:sz w:val="24"/>
          <w:szCs w:val="24"/>
          <w:highlight w:val="none"/>
        </w:rPr>
      </w:pPr>
      <w:bookmarkStart w:id="24" w:name="_Toc25607"/>
      <w:bookmarkStart w:id="25" w:name="_Toc66115198"/>
      <w:bookmarkStart w:id="26" w:name="_Toc27011"/>
      <w:r>
        <w:rPr>
          <w:rFonts w:hint="eastAsia" w:ascii="Arial" w:hAnsi="Arial" w:eastAsia="宋体" w:cs="Arial"/>
          <w:bCs/>
          <w:color w:val="000000"/>
          <w:sz w:val="24"/>
          <w:szCs w:val="24"/>
          <w:highlight w:val="none"/>
        </w:rPr>
        <w:t>四、项目开发建设情况</w:t>
      </w:r>
      <w:bookmarkEnd w:id="24"/>
      <w:bookmarkEnd w:id="25"/>
      <w:bookmarkEnd w:id="26"/>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项目全周期计划：项目共分三期开发建设，于2020年8月开始施工，计划于2024年12月项目全部完工。今年整体计划：云锦一期所有主体楼栋全部封顶，云锦二期代建广场园林绿化部分施工。云锦三期报规完成。</w:t>
      </w:r>
    </w:p>
    <w:p>
      <w:pPr>
        <w:spacing w:line="480" w:lineRule="auto"/>
        <w:ind w:firstLine="420" w:firstLineChars="200"/>
        <w:rPr>
          <w:rFonts w:hint="eastAsia" w:ascii="Arial" w:hAnsi="Arial" w:cs="Arial"/>
          <w:kern w:val="44"/>
          <w:sz w:val="21"/>
          <w:szCs w:val="21"/>
        </w:rPr>
      </w:pPr>
      <w:r>
        <w:rPr>
          <w:rFonts w:hint="eastAsia" w:ascii="Arial" w:hAnsi="Arial" w:cs="Arial"/>
          <w:kern w:val="44"/>
          <w:sz w:val="21"/>
          <w:szCs w:val="21"/>
        </w:rPr>
        <w:t>目前项目现场施工情况如下：</w:t>
      </w:r>
      <w:r>
        <w:rPr>
          <w:rFonts w:hint="eastAsia" w:ascii="Arial" w:hAnsi="Arial" w:cs="Arial"/>
          <w:kern w:val="44"/>
          <w:sz w:val="21"/>
          <w:szCs w:val="21"/>
          <w:lang w:eastAsia="zh-CN"/>
        </w:rPr>
        <w:t>云锦一期：1#楼13层结构施工、2#楼13层墙柱结构浇筑、3#楼9层梁板施工、4#楼8层墙柱结构施工、5#楼10层墙柱施工、6#楼6层墙柱结构施工、7#楼1层结构施工、地下室整体底板钢筋施工完成50%，负一层结构施工20%。云锦二期和云锦三期暂无进度。</w:t>
      </w:r>
    </w:p>
    <w:p>
      <w:pPr>
        <w:jc w:val="center"/>
        <w:rPr>
          <w:rFonts w:ascii="宋体" w:hAnsi="宋体" w:cs="宋体"/>
          <w:b/>
          <w:bCs/>
          <w:sz w:val="21"/>
          <w:szCs w:val="21"/>
        </w:rPr>
      </w:pPr>
      <w:bookmarkStart w:id="27" w:name="_Toc5107"/>
      <w:r>
        <w:rPr>
          <w:rFonts w:hint="eastAsia" w:ascii="宋体" w:hAnsi="宋体" w:cs="宋体"/>
          <w:b/>
          <w:bCs/>
          <w:color w:val="000000"/>
          <w:sz w:val="21"/>
          <w:szCs w:val="21"/>
        </w:rPr>
        <w:t>表三：</w:t>
      </w:r>
      <w:r>
        <w:rPr>
          <w:rFonts w:hint="eastAsia" w:ascii="宋体" w:hAnsi="宋体" w:cs="宋体"/>
          <w:b/>
          <w:bCs/>
          <w:sz w:val="21"/>
          <w:szCs w:val="21"/>
        </w:rPr>
        <w:t>项目施工进度计划</w:t>
      </w:r>
      <w:bookmarkEnd w:id="27"/>
    </w:p>
    <w:p>
      <w:pPr>
        <w:jc w:val="center"/>
        <w:rPr>
          <w:rFonts w:ascii="宋体" w:hAnsi="宋体" w:cs="宋体"/>
          <w:b/>
          <w:bCs/>
          <w:color w:val="000000"/>
          <w:sz w:val="21"/>
          <w:szCs w:val="21"/>
        </w:rPr>
      </w:pPr>
    </w:p>
    <w:tbl>
      <w:tblPr>
        <w:tblStyle w:val="18"/>
        <w:tblW w:w="8958" w:type="dxa"/>
        <w:tblInd w:w="323" w:type="dxa"/>
        <w:tblLayout w:type="fixed"/>
        <w:tblCellMar>
          <w:top w:w="0" w:type="dxa"/>
          <w:left w:w="108" w:type="dxa"/>
          <w:bottom w:w="0" w:type="dxa"/>
          <w:right w:w="108" w:type="dxa"/>
        </w:tblCellMar>
      </w:tblPr>
      <w:tblGrid>
        <w:gridCol w:w="792"/>
        <w:gridCol w:w="1709"/>
        <w:gridCol w:w="1555"/>
        <w:gridCol w:w="2432"/>
        <w:gridCol w:w="2470"/>
      </w:tblGrid>
      <w:tr>
        <w:tblPrEx>
          <w:tblCellMar>
            <w:top w:w="0" w:type="dxa"/>
            <w:left w:w="108" w:type="dxa"/>
            <w:bottom w:w="0" w:type="dxa"/>
            <w:right w:w="108" w:type="dxa"/>
          </w:tblCellMar>
        </w:tblPrEx>
        <w:trPr>
          <w:trHeight w:val="360" w:hRule="atLeast"/>
          <w:tblHeader/>
        </w:trPr>
        <w:tc>
          <w:tcPr>
            <w:tcW w:w="8958" w:type="dxa"/>
            <w:gridSpan w:val="5"/>
            <w:tcBorders>
              <w:top w:val="single" w:color="auto" w:sz="8" w:space="0"/>
              <w:left w:val="single" w:color="auto" w:sz="8" w:space="0"/>
              <w:bottom w:val="single" w:color="auto" w:sz="8" w:space="0"/>
              <w:right w:val="single" w:color="000000" w:sz="8" w:space="0"/>
            </w:tcBorders>
            <w:shd w:val="clear" w:color="auto" w:fill="auto"/>
            <w:noWrap/>
            <w:vAlign w:val="center"/>
          </w:tcPr>
          <w:p>
            <w:pPr>
              <w:jc w:val="center"/>
              <w:rPr>
                <w:rFonts w:ascii="宋体" w:hAnsi="宋体" w:cs="宋体"/>
                <w:b/>
                <w:bCs/>
                <w:color w:val="000000"/>
              </w:rPr>
            </w:pPr>
            <w:r>
              <w:rPr>
                <w:rFonts w:hint="eastAsia" w:ascii="宋体" w:hAnsi="宋体" w:cs="宋体"/>
                <w:b/>
              </w:rPr>
              <w:t>中航信托•天启【2020】565号宜宾站前广场项目</w:t>
            </w:r>
            <w:r>
              <w:rPr>
                <w:rFonts w:hint="eastAsia" w:ascii="宋体" w:hAnsi="宋体" w:cs="宋体"/>
                <w:b/>
                <w:bCs/>
                <w:color w:val="000000"/>
              </w:rPr>
              <w:t>工程进度</w:t>
            </w:r>
          </w:p>
        </w:tc>
      </w:tr>
      <w:tr>
        <w:tblPrEx>
          <w:tblCellMar>
            <w:top w:w="0" w:type="dxa"/>
            <w:left w:w="108" w:type="dxa"/>
            <w:bottom w:w="0" w:type="dxa"/>
            <w:right w:w="108" w:type="dxa"/>
          </w:tblCellMar>
        </w:tblPrEx>
        <w:trPr>
          <w:trHeight w:val="290" w:hRule="atLeast"/>
          <w:tblHeader/>
        </w:trPr>
        <w:tc>
          <w:tcPr>
            <w:tcW w:w="792" w:type="dxa"/>
            <w:vMerge w:val="restart"/>
            <w:tcBorders>
              <w:top w:val="nil"/>
              <w:left w:val="single" w:color="auto" w:sz="8" w:space="0"/>
              <w:bottom w:val="single" w:color="000000"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序号</w:t>
            </w:r>
          </w:p>
        </w:tc>
        <w:tc>
          <w:tcPr>
            <w:tcW w:w="1709" w:type="dxa"/>
            <w:vMerge w:val="restart"/>
            <w:tcBorders>
              <w:top w:val="nil"/>
              <w:left w:val="single" w:color="auto" w:sz="8" w:space="0"/>
              <w:bottom w:val="single" w:color="000000"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楼栋</w:t>
            </w:r>
          </w:p>
        </w:tc>
        <w:tc>
          <w:tcPr>
            <w:tcW w:w="6457" w:type="dxa"/>
            <w:gridSpan w:val="3"/>
            <w:tcBorders>
              <w:top w:val="single" w:color="auto" w:sz="8" w:space="0"/>
              <w:left w:val="nil"/>
              <w:bottom w:val="single" w:color="auto" w:sz="8" w:space="0"/>
              <w:right w:val="single" w:color="000000"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进度情况</w:t>
            </w:r>
          </w:p>
        </w:tc>
      </w:tr>
      <w:tr>
        <w:tblPrEx>
          <w:tblCellMar>
            <w:top w:w="0" w:type="dxa"/>
            <w:left w:w="108" w:type="dxa"/>
            <w:bottom w:w="0" w:type="dxa"/>
            <w:right w:w="108" w:type="dxa"/>
          </w:tblCellMar>
        </w:tblPrEx>
        <w:trPr>
          <w:trHeight w:val="290" w:hRule="atLeast"/>
          <w:tblHeader/>
        </w:trPr>
        <w:tc>
          <w:tcPr>
            <w:tcW w:w="792" w:type="dxa"/>
            <w:vMerge w:val="continue"/>
            <w:tcBorders>
              <w:top w:val="nil"/>
              <w:left w:val="single" w:color="auto" w:sz="8" w:space="0"/>
              <w:bottom w:val="single" w:color="000000" w:sz="8" w:space="0"/>
              <w:right w:val="single" w:color="auto" w:sz="8" w:space="0"/>
            </w:tcBorders>
            <w:vAlign w:val="center"/>
          </w:tcPr>
          <w:p>
            <w:pPr>
              <w:jc w:val="center"/>
              <w:rPr>
                <w:rFonts w:ascii="宋体" w:hAnsi="宋体" w:cs="宋体"/>
                <w:b/>
                <w:bCs/>
                <w:color w:val="000000"/>
              </w:rPr>
            </w:pPr>
          </w:p>
        </w:tc>
        <w:tc>
          <w:tcPr>
            <w:tcW w:w="1709" w:type="dxa"/>
            <w:vMerge w:val="continue"/>
            <w:tcBorders>
              <w:top w:val="nil"/>
              <w:left w:val="single" w:color="auto" w:sz="8" w:space="0"/>
              <w:bottom w:val="single" w:color="auto" w:sz="8" w:space="0"/>
              <w:right w:val="single" w:color="auto" w:sz="8" w:space="0"/>
            </w:tcBorders>
            <w:vAlign w:val="center"/>
          </w:tcPr>
          <w:p>
            <w:pPr>
              <w:jc w:val="center"/>
              <w:rPr>
                <w:rFonts w:ascii="宋体" w:hAnsi="宋体" w:cs="宋体"/>
                <w:b/>
                <w:bCs/>
                <w:color w:val="000000"/>
              </w:rPr>
            </w:pPr>
          </w:p>
        </w:tc>
        <w:tc>
          <w:tcPr>
            <w:tcW w:w="1555" w:type="dxa"/>
            <w:tcBorders>
              <w:top w:val="nil"/>
              <w:left w:val="nil"/>
              <w:bottom w:val="single" w:color="auto" w:sz="8" w:space="0"/>
              <w:right w:val="single" w:color="auto" w:sz="8" w:space="0"/>
            </w:tcBorders>
            <w:shd w:val="clear" w:color="auto" w:fill="auto"/>
            <w:noWrap/>
            <w:vAlign w:val="center"/>
          </w:tcPr>
          <w:p>
            <w:pPr>
              <w:jc w:val="center"/>
              <w:textAlignment w:val="center"/>
              <w:rPr>
                <w:rFonts w:hint="eastAsia" w:ascii="Arial" w:hAnsi="Arial" w:cs="Arial"/>
                <w:sz w:val="18"/>
                <w:szCs w:val="18"/>
              </w:rPr>
            </w:pPr>
            <w:r>
              <w:rPr>
                <w:rFonts w:hint="eastAsia" w:ascii="宋体" w:hAnsi="宋体" w:cs="宋体"/>
                <w:b/>
                <w:bCs/>
                <w:color w:val="000000"/>
              </w:rPr>
              <w:t>上月完成</w:t>
            </w:r>
          </w:p>
        </w:tc>
        <w:tc>
          <w:tcPr>
            <w:tcW w:w="2432"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本月进度</w:t>
            </w:r>
          </w:p>
        </w:tc>
        <w:tc>
          <w:tcPr>
            <w:tcW w:w="247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下月计划</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1</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云锦一期1#楼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10层结构施工</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13层结构施工</w:t>
            </w:r>
          </w:p>
        </w:tc>
        <w:tc>
          <w:tcPr>
            <w:tcW w:w="2470" w:type="dxa"/>
            <w:tcBorders>
              <w:top w:val="nil"/>
              <w:left w:val="nil"/>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18层结构施工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2</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云锦一期2#楼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10层结构施工</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13层墙柱结构浇筑</w:t>
            </w:r>
          </w:p>
        </w:tc>
        <w:tc>
          <w:tcPr>
            <w:tcW w:w="2470" w:type="dxa"/>
            <w:tcBorders>
              <w:top w:val="nil"/>
              <w:left w:val="nil"/>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18层墙柱结构浇筑</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3</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云锦一期3#楼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6层结构施工</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9层梁板施工</w:t>
            </w:r>
          </w:p>
        </w:tc>
        <w:tc>
          <w:tcPr>
            <w:tcW w:w="2470" w:type="dxa"/>
            <w:tcBorders>
              <w:top w:val="nil"/>
              <w:left w:val="nil"/>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14层梁板施工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4</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云锦一期4#楼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5层顶板浇筑</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8层墙柱结构施工工</w:t>
            </w:r>
          </w:p>
        </w:tc>
        <w:tc>
          <w:tcPr>
            <w:tcW w:w="2470" w:type="dxa"/>
            <w:tcBorders>
              <w:top w:val="nil"/>
              <w:left w:val="nil"/>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13层墙柱结构施工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5</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云锦一期5#楼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7层结构施工</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10层墙柱施工</w:t>
            </w:r>
          </w:p>
        </w:tc>
        <w:tc>
          <w:tcPr>
            <w:tcW w:w="2470" w:type="dxa"/>
            <w:tcBorders>
              <w:top w:val="nil"/>
              <w:left w:val="nil"/>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15层墙柱施工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6</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云锦一期6#楼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2层结构施工</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6层墙柱结构施工</w:t>
            </w:r>
          </w:p>
        </w:tc>
        <w:tc>
          <w:tcPr>
            <w:tcW w:w="2470" w:type="dxa"/>
            <w:tcBorders>
              <w:top w:val="nil"/>
              <w:left w:val="nil"/>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11层墙柱结构施工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7</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云锦一期7#楼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基础底板浇筑完成</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1层结构施工</w:t>
            </w:r>
          </w:p>
        </w:tc>
        <w:tc>
          <w:tcPr>
            <w:tcW w:w="2470" w:type="dxa"/>
            <w:tcBorders>
              <w:top w:val="nil"/>
              <w:left w:val="nil"/>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4层结构施工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8</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云锦一期地下室</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砖胎膜、基础钢筋</w:t>
            </w:r>
          </w:p>
          <w:p>
            <w:pPr>
              <w:jc w:val="center"/>
              <w:rPr>
                <w:rFonts w:hint="eastAsia" w:ascii="宋体" w:hAnsi="宋体" w:cs="宋体"/>
                <w:sz w:val="18"/>
                <w:szCs w:val="18"/>
              </w:rPr>
            </w:pPr>
            <w:r>
              <w:rPr>
                <w:rFonts w:hint="eastAsia" w:ascii="宋体" w:hAnsi="宋体" w:cs="宋体"/>
                <w:sz w:val="18"/>
                <w:szCs w:val="18"/>
              </w:rPr>
              <w:t>及防水施工</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地下室整体底板钢筋施工完成50%，负一层结构施工20%</w:t>
            </w:r>
          </w:p>
        </w:tc>
        <w:tc>
          <w:tcPr>
            <w:tcW w:w="2470" w:type="dxa"/>
            <w:tcBorders>
              <w:top w:val="nil"/>
              <w:left w:val="nil"/>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地下室整体底板钢筋施工完成80%，负一层结构施工60%部分浇筑完成</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9</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云锦二期</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暂无进度</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暂无进度</w:t>
            </w:r>
          </w:p>
        </w:tc>
        <w:tc>
          <w:tcPr>
            <w:tcW w:w="2470" w:type="dxa"/>
            <w:tcBorders>
              <w:top w:val="nil"/>
              <w:left w:val="nil"/>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暂无施工计划</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10</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云锦三期</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暂无进度</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暂无进度</w:t>
            </w:r>
          </w:p>
        </w:tc>
        <w:tc>
          <w:tcPr>
            <w:tcW w:w="2470" w:type="dxa"/>
            <w:tcBorders>
              <w:top w:val="nil"/>
              <w:left w:val="nil"/>
              <w:bottom w:val="single" w:color="auto" w:sz="8" w:space="0"/>
              <w:right w:val="single" w:color="auto" w:sz="8"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暂无施工计划</w:t>
            </w:r>
          </w:p>
        </w:tc>
      </w:tr>
    </w:tbl>
    <w:p>
      <w:pPr>
        <w:ind w:firstLine="420" w:firstLineChars="200"/>
        <w:rPr>
          <w:rFonts w:ascii="宋体" w:hAnsi="宋体" w:cs="宋体"/>
          <w:bCs/>
          <w:sz w:val="21"/>
          <w:szCs w:val="21"/>
        </w:rPr>
      </w:pPr>
    </w:p>
    <w:p>
      <w:pPr>
        <w:pStyle w:val="3"/>
        <w:keepNext w:val="0"/>
        <w:keepLines w:val="0"/>
        <w:spacing w:before="300" w:after="300" w:line="360" w:lineRule="exact"/>
        <w:jc w:val="left"/>
        <w:rPr>
          <w:rFonts w:ascii="Arial" w:hAnsi="Arial" w:eastAsia="宋体" w:cs="Arial"/>
          <w:bCs/>
          <w:color w:val="000000"/>
          <w:sz w:val="24"/>
          <w:szCs w:val="24"/>
        </w:rPr>
      </w:pPr>
      <w:bookmarkStart w:id="28" w:name="_Toc23579"/>
      <w:bookmarkStart w:id="29" w:name="_Toc66115199"/>
      <w:bookmarkStart w:id="30" w:name="_Toc10364"/>
      <w:r>
        <w:rPr>
          <w:rFonts w:hint="eastAsia" w:ascii="Arial" w:hAnsi="Arial" w:eastAsia="宋体" w:cs="Arial"/>
          <w:bCs/>
          <w:color w:val="000000"/>
          <w:sz w:val="24"/>
          <w:szCs w:val="24"/>
        </w:rPr>
        <w:t>五、项目合同及成本执行情况</w:t>
      </w:r>
      <w:bookmarkEnd w:id="28"/>
      <w:bookmarkEnd w:id="29"/>
      <w:bookmarkEnd w:id="30"/>
    </w:p>
    <w:p>
      <w:pPr>
        <w:widowControl w:val="0"/>
        <w:spacing w:line="480" w:lineRule="auto"/>
        <w:ind w:firstLine="420" w:firstLineChars="200"/>
        <w:jc w:val="both"/>
        <w:rPr>
          <w:rFonts w:hint="eastAsia" w:ascii="Arial" w:hAnsi="Arial" w:cs="Arial"/>
          <w:kern w:val="44"/>
          <w:sz w:val="21"/>
          <w:szCs w:val="21"/>
        </w:rPr>
      </w:pPr>
      <w:bookmarkStart w:id="31" w:name="_Toc21159"/>
      <w:r>
        <w:rPr>
          <w:rFonts w:hint="eastAsia" w:ascii="Arial" w:hAnsi="Arial" w:cs="Arial"/>
          <w:kern w:val="44"/>
          <w:sz w:val="21"/>
          <w:szCs w:val="21"/>
        </w:rPr>
        <w:t>截至2021年</w:t>
      </w:r>
      <w:r>
        <w:rPr>
          <w:rFonts w:hint="eastAsia" w:ascii="Arial" w:hAnsi="Arial" w:cs="Arial"/>
          <w:kern w:val="44"/>
          <w:sz w:val="21"/>
          <w:szCs w:val="21"/>
          <w:lang w:val="en-US" w:eastAsia="zh-CN"/>
        </w:rPr>
        <w:t>5</w:t>
      </w:r>
      <w:r>
        <w:rPr>
          <w:rFonts w:hint="eastAsia" w:ascii="Arial" w:hAnsi="Arial" w:cs="Arial"/>
          <w:kern w:val="44"/>
          <w:sz w:val="21"/>
          <w:szCs w:val="21"/>
        </w:rPr>
        <w:t>月</w:t>
      </w:r>
      <w:r>
        <w:rPr>
          <w:rFonts w:hint="eastAsia" w:ascii="Arial" w:hAnsi="Arial" w:cs="Arial"/>
          <w:kern w:val="44"/>
          <w:sz w:val="21"/>
          <w:szCs w:val="21"/>
          <w:lang w:val="en-US" w:eastAsia="zh-CN"/>
        </w:rPr>
        <w:t>31</w:t>
      </w:r>
      <w:r>
        <w:rPr>
          <w:rFonts w:hint="eastAsia" w:ascii="Arial" w:hAnsi="Arial" w:cs="Arial"/>
          <w:kern w:val="44"/>
          <w:sz w:val="21"/>
          <w:szCs w:val="21"/>
        </w:rPr>
        <w:t xml:space="preserve">日，项目总计已签订合同 </w:t>
      </w:r>
      <w:r>
        <w:rPr>
          <w:rFonts w:hint="eastAsia" w:ascii="Arial" w:hAnsi="Arial" w:cs="Arial"/>
          <w:kern w:val="44"/>
          <w:sz w:val="21"/>
          <w:szCs w:val="21"/>
          <w:lang w:val="en-US" w:eastAsia="zh-CN"/>
        </w:rPr>
        <w:t>155</w:t>
      </w:r>
      <w:r>
        <w:rPr>
          <w:rFonts w:hint="eastAsia" w:ascii="Arial" w:hAnsi="Arial" w:cs="Arial"/>
          <w:kern w:val="44"/>
          <w:sz w:val="21"/>
          <w:szCs w:val="21"/>
        </w:rPr>
        <w:t>份，已签订合同总价1</w:t>
      </w:r>
      <w:r>
        <w:rPr>
          <w:rFonts w:hint="eastAsia" w:ascii="Arial" w:hAnsi="Arial" w:cs="Arial"/>
          <w:kern w:val="44"/>
          <w:sz w:val="21"/>
          <w:szCs w:val="21"/>
          <w:lang w:val="en-US" w:eastAsia="zh-CN"/>
        </w:rPr>
        <w:t>,</w:t>
      </w:r>
      <w:r>
        <w:rPr>
          <w:rFonts w:hint="eastAsia" w:ascii="Arial" w:hAnsi="Arial" w:cs="Arial"/>
          <w:kern w:val="44"/>
          <w:sz w:val="21"/>
          <w:szCs w:val="21"/>
        </w:rPr>
        <w:t>170</w:t>
      </w:r>
      <w:r>
        <w:rPr>
          <w:rFonts w:hint="eastAsia" w:ascii="Arial" w:hAnsi="Arial" w:cs="Arial"/>
          <w:kern w:val="44"/>
          <w:sz w:val="21"/>
          <w:szCs w:val="21"/>
          <w:lang w:val="en-US" w:eastAsia="zh-CN"/>
        </w:rPr>
        <w:t>,</w:t>
      </w:r>
      <w:r>
        <w:rPr>
          <w:rFonts w:hint="eastAsia" w:ascii="Arial" w:hAnsi="Arial" w:cs="Arial"/>
          <w:kern w:val="44"/>
          <w:sz w:val="21"/>
          <w:szCs w:val="21"/>
        </w:rPr>
        <w:t>158</w:t>
      </w:r>
      <w:r>
        <w:rPr>
          <w:rFonts w:hint="eastAsia" w:ascii="Arial" w:hAnsi="Arial" w:cs="Arial"/>
          <w:kern w:val="44"/>
          <w:sz w:val="21"/>
          <w:szCs w:val="21"/>
          <w:lang w:val="en-US" w:eastAsia="zh-CN"/>
        </w:rPr>
        <w:t>,</w:t>
      </w:r>
      <w:r>
        <w:rPr>
          <w:rFonts w:hint="eastAsia" w:ascii="Arial" w:hAnsi="Arial" w:cs="Arial"/>
          <w:kern w:val="44"/>
          <w:sz w:val="21"/>
          <w:szCs w:val="21"/>
        </w:rPr>
        <w:t>704.19元，已支付845</w:t>
      </w:r>
      <w:r>
        <w:rPr>
          <w:rFonts w:hint="eastAsia" w:ascii="Arial" w:hAnsi="Arial" w:cs="Arial"/>
          <w:kern w:val="44"/>
          <w:sz w:val="21"/>
          <w:szCs w:val="21"/>
          <w:lang w:val="en-US" w:eastAsia="zh-CN"/>
        </w:rPr>
        <w:t>,</w:t>
      </w:r>
      <w:r>
        <w:rPr>
          <w:rFonts w:hint="eastAsia" w:ascii="Arial" w:hAnsi="Arial" w:cs="Arial"/>
          <w:kern w:val="44"/>
          <w:sz w:val="21"/>
          <w:szCs w:val="21"/>
        </w:rPr>
        <w:t>136</w:t>
      </w:r>
      <w:r>
        <w:rPr>
          <w:rFonts w:hint="eastAsia" w:ascii="Arial" w:hAnsi="Arial" w:cs="Arial"/>
          <w:kern w:val="44"/>
          <w:sz w:val="21"/>
          <w:szCs w:val="21"/>
          <w:lang w:val="en-US" w:eastAsia="zh-CN"/>
        </w:rPr>
        <w:t>,</w:t>
      </w:r>
      <w:r>
        <w:rPr>
          <w:rFonts w:hint="eastAsia" w:ascii="Arial" w:hAnsi="Arial" w:cs="Arial"/>
          <w:kern w:val="44"/>
          <w:sz w:val="21"/>
          <w:szCs w:val="21"/>
        </w:rPr>
        <w:t>571.02元，合同付款百分比为7</w:t>
      </w:r>
      <w:r>
        <w:rPr>
          <w:rFonts w:hint="eastAsia" w:ascii="Arial" w:hAnsi="Arial" w:cs="Arial"/>
          <w:kern w:val="44"/>
          <w:sz w:val="21"/>
          <w:szCs w:val="21"/>
          <w:lang w:val="en-US" w:eastAsia="zh-CN"/>
        </w:rPr>
        <w:t>2.22</w:t>
      </w:r>
      <w:r>
        <w:rPr>
          <w:rFonts w:hint="eastAsia" w:ascii="Arial" w:hAnsi="Arial" w:cs="Arial"/>
          <w:kern w:val="44"/>
          <w:sz w:val="21"/>
          <w:szCs w:val="21"/>
        </w:rPr>
        <w:t>%。</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截至2021年</w:t>
      </w:r>
      <w:r>
        <w:rPr>
          <w:rFonts w:hint="eastAsia" w:ascii="Arial" w:hAnsi="Arial" w:cs="Arial"/>
          <w:kern w:val="44"/>
          <w:sz w:val="21"/>
          <w:szCs w:val="21"/>
          <w:lang w:val="en-US" w:eastAsia="zh-CN"/>
        </w:rPr>
        <w:t>5</w:t>
      </w:r>
      <w:r>
        <w:rPr>
          <w:rFonts w:hint="eastAsia" w:ascii="Arial" w:hAnsi="Arial" w:cs="Arial"/>
          <w:kern w:val="44"/>
          <w:sz w:val="21"/>
          <w:szCs w:val="21"/>
        </w:rPr>
        <w:t>月3</w:t>
      </w:r>
      <w:r>
        <w:rPr>
          <w:rFonts w:hint="eastAsia" w:ascii="Arial" w:hAnsi="Arial" w:cs="Arial"/>
          <w:kern w:val="44"/>
          <w:sz w:val="21"/>
          <w:szCs w:val="21"/>
          <w:lang w:val="en-US" w:eastAsia="zh-CN"/>
        </w:rPr>
        <w:t>1</w:t>
      </w:r>
      <w:r>
        <w:rPr>
          <w:rFonts w:hint="eastAsia" w:ascii="Arial" w:hAnsi="Arial" w:cs="Arial"/>
          <w:kern w:val="44"/>
          <w:sz w:val="21"/>
          <w:szCs w:val="21"/>
        </w:rPr>
        <w:t>日，项目已支付成本（费用）金额</w:t>
      </w:r>
      <w:r>
        <w:rPr>
          <w:rFonts w:hint="default" w:ascii="Arial" w:hAnsi="Arial" w:cs="Arial"/>
          <w:kern w:val="44"/>
          <w:sz w:val="21"/>
          <w:szCs w:val="21"/>
          <w:lang w:val="en-US" w:eastAsia="zh-CN"/>
        </w:rPr>
        <w:t>880,577,848.04</w:t>
      </w:r>
      <w:r>
        <w:rPr>
          <w:rFonts w:hint="eastAsia" w:ascii="Arial" w:hAnsi="Arial" w:cs="Arial"/>
          <w:kern w:val="44"/>
          <w:sz w:val="21"/>
          <w:szCs w:val="21"/>
        </w:rPr>
        <w:t>2元 ，其中土地成本792,554,747.04元，开发费用</w:t>
      </w:r>
      <w:r>
        <w:rPr>
          <w:rFonts w:hint="default" w:ascii="Arial" w:hAnsi="Arial" w:cs="Arial"/>
          <w:kern w:val="44"/>
          <w:sz w:val="21"/>
          <w:szCs w:val="21"/>
          <w:lang w:val="en-US" w:eastAsia="zh-CN"/>
        </w:rPr>
        <w:t>21,458,418.60</w:t>
      </w:r>
      <w:r>
        <w:rPr>
          <w:rFonts w:hint="eastAsia" w:ascii="Arial" w:hAnsi="Arial" w:cs="Arial"/>
          <w:kern w:val="44"/>
          <w:sz w:val="21"/>
          <w:szCs w:val="21"/>
        </w:rPr>
        <w:t>元，建安费用</w:t>
      </w:r>
      <w:r>
        <w:rPr>
          <w:rFonts w:hint="default" w:ascii="Arial" w:hAnsi="Arial" w:cs="Arial"/>
          <w:kern w:val="44"/>
          <w:sz w:val="21"/>
          <w:szCs w:val="21"/>
          <w:lang w:val="en-US" w:eastAsia="zh-CN"/>
        </w:rPr>
        <w:t>41,084,021.29</w:t>
      </w:r>
      <w:r>
        <w:rPr>
          <w:rFonts w:hint="eastAsia" w:ascii="Arial" w:hAnsi="Arial" w:cs="Arial"/>
          <w:kern w:val="44"/>
          <w:sz w:val="21"/>
          <w:szCs w:val="21"/>
        </w:rPr>
        <w:t>元，营建成本</w:t>
      </w:r>
      <w:r>
        <w:rPr>
          <w:rFonts w:hint="default" w:ascii="Arial" w:hAnsi="Arial" w:cs="Arial"/>
          <w:kern w:val="44"/>
          <w:sz w:val="21"/>
          <w:szCs w:val="21"/>
          <w:lang w:val="en-US" w:eastAsia="zh-CN"/>
        </w:rPr>
        <w:t>559,441.85</w:t>
      </w:r>
      <w:r>
        <w:rPr>
          <w:rFonts w:hint="eastAsia" w:ascii="Arial" w:hAnsi="Arial" w:cs="Arial"/>
          <w:kern w:val="44"/>
          <w:sz w:val="21"/>
          <w:szCs w:val="21"/>
        </w:rPr>
        <w:t>元，管理费用</w:t>
      </w:r>
      <w:r>
        <w:rPr>
          <w:rFonts w:hint="default" w:ascii="Arial" w:hAnsi="Arial" w:cs="Arial"/>
          <w:kern w:val="44"/>
          <w:sz w:val="21"/>
          <w:szCs w:val="21"/>
          <w:lang w:val="en-US" w:eastAsia="zh-CN"/>
        </w:rPr>
        <w:t xml:space="preserve">4,312,301.51 </w:t>
      </w:r>
      <w:r>
        <w:rPr>
          <w:rFonts w:hint="eastAsia" w:ascii="Arial" w:hAnsi="Arial" w:cs="Arial"/>
          <w:kern w:val="44"/>
          <w:sz w:val="21"/>
          <w:szCs w:val="21"/>
        </w:rPr>
        <w:t>元，财务费用</w:t>
      </w:r>
      <w:r>
        <w:rPr>
          <w:rFonts w:hint="default" w:ascii="Arial" w:hAnsi="Arial" w:cs="Arial"/>
          <w:kern w:val="44"/>
          <w:sz w:val="21"/>
          <w:szCs w:val="21"/>
          <w:lang w:val="en-US" w:eastAsia="zh-CN"/>
        </w:rPr>
        <w:t>-377,688.11</w:t>
      </w:r>
      <w:r>
        <w:rPr>
          <w:rFonts w:hint="eastAsia" w:ascii="Arial" w:hAnsi="Arial" w:cs="Arial"/>
          <w:kern w:val="44"/>
          <w:sz w:val="21"/>
          <w:szCs w:val="21"/>
        </w:rPr>
        <w:t>元，销售费用</w:t>
      </w:r>
      <w:r>
        <w:rPr>
          <w:rFonts w:hint="default" w:ascii="Arial" w:hAnsi="Arial" w:cs="Arial"/>
          <w:kern w:val="44"/>
          <w:sz w:val="21"/>
          <w:szCs w:val="21"/>
          <w:lang w:val="en-US" w:eastAsia="zh-CN"/>
        </w:rPr>
        <w:t>4,073,997.47</w:t>
      </w:r>
      <w:r>
        <w:rPr>
          <w:rFonts w:hint="eastAsia" w:ascii="Arial" w:hAnsi="Arial" w:cs="Arial"/>
          <w:kern w:val="44"/>
          <w:sz w:val="21"/>
          <w:szCs w:val="21"/>
        </w:rPr>
        <w:t>元，税费</w:t>
      </w:r>
      <w:r>
        <w:rPr>
          <w:rFonts w:hint="default" w:ascii="Arial" w:hAnsi="Arial" w:cs="Arial"/>
          <w:kern w:val="44"/>
          <w:sz w:val="21"/>
          <w:szCs w:val="21"/>
          <w:lang w:val="en-US" w:eastAsia="zh-CN"/>
        </w:rPr>
        <w:t>16,544,422.47</w:t>
      </w:r>
      <w:r>
        <w:rPr>
          <w:rFonts w:hint="eastAsia" w:ascii="Arial" w:hAnsi="Arial" w:cs="Arial"/>
          <w:kern w:val="44"/>
          <w:sz w:val="21"/>
          <w:szCs w:val="21"/>
        </w:rPr>
        <w:t>元，其他支出</w:t>
      </w:r>
      <w:r>
        <w:rPr>
          <w:rFonts w:hint="default" w:ascii="Arial" w:hAnsi="Arial" w:cs="Arial"/>
          <w:kern w:val="44"/>
          <w:sz w:val="21"/>
          <w:szCs w:val="21"/>
          <w:lang w:val="en-US" w:eastAsia="zh-CN"/>
        </w:rPr>
        <w:t>368,185.92</w:t>
      </w:r>
      <w:r>
        <w:rPr>
          <w:rFonts w:hint="eastAsia" w:ascii="Arial" w:hAnsi="Arial" w:cs="Arial"/>
          <w:kern w:val="44"/>
          <w:sz w:val="21"/>
          <w:szCs w:val="21"/>
        </w:rPr>
        <w:t>元。</w:t>
      </w:r>
    </w:p>
    <w:p>
      <w:pPr>
        <w:widowControl w:val="0"/>
        <w:spacing w:line="480" w:lineRule="auto"/>
        <w:ind w:firstLine="420" w:firstLineChars="200"/>
        <w:jc w:val="center"/>
        <w:rPr>
          <w:rFonts w:ascii="宋体" w:hAnsi="宋体" w:cs="宋体"/>
          <w:b/>
          <w:bCs/>
          <w:sz w:val="21"/>
          <w:szCs w:val="21"/>
        </w:rPr>
      </w:pPr>
      <w:r>
        <w:rPr>
          <w:rFonts w:hint="eastAsia" w:ascii="宋体" w:hAnsi="宋体" w:cs="宋体"/>
          <w:b/>
          <w:bCs/>
          <w:color w:val="000000"/>
          <w:sz w:val="21"/>
          <w:szCs w:val="21"/>
        </w:rPr>
        <w:t>表四：</w:t>
      </w:r>
      <w:r>
        <w:rPr>
          <w:rFonts w:hint="eastAsia" w:ascii="宋体" w:hAnsi="宋体" w:cs="宋体"/>
          <w:b/>
          <w:bCs/>
          <w:sz w:val="21"/>
          <w:szCs w:val="21"/>
        </w:rPr>
        <w:t>项目成本执行情况</w:t>
      </w:r>
      <w:bookmarkEnd w:id="31"/>
    </w:p>
    <w:tbl>
      <w:tblPr>
        <w:tblStyle w:val="18"/>
        <w:tblW w:w="9750" w:type="dxa"/>
        <w:tblInd w:w="0" w:type="dxa"/>
        <w:tblBorders>
          <w:top w:val="double" w:color="auto" w:sz="6" w:space="0"/>
          <w:left w:val="none" w:color="auto" w:sz="0" w:space="0"/>
          <w:bottom w:val="double" w:color="auto" w:sz="6"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9"/>
        <w:gridCol w:w="1386"/>
        <w:gridCol w:w="997"/>
        <w:gridCol w:w="1639"/>
        <w:gridCol w:w="1775"/>
        <w:gridCol w:w="1555"/>
        <w:gridCol w:w="1669"/>
      </w:tblGrid>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4" w:hRule="atLeast"/>
          <w:tblHeader/>
        </w:trPr>
        <w:tc>
          <w:tcPr>
            <w:tcW w:w="729" w:type="dxa"/>
            <w:tcBorders>
              <w:top w:val="single" w:color="auto" w:sz="4" w:space="0"/>
              <w:lef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386"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类别</w:t>
            </w:r>
          </w:p>
        </w:tc>
        <w:tc>
          <w:tcPr>
            <w:tcW w:w="997" w:type="dxa"/>
            <w:tcBorders>
              <w:top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合同份数</w:t>
            </w:r>
          </w:p>
        </w:tc>
        <w:tc>
          <w:tcPr>
            <w:tcW w:w="1639"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目标成本</w:t>
            </w:r>
            <w:r>
              <w:rPr>
                <w:rFonts w:hint="eastAsia" w:ascii="Arial" w:hAnsi="Arial" w:cs="Arial"/>
                <w:b/>
                <w:bCs/>
                <w:color w:val="000000"/>
                <w:sz w:val="18"/>
                <w:szCs w:val="18"/>
              </w:rPr>
              <w:t>（元）</w:t>
            </w:r>
          </w:p>
        </w:tc>
        <w:tc>
          <w:tcPr>
            <w:tcW w:w="1775" w:type="dxa"/>
            <w:tcBorders>
              <w:top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已发生成本（合同金额+已发生的无合同成本）</w:t>
            </w:r>
          </w:p>
        </w:tc>
        <w:tc>
          <w:tcPr>
            <w:tcW w:w="1555" w:type="dxa"/>
            <w:tcBorders>
              <w:top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累计付款（元）</w:t>
            </w:r>
          </w:p>
        </w:tc>
        <w:tc>
          <w:tcPr>
            <w:tcW w:w="1669" w:type="dxa"/>
            <w:tcBorders>
              <w:top w:val="single" w:color="auto" w:sz="4" w:space="0"/>
              <w:right w:val="single" w:color="auto" w:sz="4" w:space="0"/>
            </w:tcBorders>
            <w:vAlign w:val="center"/>
          </w:tcPr>
          <w:p>
            <w:pPr>
              <w:jc w:val="center"/>
              <w:rPr>
                <w:rFonts w:ascii="Arial" w:hAnsi="Arial" w:cs="Arial"/>
                <w:b/>
                <w:bCs/>
                <w:color w:val="000000"/>
                <w:sz w:val="18"/>
                <w:szCs w:val="18"/>
              </w:rPr>
            </w:pPr>
            <w:r>
              <w:rPr>
                <w:rFonts w:hint="eastAsia" w:ascii="Arial" w:hAnsi="Arial" w:cs="Arial"/>
                <w:b/>
                <w:bCs/>
                <w:color w:val="000000"/>
                <w:sz w:val="18"/>
                <w:szCs w:val="18"/>
              </w:rPr>
              <w:t>成本发生占比（已发生成本/目标成本）</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1</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ascii="Arial" w:hAnsi="Arial" w:cs="Arial"/>
                <w:color w:val="000000"/>
                <w:sz w:val="18"/>
                <w:szCs w:val="18"/>
                <w:lang w:bidi="ar"/>
              </w:rPr>
              <w:t>土地合同</w:t>
            </w:r>
          </w:p>
        </w:tc>
        <w:tc>
          <w:tcPr>
            <w:tcW w:w="997" w:type="dxa"/>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1</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797,280,000.00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797,280,233.08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 xml:space="preserve">792,554,747.04 </w:t>
            </w:r>
          </w:p>
        </w:tc>
        <w:tc>
          <w:tcPr>
            <w:tcW w:w="1669" w:type="dxa"/>
            <w:tcBorders>
              <w:right w:val="single" w:color="auto" w:sz="4" w:space="0"/>
            </w:tcBorders>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100.00%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2</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开发费用</w:t>
            </w:r>
          </w:p>
        </w:tc>
        <w:tc>
          <w:tcPr>
            <w:tcW w:w="997" w:type="dxa"/>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32</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72,190,000.00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28,210,978.20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 xml:space="preserve">21,458,418.60 </w:t>
            </w:r>
          </w:p>
        </w:tc>
        <w:tc>
          <w:tcPr>
            <w:tcW w:w="1669" w:type="dxa"/>
            <w:tcBorders>
              <w:right w:val="single" w:color="auto" w:sz="4" w:space="0"/>
            </w:tcBorders>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39.08%</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3</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建安费用</w:t>
            </w:r>
          </w:p>
        </w:tc>
        <w:tc>
          <w:tcPr>
            <w:tcW w:w="997" w:type="dxa"/>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21</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1,067,930,000.00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351,586,407.28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 xml:space="preserve">41,084,021.29 </w:t>
            </w:r>
          </w:p>
        </w:tc>
        <w:tc>
          <w:tcPr>
            <w:tcW w:w="1669" w:type="dxa"/>
            <w:tcBorders>
              <w:right w:val="single" w:color="auto" w:sz="4" w:space="0"/>
            </w:tcBorders>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32.92%</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4</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营建成本</w:t>
            </w:r>
          </w:p>
        </w:tc>
        <w:tc>
          <w:tcPr>
            <w:tcW w:w="997" w:type="dxa"/>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1</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15,880,000.00</w:t>
            </w:r>
          </w:p>
        </w:tc>
        <w:tc>
          <w:tcPr>
            <w:tcW w:w="1775" w:type="dxa"/>
            <w:shd w:val="clear" w:color="auto" w:fill="auto"/>
            <w:vAlign w:val="center"/>
          </w:tcPr>
          <w:p>
            <w:pPr>
              <w:jc w:val="right"/>
              <w:textAlignment w:val="center"/>
              <w:rPr>
                <w:rFonts w:hint="default" w:ascii="Arial" w:hAnsi="Arial" w:cs="Arial"/>
                <w:color w:val="000000"/>
                <w:sz w:val="18"/>
                <w:szCs w:val="18"/>
                <w:lang w:val="en-US" w:bidi="ar"/>
              </w:rPr>
            </w:pPr>
            <w:r>
              <w:rPr>
                <w:rFonts w:hint="eastAsia" w:ascii="Arial" w:hAnsi="Arial" w:cs="Arial"/>
                <w:color w:val="000000"/>
                <w:sz w:val="18"/>
                <w:szCs w:val="18"/>
                <w:lang w:val="en-US" w:eastAsia="zh-CN" w:bidi="ar"/>
              </w:rPr>
              <w:t xml:space="preserve">1,484,512.56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 xml:space="preserve">559,441.85 </w:t>
            </w:r>
          </w:p>
        </w:tc>
        <w:tc>
          <w:tcPr>
            <w:tcW w:w="1669" w:type="dxa"/>
            <w:tcBorders>
              <w:right w:val="single" w:color="auto" w:sz="4" w:space="0"/>
            </w:tcBorders>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9.35%</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5</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b w:val="0"/>
                <w:bCs w:val="0"/>
                <w:color w:val="000000"/>
                <w:sz w:val="18"/>
                <w:szCs w:val="18"/>
                <w:lang w:bidi="ar"/>
              </w:rPr>
              <w:t>开发成本小计</w:t>
            </w:r>
          </w:p>
        </w:tc>
        <w:tc>
          <w:tcPr>
            <w:tcW w:w="997" w:type="dxa"/>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55</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b w:val="0"/>
                <w:bCs w:val="0"/>
                <w:color w:val="000000"/>
                <w:sz w:val="18"/>
                <w:szCs w:val="18"/>
                <w:lang w:bidi="ar"/>
              </w:rPr>
              <w:t>1,953,280,000.00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1,178,562,131.12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 xml:space="preserve">855,656,628.78 </w:t>
            </w:r>
          </w:p>
        </w:tc>
        <w:tc>
          <w:tcPr>
            <w:tcW w:w="1669" w:type="dxa"/>
            <w:tcBorders>
              <w:right w:val="single" w:color="auto" w:sz="4" w:space="0"/>
            </w:tcBorders>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60.34%</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6</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管理费用</w:t>
            </w:r>
          </w:p>
        </w:tc>
        <w:tc>
          <w:tcPr>
            <w:tcW w:w="997" w:type="dxa"/>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3</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71,070,000.00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4,381,473.51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 xml:space="preserve">4,312,301.51 </w:t>
            </w:r>
          </w:p>
        </w:tc>
        <w:tc>
          <w:tcPr>
            <w:tcW w:w="1669" w:type="dxa"/>
            <w:tcBorders>
              <w:right w:val="single" w:color="auto" w:sz="4" w:space="0"/>
            </w:tcBorders>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6.17%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7</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财务费用</w:t>
            </w:r>
          </w:p>
        </w:tc>
        <w:tc>
          <w:tcPr>
            <w:tcW w:w="997" w:type="dxa"/>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0</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-377,688.11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 xml:space="preserve">-377,688.11 </w:t>
            </w:r>
          </w:p>
        </w:tc>
        <w:tc>
          <w:tcPr>
            <w:tcW w:w="1669" w:type="dxa"/>
            <w:tcBorders>
              <w:right w:val="single" w:color="auto" w:sz="4" w:space="0"/>
            </w:tcBorders>
            <w:vAlign w:val="center"/>
          </w:tcPr>
          <w:p>
            <w:pPr>
              <w:jc w:val="center"/>
              <w:textAlignment w:val="center"/>
              <w:rPr>
                <w:rFonts w:hint="eastAsia" w:ascii="Arial" w:hAnsi="Arial" w:cs="Arial"/>
                <w:color w:val="000000"/>
                <w:sz w:val="18"/>
                <w:szCs w:val="18"/>
                <w:lang w:val="en-US" w:eastAsia="zh-CN" w:bidi="ar"/>
              </w:rPr>
            </w:pP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8</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销售费用</w:t>
            </w:r>
          </w:p>
        </w:tc>
        <w:tc>
          <w:tcPr>
            <w:tcW w:w="997" w:type="dxa"/>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97</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47,380,000.00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6,121,456.30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 xml:space="preserve">4,073,997.47 </w:t>
            </w:r>
          </w:p>
        </w:tc>
        <w:tc>
          <w:tcPr>
            <w:tcW w:w="1669" w:type="dxa"/>
            <w:tcBorders>
              <w:right w:val="single" w:color="auto" w:sz="4" w:space="0"/>
            </w:tcBorders>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12.92%</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9</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ascii="Arial" w:hAnsi="Arial" w:cs="Arial"/>
                <w:color w:val="000000"/>
                <w:sz w:val="18"/>
                <w:szCs w:val="18"/>
                <w:lang w:bidi="ar"/>
              </w:rPr>
              <w:t>税费</w:t>
            </w:r>
          </w:p>
        </w:tc>
        <w:tc>
          <w:tcPr>
            <w:tcW w:w="997" w:type="dxa"/>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0</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220,000,000.00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16,544,422.47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 xml:space="preserve">16,544,422.47 </w:t>
            </w:r>
          </w:p>
        </w:tc>
        <w:tc>
          <w:tcPr>
            <w:tcW w:w="1669" w:type="dxa"/>
            <w:tcBorders>
              <w:right w:val="single" w:color="auto" w:sz="4" w:space="0"/>
            </w:tcBorders>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7.52%</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729" w:type="dxa"/>
            <w:tcBorders>
              <w:left w:val="single" w:color="auto" w:sz="4" w:space="0"/>
              <w:bottom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10</w:t>
            </w:r>
          </w:p>
        </w:tc>
        <w:tc>
          <w:tcPr>
            <w:tcW w:w="1386" w:type="dxa"/>
            <w:tcBorders>
              <w:bottom w:val="single" w:color="auto" w:sz="4" w:space="0"/>
            </w:tcBorders>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其他支出</w:t>
            </w:r>
          </w:p>
        </w:tc>
        <w:tc>
          <w:tcPr>
            <w:tcW w:w="997" w:type="dxa"/>
            <w:tcBorders>
              <w:bottom w:val="single" w:color="auto" w:sz="4" w:space="0"/>
            </w:tcBorders>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0</w:t>
            </w:r>
          </w:p>
        </w:tc>
        <w:tc>
          <w:tcPr>
            <w:tcW w:w="1639" w:type="dxa"/>
            <w:tcBorders>
              <w:bottom w:val="single" w:color="auto" w:sz="4" w:space="0"/>
            </w:tcBorders>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0.00</w:t>
            </w:r>
          </w:p>
        </w:tc>
        <w:tc>
          <w:tcPr>
            <w:tcW w:w="1775" w:type="dxa"/>
            <w:tcBorders>
              <w:bottom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368,185.92 </w:t>
            </w:r>
          </w:p>
        </w:tc>
        <w:tc>
          <w:tcPr>
            <w:tcW w:w="1555" w:type="dxa"/>
            <w:tcBorders>
              <w:bottom w:val="single" w:color="auto" w:sz="4" w:space="0"/>
              <w:right w:val="single" w:color="auto" w:sz="4" w:space="0"/>
            </w:tcBorders>
            <w:shd w:val="clear" w:color="auto" w:fill="auto"/>
            <w:vAlign w:val="center"/>
          </w:tcPr>
          <w:p>
            <w:pPr>
              <w:jc w:val="right"/>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 xml:space="preserve">368,185.92 </w:t>
            </w:r>
          </w:p>
        </w:tc>
        <w:tc>
          <w:tcPr>
            <w:tcW w:w="1669" w:type="dxa"/>
            <w:tcBorders>
              <w:bottom w:val="single" w:color="auto" w:sz="4" w:space="0"/>
              <w:right w:val="single" w:color="auto" w:sz="4" w:space="0"/>
            </w:tcBorders>
            <w:vAlign w:val="center"/>
          </w:tcPr>
          <w:p>
            <w:pPr>
              <w:jc w:val="center"/>
              <w:textAlignment w:val="center"/>
              <w:rPr>
                <w:rFonts w:hint="eastAsia" w:ascii="Arial" w:hAnsi="Arial" w:cs="Arial"/>
                <w:color w:val="000000"/>
                <w:sz w:val="18"/>
                <w:szCs w:val="18"/>
                <w:lang w:val="en-US" w:eastAsia="zh-CN" w:bidi="ar"/>
              </w:rPr>
            </w:pP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729" w:type="dxa"/>
            <w:tcBorders>
              <w:left w:val="single" w:color="auto" w:sz="4" w:space="0"/>
              <w:bottom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11</w:t>
            </w:r>
          </w:p>
        </w:tc>
        <w:tc>
          <w:tcPr>
            <w:tcW w:w="1386" w:type="dxa"/>
            <w:tcBorders>
              <w:bottom w:val="single" w:color="auto" w:sz="4" w:space="0"/>
            </w:tcBorders>
            <w:shd w:val="clear" w:color="auto" w:fill="auto"/>
            <w:vAlign w:val="center"/>
          </w:tcPr>
          <w:p>
            <w:pPr>
              <w:jc w:val="center"/>
              <w:textAlignment w:val="center"/>
              <w:rPr>
                <w:rFonts w:hint="eastAsia" w:ascii="Arial" w:hAnsi="Arial" w:cs="Arial"/>
                <w:color w:val="000000"/>
                <w:kern w:val="2"/>
                <w:sz w:val="18"/>
                <w:szCs w:val="18"/>
                <w:lang w:bidi="ar"/>
              </w:rPr>
            </w:pPr>
            <w:r>
              <w:rPr>
                <w:rFonts w:ascii="Arial" w:hAnsi="Arial" w:cs="Arial"/>
                <w:b w:val="0"/>
                <w:bCs w:val="0"/>
                <w:color w:val="000000"/>
                <w:sz w:val="18"/>
                <w:szCs w:val="18"/>
                <w:lang w:bidi="ar"/>
              </w:rPr>
              <w:t>合计</w:t>
            </w:r>
          </w:p>
        </w:tc>
        <w:tc>
          <w:tcPr>
            <w:tcW w:w="997" w:type="dxa"/>
            <w:tcBorders>
              <w:bottom w:val="single" w:color="auto" w:sz="4" w:space="0"/>
            </w:tcBorders>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155</w:t>
            </w:r>
          </w:p>
        </w:tc>
        <w:tc>
          <w:tcPr>
            <w:tcW w:w="1639" w:type="dxa"/>
            <w:tcBorders>
              <w:bottom w:val="single" w:color="auto" w:sz="4" w:space="0"/>
            </w:tcBorders>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b w:val="0"/>
                <w:bCs w:val="0"/>
                <w:color w:val="000000"/>
                <w:sz w:val="18"/>
                <w:szCs w:val="18"/>
                <w:lang w:bidi="ar"/>
              </w:rPr>
              <w:t>2,291,730,000.00</w:t>
            </w:r>
          </w:p>
        </w:tc>
        <w:tc>
          <w:tcPr>
            <w:tcW w:w="1775" w:type="dxa"/>
            <w:tcBorders>
              <w:bottom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1,205,599,981.21 </w:t>
            </w:r>
          </w:p>
        </w:tc>
        <w:tc>
          <w:tcPr>
            <w:tcW w:w="1555" w:type="dxa"/>
            <w:tcBorders>
              <w:bottom w:val="single" w:color="auto" w:sz="4" w:space="0"/>
              <w:right w:val="single" w:color="auto" w:sz="4" w:space="0"/>
            </w:tcBorders>
            <w:shd w:val="clear" w:color="auto" w:fill="auto"/>
            <w:vAlign w:val="center"/>
          </w:tcPr>
          <w:p>
            <w:pPr>
              <w:jc w:val="right"/>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 xml:space="preserve">880,577,848.04 </w:t>
            </w:r>
          </w:p>
        </w:tc>
        <w:tc>
          <w:tcPr>
            <w:tcW w:w="1669" w:type="dxa"/>
            <w:tcBorders>
              <w:bottom w:val="single" w:color="auto" w:sz="4" w:space="0"/>
              <w:right w:val="single" w:color="auto" w:sz="4" w:space="0"/>
            </w:tcBorders>
            <w:vAlign w:val="center"/>
          </w:tcPr>
          <w:p>
            <w:pPr>
              <w:jc w:val="center"/>
              <w:textAlignment w:val="center"/>
              <w:rPr>
                <w:rFonts w:hint="eastAsia" w:ascii="Arial" w:hAnsi="Arial" w:cs="Arial"/>
                <w:color w:val="000000"/>
                <w:sz w:val="18"/>
                <w:szCs w:val="18"/>
                <w:lang w:val="en-US" w:eastAsia="zh-CN" w:bidi="ar"/>
              </w:rPr>
            </w:pPr>
            <w:r>
              <w:rPr>
                <w:rFonts w:hint="default" w:ascii="Arial" w:hAnsi="Arial" w:cs="Arial"/>
                <w:color w:val="000000"/>
                <w:sz w:val="18"/>
                <w:szCs w:val="18"/>
                <w:lang w:val="en-US" w:eastAsia="zh-CN" w:bidi="ar"/>
              </w:rPr>
              <w:t>52.61%</w:t>
            </w:r>
          </w:p>
        </w:tc>
      </w:tr>
    </w:tbl>
    <w:p>
      <w:pPr>
        <w:jc w:val="both"/>
        <w:rPr>
          <w:rFonts w:ascii="宋体" w:hAnsi="宋体" w:cs="宋体"/>
          <w:b/>
          <w:bCs/>
          <w:color w:val="000000"/>
          <w:sz w:val="21"/>
          <w:szCs w:val="21"/>
        </w:rPr>
      </w:pPr>
    </w:p>
    <w:p>
      <w:pPr>
        <w:rPr>
          <w:rFonts w:hint="eastAsia" w:ascii="Arial" w:hAnsi="Arial" w:eastAsia="宋体" w:cs="Arial"/>
          <w:bCs/>
          <w:color w:val="000000"/>
          <w:sz w:val="24"/>
          <w:szCs w:val="24"/>
          <w:highlight w:val="none"/>
        </w:rPr>
      </w:pPr>
      <w:bookmarkStart w:id="32" w:name="_Toc24614"/>
      <w:bookmarkStart w:id="33" w:name="_Toc66115200"/>
      <w:bookmarkStart w:id="34" w:name="_Toc13499"/>
      <w:r>
        <w:rPr>
          <w:rFonts w:hint="eastAsia" w:ascii="Arial" w:hAnsi="Arial" w:eastAsia="宋体" w:cs="Arial"/>
          <w:bCs/>
          <w:color w:val="000000"/>
          <w:sz w:val="24"/>
          <w:szCs w:val="24"/>
          <w:highlight w:val="none"/>
        </w:rPr>
        <w:br w:type="page"/>
      </w:r>
    </w:p>
    <w:p>
      <w:pPr>
        <w:pStyle w:val="3"/>
        <w:keepNext w:val="0"/>
        <w:keepLines w:val="0"/>
        <w:spacing w:before="300" w:after="300" w:line="360" w:lineRule="exact"/>
        <w:jc w:val="left"/>
        <w:rPr>
          <w:rFonts w:ascii="Arial" w:hAnsi="Arial" w:eastAsia="宋体" w:cs="Arial"/>
          <w:bCs/>
          <w:color w:val="000000"/>
          <w:sz w:val="24"/>
          <w:szCs w:val="24"/>
          <w:highlight w:val="none"/>
        </w:rPr>
      </w:pPr>
      <w:r>
        <w:rPr>
          <w:rFonts w:hint="eastAsia" w:ascii="Arial" w:hAnsi="Arial" w:eastAsia="宋体" w:cs="Arial"/>
          <w:bCs/>
          <w:color w:val="000000"/>
          <w:sz w:val="24"/>
          <w:szCs w:val="24"/>
          <w:highlight w:val="none"/>
        </w:rPr>
        <w:t>六、项目销售情况统计</w:t>
      </w:r>
      <w:bookmarkEnd w:id="32"/>
      <w:bookmarkEnd w:id="33"/>
      <w:bookmarkEnd w:id="34"/>
    </w:p>
    <w:p>
      <w:pPr>
        <w:widowControl w:val="0"/>
        <w:spacing w:line="480" w:lineRule="auto"/>
        <w:ind w:firstLine="420" w:firstLineChars="200"/>
        <w:jc w:val="both"/>
        <w:rPr>
          <w:rFonts w:ascii="Arial" w:hAnsi="Arial" w:cs="Arial"/>
          <w:kern w:val="44"/>
          <w:sz w:val="21"/>
          <w:szCs w:val="21"/>
          <w:highlight w:val="none"/>
        </w:rPr>
      </w:pPr>
      <w:r>
        <w:rPr>
          <w:rFonts w:hint="eastAsia" w:ascii="Arial" w:hAnsi="Arial" w:cs="Arial"/>
          <w:kern w:val="44"/>
          <w:sz w:val="21"/>
          <w:szCs w:val="21"/>
          <w:highlight w:val="none"/>
        </w:rPr>
        <w:t>1.项目推盘情况</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项目于2020年10月17日首次开盘住宅203套（20,264.23㎡），于2020年12月5日推盘203套（19,681.46㎡），</w:t>
      </w:r>
      <w:r>
        <w:rPr>
          <w:rFonts w:hint="eastAsia" w:ascii="Arial" w:hAnsi="Arial" w:cs="Arial"/>
          <w:kern w:val="44"/>
          <w:sz w:val="21"/>
          <w:szCs w:val="21"/>
          <w:lang w:val="en-US" w:eastAsia="zh-CN"/>
        </w:rPr>
        <w:t>于2021年4月23日推盘203套（20,264.23㎡）</w:t>
      </w:r>
      <w:r>
        <w:rPr>
          <w:rFonts w:hint="eastAsia" w:ascii="Arial" w:hAnsi="Arial" w:cs="Arial"/>
          <w:kern w:val="44"/>
          <w:sz w:val="21"/>
          <w:szCs w:val="21"/>
        </w:rPr>
        <w:t>截至本报告日累计开盘</w:t>
      </w:r>
      <w:r>
        <w:rPr>
          <w:rFonts w:hint="eastAsia" w:ascii="Arial" w:hAnsi="Arial" w:cs="Arial"/>
          <w:kern w:val="44"/>
          <w:sz w:val="21"/>
          <w:szCs w:val="21"/>
          <w:lang w:val="en-US" w:eastAsia="zh-CN"/>
        </w:rPr>
        <w:t>609</w:t>
      </w:r>
      <w:r>
        <w:rPr>
          <w:rFonts w:hint="eastAsia" w:ascii="Arial" w:hAnsi="Arial" w:cs="Arial"/>
          <w:kern w:val="44"/>
          <w:sz w:val="21"/>
          <w:szCs w:val="21"/>
        </w:rPr>
        <w:t>套（60</w:t>
      </w:r>
      <w:r>
        <w:rPr>
          <w:rFonts w:hint="eastAsia" w:ascii="Arial" w:hAnsi="Arial" w:cs="Arial"/>
          <w:kern w:val="44"/>
          <w:sz w:val="21"/>
          <w:szCs w:val="21"/>
          <w:lang w:val="en-US" w:eastAsia="zh-CN"/>
        </w:rPr>
        <w:t>,</w:t>
      </w:r>
      <w:r>
        <w:rPr>
          <w:rFonts w:hint="eastAsia" w:ascii="Arial" w:hAnsi="Arial" w:cs="Arial"/>
          <w:kern w:val="44"/>
          <w:sz w:val="21"/>
          <w:szCs w:val="21"/>
        </w:rPr>
        <w:t>209.92㎡）。</w:t>
      </w:r>
    </w:p>
    <w:p>
      <w:pPr>
        <w:widowControl w:val="0"/>
        <w:spacing w:line="480" w:lineRule="auto"/>
        <w:ind w:firstLine="420" w:firstLineChars="200"/>
        <w:jc w:val="both"/>
        <w:rPr>
          <w:rFonts w:ascii="Arial" w:hAnsi="Arial" w:cs="Arial"/>
          <w:kern w:val="44"/>
          <w:sz w:val="21"/>
          <w:szCs w:val="21"/>
          <w:highlight w:val="none"/>
        </w:rPr>
      </w:pPr>
      <w:r>
        <w:rPr>
          <w:rFonts w:hint="eastAsia" w:ascii="Arial" w:hAnsi="Arial" w:cs="Arial"/>
          <w:kern w:val="44"/>
          <w:sz w:val="21"/>
          <w:szCs w:val="21"/>
          <w:highlight w:val="none"/>
        </w:rPr>
        <w:t>2.销售去化情况</w:t>
      </w:r>
    </w:p>
    <w:p>
      <w:pPr>
        <w:widowControl w:val="0"/>
        <w:spacing w:line="480" w:lineRule="auto"/>
        <w:ind w:firstLine="420" w:firstLineChars="200"/>
        <w:jc w:val="both"/>
        <w:rPr>
          <w:rFonts w:hint="eastAsia" w:ascii="Arial" w:hAnsi="Arial" w:cs="Arial"/>
          <w:kern w:val="44"/>
          <w:sz w:val="21"/>
          <w:szCs w:val="21"/>
        </w:rPr>
      </w:pPr>
      <w:bookmarkStart w:id="35" w:name="_Toc23067"/>
      <w:r>
        <w:rPr>
          <w:rFonts w:hint="eastAsia" w:ascii="Arial" w:hAnsi="Arial" w:cs="Arial"/>
          <w:kern w:val="44"/>
          <w:sz w:val="21"/>
          <w:szCs w:val="21"/>
        </w:rPr>
        <w:t>本月</w:t>
      </w:r>
      <w:r>
        <w:rPr>
          <w:rFonts w:hint="eastAsia" w:ascii="Arial" w:hAnsi="Arial" w:cs="Arial"/>
          <w:kern w:val="44"/>
          <w:sz w:val="21"/>
          <w:szCs w:val="21"/>
          <w:lang w:eastAsia="zh-CN"/>
        </w:rPr>
        <w:t>：</w:t>
      </w:r>
      <w:r>
        <w:rPr>
          <w:rFonts w:hint="eastAsia" w:ascii="Arial" w:hAnsi="Arial" w:cs="Arial"/>
          <w:kern w:val="44"/>
          <w:sz w:val="21"/>
          <w:szCs w:val="21"/>
        </w:rPr>
        <w:t>2021年</w:t>
      </w:r>
      <w:r>
        <w:rPr>
          <w:rFonts w:hint="eastAsia" w:ascii="Arial" w:hAnsi="Arial" w:cs="Arial"/>
          <w:kern w:val="44"/>
          <w:sz w:val="21"/>
          <w:szCs w:val="21"/>
          <w:lang w:val="en-US" w:eastAsia="zh-CN"/>
        </w:rPr>
        <w:t>5</w:t>
      </w:r>
      <w:r>
        <w:rPr>
          <w:rFonts w:hint="eastAsia" w:ascii="Arial" w:hAnsi="Arial" w:cs="Arial"/>
          <w:kern w:val="44"/>
          <w:sz w:val="21"/>
          <w:szCs w:val="21"/>
        </w:rPr>
        <w:t>月共计销售</w:t>
      </w:r>
      <w:r>
        <w:rPr>
          <w:rFonts w:hint="eastAsia" w:ascii="Arial" w:hAnsi="Arial" w:cs="Arial"/>
          <w:kern w:val="44"/>
          <w:sz w:val="21"/>
          <w:szCs w:val="21"/>
          <w:lang w:val="en-US" w:eastAsia="zh-CN"/>
        </w:rPr>
        <w:t>26</w:t>
      </w:r>
      <w:r>
        <w:rPr>
          <w:rFonts w:hint="eastAsia" w:ascii="Arial" w:hAnsi="Arial" w:cs="Arial"/>
          <w:kern w:val="44"/>
          <w:sz w:val="21"/>
          <w:szCs w:val="21"/>
        </w:rPr>
        <w:t>套，销售合同金额</w:t>
      </w:r>
      <w:r>
        <w:rPr>
          <w:rFonts w:hint="eastAsia" w:ascii="Arial" w:hAnsi="Arial" w:cs="Arial"/>
          <w:kern w:val="44"/>
          <w:sz w:val="21"/>
          <w:szCs w:val="21"/>
          <w:lang w:val="en-US" w:eastAsia="zh-CN"/>
        </w:rPr>
        <w:t xml:space="preserve">20,965,698.00 </w:t>
      </w:r>
      <w:r>
        <w:rPr>
          <w:rFonts w:hint="eastAsia" w:ascii="Arial" w:hAnsi="Arial" w:cs="Arial"/>
          <w:kern w:val="44"/>
          <w:sz w:val="21"/>
          <w:szCs w:val="21"/>
        </w:rPr>
        <w:t>元，回款</w:t>
      </w:r>
      <w:r>
        <w:rPr>
          <w:rFonts w:hint="eastAsia" w:ascii="Arial" w:hAnsi="Arial" w:cs="Arial"/>
          <w:kern w:val="44"/>
          <w:sz w:val="21"/>
          <w:szCs w:val="21"/>
          <w:lang w:val="en-US" w:eastAsia="zh-CN"/>
        </w:rPr>
        <w:t xml:space="preserve">25,654,997.00 </w:t>
      </w:r>
      <w:r>
        <w:rPr>
          <w:rFonts w:hint="eastAsia" w:ascii="Arial" w:hAnsi="Arial" w:cs="Arial"/>
          <w:kern w:val="44"/>
          <w:sz w:val="21"/>
          <w:szCs w:val="21"/>
        </w:rPr>
        <w:t>元；</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累计：累计销售面积</w:t>
      </w:r>
      <w:r>
        <w:rPr>
          <w:rFonts w:hint="default" w:ascii="Arial" w:hAnsi="Arial" w:cs="Arial"/>
          <w:kern w:val="44"/>
          <w:sz w:val="21"/>
          <w:szCs w:val="21"/>
          <w:lang w:val="en-US" w:eastAsia="zh-CN"/>
        </w:rPr>
        <w:t>31,801.95</w:t>
      </w:r>
      <w:r>
        <w:rPr>
          <w:rFonts w:hint="eastAsia" w:ascii="Arial" w:hAnsi="Arial" w:cs="Arial"/>
          <w:kern w:val="44"/>
          <w:sz w:val="21"/>
          <w:szCs w:val="21"/>
        </w:rPr>
        <w:t>㎡，销售</w:t>
      </w:r>
      <w:r>
        <w:rPr>
          <w:rFonts w:hint="eastAsia" w:ascii="Arial" w:hAnsi="Arial" w:cs="Arial"/>
          <w:kern w:val="44"/>
          <w:sz w:val="21"/>
          <w:szCs w:val="21"/>
          <w:lang w:val="en-US" w:eastAsia="zh-CN"/>
        </w:rPr>
        <w:t>319</w:t>
      </w:r>
      <w:r>
        <w:rPr>
          <w:rFonts w:hint="eastAsia" w:ascii="Arial" w:hAnsi="Arial" w:cs="Arial"/>
          <w:kern w:val="44"/>
          <w:sz w:val="21"/>
          <w:szCs w:val="21"/>
        </w:rPr>
        <w:t>套，合同总价为</w:t>
      </w:r>
      <w:r>
        <w:rPr>
          <w:rFonts w:hint="eastAsia" w:ascii="Arial" w:hAnsi="Arial" w:cs="Arial"/>
          <w:kern w:val="44"/>
          <w:sz w:val="21"/>
          <w:szCs w:val="21"/>
          <w:lang w:val="en-US" w:eastAsia="zh-CN"/>
        </w:rPr>
        <w:t xml:space="preserve">271,274,804.00 </w:t>
      </w:r>
      <w:r>
        <w:rPr>
          <w:rFonts w:hint="eastAsia" w:ascii="Arial" w:hAnsi="Arial" w:cs="Arial"/>
          <w:kern w:val="44"/>
          <w:sz w:val="21"/>
          <w:szCs w:val="21"/>
        </w:rPr>
        <w:t>元</w:t>
      </w:r>
      <w:r>
        <w:rPr>
          <w:rFonts w:hint="eastAsia" w:ascii="Arial" w:hAnsi="Arial" w:cs="Arial"/>
          <w:kern w:val="44"/>
          <w:sz w:val="21"/>
          <w:szCs w:val="21"/>
          <w:lang w:eastAsia="zh-CN"/>
        </w:rPr>
        <w:t>，</w:t>
      </w:r>
      <w:r>
        <w:rPr>
          <w:rFonts w:hint="eastAsia" w:ascii="Arial" w:hAnsi="Arial" w:cs="Arial"/>
          <w:kern w:val="44"/>
          <w:sz w:val="21"/>
          <w:szCs w:val="21"/>
        </w:rPr>
        <w:t>回款额为</w:t>
      </w:r>
      <w:r>
        <w:rPr>
          <w:rFonts w:hint="eastAsia" w:ascii="Arial" w:hAnsi="Arial" w:cs="Arial"/>
          <w:kern w:val="44"/>
          <w:sz w:val="21"/>
          <w:szCs w:val="21"/>
          <w:lang w:val="en-US" w:eastAsia="zh-CN"/>
        </w:rPr>
        <w:t xml:space="preserve">278,984,842.24 </w:t>
      </w:r>
      <w:r>
        <w:rPr>
          <w:rFonts w:hint="eastAsia" w:ascii="Arial" w:hAnsi="Arial" w:cs="Arial"/>
          <w:kern w:val="44"/>
          <w:sz w:val="21"/>
          <w:szCs w:val="21"/>
        </w:rPr>
        <w:t>元，去化率</w:t>
      </w:r>
      <w:r>
        <w:rPr>
          <w:rFonts w:hint="eastAsia" w:ascii="Arial" w:hAnsi="Arial" w:cs="Arial"/>
          <w:kern w:val="44"/>
          <w:sz w:val="21"/>
          <w:szCs w:val="21"/>
          <w:lang w:val="en-US" w:eastAsia="zh-CN"/>
        </w:rPr>
        <w:t>52.82</w:t>
      </w:r>
      <w:r>
        <w:rPr>
          <w:rFonts w:hint="eastAsia" w:ascii="Arial" w:hAnsi="Arial" w:cs="Arial"/>
          <w:kern w:val="44"/>
          <w:sz w:val="21"/>
          <w:szCs w:val="21"/>
        </w:rPr>
        <w:t>%。如下：</w:t>
      </w:r>
    </w:p>
    <w:tbl>
      <w:tblPr>
        <w:tblStyle w:val="18"/>
        <w:tblW w:w="9284" w:type="dxa"/>
        <w:jc w:val="center"/>
        <w:tblLayout w:type="fixed"/>
        <w:tblCellMar>
          <w:top w:w="0" w:type="dxa"/>
          <w:left w:w="108" w:type="dxa"/>
          <w:bottom w:w="0" w:type="dxa"/>
          <w:right w:w="108" w:type="dxa"/>
        </w:tblCellMar>
      </w:tblPr>
      <w:tblGrid>
        <w:gridCol w:w="1381"/>
        <w:gridCol w:w="826"/>
        <w:gridCol w:w="2327"/>
        <w:gridCol w:w="2688"/>
        <w:gridCol w:w="2062"/>
      </w:tblGrid>
      <w:tr>
        <w:tblPrEx>
          <w:tblCellMar>
            <w:top w:w="0" w:type="dxa"/>
            <w:left w:w="108" w:type="dxa"/>
            <w:bottom w:w="0" w:type="dxa"/>
            <w:right w:w="108" w:type="dxa"/>
          </w:tblCellMar>
        </w:tblPrEx>
        <w:trPr>
          <w:trHeight w:val="280" w:hRule="atLeast"/>
          <w:jc w:val="center"/>
        </w:trPr>
        <w:tc>
          <w:tcPr>
            <w:tcW w:w="1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项目名称</w:t>
            </w:r>
          </w:p>
        </w:tc>
        <w:tc>
          <w:tcPr>
            <w:tcW w:w="7903"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bidi="ar"/>
              </w:rPr>
            </w:pPr>
            <w:r>
              <w:rPr>
                <w:rFonts w:hint="default" w:ascii="Arial" w:hAnsi="Arial" w:cs="Arial"/>
                <w:bCs/>
                <w:kern w:val="0"/>
                <w:sz w:val="18"/>
                <w:szCs w:val="18"/>
                <w:lang w:val="en-US" w:eastAsia="zh-CN" w:bidi="ar"/>
              </w:rPr>
              <w:t>2021</w:t>
            </w:r>
            <w:r>
              <w:rPr>
                <w:rFonts w:hint="eastAsia" w:ascii="Arial" w:hAnsi="Arial" w:cs="Arial"/>
                <w:bCs/>
                <w:kern w:val="0"/>
                <w:sz w:val="18"/>
                <w:szCs w:val="18"/>
                <w:lang w:val="en-US" w:eastAsia="zh-CN" w:bidi="ar"/>
              </w:rPr>
              <w:t>年</w:t>
            </w:r>
            <w:r>
              <w:rPr>
                <w:rFonts w:hint="default" w:ascii="Arial" w:hAnsi="Arial" w:cs="Arial"/>
                <w:bCs/>
                <w:kern w:val="0"/>
                <w:sz w:val="18"/>
                <w:szCs w:val="18"/>
                <w:lang w:val="en-US" w:eastAsia="zh-CN" w:bidi="ar"/>
              </w:rPr>
              <w:t>5</w:t>
            </w:r>
            <w:r>
              <w:rPr>
                <w:rFonts w:hint="eastAsia" w:ascii="Arial" w:hAnsi="Arial" w:cs="Arial"/>
                <w:bCs/>
                <w:kern w:val="0"/>
                <w:sz w:val="18"/>
                <w:szCs w:val="18"/>
                <w:lang w:val="en-US" w:eastAsia="zh-CN" w:bidi="ar"/>
              </w:rPr>
              <w:t>月销售、回款情况</w:t>
            </w:r>
          </w:p>
        </w:tc>
      </w:tr>
      <w:tr>
        <w:tblPrEx>
          <w:tblCellMar>
            <w:top w:w="0" w:type="dxa"/>
            <w:left w:w="108" w:type="dxa"/>
            <w:bottom w:w="0" w:type="dxa"/>
            <w:right w:w="108" w:type="dxa"/>
          </w:tblCellMar>
        </w:tblPrEx>
        <w:trPr>
          <w:trHeight w:val="312" w:hRule="atLeast"/>
          <w:jc w:val="center"/>
        </w:trPr>
        <w:tc>
          <w:tcPr>
            <w:tcW w:w="138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宜宾站前</w:t>
            </w:r>
          </w:p>
          <w:p>
            <w:pPr>
              <w:widowControl/>
              <w:jc w:val="center"/>
              <w:rPr>
                <w:rFonts w:ascii="Arial" w:hAnsi="Arial" w:cs="Arial"/>
                <w:bCs/>
                <w:kern w:val="0"/>
                <w:sz w:val="18"/>
                <w:szCs w:val="18"/>
                <w:lang w:bidi="ar"/>
              </w:rPr>
            </w:pPr>
            <w:r>
              <w:rPr>
                <w:rFonts w:hint="eastAsia" w:ascii="Arial" w:hAnsi="Arial" w:cs="Arial"/>
                <w:bCs/>
                <w:kern w:val="0"/>
                <w:sz w:val="18"/>
                <w:szCs w:val="18"/>
                <w:lang w:bidi="ar"/>
              </w:rPr>
              <w:t>广场项目</w:t>
            </w:r>
          </w:p>
          <w:p>
            <w:pPr>
              <w:widowControl/>
              <w:jc w:val="center"/>
              <w:rPr>
                <w:rFonts w:ascii="Arial" w:hAnsi="Arial" w:cs="Arial"/>
                <w:bCs/>
                <w:kern w:val="0"/>
                <w:sz w:val="18"/>
                <w:szCs w:val="18"/>
                <w:lang w:bidi="ar"/>
              </w:rPr>
            </w:pPr>
            <w:r>
              <w:rPr>
                <w:rFonts w:hint="eastAsia" w:ascii="Arial" w:hAnsi="Arial" w:cs="Arial"/>
                <w:bCs/>
                <w:kern w:val="0"/>
                <w:sz w:val="18"/>
                <w:szCs w:val="18"/>
                <w:lang w:bidi="ar"/>
              </w:rPr>
              <w:t>云锦一期</w:t>
            </w:r>
          </w:p>
        </w:tc>
        <w:tc>
          <w:tcPr>
            <w:tcW w:w="82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bidi="ar"/>
              </w:rPr>
            </w:pPr>
            <w:r>
              <w:rPr>
                <w:rFonts w:hint="eastAsia" w:ascii="Arial" w:hAnsi="Arial" w:cs="Arial"/>
                <w:bCs/>
                <w:kern w:val="0"/>
                <w:sz w:val="18"/>
                <w:szCs w:val="18"/>
                <w:lang w:val="en-US" w:eastAsia="zh-CN" w:bidi="ar"/>
              </w:rPr>
              <w:t>套数</w:t>
            </w:r>
          </w:p>
        </w:tc>
        <w:tc>
          <w:tcPr>
            <w:tcW w:w="232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bidi="ar"/>
              </w:rPr>
            </w:pPr>
            <w:r>
              <w:rPr>
                <w:rFonts w:hint="eastAsia" w:ascii="Arial" w:hAnsi="Arial" w:cs="Arial"/>
                <w:bCs/>
                <w:kern w:val="0"/>
                <w:sz w:val="18"/>
                <w:szCs w:val="18"/>
                <w:lang w:val="en-US" w:eastAsia="zh-CN" w:bidi="ar"/>
              </w:rPr>
              <w:t>销售面积</w:t>
            </w:r>
          </w:p>
        </w:tc>
        <w:tc>
          <w:tcPr>
            <w:tcW w:w="268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bidi="ar"/>
              </w:rPr>
            </w:pPr>
            <w:r>
              <w:rPr>
                <w:rFonts w:hint="eastAsia" w:ascii="Arial" w:hAnsi="Arial" w:cs="Arial"/>
                <w:bCs/>
                <w:kern w:val="0"/>
                <w:sz w:val="18"/>
                <w:szCs w:val="18"/>
                <w:lang w:val="en-US" w:eastAsia="zh-CN" w:bidi="ar"/>
              </w:rPr>
              <w:t>销售额</w:t>
            </w:r>
          </w:p>
        </w:tc>
        <w:tc>
          <w:tcPr>
            <w:tcW w:w="206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bidi="ar"/>
              </w:rPr>
            </w:pPr>
            <w:r>
              <w:rPr>
                <w:rFonts w:hint="eastAsia" w:ascii="Arial" w:hAnsi="Arial" w:cs="Arial"/>
                <w:bCs/>
                <w:kern w:val="0"/>
                <w:sz w:val="18"/>
                <w:szCs w:val="18"/>
                <w:lang w:val="en-US" w:eastAsia="zh-CN" w:bidi="ar"/>
              </w:rPr>
              <w:t>回款额</w:t>
            </w:r>
          </w:p>
        </w:tc>
      </w:tr>
      <w:tr>
        <w:tblPrEx>
          <w:tblCellMar>
            <w:top w:w="0" w:type="dxa"/>
            <w:left w:w="108" w:type="dxa"/>
            <w:bottom w:w="0" w:type="dxa"/>
            <w:right w:w="108" w:type="dxa"/>
          </w:tblCellMar>
        </w:tblPrEx>
        <w:trPr>
          <w:trHeight w:val="312"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center"/>
              <w:rPr>
                <w:rFonts w:hint="eastAsia" w:ascii="Arial" w:hAnsi="Arial" w:cs="Arial"/>
                <w:bCs/>
                <w:kern w:val="0"/>
                <w:sz w:val="18"/>
                <w:szCs w:val="18"/>
                <w:lang w:bidi="ar"/>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center"/>
              <w:rPr>
                <w:rFonts w:hint="eastAsia" w:ascii="Arial" w:hAnsi="Arial" w:cs="Arial"/>
                <w:bCs/>
                <w:kern w:val="0"/>
                <w:sz w:val="18"/>
                <w:szCs w:val="18"/>
                <w:lang w:bidi="ar"/>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center"/>
              <w:rPr>
                <w:rFonts w:hint="eastAsia" w:ascii="Arial" w:hAnsi="Arial" w:cs="Arial"/>
                <w:bCs/>
                <w:kern w:val="0"/>
                <w:sz w:val="18"/>
                <w:szCs w:val="18"/>
                <w:lang w:bidi="ar"/>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center"/>
              <w:rPr>
                <w:rFonts w:hint="eastAsia" w:ascii="Arial" w:hAnsi="Arial" w:cs="Arial"/>
                <w:bCs/>
                <w:kern w:val="0"/>
                <w:sz w:val="18"/>
                <w:szCs w:val="18"/>
                <w:lang w:bidi="ar"/>
              </w:rPr>
            </w:pPr>
          </w:p>
        </w:tc>
      </w:tr>
      <w:tr>
        <w:tblPrEx>
          <w:tblCellMar>
            <w:top w:w="0" w:type="dxa"/>
            <w:left w:w="108" w:type="dxa"/>
            <w:bottom w:w="0" w:type="dxa"/>
            <w:right w:w="108" w:type="dxa"/>
          </w:tblCellMar>
        </w:tblPrEx>
        <w:trPr>
          <w:trHeight w:val="280"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26</w:t>
            </w:r>
          </w:p>
        </w:tc>
        <w:tc>
          <w:tcPr>
            <w:tcW w:w="2327" w:type="dxa"/>
            <w:tcBorders>
              <w:top w:val="nil"/>
              <w:left w:val="nil"/>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2,487.22 </w:t>
            </w:r>
          </w:p>
        </w:tc>
        <w:tc>
          <w:tcPr>
            <w:tcW w:w="2688" w:type="dxa"/>
            <w:tcBorders>
              <w:top w:val="nil"/>
              <w:left w:val="nil"/>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20,965,698.00 </w:t>
            </w:r>
          </w:p>
        </w:tc>
        <w:tc>
          <w:tcPr>
            <w:tcW w:w="2062" w:type="dxa"/>
            <w:tcBorders>
              <w:top w:val="nil"/>
              <w:left w:val="nil"/>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25,654,997.00 </w:t>
            </w:r>
          </w:p>
        </w:tc>
      </w:tr>
      <w:tr>
        <w:tblPrEx>
          <w:tblCellMar>
            <w:top w:w="0" w:type="dxa"/>
            <w:left w:w="108" w:type="dxa"/>
            <w:bottom w:w="0" w:type="dxa"/>
            <w:right w:w="108" w:type="dxa"/>
          </w:tblCellMar>
        </w:tblPrEx>
        <w:trPr>
          <w:trHeight w:val="290"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7903"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累计销售、回款情况</w:t>
            </w:r>
          </w:p>
        </w:tc>
      </w:tr>
      <w:tr>
        <w:tblPrEx>
          <w:tblCellMar>
            <w:top w:w="0" w:type="dxa"/>
            <w:left w:w="108" w:type="dxa"/>
            <w:bottom w:w="0" w:type="dxa"/>
            <w:right w:w="108" w:type="dxa"/>
          </w:tblCellMar>
        </w:tblPrEx>
        <w:trPr>
          <w:trHeight w:val="312"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82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套数</w:t>
            </w:r>
          </w:p>
        </w:tc>
        <w:tc>
          <w:tcPr>
            <w:tcW w:w="232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销售面积</w:t>
            </w:r>
          </w:p>
        </w:tc>
        <w:tc>
          <w:tcPr>
            <w:tcW w:w="268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销售额(元)</w:t>
            </w:r>
          </w:p>
        </w:tc>
        <w:tc>
          <w:tcPr>
            <w:tcW w:w="206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回款额(元)</w:t>
            </w:r>
          </w:p>
        </w:tc>
      </w:tr>
      <w:tr>
        <w:tblPrEx>
          <w:tblCellMar>
            <w:top w:w="0" w:type="dxa"/>
            <w:left w:w="108" w:type="dxa"/>
            <w:bottom w:w="0" w:type="dxa"/>
            <w:right w:w="108" w:type="dxa"/>
          </w:tblCellMar>
        </w:tblPrEx>
        <w:trPr>
          <w:trHeight w:val="312"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center"/>
              <w:rPr>
                <w:rFonts w:hint="eastAsia" w:ascii="Arial" w:hAnsi="Arial" w:cs="Arial"/>
                <w:bCs/>
                <w:kern w:val="0"/>
                <w:sz w:val="18"/>
                <w:szCs w:val="18"/>
                <w:lang w:val="en-US" w:eastAsia="zh-CN" w:bidi="ar"/>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center"/>
              <w:rPr>
                <w:rFonts w:hint="eastAsia" w:ascii="Arial" w:hAnsi="Arial" w:cs="Arial"/>
                <w:bCs/>
                <w:kern w:val="0"/>
                <w:sz w:val="18"/>
                <w:szCs w:val="18"/>
                <w:lang w:val="en-US" w:eastAsia="zh-CN" w:bidi="ar"/>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center"/>
              <w:rPr>
                <w:rFonts w:hint="eastAsia" w:ascii="Arial" w:hAnsi="Arial" w:cs="Arial"/>
                <w:bCs/>
                <w:kern w:val="0"/>
                <w:sz w:val="18"/>
                <w:szCs w:val="18"/>
                <w:lang w:val="en-US" w:eastAsia="zh-CN" w:bidi="ar"/>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center"/>
              <w:rPr>
                <w:rFonts w:hint="eastAsia" w:ascii="Arial" w:hAnsi="Arial" w:cs="Arial"/>
                <w:bCs/>
                <w:kern w:val="0"/>
                <w:sz w:val="18"/>
                <w:szCs w:val="18"/>
                <w:lang w:val="en-US" w:eastAsia="zh-CN" w:bidi="ar"/>
              </w:rPr>
            </w:pPr>
          </w:p>
        </w:tc>
      </w:tr>
      <w:tr>
        <w:tblPrEx>
          <w:tblCellMar>
            <w:top w:w="0" w:type="dxa"/>
            <w:left w:w="108" w:type="dxa"/>
            <w:bottom w:w="0" w:type="dxa"/>
            <w:right w:w="108" w:type="dxa"/>
          </w:tblCellMar>
        </w:tblPrEx>
        <w:trPr>
          <w:trHeight w:val="280"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319</w:t>
            </w:r>
          </w:p>
        </w:tc>
        <w:tc>
          <w:tcPr>
            <w:tcW w:w="2327" w:type="dxa"/>
            <w:tcBorders>
              <w:top w:val="nil"/>
              <w:left w:val="nil"/>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31,801.95 </w:t>
            </w:r>
          </w:p>
        </w:tc>
        <w:tc>
          <w:tcPr>
            <w:tcW w:w="2688" w:type="dxa"/>
            <w:tcBorders>
              <w:top w:val="nil"/>
              <w:left w:val="nil"/>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271,274,804.00 </w:t>
            </w:r>
          </w:p>
        </w:tc>
        <w:tc>
          <w:tcPr>
            <w:tcW w:w="2062" w:type="dxa"/>
            <w:tcBorders>
              <w:top w:val="nil"/>
              <w:left w:val="nil"/>
              <w:bottom w:val="single" w:color="auto" w:sz="4" w:space="0"/>
              <w:right w:val="single" w:color="auto" w:sz="4"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278,984,842.24 </w:t>
            </w:r>
          </w:p>
        </w:tc>
      </w:tr>
    </w:tbl>
    <w:p>
      <w:pPr>
        <w:pStyle w:val="2"/>
        <w:ind w:left="0" w:leftChars="0" w:firstLine="0" w:firstLineChars="0"/>
        <w:rPr>
          <w:rFonts w:hint="eastAsia"/>
        </w:rPr>
      </w:pPr>
    </w:p>
    <w:p>
      <w:pPr>
        <w:widowControl w:val="0"/>
        <w:spacing w:line="480" w:lineRule="auto"/>
        <w:ind w:firstLine="420" w:firstLineChars="200"/>
        <w:jc w:val="both"/>
        <w:rPr>
          <w:rFonts w:hint="eastAsia" w:ascii="Arial" w:hAnsi="Arial" w:cs="Arial"/>
          <w:kern w:val="44"/>
          <w:sz w:val="21"/>
          <w:szCs w:val="21"/>
          <w:highlight w:val="none"/>
        </w:rPr>
      </w:pPr>
      <w:r>
        <w:rPr>
          <w:rFonts w:hint="eastAsia" w:ascii="Arial" w:hAnsi="Arial" w:cs="Arial"/>
          <w:kern w:val="44"/>
          <w:sz w:val="21"/>
          <w:szCs w:val="21"/>
          <w:highlight w:val="none"/>
        </w:rPr>
        <w:t>累计销售明细</w:t>
      </w:r>
    </w:p>
    <w:tbl>
      <w:tblPr>
        <w:tblStyle w:val="18"/>
        <w:tblW w:w="943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03"/>
        <w:gridCol w:w="1359"/>
        <w:gridCol w:w="1110"/>
        <w:gridCol w:w="1977"/>
        <w:gridCol w:w="1977"/>
        <w:gridCol w:w="14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blHeader/>
          <w:jc w:val="center"/>
        </w:trPr>
        <w:tc>
          <w:tcPr>
            <w:tcW w:w="1603" w:type="dxa"/>
            <w:vMerge w:val="restart"/>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期间</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业态</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套数</w:t>
            </w:r>
          </w:p>
        </w:tc>
        <w:tc>
          <w:tcPr>
            <w:tcW w:w="1977" w:type="dxa"/>
            <w:tcBorders>
              <w:top w:val="single" w:color="auto" w:sz="8" w:space="0"/>
              <w:left w:val="single" w:color="auto" w:sz="8" w:space="0"/>
              <w:right w:val="single" w:color="auto" w:sz="8"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销售面积（㎡）</w:t>
            </w:r>
          </w:p>
        </w:tc>
        <w:tc>
          <w:tcPr>
            <w:tcW w:w="197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销售额（元）</w:t>
            </w:r>
          </w:p>
        </w:tc>
        <w:tc>
          <w:tcPr>
            <w:tcW w:w="140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均价(元/㎡，车位：元/套)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截止2021年</w:t>
            </w:r>
          </w:p>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3月底</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262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26,275.06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224,799,502.00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8,555.62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vAlign w:val="center"/>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vAlign w:val="center"/>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jc w:val="center"/>
        </w:trPr>
        <w:tc>
          <w:tcPr>
            <w:tcW w:w="160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合计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262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26,275.06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224,799,502.00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8,555.62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2021年4月</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31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3,039.67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25,509,604.00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8,392.23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vAlign w:val="center"/>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vAlign w:val="center"/>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合计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31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3,039.67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25,509,604.00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8,392.23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top w:val="single" w:color="auto" w:sz="8" w:space="0"/>
              <w:left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2021年5月</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26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2,487.22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20,965,698.00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8,429.37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合计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26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2,487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20,965,698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8,429.37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left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合计</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319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31,801.95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271,274,804.00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8,530.13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0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0.00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0.00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0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0.00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0.00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总计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319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31,801.95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 xml:space="preserve">271,274,804.00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default" w:ascii="Arial" w:hAnsi="Arial" w:cs="Arial"/>
                <w:bCs/>
                <w:kern w:val="0"/>
                <w:sz w:val="18"/>
                <w:szCs w:val="18"/>
                <w:lang w:val="en-US" w:eastAsia="zh-CN" w:bidi="ar"/>
              </w:rPr>
              <w:t xml:space="preserve">8,530.13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left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去化率</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52.82%</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bottom"/>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总计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r>
              <w:rPr>
                <w:rFonts w:hint="eastAsia" w:ascii="Arial" w:hAnsi="Arial" w:cs="Arial"/>
                <w:bCs/>
                <w:kern w:val="0"/>
                <w:sz w:val="18"/>
                <w:szCs w:val="18"/>
                <w:lang w:val="en-US" w:eastAsia="zh-CN" w:bidi="ar"/>
              </w:rPr>
              <w:t>52.82%</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Arial" w:hAnsi="Arial" w:cs="Arial"/>
                <w:bCs/>
                <w:kern w:val="0"/>
                <w:sz w:val="18"/>
                <w:szCs w:val="18"/>
                <w:lang w:val="en-US" w:eastAsia="zh-CN" w:bidi="ar"/>
              </w:rPr>
            </w:pPr>
          </w:p>
        </w:tc>
      </w:tr>
    </w:tbl>
    <w:p>
      <w:pPr>
        <w:pStyle w:val="2"/>
        <w:ind w:left="0" w:leftChars="0" w:firstLine="0" w:firstLineChars="0"/>
        <w:rPr>
          <w:rFonts w:hint="eastAsia"/>
        </w:rPr>
      </w:pPr>
    </w:p>
    <w:bookmarkEnd w:id="35"/>
    <w:p>
      <w:pPr>
        <w:widowControl w:val="0"/>
        <w:spacing w:line="480" w:lineRule="auto"/>
        <w:ind w:firstLine="420" w:firstLineChars="200"/>
        <w:jc w:val="both"/>
        <w:rPr>
          <w:rFonts w:hint="eastAsia" w:ascii="Arial" w:hAnsi="Arial" w:cs="Arial"/>
          <w:kern w:val="44"/>
          <w:sz w:val="21"/>
          <w:szCs w:val="21"/>
          <w:highlight w:val="none"/>
        </w:rPr>
      </w:pPr>
      <w:bookmarkStart w:id="36" w:name="_Toc14354"/>
      <w:r>
        <w:rPr>
          <w:rFonts w:hint="eastAsia" w:ascii="Arial" w:hAnsi="Arial" w:cs="Arial"/>
          <w:kern w:val="44"/>
          <w:sz w:val="21"/>
          <w:szCs w:val="21"/>
          <w:highlight w:val="none"/>
        </w:rPr>
        <w:t>3.动态货值</w:t>
      </w:r>
      <w:bookmarkEnd w:id="36"/>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宜宾站前广场项目总建筑面积337,967.00㎡，可售面积242,774.00㎡，已售房源面积</w:t>
      </w:r>
      <w:r>
        <w:rPr>
          <w:rFonts w:hint="default" w:ascii="Arial" w:hAnsi="Arial" w:cs="Arial"/>
          <w:kern w:val="44"/>
          <w:sz w:val="21"/>
          <w:szCs w:val="21"/>
          <w:lang w:val="en-US" w:eastAsia="zh-CN"/>
        </w:rPr>
        <w:t xml:space="preserve">31,801.95 </w:t>
      </w:r>
      <w:r>
        <w:rPr>
          <w:rFonts w:hint="eastAsia" w:ascii="Arial" w:hAnsi="Arial" w:cs="Arial"/>
          <w:kern w:val="44"/>
          <w:sz w:val="21"/>
          <w:szCs w:val="21"/>
        </w:rPr>
        <w:t>㎡，预计总货值</w:t>
      </w:r>
      <w:r>
        <w:rPr>
          <w:rFonts w:hint="default" w:ascii="Arial" w:hAnsi="Arial" w:cs="Arial"/>
          <w:kern w:val="44"/>
          <w:sz w:val="21"/>
          <w:szCs w:val="21"/>
          <w:lang w:val="en-US" w:eastAsia="zh-CN"/>
        </w:rPr>
        <w:t>2,669,003,173.25</w:t>
      </w:r>
      <w:r>
        <w:rPr>
          <w:rFonts w:hint="eastAsia" w:ascii="Arial" w:hAnsi="Arial" w:cs="Arial"/>
          <w:kern w:val="44"/>
          <w:sz w:val="21"/>
          <w:szCs w:val="21"/>
        </w:rPr>
        <w:t>元，已售</w:t>
      </w:r>
      <w:r>
        <w:rPr>
          <w:rFonts w:hint="default" w:ascii="Arial" w:hAnsi="Arial" w:cs="Arial"/>
          <w:kern w:val="44"/>
          <w:sz w:val="21"/>
          <w:szCs w:val="21"/>
          <w:lang w:val="en-US" w:eastAsia="zh-CN"/>
        </w:rPr>
        <w:t>271,274,804.00</w:t>
      </w:r>
      <w:r>
        <w:rPr>
          <w:rFonts w:hint="eastAsia" w:ascii="Arial" w:hAnsi="Arial" w:cs="Arial"/>
          <w:kern w:val="44"/>
          <w:sz w:val="21"/>
          <w:szCs w:val="21"/>
        </w:rPr>
        <w:t>元，剩余货值2</w:t>
      </w:r>
      <w:r>
        <w:rPr>
          <w:rFonts w:hint="eastAsia" w:ascii="Arial" w:hAnsi="Arial" w:cs="Arial"/>
          <w:kern w:val="44"/>
          <w:sz w:val="21"/>
          <w:szCs w:val="21"/>
          <w:lang w:val="en-US" w:eastAsia="zh-CN"/>
        </w:rPr>
        <w:t>,</w:t>
      </w:r>
      <w:r>
        <w:rPr>
          <w:rFonts w:hint="eastAsia" w:ascii="Arial" w:hAnsi="Arial" w:cs="Arial"/>
          <w:kern w:val="44"/>
          <w:sz w:val="21"/>
          <w:szCs w:val="21"/>
        </w:rPr>
        <w:t>397</w:t>
      </w:r>
      <w:r>
        <w:rPr>
          <w:rFonts w:hint="eastAsia" w:ascii="Arial" w:hAnsi="Arial" w:cs="Arial"/>
          <w:kern w:val="44"/>
          <w:sz w:val="21"/>
          <w:szCs w:val="21"/>
          <w:lang w:val="en-US" w:eastAsia="zh-CN"/>
        </w:rPr>
        <w:t>,</w:t>
      </w:r>
      <w:r>
        <w:rPr>
          <w:rFonts w:hint="eastAsia" w:ascii="Arial" w:hAnsi="Arial" w:cs="Arial"/>
          <w:kern w:val="44"/>
          <w:sz w:val="21"/>
          <w:szCs w:val="21"/>
        </w:rPr>
        <w:t>728</w:t>
      </w:r>
      <w:r>
        <w:rPr>
          <w:rFonts w:hint="eastAsia" w:ascii="Arial" w:hAnsi="Arial" w:cs="Arial"/>
          <w:kern w:val="44"/>
          <w:sz w:val="21"/>
          <w:szCs w:val="21"/>
          <w:lang w:val="en-US" w:eastAsia="zh-CN"/>
        </w:rPr>
        <w:t>,</w:t>
      </w:r>
      <w:r>
        <w:rPr>
          <w:rFonts w:hint="eastAsia" w:ascii="Arial" w:hAnsi="Arial" w:cs="Arial"/>
          <w:kern w:val="44"/>
          <w:sz w:val="21"/>
          <w:szCs w:val="21"/>
        </w:rPr>
        <w:t>369.25元。</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动态总货值</w:t>
      </w:r>
      <w:r>
        <w:rPr>
          <w:rFonts w:hint="default" w:ascii="Arial" w:hAnsi="Arial" w:cs="Arial"/>
          <w:kern w:val="44"/>
          <w:sz w:val="21"/>
          <w:szCs w:val="21"/>
          <w:lang w:val="en-US" w:eastAsia="zh-CN"/>
        </w:rPr>
        <w:t>2,669,003,173.2</w:t>
      </w:r>
      <w:r>
        <w:rPr>
          <w:rFonts w:hint="eastAsia" w:ascii="Arial" w:hAnsi="Arial" w:cs="Arial"/>
          <w:kern w:val="44"/>
          <w:sz w:val="21"/>
          <w:szCs w:val="21"/>
          <w:lang w:val="en-US" w:eastAsia="zh-CN"/>
        </w:rPr>
        <w:t>5</w:t>
      </w:r>
      <w:r>
        <w:rPr>
          <w:rFonts w:hint="eastAsia" w:ascii="Arial" w:hAnsi="Arial" w:cs="Arial"/>
          <w:kern w:val="44"/>
          <w:sz w:val="21"/>
          <w:szCs w:val="21"/>
        </w:rPr>
        <w:t>元=已售合同金额</w:t>
      </w:r>
      <w:r>
        <w:rPr>
          <w:rFonts w:hint="default" w:ascii="Arial" w:hAnsi="Arial" w:cs="Arial"/>
          <w:kern w:val="44"/>
          <w:sz w:val="21"/>
          <w:szCs w:val="21"/>
          <w:lang w:val="en-US" w:eastAsia="zh-CN"/>
        </w:rPr>
        <w:t xml:space="preserve">271,274,804.00 </w:t>
      </w:r>
      <w:r>
        <w:rPr>
          <w:rFonts w:hint="eastAsia" w:ascii="Arial" w:hAnsi="Arial" w:cs="Arial"/>
          <w:kern w:val="44"/>
          <w:sz w:val="21"/>
          <w:szCs w:val="21"/>
        </w:rPr>
        <w:t>元+已开盘未售房源备案金额</w:t>
      </w:r>
      <w:r>
        <w:rPr>
          <w:rFonts w:hint="default" w:ascii="Arial" w:hAnsi="Arial" w:cs="Arial"/>
          <w:kern w:val="44"/>
          <w:sz w:val="21"/>
          <w:szCs w:val="21"/>
          <w:lang w:val="en-US" w:eastAsia="zh-CN"/>
        </w:rPr>
        <w:t>277,971,986.45</w:t>
      </w:r>
      <w:r>
        <w:rPr>
          <w:rFonts w:hint="eastAsia" w:ascii="Arial" w:hAnsi="Arial" w:cs="Arial"/>
          <w:kern w:val="44"/>
          <w:sz w:val="21"/>
          <w:szCs w:val="21"/>
        </w:rPr>
        <w:t>元+未开盘房源计划（商业计划）</w:t>
      </w:r>
      <w:r>
        <w:rPr>
          <w:rFonts w:hint="default" w:ascii="Arial" w:hAnsi="Arial" w:cs="Arial"/>
          <w:kern w:val="44"/>
          <w:sz w:val="21"/>
          <w:szCs w:val="21"/>
          <w:lang w:val="en-US" w:eastAsia="zh-CN"/>
        </w:rPr>
        <w:t>2,119,756,382.80</w:t>
      </w:r>
      <w:r>
        <w:rPr>
          <w:rFonts w:hint="eastAsia" w:ascii="Arial" w:hAnsi="Arial" w:cs="Arial"/>
          <w:kern w:val="44"/>
          <w:sz w:val="21"/>
          <w:szCs w:val="21"/>
        </w:rPr>
        <w:t>元。</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剩余货值2</w:t>
      </w:r>
      <w:r>
        <w:rPr>
          <w:rFonts w:hint="eastAsia" w:ascii="Arial" w:hAnsi="Arial" w:cs="Arial"/>
          <w:kern w:val="44"/>
          <w:sz w:val="21"/>
          <w:szCs w:val="21"/>
          <w:lang w:val="en-US" w:eastAsia="zh-CN"/>
        </w:rPr>
        <w:t>,</w:t>
      </w:r>
      <w:r>
        <w:rPr>
          <w:rFonts w:hint="eastAsia" w:ascii="Arial" w:hAnsi="Arial" w:cs="Arial"/>
          <w:kern w:val="44"/>
          <w:sz w:val="21"/>
          <w:szCs w:val="21"/>
        </w:rPr>
        <w:t>397</w:t>
      </w:r>
      <w:r>
        <w:rPr>
          <w:rFonts w:hint="eastAsia" w:ascii="Arial" w:hAnsi="Arial" w:cs="Arial"/>
          <w:kern w:val="44"/>
          <w:sz w:val="21"/>
          <w:szCs w:val="21"/>
          <w:lang w:val="en-US" w:eastAsia="zh-CN"/>
        </w:rPr>
        <w:t>,</w:t>
      </w:r>
      <w:r>
        <w:rPr>
          <w:rFonts w:hint="eastAsia" w:ascii="Arial" w:hAnsi="Arial" w:cs="Arial"/>
          <w:kern w:val="44"/>
          <w:sz w:val="21"/>
          <w:szCs w:val="21"/>
        </w:rPr>
        <w:t>728</w:t>
      </w:r>
      <w:r>
        <w:rPr>
          <w:rFonts w:hint="eastAsia" w:ascii="Arial" w:hAnsi="Arial" w:cs="Arial"/>
          <w:kern w:val="44"/>
          <w:sz w:val="21"/>
          <w:szCs w:val="21"/>
          <w:lang w:val="en-US" w:eastAsia="zh-CN"/>
        </w:rPr>
        <w:t>,</w:t>
      </w:r>
      <w:r>
        <w:rPr>
          <w:rFonts w:hint="eastAsia" w:ascii="Arial" w:hAnsi="Arial" w:cs="Arial"/>
          <w:kern w:val="44"/>
          <w:sz w:val="21"/>
          <w:szCs w:val="21"/>
        </w:rPr>
        <w:t>369.25元=已开盘未售房源备案金额</w:t>
      </w:r>
      <w:r>
        <w:rPr>
          <w:rFonts w:hint="default" w:ascii="Arial" w:hAnsi="Arial" w:cs="Arial"/>
          <w:kern w:val="44"/>
          <w:sz w:val="21"/>
          <w:szCs w:val="21"/>
          <w:lang w:val="en-US" w:eastAsia="zh-CN"/>
        </w:rPr>
        <w:t>277,971,986.45</w:t>
      </w:r>
      <w:r>
        <w:rPr>
          <w:rFonts w:hint="eastAsia" w:ascii="Arial" w:hAnsi="Arial" w:cs="Arial"/>
          <w:kern w:val="44"/>
          <w:sz w:val="21"/>
          <w:szCs w:val="21"/>
        </w:rPr>
        <w:t>元+未开盘房源计划（商业计划）</w:t>
      </w:r>
      <w:r>
        <w:rPr>
          <w:rFonts w:hint="default" w:ascii="Arial" w:hAnsi="Arial" w:cs="Arial"/>
          <w:kern w:val="44"/>
          <w:sz w:val="21"/>
          <w:szCs w:val="21"/>
          <w:lang w:val="en-US" w:eastAsia="zh-CN"/>
        </w:rPr>
        <w:t>2,119,756,382.80</w:t>
      </w:r>
      <w:r>
        <w:rPr>
          <w:rFonts w:hint="eastAsia" w:ascii="Arial" w:hAnsi="Arial" w:cs="Arial"/>
          <w:kern w:val="44"/>
          <w:sz w:val="21"/>
          <w:szCs w:val="21"/>
        </w:rPr>
        <w:t>元。</w:t>
      </w:r>
    </w:p>
    <w:p>
      <w:pPr>
        <w:jc w:val="center"/>
        <w:rPr>
          <w:rFonts w:ascii="宋体" w:hAnsi="宋体" w:cs="宋体"/>
          <w:b/>
          <w:sz w:val="21"/>
          <w:szCs w:val="21"/>
        </w:rPr>
      </w:pPr>
      <w:bookmarkStart w:id="37" w:name="_Toc23829"/>
      <w:r>
        <w:rPr>
          <w:rFonts w:hint="eastAsia" w:ascii="宋体" w:hAnsi="宋体" w:cs="宋体"/>
          <w:b/>
          <w:sz w:val="21"/>
          <w:szCs w:val="21"/>
        </w:rPr>
        <w:t>表六：动态货值情况</w:t>
      </w:r>
      <w:bookmarkEnd w:id="37"/>
    </w:p>
    <w:tbl>
      <w:tblPr>
        <w:tblStyle w:val="18"/>
        <w:tblW w:w="9552" w:type="dxa"/>
        <w:tblInd w:w="119" w:type="dxa"/>
        <w:tblLayout w:type="fixed"/>
        <w:tblCellMar>
          <w:top w:w="0" w:type="dxa"/>
          <w:left w:w="108" w:type="dxa"/>
          <w:bottom w:w="0" w:type="dxa"/>
          <w:right w:w="108" w:type="dxa"/>
        </w:tblCellMar>
      </w:tblPr>
      <w:tblGrid>
        <w:gridCol w:w="2361"/>
        <w:gridCol w:w="2319"/>
        <w:gridCol w:w="2484"/>
        <w:gridCol w:w="2388"/>
      </w:tblGrid>
      <w:tr>
        <w:tblPrEx>
          <w:tblCellMar>
            <w:top w:w="0" w:type="dxa"/>
            <w:left w:w="108" w:type="dxa"/>
            <w:bottom w:w="0" w:type="dxa"/>
            <w:right w:w="108" w:type="dxa"/>
          </w:tblCellMar>
        </w:tblPrEx>
        <w:trPr>
          <w:trHeight w:val="1000" w:hRule="atLeast"/>
        </w:trPr>
        <w:tc>
          <w:tcPr>
            <w:tcW w:w="2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动态货值(元)(A)</w:t>
            </w:r>
            <w:r>
              <w:rPr>
                <w:rFonts w:hint="eastAsia" w:ascii="Arial" w:hAnsi="Arial" w:cs="Arial"/>
                <w:color w:val="000000"/>
                <w:kern w:val="2"/>
                <w:sz w:val="18"/>
                <w:szCs w:val="18"/>
                <w:lang w:bidi="ar"/>
              </w:rPr>
              <w:br w:type="textWrapping"/>
            </w:r>
            <w:r>
              <w:rPr>
                <w:rFonts w:hint="eastAsia" w:ascii="Arial" w:hAnsi="Arial" w:cs="Arial"/>
                <w:color w:val="000000"/>
                <w:kern w:val="2"/>
                <w:sz w:val="18"/>
                <w:szCs w:val="18"/>
                <w:lang w:bidi="ar"/>
              </w:rPr>
              <w:t>A=B+C+D</w:t>
            </w:r>
          </w:p>
        </w:tc>
        <w:tc>
          <w:tcPr>
            <w:tcW w:w="2319"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已售房屋合同额（B）</w:t>
            </w:r>
          </w:p>
        </w:tc>
        <w:tc>
          <w:tcPr>
            <w:tcW w:w="2484"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bidi="ar"/>
              </w:rPr>
              <w:t>已取得预售证</w:t>
            </w:r>
            <w:r>
              <w:rPr>
                <w:rFonts w:hint="eastAsia" w:ascii="Arial" w:hAnsi="Arial" w:cs="Arial"/>
                <w:color w:val="000000"/>
                <w:kern w:val="2"/>
                <w:sz w:val="18"/>
                <w:szCs w:val="18"/>
                <w:lang w:val="en-US" w:eastAsia="zh-CN" w:bidi="ar"/>
              </w:rPr>
              <w:t>的</w:t>
            </w:r>
          </w:p>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未售房屋货值（C)</w:t>
            </w:r>
          </w:p>
        </w:tc>
        <w:tc>
          <w:tcPr>
            <w:tcW w:w="2388"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未取得预售证房屋预计货值(D)</w:t>
            </w:r>
          </w:p>
        </w:tc>
      </w:tr>
      <w:tr>
        <w:tblPrEx>
          <w:tblCellMar>
            <w:top w:w="0" w:type="dxa"/>
            <w:left w:w="108" w:type="dxa"/>
            <w:bottom w:w="0" w:type="dxa"/>
            <w:right w:w="108" w:type="dxa"/>
          </w:tblCellMar>
        </w:tblPrEx>
        <w:trPr>
          <w:trHeight w:val="700" w:hRule="atLeast"/>
        </w:trPr>
        <w:tc>
          <w:tcPr>
            <w:tcW w:w="2361"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2,669,003,173.25 </w:t>
            </w:r>
          </w:p>
        </w:tc>
        <w:tc>
          <w:tcPr>
            <w:tcW w:w="2319"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271,274,804.00 </w:t>
            </w:r>
          </w:p>
        </w:tc>
        <w:tc>
          <w:tcPr>
            <w:tcW w:w="2484"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277,971,986.45 </w:t>
            </w:r>
          </w:p>
        </w:tc>
        <w:tc>
          <w:tcPr>
            <w:tcW w:w="2388"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2,119,756,382.80 </w:t>
            </w:r>
          </w:p>
        </w:tc>
      </w:tr>
      <w:tr>
        <w:tblPrEx>
          <w:tblCellMar>
            <w:top w:w="0" w:type="dxa"/>
            <w:left w:w="108" w:type="dxa"/>
            <w:bottom w:w="0" w:type="dxa"/>
            <w:right w:w="108" w:type="dxa"/>
          </w:tblCellMar>
        </w:tblPrEx>
        <w:trPr>
          <w:trHeight w:val="1000" w:hRule="atLeast"/>
        </w:trPr>
        <w:tc>
          <w:tcPr>
            <w:tcW w:w="2361" w:type="dxa"/>
            <w:tcBorders>
              <w:top w:val="nil"/>
              <w:left w:val="single" w:color="auto" w:sz="4" w:space="0"/>
              <w:bottom w:val="single" w:color="auto" w:sz="4" w:space="0"/>
              <w:righ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总面积（平米）（不计算车库）</w:t>
            </w:r>
          </w:p>
        </w:tc>
        <w:tc>
          <w:tcPr>
            <w:tcW w:w="2319" w:type="dxa"/>
            <w:tcBorders>
              <w:top w:val="nil"/>
              <w:left w:val="nil"/>
              <w:bottom w:val="single" w:color="auto" w:sz="4" w:space="0"/>
              <w:righ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已售面积</w:t>
            </w:r>
          </w:p>
        </w:tc>
        <w:tc>
          <w:tcPr>
            <w:tcW w:w="2484" w:type="dxa"/>
            <w:tcBorders>
              <w:top w:val="nil"/>
              <w:left w:val="nil"/>
              <w:bottom w:val="single" w:color="auto" w:sz="4" w:space="0"/>
              <w:righ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已取得预售证的未售面积</w:t>
            </w:r>
          </w:p>
        </w:tc>
        <w:tc>
          <w:tcPr>
            <w:tcW w:w="2388" w:type="dxa"/>
            <w:tcBorders>
              <w:top w:val="nil"/>
              <w:left w:val="nil"/>
              <w:bottom w:val="single" w:color="auto" w:sz="4" w:space="0"/>
              <w:righ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未取得预售证面积</w:t>
            </w:r>
          </w:p>
        </w:tc>
      </w:tr>
      <w:tr>
        <w:tblPrEx>
          <w:tblCellMar>
            <w:top w:w="0" w:type="dxa"/>
            <w:left w:w="108" w:type="dxa"/>
            <w:bottom w:w="0" w:type="dxa"/>
            <w:right w:w="108" w:type="dxa"/>
          </w:tblCellMar>
        </w:tblPrEx>
        <w:trPr>
          <w:trHeight w:val="1000" w:hRule="atLeast"/>
        </w:trPr>
        <w:tc>
          <w:tcPr>
            <w:tcW w:w="2361"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242,774.00 </w:t>
            </w:r>
          </w:p>
        </w:tc>
        <w:tc>
          <w:tcPr>
            <w:tcW w:w="2319"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31,801.95 </w:t>
            </w:r>
          </w:p>
        </w:tc>
        <w:tc>
          <w:tcPr>
            <w:tcW w:w="2484"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28,407.97 </w:t>
            </w:r>
          </w:p>
        </w:tc>
        <w:tc>
          <w:tcPr>
            <w:tcW w:w="2388"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hint="eastAsia" w:ascii="Arial" w:hAnsi="Arial" w:cs="Arial"/>
                <w:color w:val="000000"/>
                <w:kern w:val="2"/>
                <w:sz w:val="18"/>
                <w:szCs w:val="18"/>
                <w:lang w:bidi="ar"/>
              </w:rPr>
            </w:pPr>
            <w:r>
              <w:rPr>
                <w:rFonts w:hint="default" w:ascii="Arial" w:hAnsi="Arial" w:cs="Arial"/>
                <w:color w:val="000000"/>
                <w:kern w:val="2"/>
                <w:sz w:val="18"/>
                <w:szCs w:val="18"/>
                <w:lang w:val="en-US" w:eastAsia="zh-CN" w:bidi="ar"/>
              </w:rPr>
              <w:t xml:space="preserve">182,564.08 </w:t>
            </w:r>
          </w:p>
        </w:tc>
      </w:tr>
    </w:tbl>
    <w:p>
      <w:pPr>
        <w:rPr>
          <w:rFonts w:hint="eastAsia" w:ascii="Arial" w:hAnsi="Arial" w:eastAsia="宋体" w:cs="Arial"/>
          <w:bCs/>
          <w:color w:val="000000"/>
          <w:sz w:val="24"/>
          <w:szCs w:val="24"/>
        </w:rPr>
      </w:pPr>
      <w:bookmarkStart w:id="38" w:name="_Toc30153"/>
      <w:bookmarkStart w:id="39" w:name="_Toc66115201"/>
      <w:bookmarkStart w:id="40" w:name="_Toc11579"/>
      <w:r>
        <w:rPr>
          <w:rFonts w:hint="eastAsia" w:ascii="Arial" w:hAnsi="Arial" w:eastAsia="宋体" w:cs="Arial"/>
          <w:bCs/>
          <w:color w:val="000000"/>
          <w:sz w:val="24"/>
          <w:szCs w:val="24"/>
        </w:rPr>
        <w:br w:type="page"/>
      </w:r>
    </w:p>
    <w:p>
      <w:pPr>
        <w:pStyle w:val="3"/>
        <w:keepNext w:val="0"/>
        <w:keepLines w:val="0"/>
        <w:spacing w:before="300" w:after="300" w:line="360" w:lineRule="exact"/>
        <w:jc w:val="left"/>
        <w:rPr>
          <w:rFonts w:ascii="Arial" w:hAnsi="Arial" w:eastAsia="宋体" w:cs="Arial"/>
          <w:bCs/>
          <w:color w:val="000000"/>
          <w:sz w:val="24"/>
          <w:szCs w:val="24"/>
        </w:rPr>
      </w:pPr>
      <w:r>
        <w:rPr>
          <w:rFonts w:hint="eastAsia" w:ascii="Arial" w:hAnsi="Arial" w:eastAsia="宋体" w:cs="Arial"/>
          <w:bCs/>
          <w:color w:val="000000"/>
          <w:sz w:val="24"/>
          <w:szCs w:val="24"/>
        </w:rPr>
        <w:t>七、项目银行账户情况</w:t>
      </w:r>
      <w:bookmarkEnd w:id="38"/>
      <w:bookmarkEnd w:id="39"/>
      <w:bookmarkEnd w:id="40"/>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截至2021年</w:t>
      </w:r>
      <w:r>
        <w:rPr>
          <w:rFonts w:hint="eastAsia" w:ascii="Arial" w:hAnsi="Arial" w:cs="Arial"/>
          <w:kern w:val="44"/>
          <w:sz w:val="21"/>
          <w:szCs w:val="21"/>
          <w:lang w:val="en-US" w:eastAsia="zh-CN"/>
        </w:rPr>
        <w:t>5</w:t>
      </w:r>
      <w:r>
        <w:rPr>
          <w:rFonts w:hint="eastAsia" w:ascii="Arial" w:hAnsi="Arial" w:cs="Arial"/>
          <w:kern w:val="44"/>
          <w:sz w:val="21"/>
          <w:szCs w:val="21"/>
        </w:rPr>
        <w:t>月</w:t>
      </w:r>
      <w:r>
        <w:rPr>
          <w:rFonts w:hint="eastAsia" w:ascii="Arial" w:hAnsi="Arial" w:cs="Arial"/>
          <w:kern w:val="44"/>
          <w:sz w:val="21"/>
          <w:szCs w:val="21"/>
          <w:lang w:val="en-US" w:eastAsia="zh-CN"/>
        </w:rPr>
        <w:t>31</w:t>
      </w:r>
      <w:r>
        <w:rPr>
          <w:rFonts w:hint="eastAsia" w:ascii="Arial" w:hAnsi="Arial" w:cs="Arial"/>
          <w:kern w:val="44"/>
          <w:sz w:val="21"/>
          <w:szCs w:val="21"/>
        </w:rPr>
        <w:t>日，SPV公司资金账户余额为10</w:t>
      </w:r>
      <w:r>
        <w:rPr>
          <w:rFonts w:hint="eastAsia" w:ascii="Arial" w:hAnsi="Arial" w:cs="Arial"/>
          <w:kern w:val="44"/>
          <w:sz w:val="21"/>
          <w:szCs w:val="21"/>
          <w:lang w:val="en-US" w:eastAsia="zh-CN"/>
        </w:rPr>
        <w:t>,</w:t>
      </w:r>
      <w:r>
        <w:rPr>
          <w:rFonts w:hint="eastAsia" w:ascii="Arial" w:hAnsi="Arial" w:cs="Arial"/>
          <w:kern w:val="44"/>
          <w:sz w:val="21"/>
          <w:szCs w:val="21"/>
        </w:rPr>
        <w:t>341</w:t>
      </w:r>
      <w:r>
        <w:rPr>
          <w:rFonts w:hint="eastAsia" w:ascii="Arial" w:hAnsi="Arial" w:cs="Arial"/>
          <w:kern w:val="44"/>
          <w:sz w:val="21"/>
          <w:szCs w:val="21"/>
          <w:lang w:val="en-US" w:eastAsia="zh-CN"/>
        </w:rPr>
        <w:t>,</w:t>
      </w:r>
      <w:r>
        <w:rPr>
          <w:rFonts w:hint="eastAsia" w:ascii="Arial" w:hAnsi="Arial" w:cs="Arial"/>
          <w:kern w:val="44"/>
          <w:sz w:val="21"/>
          <w:szCs w:val="21"/>
        </w:rPr>
        <w:t>404.73元，其中可用资金余额10</w:t>
      </w:r>
      <w:r>
        <w:rPr>
          <w:rFonts w:hint="eastAsia" w:ascii="Arial" w:hAnsi="Arial" w:cs="Arial"/>
          <w:kern w:val="44"/>
          <w:sz w:val="21"/>
          <w:szCs w:val="21"/>
          <w:lang w:val="en-US" w:eastAsia="zh-CN"/>
        </w:rPr>
        <w:t>,</w:t>
      </w:r>
      <w:r>
        <w:rPr>
          <w:rFonts w:hint="eastAsia" w:ascii="Arial" w:hAnsi="Arial" w:cs="Arial"/>
          <w:kern w:val="44"/>
          <w:sz w:val="21"/>
          <w:szCs w:val="21"/>
        </w:rPr>
        <w:t>341</w:t>
      </w:r>
      <w:r>
        <w:rPr>
          <w:rFonts w:hint="eastAsia" w:ascii="Arial" w:hAnsi="Arial" w:cs="Arial"/>
          <w:kern w:val="44"/>
          <w:sz w:val="21"/>
          <w:szCs w:val="21"/>
          <w:lang w:val="en-US" w:eastAsia="zh-CN"/>
        </w:rPr>
        <w:t>,</w:t>
      </w:r>
      <w:r>
        <w:rPr>
          <w:rFonts w:hint="eastAsia" w:ascii="Arial" w:hAnsi="Arial" w:cs="Arial"/>
          <w:kern w:val="44"/>
          <w:sz w:val="21"/>
          <w:szCs w:val="21"/>
        </w:rPr>
        <w:t>404.73元，项目公司所有账户余额为108</w:t>
      </w:r>
      <w:r>
        <w:rPr>
          <w:rFonts w:hint="eastAsia" w:ascii="Arial" w:hAnsi="Arial" w:cs="Arial"/>
          <w:kern w:val="44"/>
          <w:sz w:val="21"/>
          <w:szCs w:val="21"/>
          <w:lang w:val="en-US" w:eastAsia="zh-CN"/>
        </w:rPr>
        <w:t>,</w:t>
      </w:r>
      <w:r>
        <w:rPr>
          <w:rFonts w:hint="eastAsia" w:ascii="Arial" w:hAnsi="Arial" w:cs="Arial"/>
          <w:kern w:val="44"/>
          <w:sz w:val="21"/>
          <w:szCs w:val="21"/>
        </w:rPr>
        <w:t>897</w:t>
      </w:r>
      <w:r>
        <w:rPr>
          <w:rFonts w:hint="eastAsia" w:ascii="Arial" w:hAnsi="Arial" w:cs="Arial"/>
          <w:kern w:val="44"/>
          <w:sz w:val="21"/>
          <w:szCs w:val="21"/>
          <w:lang w:val="en-US" w:eastAsia="zh-CN"/>
        </w:rPr>
        <w:t>,</w:t>
      </w:r>
      <w:r>
        <w:rPr>
          <w:rFonts w:hint="eastAsia" w:ascii="Arial" w:hAnsi="Arial" w:cs="Arial"/>
          <w:kern w:val="44"/>
          <w:sz w:val="21"/>
          <w:szCs w:val="21"/>
        </w:rPr>
        <w:t>151.44元，其中银行账户余额为</w:t>
      </w:r>
      <w:r>
        <w:rPr>
          <w:rFonts w:hint="eastAsia" w:ascii="Arial" w:hAnsi="Arial" w:cs="Arial"/>
          <w:kern w:val="44"/>
          <w:sz w:val="21"/>
          <w:szCs w:val="21"/>
          <w:lang w:val="en-US" w:eastAsia="zh-CN"/>
        </w:rPr>
        <w:t xml:space="preserve">108,634,515.84 </w:t>
      </w:r>
      <w:r>
        <w:rPr>
          <w:rFonts w:hint="eastAsia" w:ascii="Arial" w:hAnsi="Arial" w:cs="Arial"/>
          <w:kern w:val="44"/>
          <w:sz w:val="21"/>
          <w:szCs w:val="21"/>
        </w:rPr>
        <w:t>元，其他货币资金-POS机收款余额为262,635.60元，可用资金14</w:t>
      </w:r>
      <w:r>
        <w:rPr>
          <w:rFonts w:hint="eastAsia" w:ascii="Arial" w:hAnsi="Arial" w:cs="Arial"/>
          <w:kern w:val="44"/>
          <w:sz w:val="21"/>
          <w:szCs w:val="21"/>
          <w:lang w:val="en-US" w:eastAsia="zh-CN"/>
        </w:rPr>
        <w:t>,</w:t>
      </w:r>
      <w:r>
        <w:rPr>
          <w:rFonts w:hint="eastAsia" w:ascii="Arial" w:hAnsi="Arial" w:cs="Arial"/>
          <w:kern w:val="44"/>
          <w:sz w:val="21"/>
          <w:szCs w:val="21"/>
        </w:rPr>
        <w:t>082</w:t>
      </w:r>
      <w:r>
        <w:rPr>
          <w:rFonts w:hint="eastAsia" w:ascii="Arial" w:hAnsi="Arial" w:cs="Arial"/>
          <w:kern w:val="44"/>
          <w:sz w:val="21"/>
          <w:szCs w:val="21"/>
          <w:lang w:val="en-US" w:eastAsia="zh-CN"/>
        </w:rPr>
        <w:t>,</w:t>
      </w:r>
      <w:r>
        <w:rPr>
          <w:rFonts w:hint="eastAsia" w:ascii="Arial" w:hAnsi="Arial" w:cs="Arial"/>
          <w:kern w:val="44"/>
          <w:sz w:val="21"/>
          <w:szCs w:val="21"/>
        </w:rPr>
        <w:t>088.3元，各账户余额见下表：</w:t>
      </w:r>
    </w:p>
    <w:p>
      <w:pPr>
        <w:jc w:val="center"/>
        <w:rPr>
          <w:rFonts w:ascii="宋体" w:hAnsi="宋体" w:cs="宋体"/>
          <w:b/>
          <w:bCs/>
          <w:color w:val="000000"/>
          <w:sz w:val="21"/>
          <w:szCs w:val="21"/>
        </w:rPr>
      </w:pPr>
      <w:bookmarkStart w:id="41" w:name="_Toc1831"/>
      <w:r>
        <w:rPr>
          <w:rFonts w:hint="eastAsia" w:ascii="宋体" w:hAnsi="宋体" w:cs="宋体"/>
          <w:b/>
          <w:bCs/>
          <w:color w:val="000000"/>
          <w:sz w:val="21"/>
          <w:szCs w:val="21"/>
        </w:rPr>
        <w:t>表七：SPV公司</w:t>
      </w:r>
      <w:r>
        <w:rPr>
          <w:rFonts w:hint="eastAsia" w:ascii="宋体" w:hAnsi="宋体" w:cs="宋体"/>
          <w:b/>
          <w:bCs/>
          <w:sz w:val="21"/>
          <w:szCs w:val="21"/>
        </w:rPr>
        <w:t>银行账户基本情况</w:t>
      </w:r>
      <w:bookmarkEnd w:id="41"/>
    </w:p>
    <w:tbl>
      <w:tblPr>
        <w:tblStyle w:val="18"/>
        <w:tblW w:w="9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589"/>
        <w:gridCol w:w="1431"/>
        <w:gridCol w:w="1143"/>
        <w:gridCol w:w="882"/>
        <w:gridCol w:w="809"/>
        <w:gridCol w:w="880"/>
        <w:gridCol w:w="143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23"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序号</w:t>
            </w:r>
          </w:p>
        </w:tc>
        <w:tc>
          <w:tcPr>
            <w:tcW w:w="158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开户行</w:t>
            </w:r>
          </w:p>
        </w:tc>
        <w:tc>
          <w:tcPr>
            <w:tcW w:w="143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账号</w:t>
            </w:r>
          </w:p>
        </w:tc>
        <w:tc>
          <w:tcPr>
            <w:tcW w:w="1143"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账户性质</w:t>
            </w:r>
          </w:p>
        </w:tc>
        <w:tc>
          <w:tcPr>
            <w:tcW w:w="882"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预留印鉴明细</w:t>
            </w:r>
          </w:p>
        </w:tc>
        <w:tc>
          <w:tcPr>
            <w:tcW w:w="80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是否开通网银</w:t>
            </w:r>
          </w:p>
        </w:tc>
        <w:tc>
          <w:tcPr>
            <w:tcW w:w="880"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是否开通结算卡等其他功能</w:t>
            </w:r>
          </w:p>
        </w:tc>
        <w:tc>
          <w:tcPr>
            <w:tcW w:w="1433"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月末账户余额（元）</w:t>
            </w:r>
          </w:p>
        </w:tc>
        <w:tc>
          <w:tcPr>
            <w:tcW w:w="1055" w:type="dxa"/>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23"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1</w:t>
            </w:r>
          </w:p>
        </w:tc>
        <w:tc>
          <w:tcPr>
            <w:tcW w:w="158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中国银行成都科华街支行</w:t>
            </w:r>
          </w:p>
        </w:tc>
        <w:tc>
          <w:tcPr>
            <w:tcW w:w="143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130711887990</w:t>
            </w:r>
          </w:p>
        </w:tc>
        <w:tc>
          <w:tcPr>
            <w:tcW w:w="1143"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基本户</w:t>
            </w:r>
          </w:p>
        </w:tc>
        <w:tc>
          <w:tcPr>
            <w:tcW w:w="882"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法人章，财务章</w:t>
            </w:r>
          </w:p>
        </w:tc>
        <w:tc>
          <w:tcPr>
            <w:tcW w:w="80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是</w:t>
            </w:r>
          </w:p>
        </w:tc>
        <w:tc>
          <w:tcPr>
            <w:tcW w:w="880"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c>
          <w:tcPr>
            <w:tcW w:w="1433" w:type="dxa"/>
            <w:vAlign w:val="center"/>
          </w:tcPr>
          <w:p>
            <w:pPr>
              <w:jc w:val="right"/>
              <w:textAlignment w:val="center"/>
              <w:rPr>
                <w:rFonts w:hint="eastAsia"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10</w:t>
            </w:r>
            <w:r>
              <w:rPr>
                <w:rFonts w:hint="eastAsia" w:ascii="Arial" w:hAnsi="Arial" w:cs="Arial"/>
                <w:bCs/>
                <w:color w:val="000000"/>
                <w:kern w:val="2"/>
                <w:sz w:val="18"/>
                <w:szCs w:val="18"/>
                <w:highlight w:val="none"/>
                <w:lang w:val="en-US" w:eastAsia="zh-CN" w:bidi="ar"/>
              </w:rPr>
              <w:t>,</w:t>
            </w:r>
            <w:r>
              <w:rPr>
                <w:rFonts w:hint="eastAsia" w:ascii="Arial" w:hAnsi="Arial" w:cs="Arial"/>
                <w:bCs/>
                <w:color w:val="000000"/>
                <w:kern w:val="2"/>
                <w:sz w:val="18"/>
                <w:szCs w:val="18"/>
                <w:highlight w:val="none"/>
                <w:lang w:bidi="ar"/>
              </w:rPr>
              <w:t>341</w:t>
            </w:r>
            <w:r>
              <w:rPr>
                <w:rFonts w:hint="eastAsia" w:ascii="Arial" w:hAnsi="Arial" w:cs="Arial"/>
                <w:bCs/>
                <w:color w:val="000000"/>
                <w:kern w:val="2"/>
                <w:sz w:val="18"/>
                <w:szCs w:val="18"/>
                <w:highlight w:val="none"/>
                <w:lang w:val="en-US" w:eastAsia="zh-CN" w:bidi="ar"/>
              </w:rPr>
              <w:t>,</w:t>
            </w:r>
            <w:r>
              <w:rPr>
                <w:rFonts w:hint="eastAsia" w:ascii="Arial" w:hAnsi="Arial" w:cs="Arial"/>
                <w:bCs/>
                <w:color w:val="000000"/>
                <w:kern w:val="2"/>
                <w:sz w:val="18"/>
                <w:szCs w:val="18"/>
                <w:highlight w:val="none"/>
                <w:lang w:bidi="ar"/>
              </w:rPr>
              <w:t>404.73</w:t>
            </w:r>
          </w:p>
        </w:tc>
        <w:tc>
          <w:tcPr>
            <w:tcW w:w="1055"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 w:hRule="atLeast"/>
          <w:jc w:val="center"/>
        </w:trPr>
        <w:tc>
          <w:tcPr>
            <w:tcW w:w="623"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2</w:t>
            </w:r>
          </w:p>
        </w:tc>
        <w:tc>
          <w:tcPr>
            <w:tcW w:w="6734" w:type="dxa"/>
            <w:gridSpan w:val="6"/>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合计</w:t>
            </w:r>
          </w:p>
        </w:tc>
        <w:tc>
          <w:tcPr>
            <w:tcW w:w="1433" w:type="dxa"/>
            <w:vAlign w:val="center"/>
          </w:tcPr>
          <w:p>
            <w:pPr>
              <w:jc w:val="right"/>
              <w:textAlignment w:val="center"/>
              <w:rPr>
                <w:rFonts w:hint="eastAsia"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10</w:t>
            </w:r>
            <w:r>
              <w:rPr>
                <w:rFonts w:hint="eastAsia" w:ascii="Arial" w:hAnsi="Arial" w:cs="Arial"/>
                <w:bCs/>
                <w:color w:val="000000"/>
                <w:kern w:val="2"/>
                <w:sz w:val="18"/>
                <w:szCs w:val="18"/>
                <w:highlight w:val="none"/>
                <w:lang w:val="en-US" w:eastAsia="zh-CN" w:bidi="ar"/>
              </w:rPr>
              <w:t>,</w:t>
            </w:r>
            <w:r>
              <w:rPr>
                <w:rFonts w:hint="eastAsia" w:ascii="Arial" w:hAnsi="Arial" w:cs="Arial"/>
                <w:bCs/>
                <w:color w:val="000000"/>
                <w:kern w:val="2"/>
                <w:sz w:val="18"/>
                <w:szCs w:val="18"/>
                <w:highlight w:val="none"/>
                <w:lang w:bidi="ar"/>
              </w:rPr>
              <w:t>341</w:t>
            </w:r>
            <w:r>
              <w:rPr>
                <w:rFonts w:hint="eastAsia" w:ascii="Arial" w:hAnsi="Arial" w:cs="Arial"/>
                <w:bCs/>
                <w:color w:val="000000"/>
                <w:kern w:val="2"/>
                <w:sz w:val="18"/>
                <w:szCs w:val="18"/>
                <w:highlight w:val="none"/>
                <w:lang w:val="en-US" w:eastAsia="zh-CN" w:bidi="ar"/>
              </w:rPr>
              <w:t>,</w:t>
            </w:r>
            <w:r>
              <w:rPr>
                <w:rFonts w:hint="eastAsia" w:ascii="Arial" w:hAnsi="Arial" w:cs="Arial"/>
                <w:bCs/>
                <w:color w:val="000000"/>
                <w:kern w:val="2"/>
                <w:sz w:val="18"/>
                <w:szCs w:val="18"/>
                <w:highlight w:val="none"/>
                <w:lang w:bidi="ar"/>
              </w:rPr>
              <w:t>404.73</w:t>
            </w:r>
          </w:p>
        </w:tc>
        <w:tc>
          <w:tcPr>
            <w:tcW w:w="1055" w:type="dxa"/>
            <w:vAlign w:val="center"/>
          </w:tcPr>
          <w:p>
            <w:pPr>
              <w:jc w:val="center"/>
              <w:textAlignment w:val="center"/>
              <w:rPr>
                <w:rFonts w:ascii="Arial" w:hAnsi="Arial" w:cs="Arial"/>
                <w:bCs/>
                <w:color w:val="000000"/>
                <w:kern w:val="2"/>
                <w:sz w:val="18"/>
                <w:szCs w:val="18"/>
                <w:highlight w:val="none"/>
                <w:lang w:bidi="ar"/>
              </w:rPr>
            </w:pPr>
          </w:p>
        </w:tc>
      </w:tr>
    </w:tbl>
    <w:p>
      <w:pPr>
        <w:jc w:val="center"/>
        <w:rPr>
          <w:rFonts w:hint="eastAsia" w:ascii="宋体" w:hAnsi="宋体" w:cs="宋体"/>
          <w:b/>
          <w:bCs/>
          <w:color w:val="000000"/>
          <w:sz w:val="21"/>
          <w:szCs w:val="21"/>
          <w:highlight w:val="none"/>
        </w:rPr>
      </w:pPr>
      <w:bookmarkStart w:id="42" w:name="_Toc19446"/>
    </w:p>
    <w:p>
      <w:pPr>
        <w:jc w:val="center"/>
        <w:rPr>
          <w:rFonts w:ascii="宋体" w:hAnsi="宋体" w:cs="宋体"/>
          <w:b/>
          <w:bCs/>
          <w:color w:val="000000"/>
          <w:sz w:val="21"/>
          <w:szCs w:val="21"/>
          <w:highlight w:val="none"/>
        </w:rPr>
      </w:pPr>
      <w:r>
        <w:rPr>
          <w:rFonts w:hint="eastAsia" w:ascii="宋体" w:hAnsi="宋体" w:cs="宋体"/>
          <w:b/>
          <w:bCs/>
          <w:color w:val="000000"/>
          <w:sz w:val="21"/>
          <w:szCs w:val="21"/>
          <w:highlight w:val="none"/>
        </w:rPr>
        <w:t>表七：项目公司</w:t>
      </w:r>
      <w:r>
        <w:rPr>
          <w:rFonts w:hint="eastAsia" w:ascii="宋体" w:hAnsi="宋体" w:cs="宋体"/>
          <w:b/>
          <w:bCs/>
          <w:sz w:val="21"/>
          <w:szCs w:val="21"/>
          <w:highlight w:val="none"/>
        </w:rPr>
        <w:t>银行账户基本情况</w:t>
      </w:r>
      <w:bookmarkEnd w:id="42"/>
    </w:p>
    <w:tbl>
      <w:tblPr>
        <w:tblStyle w:val="18"/>
        <w:tblW w:w="9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641"/>
        <w:gridCol w:w="1417"/>
        <w:gridCol w:w="1099"/>
        <w:gridCol w:w="897"/>
        <w:gridCol w:w="809"/>
        <w:gridCol w:w="878"/>
        <w:gridCol w:w="1471"/>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jc w:val="center"/>
        </w:trPr>
        <w:tc>
          <w:tcPr>
            <w:tcW w:w="631" w:type="dxa"/>
            <w:vAlign w:val="center"/>
          </w:tcPr>
          <w:p>
            <w:pPr>
              <w:jc w:val="center"/>
              <w:textAlignment w:val="center"/>
              <w:rPr>
                <w:rFonts w:ascii="Arial" w:hAnsi="Arial" w:cs="Arial"/>
                <w:b/>
                <w:color w:val="000000"/>
                <w:kern w:val="2"/>
                <w:sz w:val="18"/>
                <w:szCs w:val="18"/>
                <w:highlight w:val="none"/>
                <w:lang w:bidi="ar"/>
              </w:rPr>
            </w:pPr>
            <w:r>
              <w:rPr>
                <w:rFonts w:hint="eastAsia" w:ascii="Arial" w:hAnsi="Arial" w:cs="Arial"/>
                <w:b/>
                <w:color w:val="000000"/>
                <w:kern w:val="2"/>
                <w:sz w:val="18"/>
                <w:szCs w:val="18"/>
                <w:highlight w:val="none"/>
                <w:lang w:bidi="ar"/>
              </w:rPr>
              <w:t>序号</w:t>
            </w:r>
          </w:p>
        </w:tc>
        <w:tc>
          <w:tcPr>
            <w:tcW w:w="1641" w:type="dxa"/>
            <w:vAlign w:val="center"/>
          </w:tcPr>
          <w:p>
            <w:pPr>
              <w:jc w:val="center"/>
              <w:textAlignment w:val="center"/>
              <w:rPr>
                <w:rFonts w:ascii="Arial" w:hAnsi="Arial" w:cs="Arial"/>
                <w:b/>
                <w:color w:val="000000"/>
                <w:kern w:val="2"/>
                <w:sz w:val="18"/>
                <w:szCs w:val="18"/>
                <w:highlight w:val="none"/>
                <w:lang w:bidi="ar"/>
              </w:rPr>
            </w:pPr>
            <w:r>
              <w:rPr>
                <w:rFonts w:hint="eastAsia" w:ascii="Arial" w:hAnsi="Arial" w:cs="Arial"/>
                <w:b/>
                <w:color w:val="000000"/>
                <w:kern w:val="2"/>
                <w:sz w:val="18"/>
                <w:szCs w:val="18"/>
                <w:highlight w:val="none"/>
                <w:lang w:bidi="ar"/>
              </w:rPr>
              <w:t>开户行</w:t>
            </w:r>
          </w:p>
        </w:tc>
        <w:tc>
          <w:tcPr>
            <w:tcW w:w="1417" w:type="dxa"/>
            <w:vAlign w:val="center"/>
          </w:tcPr>
          <w:p>
            <w:pPr>
              <w:jc w:val="center"/>
              <w:textAlignment w:val="center"/>
              <w:rPr>
                <w:rFonts w:ascii="Arial" w:hAnsi="Arial" w:cs="Arial"/>
                <w:b/>
                <w:color w:val="000000"/>
                <w:kern w:val="2"/>
                <w:sz w:val="18"/>
                <w:szCs w:val="18"/>
                <w:highlight w:val="none"/>
                <w:lang w:bidi="ar"/>
              </w:rPr>
            </w:pPr>
            <w:r>
              <w:rPr>
                <w:rFonts w:hint="eastAsia" w:ascii="Arial" w:hAnsi="Arial" w:cs="Arial"/>
                <w:b/>
                <w:color w:val="000000"/>
                <w:kern w:val="2"/>
                <w:sz w:val="18"/>
                <w:szCs w:val="18"/>
                <w:highlight w:val="none"/>
                <w:lang w:bidi="ar"/>
              </w:rPr>
              <w:t>账号</w:t>
            </w:r>
          </w:p>
        </w:tc>
        <w:tc>
          <w:tcPr>
            <w:tcW w:w="1099" w:type="dxa"/>
            <w:vAlign w:val="center"/>
          </w:tcPr>
          <w:p>
            <w:pPr>
              <w:jc w:val="center"/>
              <w:textAlignment w:val="center"/>
              <w:rPr>
                <w:rFonts w:ascii="Arial" w:hAnsi="Arial" w:cs="Arial"/>
                <w:b/>
                <w:color w:val="000000"/>
                <w:kern w:val="2"/>
                <w:sz w:val="18"/>
                <w:szCs w:val="18"/>
                <w:highlight w:val="none"/>
                <w:lang w:bidi="ar"/>
              </w:rPr>
            </w:pPr>
            <w:r>
              <w:rPr>
                <w:rFonts w:hint="eastAsia" w:ascii="Arial" w:hAnsi="Arial" w:cs="Arial"/>
                <w:b/>
                <w:color w:val="000000"/>
                <w:kern w:val="2"/>
                <w:sz w:val="18"/>
                <w:szCs w:val="18"/>
                <w:highlight w:val="none"/>
                <w:lang w:bidi="ar"/>
              </w:rPr>
              <w:t>账户性质</w:t>
            </w:r>
          </w:p>
        </w:tc>
        <w:tc>
          <w:tcPr>
            <w:tcW w:w="897" w:type="dxa"/>
            <w:vAlign w:val="center"/>
          </w:tcPr>
          <w:p>
            <w:pPr>
              <w:jc w:val="center"/>
              <w:textAlignment w:val="center"/>
              <w:rPr>
                <w:rFonts w:ascii="Arial" w:hAnsi="Arial" w:cs="Arial"/>
                <w:b/>
                <w:color w:val="000000"/>
                <w:kern w:val="2"/>
                <w:sz w:val="18"/>
                <w:szCs w:val="18"/>
                <w:highlight w:val="none"/>
                <w:lang w:bidi="ar"/>
              </w:rPr>
            </w:pPr>
            <w:r>
              <w:rPr>
                <w:rFonts w:hint="eastAsia" w:ascii="Arial" w:hAnsi="Arial" w:cs="Arial"/>
                <w:b/>
                <w:color w:val="000000"/>
                <w:kern w:val="2"/>
                <w:sz w:val="18"/>
                <w:szCs w:val="18"/>
                <w:highlight w:val="none"/>
                <w:lang w:bidi="ar"/>
              </w:rPr>
              <w:t>预留印鉴明细</w:t>
            </w:r>
          </w:p>
        </w:tc>
        <w:tc>
          <w:tcPr>
            <w:tcW w:w="809" w:type="dxa"/>
            <w:vAlign w:val="center"/>
          </w:tcPr>
          <w:p>
            <w:pPr>
              <w:jc w:val="center"/>
              <w:textAlignment w:val="center"/>
              <w:rPr>
                <w:rFonts w:ascii="Arial" w:hAnsi="Arial" w:cs="Arial"/>
                <w:b/>
                <w:color w:val="000000"/>
                <w:kern w:val="2"/>
                <w:sz w:val="18"/>
                <w:szCs w:val="18"/>
                <w:highlight w:val="none"/>
                <w:lang w:bidi="ar"/>
              </w:rPr>
            </w:pPr>
            <w:r>
              <w:rPr>
                <w:rFonts w:hint="eastAsia" w:ascii="Arial" w:hAnsi="Arial" w:cs="Arial"/>
                <w:b/>
                <w:color w:val="000000"/>
                <w:kern w:val="2"/>
                <w:sz w:val="18"/>
                <w:szCs w:val="18"/>
                <w:highlight w:val="none"/>
                <w:lang w:bidi="ar"/>
              </w:rPr>
              <w:t>是否开通网银</w:t>
            </w:r>
          </w:p>
        </w:tc>
        <w:tc>
          <w:tcPr>
            <w:tcW w:w="878" w:type="dxa"/>
            <w:vAlign w:val="center"/>
          </w:tcPr>
          <w:p>
            <w:pPr>
              <w:jc w:val="center"/>
              <w:textAlignment w:val="center"/>
              <w:rPr>
                <w:rFonts w:ascii="Arial" w:hAnsi="Arial" w:cs="Arial"/>
                <w:b/>
                <w:color w:val="000000"/>
                <w:kern w:val="2"/>
                <w:sz w:val="18"/>
                <w:szCs w:val="18"/>
                <w:highlight w:val="none"/>
                <w:lang w:bidi="ar"/>
              </w:rPr>
            </w:pPr>
            <w:r>
              <w:rPr>
                <w:rFonts w:hint="eastAsia" w:ascii="Arial" w:hAnsi="Arial" w:cs="Arial"/>
                <w:b/>
                <w:color w:val="000000"/>
                <w:kern w:val="2"/>
                <w:sz w:val="18"/>
                <w:szCs w:val="18"/>
                <w:highlight w:val="none"/>
                <w:lang w:bidi="ar"/>
              </w:rPr>
              <w:t>是否开通结算卡等其他功能</w:t>
            </w:r>
          </w:p>
        </w:tc>
        <w:tc>
          <w:tcPr>
            <w:tcW w:w="1471" w:type="dxa"/>
            <w:vAlign w:val="center"/>
          </w:tcPr>
          <w:p>
            <w:pPr>
              <w:jc w:val="center"/>
              <w:textAlignment w:val="center"/>
              <w:rPr>
                <w:rFonts w:ascii="Arial" w:hAnsi="Arial" w:cs="Arial"/>
                <w:b/>
                <w:color w:val="000000"/>
                <w:kern w:val="2"/>
                <w:sz w:val="18"/>
                <w:szCs w:val="18"/>
                <w:highlight w:val="none"/>
                <w:lang w:bidi="ar"/>
              </w:rPr>
            </w:pPr>
            <w:r>
              <w:rPr>
                <w:rFonts w:hint="eastAsia" w:ascii="Arial" w:hAnsi="Arial" w:cs="Arial"/>
                <w:b/>
                <w:color w:val="000000"/>
                <w:kern w:val="2"/>
                <w:sz w:val="18"/>
                <w:szCs w:val="18"/>
                <w:highlight w:val="none"/>
                <w:lang w:bidi="ar"/>
              </w:rPr>
              <w:t>月末账户余额（元）</w:t>
            </w:r>
          </w:p>
        </w:tc>
        <w:tc>
          <w:tcPr>
            <w:tcW w:w="991" w:type="dxa"/>
          </w:tcPr>
          <w:p>
            <w:pPr>
              <w:jc w:val="center"/>
              <w:textAlignment w:val="center"/>
              <w:rPr>
                <w:rFonts w:ascii="Arial" w:hAnsi="Arial" w:cs="Arial"/>
                <w:b/>
                <w:color w:val="000000"/>
                <w:kern w:val="2"/>
                <w:sz w:val="18"/>
                <w:szCs w:val="18"/>
                <w:highlight w:val="none"/>
                <w:lang w:bidi="ar"/>
              </w:rPr>
            </w:pPr>
            <w:r>
              <w:rPr>
                <w:rFonts w:hint="eastAsia" w:ascii="Arial" w:hAnsi="Arial" w:cs="Arial"/>
                <w:b/>
                <w:color w:val="000000"/>
                <w:kern w:val="2"/>
                <w:sz w:val="18"/>
                <w:szCs w:val="18"/>
                <w:highlight w:val="none"/>
                <w:lang w:bidi="ar"/>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3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1</w:t>
            </w:r>
          </w:p>
        </w:tc>
        <w:tc>
          <w:tcPr>
            <w:tcW w:w="164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中国工商银行</w:t>
            </w:r>
          </w:p>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宜宾翠柏大道支行</w:t>
            </w:r>
          </w:p>
        </w:tc>
        <w:tc>
          <w:tcPr>
            <w:tcW w:w="141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2314506209100058473</w:t>
            </w:r>
          </w:p>
        </w:tc>
        <w:tc>
          <w:tcPr>
            <w:tcW w:w="109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基本户</w:t>
            </w:r>
          </w:p>
        </w:tc>
        <w:tc>
          <w:tcPr>
            <w:tcW w:w="89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法人章，财务章</w:t>
            </w:r>
          </w:p>
        </w:tc>
        <w:tc>
          <w:tcPr>
            <w:tcW w:w="80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是</w:t>
            </w:r>
          </w:p>
        </w:tc>
        <w:tc>
          <w:tcPr>
            <w:tcW w:w="878"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c>
          <w:tcPr>
            <w:tcW w:w="1471" w:type="dxa"/>
            <w:vAlign w:val="center"/>
          </w:tcPr>
          <w:p>
            <w:pPr>
              <w:jc w:val="right"/>
              <w:textAlignment w:val="center"/>
              <w:rPr>
                <w:rFonts w:hint="eastAsia"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val="en-US" w:eastAsia="zh-CN" w:bidi="ar"/>
              </w:rPr>
              <w:t xml:space="preserve">3,879,816.56 </w:t>
            </w:r>
          </w:p>
        </w:tc>
        <w:tc>
          <w:tcPr>
            <w:tcW w:w="99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3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2</w:t>
            </w:r>
          </w:p>
        </w:tc>
        <w:tc>
          <w:tcPr>
            <w:tcW w:w="164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中国建设银行</w:t>
            </w:r>
          </w:p>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宜宾翠屏支行</w:t>
            </w:r>
          </w:p>
        </w:tc>
        <w:tc>
          <w:tcPr>
            <w:tcW w:w="141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51050172610800000904</w:t>
            </w:r>
          </w:p>
        </w:tc>
        <w:tc>
          <w:tcPr>
            <w:tcW w:w="109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预售资金</w:t>
            </w:r>
          </w:p>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监管账户</w:t>
            </w:r>
          </w:p>
        </w:tc>
        <w:tc>
          <w:tcPr>
            <w:tcW w:w="89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法人章，财务章</w:t>
            </w:r>
          </w:p>
        </w:tc>
        <w:tc>
          <w:tcPr>
            <w:tcW w:w="80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是</w:t>
            </w:r>
          </w:p>
        </w:tc>
        <w:tc>
          <w:tcPr>
            <w:tcW w:w="878"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c>
          <w:tcPr>
            <w:tcW w:w="1471" w:type="dxa"/>
            <w:vAlign w:val="center"/>
          </w:tcPr>
          <w:p>
            <w:pPr>
              <w:jc w:val="right"/>
              <w:textAlignment w:val="center"/>
              <w:rPr>
                <w:rFonts w:hint="eastAsia"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val="en-US" w:eastAsia="zh-CN" w:bidi="ar"/>
              </w:rPr>
              <w:t xml:space="preserve">94,815,063.14 </w:t>
            </w:r>
          </w:p>
        </w:tc>
        <w:tc>
          <w:tcPr>
            <w:tcW w:w="99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3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3</w:t>
            </w:r>
          </w:p>
        </w:tc>
        <w:tc>
          <w:tcPr>
            <w:tcW w:w="164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中国农业银行</w:t>
            </w:r>
          </w:p>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宜宾翠屏支行</w:t>
            </w:r>
          </w:p>
        </w:tc>
        <w:tc>
          <w:tcPr>
            <w:tcW w:w="141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22470201040022852</w:t>
            </w:r>
          </w:p>
        </w:tc>
        <w:tc>
          <w:tcPr>
            <w:tcW w:w="109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一般户</w:t>
            </w:r>
          </w:p>
        </w:tc>
        <w:tc>
          <w:tcPr>
            <w:tcW w:w="89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法人章，财务章</w:t>
            </w:r>
          </w:p>
        </w:tc>
        <w:tc>
          <w:tcPr>
            <w:tcW w:w="80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是</w:t>
            </w:r>
          </w:p>
        </w:tc>
        <w:tc>
          <w:tcPr>
            <w:tcW w:w="878"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c>
          <w:tcPr>
            <w:tcW w:w="1471" w:type="dxa"/>
            <w:vAlign w:val="center"/>
          </w:tcPr>
          <w:p>
            <w:pPr>
              <w:jc w:val="right"/>
              <w:textAlignment w:val="center"/>
              <w:rPr>
                <w:rFonts w:hint="eastAsia"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val="en-US" w:eastAsia="zh-CN" w:bidi="ar"/>
              </w:rPr>
              <w:t>808,845.78</w:t>
            </w:r>
          </w:p>
        </w:tc>
        <w:tc>
          <w:tcPr>
            <w:tcW w:w="99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3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4</w:t>
            </w:r>
          </w:p>
        </w:tc>
        <w:tc>
          <w:tcPr>
            <w:tcW w:w="164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中国建设银行</w:t>
            </w:r>
          </w:p>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宜宾翠屏支行</w:t>
            </w:r>
          </w:p>
        </w:tc>
        <w:tc>
          <w:tcPr>
            <w:tcW w:w="141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51050172610800000895</w:t>
            </w:r>
          </w:p>
        </w:tc>
        <w:tc>
          <w:tcPr>
            <w:tcW w:w="109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一般户</w:t>
            </w:r>
          </w:p>
        </w:tc>
        <w:tc>
          <w:tcPr>
            <w:tcW w:w="89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法人章，财务章</w:t>
            </w:r>
          </w:p>
        </w:tc>
        <w:tc>
          <w:tcPr>
            <w:tcW w:w="80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是</w:t>
            </w:r>
          </w:p>
        </w:tc>
        <w:tc>
          <w:tcPr>
            <w:tcW w:w="878"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c>
          <w:tcPr>
            <w:tcW w:w="1471" w:type="dxa"/>
            <w:vAlign w:val="center"/>
          </w:tcPr>
          <w:p>
            <w:pPr>
              <w:jc w:val="right"/>
              <w:textAlignment w:val="center"/>
              <w:rPr>
                <w:rFonts w:hint="eastAsia"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val="en-US" w:eastAsia="zh-CN" w:bidi="ar"/>
              </w:rPr>
              <w:t>9,098,941.04</w:t>
            </w:r>
          </w:p>
        </w:tc>
        <w:tc>
          <w:tcPr>
            <w:tcW w:w="99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3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5</w:t>
            </w:r>
          </w:p>
        </w:tc>
        <w:tc>
          <w:tcPr>
            <w:tcW w:w="164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中国银行</w:t>
            </w:r>
          </w:p>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宜宾翠柏支行</w:t>
            </w:r>
          </w:p>
        </w:tc>
        <w:tc>
          <w:tcPr>
            <w:tcW w:w="141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115868581512</w:t>
            </w:r>
          </w:p>
        </w:tc>
        <w:tc>
          <w:tcPr>
            <w:tcW w:w="109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一般户</w:t>
            </w:r>
          </w:p>
        </w:tc>
        <w:tc>
          <w:tcPr>
            <w:tcW w:w="89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法人章，财务章</w:t>
            </w:r>
          </w:p>
        </w:tc>
        <w:tc>
          <w:tcPr>
            <w:tcW w:w="80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是</w:t>
            </w:r>
          </w:p>
        </w:tc>
        <w:tc>
          <w:tcPr>
            <w:tcW w:w="878"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c>
          <w:tcPr>
            <w:tcW w:w="1471" w:type="dxa"/>
            <w:vAlign w:val="center"/>
          </w:tcPr>
          <w:p>
            <w:pPr>
              <w:jc w:val="right"/>
              <w:textAlignment w:val="center"/>
              <w:rPr>
                <w:rFonts w:hint="eastAsia"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val="en-US" w:eastAsia="zh-CN" w:bidi="ar"/>
              </w:rPr>
              <w:t xml:space="preserve">2,779.32 </w:t>
            </w:r>
          </w:p>
        </w:tc>
        <w:tc>
          <w:tcPr>
            <w:tcW w:w="99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3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6</w:t>
            </w:r>
          </w:p>
        </w:tc>
        <w:tc>
          <w:tcPr>
            <w:tcW w:w="164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中信银行</w:t>
            </w:r>
          </w:p>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宜宾分行营业部</w:t>
            </w:r>
          </w:p>
        </w:tc>
        <w:tc>
          <w:tcPr>
            <w:tcW w:w="141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8111001012900684397</w:t>
            </w:r>
          </w:p>
        </w:tc>
        <w:tc>
          <w:tcPr>
            <w:tcW w:w="109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一般户</w:t>
            </w:r>
          </w:p>
        </w:tc>
        <w:tc>
          <w:tcPr>
            <w:tcW w:w="89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法人章，财务章</w:t>
            </w:r>
          </w:p>
        </w:tc>
        <w:tc>
          <w:tcPr>
            <w:tcW w:w="80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是</w:t>
            </w:r>
          </w:p>
        </w:tc>
        <w:tc>
          <w:tcPr>
            <w:tcW w:w="878"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c>
          <w:tcPr>
            <w:tcW w:w="1471" w:type="dxa"/>
            <w:vAlign w:val="center"/>
          </w:tcPr>
          <w:p>
            <w:pPr>
              <w:jc w:val="right"/>
              <w:textAlignment w:val="center"/>
              <w:rPr>
                <w:rFonts w:hint="eastAsia"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val="en-US" w:eastAsia="zh-CN" w:bidi="ar"/>
              </w:rPr>
              <w:t xml:space="preserve">25,553.24 </w:t>
            </w:r>
          </w:p>
        </w:tc>
        <w:tc>
          <w:tcPr>
            <w:tcW w:w="99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3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7</w:t>
            </w:r>
          </w:p>
        </w:tc>
        <w:tc>
          <w:tcPr>
            <w:tcW w:w="164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中国民生银行</w:t>
            </w:r>
          </w:p>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宜宾分行营业部</w:t>
            </w:r>
          </w:p>
        </w:tc>
        <w:tc>
          <w:tcPr>
            <w:tcW w:w="141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632327658</w:t>
            </w:r>
          </w:p>
        </w:tc>
        <w:tc>
          <w:tcPr>
            <w:tcW w:w="109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一般户</w:t>
            </w:r>
          </w:p>
        </w:tc>
        <w:tc>
          <w:tcPr>
            <w:tcW w:w="89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法人章，财务章</w:t>
            </w:r>
          </w:p>
        </w:tc>
        <w:tc>
          <w:tcPr>
            <w:tcW w:w="80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是</w:t>
            </w:r>
          </w:p>
        </w:tc>
        <w:tc>
          <w:tcPr>
            <w:tcW w:w="878"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c>
          <w:tcPr>
            <w:tcW w:w="1471" w:type="dxa"/>
            <w:vAlign w:val="center"/>
          </w:tcPr>
          <w:p>
            <w:pPr>
              <w:jc w:val="right"/>
              <w:textAlignment w:val="center"/>
              <w:rPr>
                <w:rFonts w:hint="eastAsia"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val="en-US" w:eastAsia="zh-CN" w:bidi="ar"/>
              </w:rPr>
              <w:t xml:space="preserve">2,801.33 </w:t>
            </w:r>
          </w:p>
        </w:tc>
        <w:tc>
          <w:tcPr>
            <w:tcW w:w="99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3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8</w:t>
            </w:r>
          </w:p>
        </w:tc>
        <w:tc>
          <w:tcPr>
            <w:tcW w:w="1641" w:type="dxa"/>
            <w:vAlign w:val="center"/>
          </w:tcPr>
          <w:p>
            <w:pPr>
              <w:jc w:val="center"/>
              <w:textAlignment w:val="center"/>
              <w:rPr>
                <w:rFonts w:hint="eastAsia"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招商银行</w:t>
            </w:r>
          </w:p>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泸州分行</w:t>
            </w:r>
          </w:p>
        </w:tc>
        <w:tc>
          <w:tcPr>
            <w:tcW w:w="141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830900346010301</w:t>
            </w:r>
          </w:p>
        </w:tc>
        <w:tc>
          <w:tcPr>
            <w:tcW w:w="109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一般户</w:t>
            </w:r>
          </w:p>
        </w:tc>
        <w:tc>
          <w:tcPr>
            <w:tcW w:w="897"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法人章，财务章</w:t>
            </w:r>
          </w:p>
        </w:tc>
        <w:tc>
          <w:tcPr>
            <w:tcW w:w="809"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是</w:t>
            </w:r>
          </w:p>
        </w:tc>
        <w:tc>
          <w:tcPr>
            <w:tcW w:w="878"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c>
          <w:tcPr>
            <w:tcW w:w="1471" w:type="dxa"/>
            <w:vAlign w:val="center"/>
          </w:tcPr>
          <w:p>
            <w:pPr>
              <w:jc w:val="right"/>
              <w:textAlignment w:val="center"/>
              <w:rPr>
                <w:rFonts w:hint="eastAsia"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val="en-US" w:eastAsia="zh-CN" w:bidi="ar"/>
              </w:rPr>
              <w:t xml:space="preserve">715.43 </w:t>
            </w:r>
          </w:p>
        </w:tc>
        <w:tc>
          <w:tcPr>
            <w:tcW w:w="991" w:type="dxa"/>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31" w:type="dxa"/>
            <w:vAlign w:val="center"/>
          </w:tcPr>
          <w:p>
            <w:pPr>
              <w:jc w:val="center"/>
              <w:textAlignment w:val="center"/>
              <w:rPr>
                <w:rFonts w:hint="eastAsia" w:ascii="Arial" w:hAnsi="Arial" w:eastAsia="宋体" w:cs="Arial"/>
                <w:bCs/>
                <w:color w:val="000000"/>
                <w:kern w:val="2"/>
                <w:sz w:val="18"/>
                <w:szCs w:val="18"/>
                <w:highlight w:val="none"/>
                <w:lang w:val="en-US" w:eastAsia="zh-CN" w:bidi="ar"/>
              </w:rPr>
            </w:pPr>
            <w:r>
              <w:rPr>
                <w:rFonts w:hint="eastAsia" w:ascii="Arial" w:hAnsi="Arial" w:cs="Arial"/>
                <w:bCs/>
                <w:color w:val="000000"/>
                <w:kern w:val="2"/>
                <w:sz w:val="18"/>
                <w:szCs w:val="18"/>
                <w:highlight w:val="none"/>
                <w:lang w:val="en-US" w:eastAsia="zh-CN" w:bidi="ar"/>
              </w:rPr>
              <w:t>9</w:t>
            </w:r>
          </w:p>
        </w:tc>
        <w:tc>
          <w:tcPr>
            <w:tcW w:w="1641" w:type="dxa"/>
            <w:vAlign w:val="center"/>
          </w:tcPr>
          <w:p>
            <w:pPr>
              <w:widowControl/>
              <w:jc w:val="center"/>
              <w:textAlignment w:val="center"/>
              <w:rPr>
                <w:rFonts w:hint="eastAsia" w:ascii="Arial" w:hAnsi="Arial" w:cs="Arial"/>
                <w:color w:val="000000"/>
                <w:sz w:val="18"/>
                <w:szCs w:val="18"/>
                <w:highlight w:val="none"/>
                <w:lang w:bidi="ar"/>
              </w:rPr>
            </w:pPr>
            <w:r>
              <w:rPr>
                <w:rFonts w:hint="eastAsia" w:ascii="Arial" w:hAnsi="Arial" w:cs="Arial"/>
                <w:color w:val="000000"/>
                <w:sz w:val="18"/>
                <w:szCs w:val="18"/>
                <w:highlight w:val="none"/>
                <w:lang w:bidi="ar"/>
              </w:rPr>
              <w:t>成都银行</w:t>
            </w:r>
          </w:p>
          <w:p>
            <w:pPr>
              <w:widowControl/>
              <w:jc w:val="center"/>
              <w:textAlignment w:val="center"/>
              <w:rPr>
                <w:rFonts w:hint="eastAsia" w:ascii="Arial" w:hAnsi="Arial" w:cs="Arial"/>
                <w:bCs/>
                <w:color w:val="000000"/>
                <w:kern w:val="2"/>
                <w:sz w:val="18"/>
                <w:szCs w:val="18"/>
                <w:highlight w:val="none"/>
                <w:lang w:bidi="ar"/>
              </w:rPr>
            </w:pPr>
            <w:r>
              <w:rPr>
                <w:rFonts w:hint="eastAsia" w:ascii="Arial" w:hAnsi="Arial" w:cs="Arial"/>
                <w:color w:val="000000"/>
                <w:sz w:val="18"/>
                <w:szCs w:val="18"/>
                <w:highlight w:val="none"/>
                <w:lang w:bidi="ar"/>
              </w:rPr>
              <w:t>宜宾分行</w:t>
            </w:r>
          </w:p>
        </w:tc>
        <w:tc>
          <w:tcPr>
            <w:tcW w:w="1417" w:type="dxa"/>
            <w:vAlign w:val="center"/>
          </w:tcPr>
          <w:p>
            <w:pPr>
              <w:widowControl/>
              <w:jc w:val="center"/>
              <w:textAlignment w:val="center"/>
              <w:rPr>
                <w:rFonts w:hint="eastAsia" w:ascii="Arial" w:hAnsi="Arial" w:cs="Arial"/>
                <w:bCs/>
                <w:color w:val="000000"/>
                <w:kern w:val="2"/>
                <w:sz w:val="18"/>
                <w:szCs w:val="18"/>
                <w:highlight w:val="none"/>
                <w:lang w:bidi="ar"/>
              </w:rPr>
            </w:pPr>
            <w:r>
              <w:rPr>
                <w:rFonts w:hint="eastAsia" w:ascii="Arial" w:hAnsi="Arial" w:cs="Arial"/>
                <w:color w:val="000000"/>
                <w:sz w:val="18"/>
                <w:szCs w:val="18"/>
                <w:highlight w:val="none"/>
                <w:lang w:bidi="ar"/>
              </w:rPr>
              <w:t>1061300000865997</w:t>
            </w:r>
          </w:p>
        </w:tc>
        <w:tc>
          <w:tcPr>
            <w:tcW w:w="1099" w:type="dxa"/>
            <w:vAlign w:val="center"/>
          </w:tcPr>
          <w:p>
            <w:pPr>
              <w:widowControl/>
              <w:jc w:val="center"/>
              <w:textAlignment w:val="center"/>
              <w:rPr>
                <w:rFonts w:hint="eastAsia" w:ascii="Arial" w:hAnsi="Arial" w:cs="Arial"/>
                <w:bCs/>
                <w:color w:val="000000"/>
                <w:kern w:val="2"/>
                <w:sz w:val="18"/>
                <w:szCs w:val="18"/>
                <w:highlight w:val="none"/>
                <w:lang w:bidi="ar"/>
              </w:rPr>
            </w:pPr>
            <w:r>
              <w:rPr>
                <w:rFonts w:hint="eastAsia" w:ascii="Arial" w:hAnsi="Arial" w:cs="Arial"/>
                <w:color w:val="000000"/>
                <w:sz w:val="18"/>
                <w:szCs w:val="18"/>
                <w:highlight w:val="none"/>
                <w:lang w:bidi="ar"/>
              </w:rPr>
              <w:t>一般户</w:t>
            </w:r>
          </w:p>
        </w:tc>
        <w:tc>
          <w:tcPr>
            <w:tcW w:w="897" w:type="dxa"/>
            <w:vAlign w:val="center"/>
          </w:tcPr>
          <w:p>
            <w:pPr>
              <w:jc w:val="center"/>
              <w:textAlignment w:val="center"/>
              <w:rPr>
                <w:rFonts w:hint="eastAsia"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法人章，财务章</w:t>
            </w:r>
          </w:p>
        </w:tc>
        <w:tc>
          <w:tcPr>
            <w:tcW w:w="809" w:type="dxa"/>
            <w:vAlign w:val="center"/>
          </w:tcPr>
          <w:p>
            <w:pPr>
              <w:jc w:val="center"/>
              <w:textAlignment w:val="center"/>
              <w:rPr>
                <w:rFonts w:hint="eastAsia" w:ascii="Arial" w:hAnsi="Arial" w:eastAsia="宋体" w:cs="Arial"/>
                <w:bCs/>
                <w:color w:val="000000"/>
                <w:kern w:val="2"/>
                <w:sz w:val="18"/>
                <w:szCs w:val="18"/>
                <w:highlight w:val="none"/>
                <w:lang w:val="en-US" w:eastAsia="zh-CN" w:bidi="ar"/>
              </w:rPr>
            </w:pPr>
            <w:r>
              <w:rPr>
                <w:rFonts w:hint="eastAsia" w:ascii="Arial" w:hAnsi="Arial" w:cs="Arial"/>
                <w:bCs/>
                <w:color w:val="000000"/>
                <w:kern w:val="2"/>
                <w:sz w:val="18"/>
                <w:szCs w:val="18"/>
                <w:highlight w:val="none"/>
                <w:lang w:val="en-US" w:eastAsia="zh-CN" w:bidi="ar"/>
              </w:rPr>
              <w:t>否</w:t>
            </w:r>
          </w:p>
        </w:tc>
        <w:tc>
          <w:tcPr>
            <w:tcW w:w="878" w:type="dxa"/>
            <w:vAlign w:val="center"/>
          </w:tcPr>
          <w:p>
            <w:pPr>
              <w:jc w:val="center"/>
              <w:textAlignment w:val="center"/>
              <w:rPr>
                <w:rFonts w:hint="eastAsia" w:ascii="Arial" w:hAnsi="Arial" w:eastAsia="宋体" w:cs="Arial"/>
                <w:bCs/>
                <w:color w:val="000000"/>
                <w:kern w:val="2"/>
                <w:sz w:val="18"/>
                <w:szCs w:val="18"/>
                <w:highlight w:val="none"/>
                <w:lang w:val="en-US" w:eastAsia="zh-CN" w:bidi="ar"/>
              </w:rPr>
            </w:pPr>
            <w:r>
              <w:rPr>
                <w:rFonts w:hint="eastAsia" w:ascii="Arial" w:hAnsi="Arial" w:cs="Arial"/>
                <w:bCs/>
                <w:color w:val="000000"/>
                <w:kern w:val="2"/>
                <w:sz w:val="18"/>
                <w:szCs w:val="18"/>
                <w:highlight w:val="none"/>
                <w:lang w:val="en-US" w:eastAsia="zh-CN" w:bidi="ar"/>
              </w:rPr>
              <w:t>否</w:t>
            </w:r>
          </w:p>
        </w:tc>
        <w:tc>
          <w:tcPr>
            <w:tcW w:w="1471" w:type="dxa"/>
            <w:vAlign w:val="center"/>
          </w:tcPr>
          <w:p>
            <w:pPr>
              <w:jc w:val="right"/>
              <w:textAlignment w:val="center"/>
              <w:rPr>
                <w:rFonts w:hint="default" w:ascii="Arial" w:hAnsi="Arial" w:cs="Arial"/>
                <w:bCs/>
                <w:color w:val="000000"/>
                <w:kern w:val="2"/>
                <w:sz w:val="18"/>
                <w:szCs w:val="18"/>
                <w:highlight w:val="none"/>
                <w:lang w:val="en-US" w:eastAsia="zh-CN" w:bidi="ar"/>
              </w:rPr>
            </w:pPr>
            <w:r>
              <w:rPr>
                <w:rFonts w:hint="eastAsia" w:ascii="Arial" w:hAnsi="Arial" w:cs="Arial"/>
                <w:bCs/>
                <w:color w:val="000000"/>
                <w:kern w:val="2"/>
                <w:sz w:val="18"/>
                <w:szCs w:val="18"/>
                <w:highlight w:val="none"/>
                <w:lang w:val="en-US" w:eastAsia="zh-CN" w:bidi="ar"/>
              </w:rPr>
              <w:t>0.00</w:t>
            </w:r>
          </w:p>
        </w:tc>
        <w:tc>
          <w:tcPr>
            <w:tcW w:w="991" w:type="dxa"/>
            <w:vAlign w:val="center"/>
          </w:tcPr>
          <w:p>
            <w:pPr>
              <w:jc w:val="center"/>
              <w:textAlignment w:val="center"/>
              <w:rPr>
                <w:rFonts w:hint="eastAsia" w:ascii="Arial" w:hAnsi="Arial" w:eastAsia="宋体" w:cs="Arial"/>
                <w:bCs/>
                <w:color w:val="000000"/>
                <w:kern w:val="2"/>
                <w:sz w:val="18"/>
                <w:szCs w:val="18"/>
                <w:highlight w:val="none"/>
                <w:lang w:val="en-US" w:eastAsia="zh-CN" w:bidi="ar"/>
              </w:rPr>
            </w:pPr>
            <w:r>
              <w:rPr>
                <w:rFonts w:hint="eastAsia" w:ascii="Arial" w:hAnsi="Arial" w:cs="Arial"/>
                <w:bCs/>
                <w:color w:val="000000"/>
                <w:kern w:val="2"/>
                <w:sz w:val="18"/>
                <w:szCs w:val="18"/>
                <w:highlight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31" w:type="dxa"/>
            <w:vAlign w:val="center"/>
          </w:tcPr>
          <w:p>
            <w:pPr>
              <w:jc w:val="center"/>
              <w:textAlignment w:val="center"/>
              <w:rPr>
                <w:rFonts w:hint="default" w:ascii="Arial" w:hAnsi="Arial" w:eastAsia="宋体" w:cs="Arial"/>
                <w:bCs/>
                <w:color w:val="000000"/>
                <w:kern w:val="2"/>
                <w:sz w:val="18"/>
                <w:szCs w:val="18"/>
                <w:highlight w:val="none"/>
                <w:lang w:val="en-US" w:eastAsia="zh-CN" w:bidi="ar"/>
              </w:rPr>
            </w:pPr>
            <w:r>
              <w:rPr>
                <w:rFonts w:hint="eastAsia" w:ascii="Arial" w:hAnsi="Arial" w:cs="Arial"/>
                <w:bCs/>
                <w:color w:val="000000"/>
                <w:kern w:val="2"/>
                <w:sz w:val="18"/>
                <w:szCs w:val="18"/>
                <w:highlight w:val="none"/>
                <w:lang w:val="en-US" w:eastAsia="zh-CN" w:bidi="ar"/>
              </w:rPr>
              <w:t>10</w:t>
            </w:r>
          </w:p>
        </w:tc>
        <w:tc>
          <w:tcPr>
            <w:tcW w:w="6741" w:type="dxa"/>
            <w:gridSpan w:val="6"/>
            <w:vAlign w:val="center"/>
          </w:tcPr>
          <w:p>
            <w:pPr>
              <w:jc w:val="center"/>
              <w:textAlignment w:val="center"/>
              <w:rPr>
                <w:rFonts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bidi="ar"/>
              </w:rPr>
              <w:t>合计</w:t>
            </w:r>
          </w:p>
        </w:tc>
        <w:tc>
          <w:tcPr>
            <w:tcW w:w="1471" w:type="dxa"/>
            <w:vAlign w:val="center"/>
          </w:tcPr>
          <w:p>
            <w:pPr>
              <w:jc w:val="right"/>
              <w:textAlignment w:val="center"/>
              <w:rPr>
                <w:rFonts w:hint="eastAsia" w:ascii="Arial" w:hAnsi="Arial" w:cs="Arial"/>
                <w:bCs/>
                <w:color w:val="000000"/>
                <w:kern w:val="2"/>
                <w:sz w:val="18"/>
                <w:szCs w:val="18"/>
                <w:highlight w:val="none"/>
                <w:lang w:bidi="ar"/>
              </w:rPr>
            </w:pPr>
            <w:r>
              <w:rPr>
                <w:rFonts w:hint="eastAsia" w:ascii="Arial" w:hAnsi="Arial" w:cs="Arial"/>
                <w:bCs/>
                <w:color w:val="000000"/>
                <w:kern w:val="2"/>
                <w:sz w:val="18"/>
                <w:szCs w:val="18"/>
                <w:highlight w:val="none"/>
                <w:lang w:val="en-US" w:eastAsia="zh-CN" w:bidi="ar"/>
              </w:rPr>
              <w:t xml:space="preserve">108,634,515.84 </w:t>
            </w:r>
          </w:p>
        </w:tc>
        <w:tc>
          <w:tcPr>
            <w:tcW w:w="991" w:type="dxa"/>
          </w:tcPr>
          <w:p>
            <w:pPr>
              <w:jc w:val="center"/>
              <w:textAlignment w:val="center"/>
              <w:rPr>
                <w:rFonts w:ascii="Arial" w:hAnsi="Arial" w:cs="Arial"/>
                <w:bCs/>
                <w:color w:val="000000"/>
                <w:kern w:val="2"/>
                <w:sz w:val="18"/>
                <w:szCs w:val="18"/>
                <w:highlight w:val="none"/>
                <w:lang w:bidi="ar"/>
              </w:rPr>
            </w:pPr>
          </w:p>
        </w:tc>
      </w:tr>
    </w:tbl>
    <w:p>
      <w:pPr>
        <w:widowControl w:val="0"/>
        <w:spacing w:line="480" w:lineRule="auto"/>
        <w:ind w:firstLine="360" w:firstLineChars="200"/>
        <w:jc w:val="both"/>
        <w:rPr>
          <w:rFonts w:ascii="Arial" w:hAnsi="Arial" w:cs="Arial"/>
          <w:kern w:val="44"/>
          <w:sz w:val="21"/>
          <w:szCs w:val="21"/>
        </w:rPr>
      </w:pPr>
      <w:r>
        <w:rPr>
          <w:rFonts w:hint="eastAsia" w:ascii="Arial" w:hAnsi="Arial" w:cs="Arial"/>
          <w:color w:val="000000"/>
          <w:sz w:val="18"/>
          <w:szCs w:val="18"/>
          <w:lang w:bidi="ar"/>
        </w:rPr>
        <w:t>（1）宜宾骏继洪骥置业有限责任公司成都银行宜宾分行未开通网银，无余额截图</w:t>
      </w:r>
      <w:r>
        <w:rPr>
          <w:rFonts w:hint="eastAsia" w:ascii="Arial" w:hAnsi="Arial" w:cs="Arial"/>
          <w:kern w:val="44"/>
          <w:sz w:val="21"/>
          <w:szCs w:val="21"/>
        </w:rPr>
        <w:t>。</w:t>
      </w:r>
    </w:p>
    <w:p>
      <w:pPr>
        <w:pStyle w:val="3"/>
        <w:keepNext w:val="0"/>
        <w:keepLines w:val="0"/>
        <w:spacing w:before="300" w:after="300" w:line="360" w:lineRule="exact"/>
        <w:jc w:val="left"/>
        <w:rPr>
          <w:rFonts w:ascii="Arial" w:hAnsi="Arial" w:eastAsia="宋体" w:cs="Arial"/>
          <w:bCs/>
          <w:color w:val="000000"/>
          <w:sz w:val="24"/>
          <w:szCs w:val="24"/>
          <w:highlight w:val="none"/>
        </w:rPr>
      </w:pPr>
      <w:bookmarkStart w:id="43" w:name="_Toc13388"/>
      <w:bookmarkStart w:id="44" w:name="_Toc66115202"/>
      <w:bookmarkStart w:id="45" w:name="_Toc29261"/>
      <w:r>
        <w:rPr>
          <w:rFonts w:hint="eastAsia" w:ascii="Arial" w:hAnsi="Arial" w:eastAsia="宋体" w:cs="Arial"/>
          <w:bCs/>
          <w:color w:val="000000"/>
          <w:sz w:val="24"/>
          <w:szCs w:val="24"/>
          <w:highlight w:val="none"/>
        </w:rPr>
        <w:t>八、资金收支情况</w:t>
      </w:r>
      <w:bookmarkEnd w:id="43"/>
      <w:bookmarkEnd w:id="44"/>
      <w:bookmarkEnd w:id="45"/>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1.资金收入</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本月SPV公司资金收入14</w:t>
      </w:r>
      <w:r>
        <w:rPr>
          <w:rFonts w:hint="eastAsia" w:ascii="Arial" w:hAnsi="Arial" w:cs="Arial"/>
          <w:kern w:val="44"/>
          <w:sz w:val="21"/>
          <w:szCs w:val="21"/>
          <w:lang w:val="en-US" w:eastAsia="zh-CN"/>
        </w:rPr>
        <w:t>,</w:t>
      </w:r>
      <w:r>
        <w:rPr>
          <w:rFonts w:hint="eastAsia" w:ascii="Arial" w:hAnsi="Arial" w:cs="Arial"/>
          <w:kern w:val="44"/>
          <w:sz w:val="21"/>
          <w:szCs w:val="21"/>
        </w:rPr>
        <w:t>790</w:t>
      </w:r>
      <w:r>
        <w:rPr>
          <w:rFonts w:hint="eastAsia" w:ascii="Arial" w:hAnsi="Arial" w:cs="Arial"/>
          <w:kern w:val="44"/>
          <w:sz w:val="21"/>
          <w:szCs w:val="21"/>
          <w:lang w:val="en-US" w:eastAsia="zh-CN"/>
        </w:rPr>
        <w:t>,</w:t>
      </w:r>
      <w:r>
        <w:rPr>
          <w:rFonts w:hint="eastAsia" w:ascii="Arial" w:hAnsi="Arial" w:cs="Arial"/>
          <w:kern w:val="44"/>
          <w:sz w:val="21"/>
          <w:szCs w:val="21"/>
        </w:rPr>
        <w:t>000</w:t>
      </w:r>
      <w:r>
        <w:rPr>
          <w:rFonts w:hint="eastAsia" w:ascii="Arial" w:hAnsi="Arial" w:cs="Arial"/>
          <w:kern w:val="44"/>
          <w:sz w:val="21"/>
          <w:szCs w:val="21"/>
          <w:lang w:val="en-US" w:eastAsia="zh-CN"/>
        </w:rPr>
        <w:t>.00</w:t>
      </w:r>
      <w:r>
        <w:rPr>
          <w:rFonts w:hint="eastAsia" w:ascii="Arial" w:hAnsi="Arial" w:cs="Arial"/>
          <w:kern w:val="44"/>
          <w:sz w:val="21"/>
          <w:szCs w:val="21"/>
        </w:rPr>
        <w:t xml:space="preserve"> 元，明细如下：</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本月项目公司资金收入54</w:t>
      </w:r>
      <w:r>
        <w:rPr>
          <w:rFonts w:hint="eastAsia" w:ascii="Arial" w:hAnsi="Arial" w:cs="Arial"/>
          <w:kern w:val="44"/>
          <w:sz w:val="21"/>
          <w:szCs w:val="21"/>
          <w:lang w:val="en-US" w:eastAsia="zh-CN"/>
        </w:rPr>
        <w:t>,</w:t>
      </w:r>
      <w:r>
        <w:rPr>
          <w:rFonts w:hint="eastAsia" w:ascii="Arial" w:hAnsi="Arial" w:cs="Arial"/>
          <w:kern w:val="44"/>
          <w:sz w:val="21"/>
          <w:szCs w:val="21"/>
        </w:rPr>
        <w:t>654</w:t>
      </w:r>
      <w:r>
        <w:rPr>
          <w:rFonts w:hint="eastAsia" w:ascii="Arial" w:hAnsi="Arial" w:cs="Arial"/>
          <w:kern w:val="44"/>
          <w:sz w:val="21"/>
          <w:szCs w:val="21"/>
          <w:lang w:val="en-US" w:eastAsia="zh-CN"/>
        </w:rPr>
        <w:t>,</w:t>
      </w:r>
      <w:r>
        <w:rPr>
          <w:rFonts w:hint="eastAsia" w:ascii="Arial" w:hAnsi="Arial" w:cs="Arial"/>
          <w:kern w:val="44"/>
          <w:sz w:val="21"/>
          <w:szCs w:val="21"/>
        </w:rPr>
        <w:t>997</w:t>
      </w:r>
      <w:r>
        <w:rPr>
          <w:rFonts w:hint="eastAsia" w:ascii="Arial" w:hAnsi="Arial" w:cs="Arial"/>
          <w:kern w:val="44"/>
          <w:sz w:val="21"/>
          <w:szCs w:val="21"/>
          <w:lang w:val="en-US" w:eastAsia="zh-CN"/>
        </w:rPr>
        <w:t>.00</w:t>
      </w:r>
      <w:r>
        <w:rPr>
          <w:rFonts w:hint="eastAsia" w:ascii="Arial" w:hAnsi="Arial" w:cs="Arial"/>
          <w:kern w:val="44"/>
          <w:sz w:val="21"/>
          <w:szCs w:val="21"/>
        </w:rPr>
        <w:t>元，明细如下：</w:t>
      </w:r>
    </w:p>
    <w:p>
      <w:pPr>
        <w:spacing w:line="360" w:lineRule="auto"/>
        <w:jc w:val="center"/>
        <w:rPr>
          <w:rFonts w:ascii="Arial" w:hAnsi="Arial" w:cs="Arial"/>
          <w:b/>
          <w:sz w:val="21"/>
          <w:szCs w:val="21"/>
        </w:rPr>
      </w:pPr>
      <w:bookmarkStart w:id="46" w:name="_Toc5988"/>
      <w:r>
        <w:rPr>
          <w:rFonts w:ascii="Arial" w:hAnsi="Arial" w:cs="Arial"/>
          <w:b/>
          <w:sz w:val="21"/>
          <w:szCs w:val="21"/>
        </w:rPr>
        <w:t>表</w:t>
      </w:r>
      <w:r>
        <w:rPr>
          <w:rFonts w:hint="eastAsia" w:ascii="Arial" w:hAnsi="Arial" w:cs="Arial"/>
          <w:b/>
          <w:sz w:val="21"/>
          <w:szCs w:val="21"/>
        </w:rPr>
        <w:t>八</w:t>
      </w:r>
      <w:r>
        <w:rPr>
          <w:rFonts w:ascii="Arial" w:hAnsi="Arial" w:cs="Arial"/>
          <w:b/>
          <w:sz w:val="21"/>
          <w:szCs w:val="21"/>
        </w:rPr>
        <w:t>：</w:t>
      </w:r>
      <w:r>
        <w:rPr>
          <w:rFonts w:hint="eastAsia" w:ascii="Arial" w:hAnsi="Arial" w:cs="Arial"/>
          <w:b/>
          <w:sz w:val="21"/>
          <w:szCs w:val="21"/>
        </w:rPr>
        <w:t>SPV公司资金</w:t>
      </w:r>
      <w:r>
        <w:rPr>
          <w:rFonts w:ascii="Arial" w:hAnsi="Arial" w:cs="Arial"/>
          <w:b/>
          <w:sz w:val="21"/>
          <w:szCs w:val="21"/>
        </w:rPr>
        <w:t>收入情况</w:t>
      </w:r>
      <w:bookmarkEnd w:id="46"/>
    </w:p>
    <w:tbl>
      <w:tblPr>
        <w:tblStyle w:val="18"/>
        <w:tblW w:w="9931" w:type="dxa"/>
        <w:jc w:val="center"/>
        <w:tblLayout w:type="fixed"/>
        <w:tblCellMar>
          <w:top w:w="0" w:type="dxa"/>
          <w:left w:w="0" w:type="dxa"/>
          <w:bottom w:w="0" w:type="dxa"/>
          <w:right w:w="0" w:type="dxa"/>
        </w:tblCellMar>
      </w:tblPr>
      <w:tblGrid>
        <w:gridCol w:w="585"/>
        <w:gridCol w:w="1110"/>
        <w:gridCol w:w="2285"/>
        <w:gridCol w:w="1732"/>
        <w:gridCol w:w="1633"/>
        <w:gridCol w:w="2586"/>
      </w:tblGrid>
      <w:tr>
        <w:tblPrEx>
          <w:tblCellMar>
            <w:top w:w="0" w:type="dxa"/>
            <w:left w:w="0" w:type="dxa"/>
            <w:bottom w:w="0" w:type="dxa"/>
            <w:right w:w="0" w:type="dxa"/>
          </w:tblCellMar>
        </w:tblPrEx>
        <w:trPr>
          <w:trHeight w:val="403" w:hRule="atLeast"/>
          <w:tblHeader/>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cs="Arial"/>
                <w:bCs/>
                <w:color w:val="000000"/>
                <w:kern w:val="2"/>
                <w:sz w:val="18"/>
                <w:szCs w:val="18"/>
                <w:lang w:val="en-US" w:eastAsia="zh-CN" w:bidi="ar"/>
              </w:rPr>
            </w:pPr>
            <w:r>
              <w:rPr>
                <w:rFonts w:hint="default" w:ascii="Arial" w:hAnsi="Arial" w:cs="Arial"/>
                <w:bCs/>
                <w:color w:val="000000"/>
                <w:kern w:val="2"/>
                <w:sz w:val="18"/>
                <w:szCs w:val="18"/>
                <w:lang w:val="en-US" w:eastAsia="zh-CN" w:bidi="ar"/>
              </w:rPr>
              <w:t>2021-5-12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Arial" w:hAnsi="Arial" w:cs="Arial"/>
                <w:bCs/>
                <w:color w:val="000000"/>
                <w:kern w:val="2"/>
                <w:sz w:val="18"/>
                <w:szCs w:val="18"/>
                <w:lang w:val="en-US" w:eastAsia="zh-CN" w:bidi="ar"/>
              </w:rPr>
            </w:pPr>
            <w:r>
              <w:rPr>
                <w:rFonts w:hint="default" w:ascii="Arial" w:hAnsi="Arial" w:cs="Arial"/>
                <w:bCs/>
                <w:color w:val="000000"/>
                <w:kern w:val="2"/>
                <w:sz w:val="18"/>
                <w:szCs w:val="18"/>
                <w:lang w:val="en-US" w:eastAsia="zh-CN" w:bidi="ar"/>
              </w:rPr>
              <w:t>宜宾骏继洪骥</w:t>
            </w:r>
          </w:p>
          <w:p>
            <w:pPr>
              <w:jc w:val="center"/>
              <w:textAlignment w:val="center"/>
              <w:rPr>
                <w:rFonts w:hint="eastAsia" w:ascii="Arial" w:hAnsi="Arial" w:cs="Arial"/>
                <w:bCs/>
                <w:color w:val="000000"/>
                <w:kern w:val="2"/>
                <w:sz w:val="18"/>
                <w:szCs w:val="18"/>
                <w:lang w:val="en-US" w:eastAsia="zh-CN" w:bidi="ar"/>
              </w:rPr>
            </w:pPr>
            <w:r>
              <w:rPr>
                <w:rFonts w:hint="default" w:ascii="Arial" w:hAnsi="Arial" w:cs="Arial"/>
                <w:bCs/>
                <w:color w:val="000000"/>
                <w:kern w:val="2"/>
                <w:sz w:val="18"/>
                <w:szCs w:val="18"/>
                <w:lang w:val="en-US" w:eastAsia="zh-CN" w:bidi="ar"/>
              </w:rPr>
              <w:t>置业有限责任公司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划款</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default" w:ascii="Arial" w:hAnsi="Arial" w:cs="Arial"/>
                <w:bCs/>
                <w:color w:val="000000"/>
                <w:kern w:val="2"/>
                <w:sz w:val="18"/>
                <w:szCs w:val="18"/>
                <w:lang w:val="en-US" w:eastAsia="zh-CN" w:bidi="ar"/>
              </w:rPr>
            </w:pPr>
            <w:r>
              <w:rPr>
                <w:rFonts w:hint="default" w:ascii="Arial" w:hAnsi="Arial" w:cs="Arial"/>
                <w:bCs/>
                <w:color w:val="000000"/>
                <w:kern w:val="2"/>
                <w:sz w:val="18"/>
                <w:szCs w:val="18"/>
                <w:lang w:val="en-US" w:eastAsia="zh-CN" w:bidi="ar"/>
              </w:rPr>
              <w:t xml:space="preserve">14,790,000.00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成都信茂涵中国银行基本户130711887990</w:t>
            </w:r>
          </w:p>
        </w:tc>
      </w:tr>
      <w:tr>
        <w:tblPrEx>
          <w:tblCellMar>
            <w:top w:w="0" w:type="dxa"/>
            <w:left w:w="0" w:type="dxa"/>
            <w:bottom w:w="0" w:type="dxa"/>
            <w:right w:w="0" w:type="dxa"/>
          </w:tblCellMar>
        </w:tblPrEx>
        <w:trPr>
          <w:trHeight w:val="417" w:hRule="atLeast"/>
          <w:jc w:val="center"/>
        </w:trPr>
        <w:tc>
          <w:tcPr>
            <w:tcW w:w="571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合计</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14,790,000.00</w:t>
            </w:r>
            <w:r>
              <w:rPr>
                <w:rFonts w:hint="eastAsia" w:ascii="Arial" w:hAnsi="Arial" w:cs="Arial"/>
                <w:kern w:val="44"/>
                <w:sz w:val="21"/>
                <w:szCs w:val="21"/>
              </w:rPr>
              <w:t xml:space="preserve">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r>
    </w:tbl>
    <w:p>
      <w:pPr>
        <w:spacing w:line="360" w:lineRule="auto"/>
        <w:jc w:val="both"/>
        <w:rPr>
          <w:rFonts w:ascii="Arial" w:hAnsi="Arial" w:cs="Arial"/>
          <w:b/>
          <w:sz w:val="21"/>
          <w:szCs w:val="21"/>
        </w:rPr>
      </w:pPr>
      <w:bookmarkStart w:id="47" w:name="_Toc17083"/>
    </w:p>
    <w:p>
      <w:pPr>
        <w:spacing w:line="360" w:lineRule="auto"/>
        <w:jc w:val="center"/>
        <w:rPr>
          <w:rFonts w:ascii="Arial" w:hAnsi="Arial" w:cs="Arial"/>
          <w:b/>
          <w:sz w:val="21"/>
          <w:szCs w:val="21"/>
        </w:rPr>
      </w:pPr>
      <w:r>
        <w:rPr>
          <w:rFonts w:ascii="Arial" w:hAnsi="Arial" w:cs="Arial"/>
          <w:b/>
          <w:sz w:val="21"/>
          <w:szCs w:val="21"/>
        </w:rPr>
        <w:t>表</w:t>
      </w:r>
      <w:r>
        <w:rPr>
          <w:rFonts w:hint="eastAsia" w:ascii="Arial" w:hAnsi="Arial" w:cs="Arial"/>
          <w:b/>
          <w:sz w:val="21"/>
          <w:szCs w:val="21"/>
        </w:rPr>
        <w:t>八</w:t>
      </w:r>
      <w:r>
        <w:rPr>
          <w:rFonts w:ascii="Arial" w:hAnsi="Arial" w:cs="Arial"/>
          <w:b/>
          <w:sz w:val="21"/>
          <w:szCs w:val="21"/>
        </w:rPr>
        <w:t>：</w:t>
      </w:r>
      <w:r>
        <w:rPr>
          <w:rFonts w:hint="eastAsia" w:ascii="Arial" w:hAnsi="Arial" w:cs="Arial"/>
          <w:b/>
          <w:sz w:val="21"/>
          <w:szCs w:val="21"/>
        </w:rPr>
        <w:t>项目公司资金</w:t>
      </w:r>
      <w:r>
        <w:rPr>
          <w:rFonts w:ascii="Arial" w:hAnsi="Arial" w:cs="Arial"/>
          <w:b/>
          <w:sz w:val="21"/>
          <w:szCs w:val="21"/>
        </w:rPr>
        <w:t>收入情况</w:t>
      </w:r>
      <w:bookmarkEnd w:id="47"/>
    </w:p>
    <w:tbl>
      <w:tblPr>
        <w:tblStyle w:val="18"/>
        <w:tblW w:w="9931" w:type="dxa"/>
        <w:jc w:val="center"/>
        <w:tblLayout w:type="fixed"/>
        <w:tblCellMar>
          <w:top w:w="0" w:type="dxa"/>
          <w:left w:w="0" w:type="dxa"/>
          <w:bottom w:w="0" w:type="dxa"/>
          <w:right w:w="0" w:type="dxa"/>
        </w:tblCellMar>
      </w:tblPr>
      <w:tblGrid>
        <w:gridCol w:w="585"/>
        <w:gridCol w:w="1110"/>
        <w:gridCol w:w="2285"/>
        <w:gridCol w:w="1732"/>
        <w:gridCol w:w="1633"/>
        <w:gridCol w:w="2586"/>
      </w:tblGrid>
      <w:tr>
        <w:tblPrEx>
          <w:tblCellMar>
            <w:top w:w="0" w:type="dxa"/>
            <w:left w:w="0" w:type="dxa"/>
            <w:bottom w:w="0" w:type="dxa"/>
            <w:right w:w="0" w:type="dxa"/>
          </w:tblCellMar>
        </w:tblPrEx>
        <w:trPr>
          <w:trHeight w:val="403" w:hRule="atLeast"/>
          <w:tblHeader/>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75" name="TextBox_66"/>
                  <wp:cNvGraphicFramePr/>
                  <a:graphic xmlns:a="http://schemas.openxmlformats.org/drawingml/2006/main">
                    <a:graphicData uri="http://schemas.openxmlformats.org/drawingml/2006/picture">
                      <pic:pic xmlns:pic="http://schemas.openxmlformats.org/drawingml/2006/picture">
                        <pic:nvPicPr>
                          <pic:cNvPr id="75" name="TextBox_66"/>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76" name="TextBox_66_SpCnt_1"/>
                  <wp:cNvGraphicFramePr/>
                  <a:graphic xmlns:a="http://schemas.openxmlformats.org/drawingml/2006/main">
                    <a:graphicData uri="http://schemas.openxmlformats.org/drawingml/2006/picture">
                      <pic:pic xmlns:pic="http://schemas.openxmlformats.org/drawingml/2006/picture">
                        <pic:nvPicPr>
                          <pic:cNvPr id="76" name="TextBox_66_SpCnt_1"/>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77" name="TextBox_66_SpCnt_2"/>
                  <wp:cNvGraphicFramePr/>
                  <a:graphic xmlns:a="http://schemas.openxmlformats.org/drawingml/2006/main">
                    <a:graphicData uri="http://schemas.openxmlformats.org/drawingml/2006/picture">
                      <pic:pic xmlns:pic="http://schemas.openxmlformats.org/drawingml/2006/picture">
                        <pic:nvPicPr>
                          <pic:cNvPr id="77" name="TextBox_66_SpCnt_2"/>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78" name="TextBox_66_SpCnt_3"/>
                  <wp:cNvGraphicFramePr/>
                  <a:graphic xmlns:a="http://schemas.openxmlformats.org/drawingml/2006/main">
                    <a:graphicData uri="http://schemas.openxmlformats.org/drawingml/2006/picture">
                      <pic:pic xmlns:pic="http://schemas.openxmlformats.org/drawingml/2006/picture">
                        <pic:nvPicPr>
                          <pic:cNvPr id="78" name="TextBox_66_SpCnt_3"/>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79" name="TextBox_66_SpCnt_4"/>
                  <wp:cNvGraphicFramePr/>
                  <a:graphic xmlns:a="http://schemas.openxmlformats.org/drawingml/2006/main">
                    <a:graphicData uri="http://schemas.openxmlformats.org/drawingml/2006/picture">
                      <pic:pic xmlns:pic="http://schemas.openxmlformats.org/drawingml/2006/picture">
                        <pic:nvPicPr>
                          <pic:cNvPr id="79" name="TextBox_66_SpCnt_4"/>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0" name="TextBox_66_SpCnt_5"/>
                  <wp:cNvGraphicFramePr/>
                  <a:graphic xmlns:a="http://schemas.openxmlformats.org/drawingml/2006/main">
                    <a:graphicData uri="http://schemas.openxmlformats.org/drawingml/2006/picture">
                      <pic:pic xmlns:pic="http://schemas.openxmlformats.org/drawingml/2006/picture">
                        <pic:nvPicPr>
                          <pic:cNvPr id="80" name="TextBox_66_SpCnt_5"/>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1" name="TextBox_66_SpCnt_6"/>
                  <wp:cNvGraphicFramePr/>
                  <a:graphic xmlns:a="http://schemas.openxmlformats.org/drawingml/2006/main">
                    <a:graphicData uri="http://schemas.openxmlformats.org/drawingml/2006/picture">
                      <pic:pic xmlns:pic="http://schemas.openxmlformats.org/drawingml/2006/picture">
                        <pic:nvPicPr>
                          <pic:cNvPr id="81" name="TextBox_66_SpCnt_6"/>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2" name="TextBox_66_SpCnt_7"/>
                  <wp:cNvGraphicFramePr/>
                  <a:graphic xmlns:a="http://schemas.openxmlformats.org/drawingml/2006/main">
                    <a:graphicData uri="http://schemas.openxmlformats.org/drawingml/2006/picture">
                      <pic:pic xmlns:pic="http://schemas.openxmlformats.org/drawingml/2006/picture">
                        <pic:nvPicPr>
                          <pic:cNvPr id="82" name="TextBox_66_SpCnt_7"/>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3" name="TextBox_66_SpCnt_8"/>
                  <wp:cNvGraphicFramePr/>
                  <a:graphic xmlns:a="http://schemas.openxmlformats.org/drawingml/2006/main">
                    <a:graphicData uri="http://schemas.openxmlformats.org/drawingml/2006/picture">
                      <pic:pic xmlns:pic="http://schemas.openxmlformats.org/drawingml/2006/picture">
                        <pic:nvPicPr>
                          <pic:cNvPr id="83" name="TextBox_66_SpCnt_8"/>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4" name="TextBox_66_SpCnt_9"/>
                  <wp:cNvGraphicFramePr/>
                  <a:graphic xmlns:a="http://schemas.openxmlformats.org/drawingml/2006/main">
                    <a:graphicData uri="http://schemas.openxmlformats.org/drawingml/2006/picture">
                      <pic:pic xmlns:pic="http://schemas.openxmlformats.org/drawingml/2006/picture">
                        <pic:nvPicPr>
                          <pic:cNvPr id="84" name="TextBox_66_SpCnt_9"/>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5" name="TextBox_66_SpCnt_10"/>
                  <wp:cNvGraphicFramePr/>
                  <a:graphic xmlns:a="http://schemas.openxmlformats.org/drawingml/2006/main">
                    <a:graphicData uri="http://schemas.openxmlformats.org/drawingml/2006/picture">
                      <pic:pic xmlns:pic="http://schemas.openxmlformats.org/drawingml/2006/picture">
                        <pic:nvPicPr>
                          <pic:cNvPr id="85" name="TextBox_66_SpCnt_10"/>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6" name="TextBox_66_SpCnt_11"/>
                  <wp:cNvGraphicFramePr/>
                  <a:graphic xmlns:a="http://schemas.openxmlformats.org/drawingml/2006/main">
                    <a:graphicData uri="http://schemas.openxmlformats.org/drawingml/2006/picture">
                      <pic:pic xmlns:pic="http://schemas.openxmlformats.org/drawingml/2006/picture">
                        <pic:nvPicPr>
                          <pic:cNvPr id="86" name="TextBox_66_SpCnt_11"/>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7" name="TextBox_66_SpCnt_12"/>
                  <wp:cNvGraphicFramePr/>
                  <a:graphic xmlns:a="http://schemas.openxmlformats.org/drawingml/2006/main">
                    <a:graphicData uri="http://schemas.openxmlformats.org/drawingml/2006/picture">
                      <pic:pic xmlns:pic="http://schemas.openxmlformats.org/drawingml/2006/picture">
                        <pic:nvPicPr>
                          <pic:cNvPr id="87" name="TextBox_66_SpCnt_12"/>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8" name="TextBox_66_SpCnt_13"/>
                  <wp:cNvGraphicFramePr/>
                  <a:graphic xmlns:a="http://schemas.openxmlformats.org/drawingml/2006/main">
                    <a:graphicData uri="http://schemas.openxmlformats.org/drawingml/2006/picture">
                      <pic:pic xmlns:pic="http://schemas.openxmlformats.org/drawingml/2006/picture">
                        <pic:nvPicPr>
                          <pic:cNvPr id="88" name="TextBox_66_SpCnt_13"/>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89" name="TextBox_66_SpCnt_14"/>
                  <wp:cNvGraphicFramePr/>
                  <a:graphic xmlns:a="http://schemas.openxmlformats.org/drawingml/2006/main">
                    <a:graphicData uri="http://schemas.openxmlformats.org/drawingml/2006/picture">
                      <pic:pic xmlns:pic="http://schemas.openxmlformats.org/drawingml/2006/picture">
                        <pic:nvPicPr>
                          <pic:cNvPr id="89" name="TextBox_66_SpCnt_14"/>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0" name="TextBox_66_SpCnt_15"/>
                  <wp:cNvGraphicFramePr/>
                  <a:graphic xmlns:a="http://schemas.openxmlformats.org/drawingml/2006/main">
                    <a:graphicData uri="http://schemas.openxmlformats.org/drawingml/2006/picture">
                      <pic:pic xmlns:pic="http://schemas.openxmlformats.org/drawingml/2006/picture">
                        <pic:nvPicPr>
                          <pic:cNvPr id="90" name="TextBox_66_SpCnt_15"/>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1" name="TextBox_66_SpCnt_16"/>
                  <wp:cNvGraphicFramePr/>
                  <a:graphic xmlns:a="http://schemas.openxmlformats.org/drawingml/2006/main">
                    <a:graphicData uri="http://schemas.openxmlformats.org/drawingml/2006/picture">
                      <pic:pic xmlns:pic="http://schemas.openxmlformats.org/drawingml/2006/picture">
                        <pic:nvPicPr>
                          <pic:cNvPr id="91" name="TextBox_66_SpCnt_16"/>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2" name="TextBox_66_SpCnt_17"/>
                  <wp:cNvGraphicFramePr/>
                  <a:graphic xmlns:a="http://schemas.openxmlformats.org/drawingml/2006/main">
                    <a:graphicData uri="http://schemas.openxmlformats.org/drawingml/2006/picture">
                      <pic:pic xmlns:pic="http://schemas.openxmlformats.org/drawingml/2006/picture">
                        <pic:nvPicPr>
                          <pic:cNvPr id="92" name="TextBox_66_SpCnt_17"/>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3" name="TextBox_66_SpCnt_18"/>
                  <wp:cNvGraphicFramePr/>
                  <a:graphic xmlns:a="http://schemas.openxmlformats.org/drawingml/2006/main">
                    <a:graphicData uri="http://schemas.openxmlformats.org/drawingml/2006/picture">
                      <pic:pic xmlns:pic="http://schemas.openxmlformats.org/drawingml/2006/picture">
                        <pic:nvPicPr>
                          <pic:cNvPr id="93" name="TextBox_66_SpCnt_18"/>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4" name="TextBox_66_SpCnt_19"/>
                  <wp:cNvGraphicFramePr/>
                  <a:graphic xmlns:a="http://schemas.openxmlformats.org/drawingml/2006/main">
                    <a:graphicData uri="http://schemas.openxmlformats.org/drawingml/2006/picture">
                      <pic:pic xmlns:pic="http://schemas.openxmlformats.org/drawingml/2006/picture">
                        <pic:nvPicPr>
                          <pic:cNvPr id="94" name="TextBox_66_SpCnt_19"/>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5" name="TextBox_66_SpCnt_20"/>
                  <wp:cNvGraphicFramePr/>
                  <a:graphic xmlns:a="http://schemas.openxmlformats.org/drawingml/2006/main">
                    <a:graphicData uri="http://schemas.openxmlformats.org/drawingml/2006/picture">
                      <pic:pic xmlns:pic="http://schemas.openxmlformats.org/drawingml/2006/picture">
                        <pic:nvPicPr>
                          <pic:cNvPr id="95" name="TextBox_66_SpCnt_20"/>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6" name="TextBox_66_SpCnt_21"/>
                  <wp:cNvGraphicFramePr/>
                  <a:graphic xmlns:a="http://schemas.openxmlformats.org/drawingml/2006/main">
                    <a:graphicData uri="http://schemas.openxmlformats.org/drawingml/2006/picture">
                      <pic:pic xmlns:pic="http://schemas.openxmlformats.org/drawingml/2006/picture">
                        <pic:nvPicPr>
                          <pic:cNvPr id="96" name="TextBox_66_SpCnt_21"/>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7" name="TextBox_66_SpCnt_22"/>
                  <wp:cNvGraphicFramePr/>
                  <a:graphic xmlns:a="http://schemas.openxmlformats.org/drawingml/2006/main">
                    <a:graphicData uri="http://schemas.openxmlformats.org/drawingml/2006/picture">
                      <pic:pic xmlns:pic="http://schemas.openxmlformats.org/drawingml/2006/picture">
                        <pic:nvPicPr>
                          <pic:cNvPr id="97" name="TextBox_66_SpCnt_22"/>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8" name="TextBox_66_SpCnt_23"/>
                  <wp:cNvGraphicFramePr/>
                  <a:graphic xmlns:a="http://schemas.openxmlformats.org/drawingml/2006/main">
                    <a:graphicData uri="http://schemas.openxmlformats.org/drawingml/2006/picture">
                      <pic:pic xmlns:pic="http://schemas.openxmlformats.org/drawingml/2006/picture">
                        <pic:nvPicPr>
                          <pic:cNvPr id="98" name="TextBox_66_SpCnt_23"/>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99" name="TextBox_66_SpCnt_24"/>
                  <wp:cNvGraphicFramePr/>
                  <a:graphic xmlns:a="http://schemas.openxmlformats.org/drawingml/2006/main">
                    <a:graphicData uri="http://schemas.openxmlformats.org/drawingml/2006/picture">
                      <pic:pic xmlns:pic="http://schemas.openxmlformats.org/drawingml/2006/picture">
                        <pic:nvPicPr>
                          <pic:cNvPr id="99" name="TextBox_66_SpCnt_24"/>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0" name="TextBox_66_SpCnt_25"/>
                  <wp:cNvGraphicFramePr/>
                  <a:graphic xmlns:a="http://schemas.openxmlformats.org/drawingml/2006/main">
                    <a:graphicData uri="http://schemas.openxmlformats.org/drawingml/2006/picture">
                      <pic:pic xmlns:pic="http://schemas.openxmlformats.org/drawingml/2006/picture">
                        <pic:nvPicPr>
                          <pic:cNvPr id="100" name="TextBox_66_SpCnt_25"/>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1" name="TextBox_66_SpCnt_26"/>
                  <wp:cNvGraphicFramePr/>
                  <a:graphic xmlns:a="http://schemas.openxmlformats.org/drawingml/2006/main">
                    <a:graphicData uri="http://schemas.openxmlformats.org/drawingml/2006/picture">
                      <pic:pic xmlns:pic="http://schemas.openxmlformats.org/drawingml/2006/picture">
                        <pic:nvPicPr>
                          <pic:cNvPr id="101" name="TextBox_66_SpCnt_26"/>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2" name="TextBox_66_SpCnt_27"/>
                  <wp:cNvGraphicFramePr/>
                  <a:graphic xmlns:a="http://schemas.openxmlformats.org/drawingml/2006/main">
                    <a:graphicData uri="http://schemas.openxmlformats.org/drawingml/2006/picture">
                      <pic:pic xmlns:pic="http://schemas.openxmlformats.org/drawingml/2006/picture">
                        <pic:nvPicPr>
                          <pic:cNvPr id="102" name="TextBox_66_SpCnt_27"/>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3" name="TextBox_66_SpCnt_28"/>
                  <wp:cNvGraphicFramePr/>
                  <a:graphic xmlns:a="http://schemas.openxmlformats.org/drawingml/2006/main">
                    <a:graphicData uri="http://schemas.openxmlformats.org/drawingml/2006/picture">
                      <pic:pic xmlns:pic="http://schemas.openxmlformats.org/drawingml/2006/picture">
                        <pic:nvPicPr>
                          <pic:cNvPr id="103" name="TextBox_66_SpCnt_28"/>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04" name="TextBox_66_SpCnt_29"/>
                  <wp:cNvGraphicFramePr/>
                  <a:graphic xmlns:a="http://schemas.openxmlformats.org/drawingml/2006/main">
                    <a:graphicData uri="http://schemas.openxmlformats.org/drawingml/2006/picture">
                      <pic:pic xmlns:pic="http://schemas.openxmlformats.org/drawingml/2006/picture">
                        <pic:nvPicPr>
                          <pic:cNvPr id="104" name="TextBox_66_SpCnt_29"/>
                          <pic:cNvPicPr/>
                        </pic:nvPicPr>
                        <pic:blipFill>
                          <a:blip r:embed="rId11"/>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t>李宁洁</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510,000.00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1,922,101.00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630,000.00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640,000.00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340,000.00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1,079,340.00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530,909.00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王光英</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390,000.00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宜宾佳鑫建筑工程有限责任公司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4,000,000.00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宜宾佳鑫建筑工程有限责任公司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5,000,000.00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陈均</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454,000.00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宜宾佳鑫建筑工程有限责任公司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10,000,000.00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梁运香</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19,980.00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宜宾佳鑫建筑工程有限责任公司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10,000,000.00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222,219.00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785,960.00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401,180.00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王华</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陈佳能</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690,000.00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580,480.00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600,000.00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578,582.00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罗兴芳</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180,000.00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潘厚敏</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70,000.00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95,168.00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夏玉平</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其他应付过渡性款项-按揭贷款过渡账户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288,926.00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邓岳琴</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245,507.00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1,413,980.00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个人住房公积金委托贷款资金-宜宾市公积金委托贷款资金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1,200,000.00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180,000.00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99,960.00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个人住房公积金委托贷款放款资金待结算款项专户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宜宾骏继中国农业银行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22470201040022852</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390,000.00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319,952.00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530,056.00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王华</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杨宇</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周桂香</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严谋杰</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周桂香</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278,128.00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178,048.00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杨家霞</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2021-5-31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2,140,521.00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2021-5-31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其他应付过渡性款项-按揭贷款过渡账户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17" w:hRule="atLeast"/>
          <w:jc w:val="center"/>
        </w:trPr>
        <w:tc>
          <w:tcPr>
            <w:tcW w:w="571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合计</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default"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54,654,997.00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r>
    </w:tbl>
    <w:p>
      <w:pPr>
        <w:ind w:firstLine="420" w:firstLineChars="200"/>
        <w:rPr>
          <w:rFonts w:ascii="宋体" w:hAnsi="宋体" w:cs="宋体"/>
          <w:bCs/>
          <w:sz w:val="21"/>
          <w:szCs w:val="21"/>
        </w:rPr>
      </w:pPr>
    </w:p>
    <w:p>
      <w:pPr>
        <w:widowControl w:val="0"/>
        <w:spacing w:line="480" w:lineRule="auto"/>
        <w:ind w:firstLine="420" w:firstLineChars="200"/>
        <w:jc w:val="both"/>
        <w:rPr>
          <w:rFonts w:ascii="宋体" w:hAnsi="宋体" w:cs="宋体"/>
          <w:b/>
          <w:bCs/>
          <w:color w:val="000000"/>
          <w:sz w:val="21"/>
          <w:szCs w:val="21"/>
        </w:rPr>
      </w:pPr>
      <w:bookmarkStart w:id="48" w:name="_Hlk68015253"/>
      <w:r>
        <w:rPr>
          <w:rFonts w:hint="eastAsia" w:ascii="Arial" w:hAnsi="Arial" w:cs="Arial"/>
          <w:kern w:val="44"/>
          <w:sz w:val="21"/>
          <w:szCs w:val="21"/>
        </w:rPr>
        <w:t>2.资金支出</w:t>
      </w:r>
      <w:bookmarkEnd w:id="48"/>
    </w:p>
    <w:p>
      <w:pPr>
        <w:jc w:val="center"/>
        <w:rPr>
          <w:rFonts w:ascii="宋体" w:hAnsi="宋体" w:cs="宋体"/>
          <w:b/>
          <w:bCs/>
          <w:sz w:val="21"/>
          <w:szCs w:val="21"/>
        </w:rPr>
      </w:pPr>
      <w:bookmarkStart w:id="49" w:name="_Toc2066"/>
      <w:r>
        <w:rPr>
          <w:rFonts w:hint="eastAsia" w:ascii="宋体" w:hAnsi="宋体" w:cs="宋体"/>
          <w:b/>
          <w:bCs/>
          <w:color w:val="000000"/>
          <w:sz w:val="21"/>
          <w:szCs w:val="21"/>
        </w:rPr>
        <w:t>表九：</w:t>
      </w:r>
      <w:r>
        <w:rPr>
          <w:rFonts w:hint="eastAsia" w:ascii="宋体" w:hAnsi="宋体" w:cs="宋体"/>
          <w:b/>
          <w:bCs/>
          <w:color w:val="000000"/>
          <w:sz w:val="21"/>
          <w:szCs w:val="21"/>
          <w:lang w:val="en-US" w:eastAsia="zh-CN"/>
        </w:rPr>
        <w:t>SPV</w:t>
      </w:r>
      <w:r>
        <w:rPr>
          <w:rFonts w:hint="eastAsia" w:ascii="宋体" w:hAnsi="宋体" w:cs="宋体"/>
          <w:b/>
          <w:bCs/>
          <w:color w:val="000000"/>
          <w:sz w:val="21"/>
          <w:szCs w:val="21"/>
        </w:rPr>
        <w:t>公司</w:t>
      </w:r>
      <w:r>
        <w:rPr>
          <w:rFonts w:hint="eastAsia" w:ascii="宋体" w:hAnsi="宋体" w:cs="宋体"/>
          <w:b/>
          <w:bCs/>
          <w:sz w:val="21"/>
          <w:szCs w:val="21"/>
        </w:rPr>
        <w:t>资金支出情况</w:t>
      </w:r>
      <w:bookmarkEnd w:id="49"/>
    </w:p>
    <w:tbl>
      <w:tblPr>
        <w:tblStyle w:val="18"/>
        <w:tblW w:w="10054" w:type="dxa"/>
        <w:jc w:val="center"/>
        <w:tblLayout w:type="fixed"/>
        <w:tblCellMar>
          <w:top w:w="0" w:type="dxa"/>
          <w:left w:w="0" w:type="dxa"/>
          <w:bottom w:w="0" w:type="dxa"/>
          <w:right w:w="0" w:type="dxa"/>
        </w:tblCellMar>
      </w:tblPr>
      <w:tblGrid>
        <w:gridCol w:w="496"/>
        <w:gridCol w:w="968"/>
        <w:gridCol w:w="1272"/>
        <w:gridCol w:w="911"/>
        <w:gridCol w:w="1576"/>
        <w:gridCol w:w="2270"/>
        <w:gridCol w:w="983"/>
        <w:gridCol w:w="954"/>
        <w:gridCol w:w="624"/>
      </w:tblGrid>
      <w:tr>
        <w:tblPrEx>
          <w:tblCellMar>
            <w:top w:w="0" w:type="dxa"/>
            <w:left w:w="0" w:type="dxa"/>
            <w:bottom w:w="0" w:type="dxa"/>
            <w:right w:w="0" w:type="dxa"/>
          </w:tblCellMar>
        </w:tblPrEx>
        <w:trPr>
          <w:trHeight w:val="720" w:hRule="atLeast"/>
          <w:tblHeader/>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c>
          <w:tcPr>
            <w:tcW w:w="624" w:type="dxa"/>
            <w:tcBorders>
              <w:top w:val="single" w:color="000000" w:sz="4" w:space="0"/>
              <w:left w:val="single" w:color="000000" w:sz="4" w:space="0"/>
              <w:bottom w:val="single" w:color="000000" w:sz="4" w:space="0"/>
              <w:right w:val="single" w:color="000000" w:sz="4" w:space="0"/>
            </w:tcBorders>
          </w:tcPr>
          <w:p>
            <w:pPr>
              <w:jc w:val="center"/>
              <w:textAlignment w:val="center"/>
              <w:rPr>
                <w:rFonts w:ascii="Arial" w:hAnsi="Arial" w:cs="Arial"/>
                <w:b/>
                <w:color w:val="000000"/>
                <w:sz w:val="18"/>
                <w:szCs w:val="18"/>
              </w:rPr>
            </w:pPr>
            <w:r>
              <w:rPr>
                <w:rFonts w:hint="eastAsia" w:ascii="Arial" w:hAnsi="Arial" w:cs="Arial"/>
                <w:b/>
                <w:color w:val="000000"/>
                <w:sz w:val="18"/>
                <w:szCs w:val="18"/>
              </w:rPr>
              <w:t>备注</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国家金库成都市成华区支库（代理）</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实时缴税</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18,375.00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常州世茂房地产有限公司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大额支付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4,437,000.00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88.74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364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default" w:ascii="Arial" w:hAnsi="Arial" w:cs="Arial"/>
                <w:color w:val="000000"/>
                <w:sz w:val="18"/>
                <w:szCs w:val="18"/>
                <w:lang w:val="en-US"/>
              </w:rPr>
            </w:pPr>
            <w:r>
              <w:rPr>
                <w:rFonts w:hint="eastAsia" w:ascii="Arial" w:hAnsi="Arial" w:cs="Arial"/>
                <w:bCs/>
                <w:color w:val="000000"/>
                <w:kern w:val="2"/>
                <w:sz w:val="18"/>
                <w:szCs w:val="18"/>
                <w:lang w:val="en-US" w:eastAsia="zh-CN" w:bidi="ar"/>
              </w:rPr>
              <w:t>4,455,463.74</w:t>
            </w:r>
          </w:p>
        </w:tc>
        <w:tc>
          <w:tcPr>
            <w:tcW w:w="483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p>
        </w:tc>
      </w:tr>
    </w:tbl>
    <w:p>
      <w:pPr>
        <w:jc w:val="center"/>
        <w:rPr>
          <w:rFonts w:hint="eastAsia" w:ascii="宋体" w:hAnsi="宋体" w:cs="宋体"/>
          <w:b/>
          <w:bCs/>
          <w:color w:val="000000"/>
          <w:sz w:val="21"/>
          <w:szCs w:val="21"/>
        </w:rPr>
      </w:pPr>
    </w:p>
    <w:p>
      <w:pPr>
        <w:rPr>
          <w:rFonts w:hint="eastAsia" w:ascii="宋体" w:hAnsi="宋体" w:cs="宋体"/>
          <w:b/>
          <w:bCs/>
          <w:color w:val="000000"/>
          <w:sz w:val="21"/>
          <w:szCs w:val="21"/>
        </w:rPr>
      </w:pPr>
      <w:r>
        <w:rPr>
          <w:rFonts w:hint="eastAsia" w:ascii="宋体" w:hAnsi="宋体" w:cs="宋体"/>
          <w:b/>
          <w:bCs/>
          <w:color w:val="000000"/>
          <w:sz w:val="21"/>
          <w:szCs w:val="21"/>
        </w:rPr>
        <w:br w:type="page"/>
      </w:r>
    </w:p>
    <w:p>
      <w:pPr>
        <w:jc w:val="center"/>
        <w:rPr>
          <w:rFonts w:ascii="宋体" w:hAnsi="宋体" w:cs="宋体"/>
          <w:b/>
          <w:bCs/>
          <w:sz w:val="21"/>
          <w:szCs w:val="21"/>
        </w:rPr>
      </w:pPr>
      <w:r>
        <w:rPr>
          <w:rFonts w:hint="eastAsia" w:ascii="宋体" w:hAnsi="宋体" w:cs="宋体"/>
          <w:b/>
          <w:bCs/>
          <w:color w:val="000000"/>
          <w:sz w:val="21"/>
          <w:szCs w:val="21"/>
        </w:rPr>
        <w:t>表九：项目公司</w:t>
      </w:r>
      <w:r>
        <w:rPr>
          <w:rFonts w:hint="eastAsia" w:ascii="宋体" w:hAnsi="宋体" w:cs="宋体"/>
          <w:b/>
          <w:bCs/>
          <w:sz w:val="21"/>
          <w:szCs w:val="21"/>
        </w:rPr>
        <w:t>资金支出情况</w:t>
      </w:r>
    </w:p>
    <w:tbl>
      <w:tblPr>
        <w:tblStyle w:val="18"/>
        <w:tblW w:w="10054" w:type="dxa"/>
        <w:jc w:val="center"/>
        <w:tblLayout w:type="fixed"/>
        <w:tblCellMar>
          <w:top w:w="0" w:type="dxa"/>
          <w:left w:w="0" w:type="dxa"/>
          <w:bottom w:w="0" w:type="dxa"/>
          <w:right w:w="0" w:type="dxa"/>
        </w:tblCellMar>
      </w:tblPr>
      <w:tblGrid>
        <w:gridCol w:w="496"/>
        <w:gridCol w:w="968"/>
        <w:gridCol w:w="1272"/>
        <w:gridCol w:w="911"/>
        <w:gridCol w:w="1576"/>
        <w:gridCol w:w="2270"/>
        <w:gridCol w:w="983"/>
        <w:gridCol w:w="954"/>
        <w:gridCol w:w="624"/>
      </w:tblGrid>
      <w:tr>
        <w:tblPrEx>
          <w:tblCellMar>
            <w:top w:w="0" w:type="dxa"/>
            <w:left w:w="0" w:type="dxa"/>
            <w:bottom w:w="0" w:type="dxa"/>
            <w:right w:w="0" w:type="dxa"/>
          </w:tblCellMar>
        </w:tblPrEx>
        <w:trPr>
          <w:trHeight w:val="720" w:hRule="atLeast"/>
          <w:tblHeader/>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w:t>
            </w:r>
          </w:p>
          <w:p>
            <w:pPr>
              <w:jc w:val="center"/>
              <w:textAlignment w:val="center"/>
              <w:rPr>
                <w:rFonts w:ascii="Arial" w:hAnsi="Arial" w:cs="Arial"/>
                <w:b/>
                <w:color w:val="000000"/>
                <w:sz w:val="18"/>
                <w:szCs w:val="18"/>
              </w:rPr>
            </w:pPr>
            <w:r>
              <w:rPr>
                <w:rFonts w:ascii="Arial" w:hAnsi="Arial" w:cs="Arial"/>
                <w:b/>
                <w:color w:val="000000"/>
                <w:sz w:val="18"/>
                <w:szCs w:val="18"/>
              </w:rPr>
              <w:t>审批方式</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color w:val="000000"/>
                <w:sz w:val="18"/>
                <w:szCs w:val="18"/>
              </w:rPr>
            </w:pPr>
            <w:r>
              <w:rPr>
                <w:rFonts w:hint="eastAsia" w:ascii="Arial" w:hAnsi="Arial" w:cs="Arial"/>
                <w:b/>
                <w:color w:val="000000"/>
                <w:sz w:val="18"/>
                <w:szCs w:val="18"/>
              </w:rPr>
              <w:t>备注</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35" name="TextBox_66"/>
                  <wp:cNvGraphicFramePr/>
                  <a:graphic xmlns:a="http://schemas.openxmlformats.org/drawingml/2006/main">
                    <a:graphicData uri="http://schemas.openxmlformats.org/drawingml/2006/picture">
                      <pic:pic xmlns:pic="http://schemas.openxmlformats.org/drawingml/2006/picture">
                        <pic:nvPicPr>
                          <pic:cNvPr id="135" name="TextBox_6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36" name="TextBox_66_SpCnt_1"/>
                  <wp:cNvGraphicFramePr/>
                  <a:graphic xmlns:a="http://schemas.openxmlformats.org/drawingml/2006/main">
                    <a:graphicData uri="http://schemas.openxmlformats.org/drawingml/2006/picture">
                      <pic:pic xmlns:pic="http://schemas.openxmlformats.org/drawingml/2006/picture">
                        <pic:nvPicPr>
                          <pic:cNvPr id="136" name="TextBox_66_SpCnt_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37" name="TextBox_66_SpCnt_2"/>
                  <wp:cNvGraphicFramePr/>
                  <a:graphic xmlns:a="http://schemas.openxmlformats.org/drawingml/2006/main">
                    <a:graphicData uri="http://schemas.openxmlformats.org/drawingml/2006/picture">
                      <pic:pic xmlns:pic="http://schemas.openxmlformats.org/drawingml/2006/picture">
                        <pic:nvPicPr>
                          <pic:cNvPr id="137" name="TextBox_66_SpCnt_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38" name="TextBox_66_SpCnt_3"/>
                  <wp:cNvGraphicFramePr/>
                  <a:graphic xmlns:a="http://schemas.openxmlformats.org/drawingml/2006/main">
                    <a:graphicData uri="http://schemas.openxmlformats.org/drawingml/2006/picture">
                      <pic:pic xmlns:pic="http://schemas.openxmlformats.org/drawingml/2006/picture">
                        <pic:nvPicPr>
                          <pic:cNvPr id="138" name="TextBox_66_SpCnt_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39" name="TextBox_66_SpCnt_4"/>
                  <wp:cNvGraphicFramePr/>
                  <a:graphic xmlns:a="http://schemas.openxmlformats.org/drawingml/2006/main">
                    <a:graphicData uri="http://schemas.openxmlformats.org/drawingml/2006/picture">
                      <pic:pic xmlns:pic="http://schemas.openxmlformats.org/drawingml/2006/picture">
                        <pic:nvPicPr>
                          <pic:cNvPr id="139" name="TextBox_66_SpCnt_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40" name="TextBox_66_SpCnt_5"/>
                  <wp:cNvGraphicFramePr/>
                  <a:graphic xmlns:a="http://schemas.openxmlformats.org/drawingml/2006/main">
                    <a:graphicData uri="http://schemas.openxmlformats.org/drawingml/2006/picture">
                      <pic:pic xmlns:pic="http://schemas.openxmlformats.org/drawingml/2006/picture">
                        <pic:nvPicPr>
                          <pic:cNvPr id="140" name="TextBox_66_SpCnt_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41" name="TextBox_66_SpCnt_6"/>
                  <wp:cNvGraphicFramePr/>
                  <a:graphic xmlns:a="http://schemas.openxmlformats.org/drawingml/2006/main">
                    <a:graphicData uri="http://schemas.openxmlformats.org/drawingml/2006/picture">
                      <pic:pic xmlns:pic="http://schemas.openxmlformats.org/drawingml/2006/picture">
                        <pic:nvPicPr>
                          <pic:cNvPr id="141" name="TextBox_66_SpCnt_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42" name="TextBox_66_SpCnt_7"/>
                  <wp:cNvGraphicFramePr/>
                  <a:graphic xmlns:a="http://schemas.openxmlformats.org/drawingml/2006/main">
                    <a:graphicData uri="http://schemas.openxmlformats.org/drawingml/2006/picture">
                      <pic:pic xmlns:pic="http://schemas.openxmlformats.org/drawingml/2006/picture">
                        <pic:nvPicPr>
                          <pic:cNvPr id="142" name="TextBox_66_SpCnt_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43" name="TextBox_66_SpCnt_8"/>
                  <wp:cNvGraphicFramePr/>
                  <a:graphic xmlns:a="http://schemas.openxmlformats.org/drawingml/2006/main">
                    <a:graphicData uri="http://schemas.openxmlformats.org/drawingml/2006/picture">
                      <pic:pic xmlns:pic="http://schemas.openxmlformats.org/drawingml/2006/picture">
                        <pic:nvPicPr>
                          <pic:cNvPr id="143" name="TextBox_66_SpCnt_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44" name="TextBox_66_SpCnt_9"/>
                  <wp:cNvGraphicFramePr/>
                  <a:graphic xmlns:a="http://schemas.openxmlformats.org/drawingml/2006/main">
                    <a:graphicData uri="http://schemas.openxmlformats.org/drawingml/2006/picture">
                      <pic:pic xmlns:pic="http://schemas.openxmlformats.org/drawingml/2006/picture">
                        <pic:nvPicPr>
                          <pic:cNvPr id="144" name="TextBox_66_SpCnt_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45" name="TextBox_66_SpCnt_10"/>
                  <wp:cNvGraphicFramePr/>
                  <a:graphic xmlns:a="http://schemas.openxmlformats.org/drawingml/2006/main">
                    <a:graphicData uri="http://schemas.openxmlformats.org/drawingml/2006/picture">
                      <pic:pic xmlns:pic="http://schemas.openxmlformats.org/drawingml/2006/picture">
                        <pic:nvPicPr>
                          <pic:cNvPr id="145" name="TextBox_66_SpCnt_1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46" name="TextBox_66_SpCnt_11"/>
                  <wp:cNvGraphicFramePr/>
                  <a:graphic xmlns:a="http://schemas.openxmlformats.org/drawingml/2006/main">
                    <a:graphicData uri="http://schemas.openxmlformats.org/drawingml/2006/picture">
                      <pic:pic xmlns:pic="http://schemas.openxmlformats.org/drawingml/2006/picture">
                        <pic:nvPicPr>
                          <pic:cNvPr id="146" name="TextBox_66_SpCnt_1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47" name="TextBox_66_SpCnt_12"/>
                  <wp:cNvGraphicFramePr/>
                  <a:graphic xmlns:a="http://schemas.openxmlformats.org/drawingml/2006/main">
                    <a:graphicData uri="http://schemas.openxmlformats.org/drawingml/2006/picture">
                      <pic:pic xmlns:pic="http://schemas.openxmlformats.org/drawingml/2006/picture">
                        <pic:nvPicPr>
                          <pic:cNvPr id="147" name="TextBox_66_SpCnt_1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48" name="TextBox_66_SpCnt_13"/>
                  <wp:cNvGraphicFramePr/>
                  <a:graphic xmlns:a="http://schemas.openxmlformats.org/drawingml/2006/main">
                    <a:graphicData uri="http://schemas.openxmlformats.org/drawingml/2006/picture">
                      <pic:pic xmlns:pic="http://schemas.openxmlformats.org/drawingml/2006/picture">
                        <pic:nvPicPr>
                          <pic:cNvPr id="148" name="TextBox_66_SpCnt_1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49" name="TextBox_66_SpCnt_14"/>
                  <wp:cNvGraphicFramePr/>
                  <a:graphic xmlns:a="http://schemas.openxmlformats.org/drawingml/2006/main">
                    <a:graphicData uri="http://schemas.openxmlformats.org/drawingml/2006/picture">
                      <pic:pic xmlns:pic="http://schemas.openxmlformats.org/drawingml/2006/picture">
                        <pic:nvPicPr>
                          <pic:cNvPr id="149" name="TextBox_66_SpCnt_1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50" name="TextBox_66_SpCnt_15"/>
                  <wp:cNvGraphicFramePr/>
                  <a:graphic xmlns:a="http://schemas.openxmlformats.org/drawingml/2006/main">
                    <a:graphicData uri="http://schemas.openxmlformats.org/drawingml/2006/picture">
                      <pic:pic xmlns:pic="http://schemas.openxmlformats.org/drawingml/2006/picture">
                        <pic:nvPicPr>
                          <pic:cNvPr id="150" name="TextBox_66_SpCnt_1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51" name="TextBox_66_SpCnt_16"/>
                  <wp:cNvGraphicFramePr/>
                  <a:graphic xmlns:a="http://schemas.openxmlformats.org/drawingml/2006/main">
                    <a:graphicData uri="http://schemas.openxmlformats.org/drawingml/2006/picture">
                      <pic:pic xmlns:pic="http://schemas.openxmlformats.org/drawingml/2006/picture">
                        <pic:nvPicPr>
                          <pic:cNvPr id="151" name="TextBox_66_SpCnt_1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52" name="TextBox_66_SpCnt_17"/>
                  <wp:cNvGraphicFramePr/>
                  <a:graphic xmlns:a="http://schemas.openxmlformats.org/drawingml/2006/main">
                    <a:graphicData uri="http://schemas.openxmlformats.org/drawingml/2006/picture">
                      <pic:pic xmlns:pic="http://schemas.openxmlformats.org/drawingml/2006/picture">
                        <pic:nvPicPr>
                          <pic:cNvPr id="152" name="TextBox_66_SpCnt_1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53" name="TextBox_66_SpCnt_18"/>
                  <wp:cNvGraphicFramePr/>
                  <a:graphic xmlns:a="http://schemas.openxmlformats.org/drawingml/2006/main">
                    <a:graphicData uri="http://schemas.openxmlformats.org/drawingml/2006/picture">
                      <pic:pic xmlns:pic="http://schemas.openxmlformats.org/drawingml/2006/picture">
                        <pic:nvPicPr>
                          <pic:cNvPr id="153" name="TextBox_66_SpCnt_1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54" name="TextBox_66_SpCnt_19"/>
                  <wp:cNvGraphicFramePr/>
                  <a:graphic xmlns:a="http://schemas.openxmlformats.org/drawingml/2006/main">
                    <a:graphicData uri="http://schemas.openxmlformats.org/drawingml/2006/picture">
                      <pic:pic xmlns:pic="http://schemas.openxmlformats.org/drawingml/2006/picture">
                        <pic:nvPicPr>
                          <pic:cNvPr id="154" name="TextBox_66_SpCnt_19"/>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55" name="TextBox_66_SpCnt_20"/>
                  <wp:cNvGraphicFramePr/>
                  <a:graphic xmlns:a="http://schemas.openxmlformats.org/drawingml/2006/main">
                    <a:graphicData uri="http://schemas.openxmlformats.org/drawingml/2006/picture">
                      <pic:pic xmlns:pic="http://schemas.openxmlformats.org/drawingml/2006/picture">
                        <pic:nvPicPr>
                          <pic:cNvPr id="155" name="TextBox_66_SpCnt_20"/>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56" name="TextBox_66_SpCnt_21"/>
                  <wp:cNvGraphicFramePr/>
                  <a:graphic xmlns:a="http://schemas.openxmlformats.org/drawingml/2006/main">
                    <a:graphicData uri="http://schemas.openxmlformats.org/drawingml/2006/picture">
                      <pic:pic xmlns:pic="http://schemas.openxmlformats.org/drawingml/2006/picture">
                        <pic:nvPicPr>
                          <pic:cNvPr id="156" name="TextBox_66_SpCnt_21"/>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57" name="TextBox_66_SpCnt_22"/>
                  <wp:cNvGraphicFramePr/>
                  <a:graphic xmlns:a="http://schemas.openxmlformats.org/drawingml/2006/main">
                    <a:graphicData uri="http://schemas.openxmlformats.org/drawingml/2006/picture">
                      <pic:pic xmlns:pic="http://schemas.openxmlformats.org/drawingml/2006/picture">
                        <pic:nvPicPr>
                          <pic:cNvPr id="157" name="TextBox_66_SpCnt_22"/>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58" name="TextBox_66_SpCnt_23"/>
                  <wp:cNvGraphicFramePr/>
                  <a:graphic xmlns:a="http://schemas.openxmlformats.org/drawingml/2006/main">
                    <a:graphicData uri="http://schemas.openxmlformats.org/drawingml/2006/picture">
                      <pic:pic xmlns:pic="http://schemas.openxmlformats.org/drawingml/2006/picture">
                        <pic:nvPicPr>
                          <pic:cNvPr id="158" name="TextBox_66_SpCnt_23"/>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59" name="TextBox_66_SpCnt_24"/>
                  <wp:cNvGraphicFramePr/>
                  <a:graphic xmlns:a="http://schemas.openxmlformats.org/drawingml/2006/main">
                    <a:graphicData uri="http://schemas.openxmlformats.org/drawingml/2006/picture">
                      <pic:pic xmlns:pic="http://schemas.openxmlformats.org/drawingml/2006/picture">
                        <pic:nvPicPr>
                          <pic:cNvPr id="159" name="TextBox_66_SpCnt_24"/>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60" name="TextBox_66_SpCnt_25"/>
                  <wp:cNvGraphicFramePr/>
                  <a:graphic xmlns:a="http://schemas.openxmlformats.org/drawingml/2006/main">
                    <a:graphicData uri="http://schemas.openxmlformats.org/drawingml/2006/picture">
                      <pic:pic xmlns:pic="http://schemas.openxmlformats.org/drawingml/2006/picture">
                        <pic:nvPicPr>
                          <pic:cNvPr id="160" name="TextBox_66_SpCnt_25"/>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61" name="TextBox_66_SpCnt_26"/>
                  <wp:cNvGraphicFramePr/>
                  <a:graphic xmlns:a="http://schemas.openxmlformats.org/drawingml/2006/main">
                    <a:graphicData uri="http://schemas.openxmlformats.org/drawingml/2006/picture">
                      <pic:pic xmlns:pic="http://schemas.openxmlformats.org/drawingml/2006/picture">
                        <pic:nvPicPr>
                          <pic:cNvPr id="161" name="TextBox_66_SpCnt_26"/>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62" name="TextBox_66_SpCnt_27"/>
                  <wp:cNvGraphicFramePr/>
                  <a:graphic xmlns:a="http://schemas.openxmlformats.org/drawingml/2006/main">
                    <a:graphicData uri="http://schemas.openxmlformats.org/drawingml/2006/picture">
                      <pic:pic xmlns:pic="http://schemas.openxmlformats.org/drawingml/2006/picture">
                        <pic:nvPicPr>
                          <pic:cNvPr id="162" name="TextBox_66_SpCnt_27"/>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63" name="TextBox_66_SpCnt_28"/>
                  <wp:cNvGraphicFramePr/>
                  <a:graphic xmlns:a="http://schemas.openxmlformats.org/drawingml/2006/main">
                    <a:graphicData uri="http://schemas.openxmlformats.org/drawingml/2006/picture">
                      <pic:pic xmlns:pic="http://schemas.openxmlformats.org/drawingml/2006/picture">
                        <pic:nvPicPr>
                          <pic:cNvPr id="163" name="TextBox_66_SpCnt_28"/>
                          <pic:cNvPicPr/>
                        </pic:nvPicPr>
                        <pic:blipFill>
                          <a:blip r:embed="rId12"/>
                          <a:stretch>
                            <a:fillRect/>
                          </a:stretch>
                        </pic:blipFill>
                        <pic:spPr>
                          <a:xfrm>
                            <a:off x="0" y="0"/>
                            <a:ext cx="184150" cy="264160"/>
                          </a:xfrm>
                          <a:prstGeom prst="rect">
                            <a:avLst/>
                          </a:prstGeom>
                          <a:noFill/>
                          <a:ln>
                            <a:noFill/>
                          </a:ln>
                        </pic:spPr>
                      </pic:pic>
                    </a:graphicData>
                  </a:graphic>
                </wp:anchor>
              </w:drawing>
            </w:r>
            <w:r>
              <w:rPr>
                <w:rFonts w:hint="eastAsia" w:ascii="Arial" w:hAnsi="Arial" w:cs="Arial"/>
                <w:bCs/>
                <w:color w:val="000000"/>
                <w:kern w:val="2"/>
                <w:sz w:val="18"/>
                <w:szCs w:val="18"/>
                <w:lang w:val="en-US" w:eastAsia="zh-CN" w:bidi="ar"/>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0</wp:posOffset>
                  </wp:positionV>
                  <wp:extent cx="184150" cy="264160"/>
                  <wp:effectExtent l="0" t="0" r="0" b="0"/>
                  <wp:wrapNone/>
                  <wp:docPr id="164" name="TextBox_66_SpCnt_29"/>
                  <wp:cNvGraphicFramePr/>
                  <a:graphic xmlns:a="http://schemas.openxmlformats.org/drawingml/2006/main">
                    <a:graphicData uri="http://schemas.openxmlformats.org/drawingml/2006/picture">
                      <pic:pic xmlns:pic="http://schemas.openxmlformats.org/drawingml/2006/picture">
                        <pic:nvPicPr>
                          <pic:cNvPr id="164" name="TextBox_66_SpCnt_29"/>
                          <pic:cNvPicPr/>
                        </pic:nvPicPr>
                        <pic:blipFill>
                          <a:blip r:embed="rId12"/>
                          <a:stretch>
                            <a:fillRect/>
                          </a:stretch>
                        </pic:blipFill>
                        <pic:spPr>
                          <a:xfrm>
                            <a:off x="0" y="0"/>
                            <a:ext cx="184150" cy="264160"/>
                          </a:xfrm>
                          <a:prstGeom prst="rect">
                            <a:avLst/>
                          </a:prstGeom>
                          <a:noFill/>
                          <a:ln>
                            <a:noFill/>
                          </a:ln>
                        </pic:spPr>
                      </pic:pic>
                    </a:graphicData>
                  </a:graphic>
                </wp:anchor>
              </w:drawing>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宜宾骏继招商</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830900346010301</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成都世茂房地产开发有限公司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230,000.00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支付4月工资</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黄鹏燕</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退房款35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黄烈英</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退房款36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赵敏</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退房款34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朱莉蓉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6,000.00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刘勋</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李金磊</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4,800.00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朱莉蓉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443.00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陈佳能</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11,200.00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4,800.00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肖秋月</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553.00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李佳训</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4,800.00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李佳训</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8,200.00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李新华</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1,012.00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宋旭</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437.00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龚成波</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1,104.00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赵鹏</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杨泽连</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92.00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杨锋</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1,173.00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黄仕交</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1,012.00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周楠</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1,725.00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程丹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唐昌林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朱莉蓉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陈兴兰</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肖颖</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1,725.00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肖秋月</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刘勋</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1,725.00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蒋翊明</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1,541.00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陶欣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1,725.00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安映霞</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1,679.00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李佳训</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1,725.00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李金磊</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王天一</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665.00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阳琳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1,725.00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39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王天一</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715.00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夏巧</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664.00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878.98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唐昌林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9,000.00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唐昌林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唐昌林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4,800.00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待报解预算收入-库税银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代理国库税收收缴</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8,278.49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88.74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49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75.00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工行异地汇款手续费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跨行汇款手续费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705.00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跨行汇款手续费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535.84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跨行快汇手续费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48.00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宜宾市志兴广告有限公司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企划款73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四川练团子文化传播有限公司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企划款70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92,000.00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4,000,000.00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盘活资金2900万元</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5,000,000.00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盘活资金2900万元</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10,000,000.00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盘活资金2900万元</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宜宾骏继中国农业银行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22470201040022852</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成都金座置业有限公司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14,210,000.00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成都信茂涵置业有限公司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股东投入</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14,790,000.00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10,000,000.00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盘活资金2900万元</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青岛麦田智造建筑装饰有限公司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工程款111开</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48,800.00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开发费用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报销76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11,556.00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李玉兰</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1,725.00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成都世盈投资管理咨询有限公司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1,500,000.00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朱莉蓉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报销107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1,455.00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任刚</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退房款114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70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重庆逐胜科技有限公司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行政98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71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北京外企德科人力资源服务上海有限公司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公积金108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98,056.92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72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成都三和新业科技有限公司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管理费行政106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7,650.00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73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2021-5-19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余额变动提醒手续费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74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待报解预算收入-库税银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代理国库税收收缴</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1,157,957.95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75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网银证书服务费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76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报销137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1,772.00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77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周楠</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78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刘勋</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79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李玉兰</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80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安映霞</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81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李新华</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1,833.00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82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蒋翊明</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3,066.00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83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黄仕交</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1,833.00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84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陶欣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85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肖颖</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86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阳琳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87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杨泽连</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88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宜宾市住房公积金管理中心</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世茂金座·云锦项目</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164,000.00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其他费用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资金计划外费用</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89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工程款165建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4,210,000.00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90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工程款165建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1,500,000.00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91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工程款165建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800,000.00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92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四川顺丰速运有限公司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管理费行政175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770.00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93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程丹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报销177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1,194.00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94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报销176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511.70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95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北京外企德科人力资源服务上海有限公司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管理费179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757.90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96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上海晨光科力普办公用品有限公司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行政187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2,327.60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97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报销185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11,317.00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98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宋旭</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报销188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2,400.00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99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报销190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640.00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宜宾市清源水务集团有限公司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水费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5,288.40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101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报销174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554.60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102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宜宾市清源水务集团有限公司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水费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13,334.10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103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待报解预算收入-库税银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代理国库税收收缴</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5,369.48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104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四川四合瑞成科技有限公司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行政178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36,000.00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105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范巧灵</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退房款151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106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报销186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1,099.16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107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四川天华会计师事务所有限公司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顾问费189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15,000.00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108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四川方胜人力资源服务有限公司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销售佣金200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67,704.56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109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2021-5-31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对公工行证书收入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110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2021-5-31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成都世盈投资管理咨询有限公司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800,000.00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资金计划外费用</w:t>
            </w:r>
          </w:p>
        </w:tc>
      </w:tr>
      <w:tr>
        <w:tblPrEx>
          <w:tblCellMar>
            <w:top w:w="0" w:type="dxa"/>
            <w:left w:w="0" w:type="dxa"/>
            <w:bottom w:w="0" w:type="dxa"/>
            <w:right w:w="0" w:type="dxa"/>
          </w:tblCellMar>
        </w:tblPrEx>
        <w:trPr>
          <w:trHeight w:val="464" w:hRule="atLeast"/>
          <w:jc w:val="center"/>
        </w:trPr>
        <w:tc>
          <w:tcPr>
            <w:tcW w:w="364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rPr>
              <w:t>69</w:t>
            </w:r>
            <w:r>
              <w:rPr>
                <w:rFonts w:hint="eastAsia" w:ascii="Arial" w:hAnsi="Arial" w:cs="Arial"/>
                <w:color w:val="000000"/>
                <w:sz w:val="18"/>
                <w:szCs w:val="18"/>
                <w:lang w:val="en-US" w:eastAsia="zh-CN"/>
              </w:rPr>
              <w:t>,</w:t>
            </w:r>
            <w:r>
              <w:rPr>
                <w:rFonts w:hint="eastAsia" w:ascii="Arial" w:hAnsi="Arial" w:cs="Arial"/>
                <w:color w:val="000000"/>
                <w:sz w:val="18"/>
                <w:szCs w:val="18"/>
              </w:rPr>
              <w:t>120</w:t>
            </w:r>
            <w:r>
              <w:rPr>
                <w:rFonts w:hint="eastAsia" w:ascii="Arial" w:hAnsi="Arial" w:cs="Arial"/>
                <w:color w:val="000000"/>
                <w:sz w:val="18"/>
                <w:szCs w:val="18"/>
                <w:lang w:val="en-US" w:eastAsia="zh-CN"/>
              </w:rPr>
              <w:t>,</w:t>
            </w:r>
            <w:r>
              <w:rPr>
                <w:rFonts w:hint="eastAsia" w:ascii="Arial" w:hAnsi="Arial" w:cs="Arial"/>
                <w:color w:val="000000"/>
                <w:sz w:val="18"/>
                <w:szCs w:val="18"/>
              </w:rPr>
              <w:t>287.42</w:t>
            </w:r>
          </w:p>
        </w:tc>
        <w:tc>
          <w:tcPr>
            <w:tcW w:w="483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p>
        </w:tc>
      </w:tr>
    </w:tbl>
    <w:p>
      <w:pPr>
        <w:ind w:firstLine="420" w:firstLineChars="200"/>
        <w:rPr>
          <w:rFonts w:ascii="宋体" w:hAnsi="宋体" w:cs="宋体"/>
          <w:bCs/>
          <w:sz w:val="21"/>
          <w:szCs w:val="21"/>
        </w:rPr>
      </w:pP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3.资金平衡表</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截至2021年0</w:t>
      </w:r>
      <w:r>
        <w:rPr>
          <w:rFonts w:hint="eastAsia" w:ascii="Arial" w:hAnsi="Arial" w:cs="Arial"/>
          <w:kern w:val="44"/>
          <w:sz w:val="21"/>
          <w:szCs w:val="21"/>
          <w:lang w:val="en-US" w:eastAsia="zh-CN"/>
        </w:rPr>
        <w:t>5</w:t>
      </w:r>
      <w:r>
        <w:rPr>
          <w:rFonts w:hint="eastAsia" w:ascii="Arial" w:hAnsi="Arial" w:cs="Arial"/>
          <w:kern w:val="44"/>
          <w:sz w:val="21"/>
          <w:szCs w:val="21"/>
        </w:rPr>
        <w:t>月，本项目累计收入</w:t>
      </w:r>
      <w:r>
        <w:rPr>
          <w:rFonts w:hint="eastAsia" w:ascii="Arial" w:hAnsi="Arial" w:cs="Arial"/>
          <w:kern w:val="44"/>
          <w:sz w:val="21"/>
          <w:szCs w:val="21"/>
          <w:lang w:val="en-US" w:eastAsia="zh-CN"/>
        </w:rPr>
        <w:t>278,985,743.11</w:t>
      </w:r>
      <w:r>
        <w:rPr>
          <w:rFonts w:hint="eastAsia" w:ascii="Arial" w:hAnsi="Arial" w:cs="Arial"/>
          <w:kern w:val="44"/>
          <w:sz w:val="21"/>
          <w:szCs w:val="21"/>
        </w:rPr>
        <w:t>元，累计支出</w:t>
      </w:r>
      <w:r>
        <w:rPr>
          <w:rFonts w:hint="eastAsia" w:ascii="Arial" w:hAnsi="Arial" w:cs="Arial"/>
          <w:kern w:val="44"/>
          <w:sz w:val="21"/>
          <w:szCs w:val="21"/>
          <w:lang w:val="en-US" w:eastAsia="zh-CN"/>
        </w:rPr>
        <w:t>880,577,848.04</w:t>
      </w:r>
      <w:r>
        <w:rPr>
          <w:rFonts w:hint="eastAsia" w:ascii="Arial" w:hAnsi="Arial" w:cs="Arial"/>
          <w:kern w:val="44"/>
          <w:sz w:val="21"/>
          <w:szCs w:val="21"/>
        </w:rPr>
        <w:t>元，资金平衡情况见下表：</w:t>
      </w:r>
    </w:p>
    <w:p>
      <w:pPr>
        <w:ind w:firstLine="420" w:firstLineChars="200"/>
        <w:jc w:val="center"/>
        <w:rPr>
          <w:rFonts w:ascii="宋体" w:hAnsi="宋体" w:cs="宋体"/>
          <w:b/>
          <w:sz w:val="21"/>
          <w:szCs w:val="21"/>
        </w:rPr>
      </w:pPr>
      <w:bookmarkStart w:id="50" w:name="_Toc23658"/>
      <w:r>
        <w:rPr>
          <w:rFonts w:hint="eastAsia" w:ascii="宋体" w:hAnsi="宋体" w:cs="宋体"/>
          <w:b/>
          <w:sz w:val="21"/>
          <w:szCs w:val="21"/>
        </w:rPr>
        <w:t>表十：资金平衡情况</w:t>
      </w:r>
      <w:bookmarkEnd w:id="50"/>
    </w:p>
    <w:tbl>
      <w:tblPr>
        <w:tblStyle w:val="18"/>
        <w:tblW w:w="8111" w:type="dxa"/>
        <w:jc w:val="center"/>
        <w:tblLayout w:type="fixed"/>
        <w:tblCellMar>
          <w:top w:w="0" w:type="dxa"/>
          <w:left w:w="108" w:type="dxa"/>
          <w:bottom w:w="0" w:type="dxa"/>
          <w:right w:w="108" w:type="dxa"/>
        </w:tblCellMar>
      </w:tblPr>
      <w:tblGrid>
        <w:gridCol w:w="1945"/>
        <w:gridCol w:w="1783"/>
        <w:gridCol w:w="2018"/>
        <w:gridCol w:w="2129"/>
        <w:gridCol w:w="236"/>
      </w:tblGrid>
      <w:tr>
        <w:tblPrEx>
          <w:tblCellMar>
            <w:top w:w="0" w:type="dxa"/>
            <w:left w:w="108" w:type="dxa"/>
            <w:bottom w:w="0" w:type="dxa"/>
            <w:right w:w="108" w:type="dxa"/>
          </w:tblCellMar>
        </w:tblPrEx>
        <w:trPr>
          <w:gridAfter w:val="1"/>
          <w:wAfter w:w="236" w:type="dxa"/>
          <w:trHeight w:val="488" w:hRule="atLeast"/>
          <w:tblHeader/>
          <w:jc w:val="center"/>
        </w:trPr>
        <w:tc>
          <w:tcPr>
            <w:tcW w:w="19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项目</w:t>
            </w:r>
          </w:p>
        </w:tc>
        <w:tc>
          <w:tcPr>
            <w:tcW w:w="1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项目总预算</w:t>
            </w:r>
          </w:p>
        </w:tc>
        <w:tc>
          <w:tcPr>
            <w:tcW w:w="20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本月资金实际</w:t>
            </w:r>
          </w:p>
        </w:tc>
        <w:tc>
          <w:tcPr>
            <w:tcW w:w="21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累计资金实际</w:t>
            </w:r>
          </w:p>
        </w:tc>
      </w:tr>
      <w:tr>
        <w:tblPrEx>
          <w:tblCellMar>
            <w:top w:w="0" w:type="dxa"/>
            <w:left w:w="108" w:type="dxa"/>
            <w:bottom w:w="0" w:type="dxa"/>
            <w:right w:w="108" w:type="dxa"/>
          </w:tblCellMar>
        </w:tblPrEx>
        <w:trPr>
          <w:trHeight w:val="129" w:hRule="atLeast"/>
          <w:jc w:val="center"/>
        </w:trPr>
        <w:tc>
          <w:tcPr>
            <w:tcW w:w="1945"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1783"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2018"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212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236" w:type="dxa"/>
            <w:tcBorders>
              <w:top w:val="nil"/>
              <w:left w:val="single" w:color="auto" w:sz="4" w:space="0"/>
              <w:bottom w:val="nil"/>
              <w:right w:val="nil"/>
            </w:tcBorders>
            <w:shd w:val="clear" w:color="auto" w:fill="auto"/>
            <w:noWrap/>
            <w:vAlign w:val="bottom"/>
          </w:tcPr>
          <w:p>
            <w:pPr>
              <w:jc w:val="center"/>
              <w:rPr>
                <w:rFonts w:ascii="宋体" w:hAnsi="宋体" w:cs="宋体"/>
                <w:b/>
                <w:bCs/>
                <w:color w:val="000000"/>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经营性资金流入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358"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销售回款</w:t>
            </w:r>
          </w:p>
        </w:tc>
        <w:tc>
          <w:tcPr>
            <w:tcW w:w="1783"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2,708,870,000.00</w:t>
            </w:r>
          </w:p>
        </w:tc>
        <w:tc>
          <w:tcPr>
            <w:tcW w:w="2018"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25,654,997.00 </w:t>
            </w:r>
          </w:p>
        </w:tc>
        <w:tc>
          <w:tcPr>
            <w:tcW w:w="2129"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278,984,842.24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其他收入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900.87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经营性收入合计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2,708,870,000.00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bidi="ar"/>
              </w:rPr>
            </w:pPr>
            <w:r>
              <w:rPr>
                <w:rFonts w:hint="eastAsia" w:ascii="Arial" w:hAnsi="Arial" w:cs="Arial"/>
                <w:b/>
                <w:bCs w:val="0"/>
                <w:color w:val="000000"/>
                <w:kern w:val="2"/>
                <w:sz w:val="18"/>
                <w:szCs w:val="18"/>
                <w:lang w:val="en-US" w:eastAsia="zh-CN" w:bidi="ar"/>
              </w:rPr>
              <w:t xml:space="preserve">25,654,997.00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bidi="ar"/>
              </w:rPr>
            </w:pPr>
            <w:r>
              <w:rPr>
                <w:rFonts w:hint="eastAsia" w:ascii="Arial" w:hAnsi="Arial" w:cs="Arial"/>
                <w:b/>
                <w:bCs w:val="0"/>
                <w:color w:val="000000"/>
                <w:kern w:val="2"/>
                <w:sz w:val="18"/>
                <w:szCs w:val="18"/>
                <w:lang w:val="en-US" w:eastAsia="zh-CN" w:bidi="ar"/>
              </w:rPr>
              <w:t xml:space="preserve">278,985,743.11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经营性资金流出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328"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土地出让金</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769,100,000.00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769,097,280.00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开发费用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72,190,000.00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48,800.00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default" w:ascii="Arial" w:hAnsi="Arial" w:cs="Arial"/>
                <w:bCs/>
                <w:color w:val="000000"/>
                <w:kern w:val="2"/>
                <w:sz w:val="18"/>
                <w:szCs w:val="18"/>
                <w:lang w:val="en-US" w:eastAsia="zh-CN" w:bidi="ar"/>
              </w:rPr>
              <w:t xml:space="preserve">21,458,418.60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建安费用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1,067,930,000.00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6,510,000.00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41,084,021.29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营建成本</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15,880,000.00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559,441.85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土地契税及印花税</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28,180,000.00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23,457,467.04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开发成本小计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1,953,280,000.00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6,558,800.00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855,656,628.78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47,380,000.00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163,904.56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4,073,997.47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71,070,000.00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2,989,880.36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4,312,301.51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5"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2,096.58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-377,688.11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8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支付各类税费</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220,000,000.00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1,171,605.92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16,544,422.47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其他支出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234,000.00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 xml:space="preserve">368,185.92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53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经营性支出合计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 xml:space="preserve"> 2,291,730,000.00 </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11,120,287.42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880,577,848.04 </w:t>
            </w:r>
          </w:p>
        </w:tc>
        <w:tc>
          <w:tcPr>
            <w:tcW w:w="236" w:type="dxa"/>
            <w:tcBorders>
              <w:left w:val="single" w:color="auto" w:sz="4" w:space="0"/>
            </w:tcBorders>
            <w:vAlign w:val="center"/>
          </w:tcPr>
          <w:p>
            <w:pPr>
              <w:jc w:val="center"/>
              <w:textAlignment w:val="center"/>
              <w:rPr>
                <w:rFonts w:ascii="宋体" w:hAnsi="宋体" w:cs="宋体"/>
                <w:color w:val="000000"/>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经营性净现金流</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 xml:space="preserve"> 417,140,000.00 </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14,534,709.58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-601,592,104.93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筹资性资金净现金流</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bCs w:val="0"/>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val="en-US" w:eastAsia="zh-CN"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val="en-US" w:eastAsia="zh-CN"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内部往来流入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1,587,065,042.25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内部往来流出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29,000,000.00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876,575,785.88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 xml:space="preserve">   外部融资款流入</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325"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 xml:space="preserve">   外部融资款流出</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净现金流量</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417,140,000.00</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-14,465,290.42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108,897,151.44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期初余额</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bCs w:val="0"/>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123,362,441.86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期末余额</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bCs w:val="0"/>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108,897,151.44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cs="Arial"/>
                <w:b/>
                <w:bCs w:val="0"/>
                <w:color w:val="000000"/>
                <w:kern w:val="2"/>
                <w:sz w:val="18"/>
                <w:szCs w:val="18"/>
                <w:lang w:val="en-US" w:eastAsia="zh-CN" w:bidi="ar"/>
              </w:rPr>
            </w:pPr>
            <w:r>
              <w:rPr>
                <w:rFonts w:hint="eastAsia" w:ascii="Arial" w:hAnsi="Arial" w:cs="Arial"/>
                <w:b/>
                <w:bCs w:val="0"/>
                <w:color w:val="000000"/>
                <w:kern w:val="2"/>
                <w:sz w:val="18"/>
                <w:szCs w:val="18"/>
                <w:lang w:val="en-US" w:eastAsia="zh-CN" w:bidi="ar"/>
              </w:rPr>
              <w:t xml:space="preserve">108,897,151.44 </w:t>
            </w:r>
          </w:p>
        </w:tc>
        <w:tc>
          <w:tcPr>
            <w:tcW w:w="236" w:type="dxa"/>
            <w:tcBorders>
              <w:left w:val="single" w:color="auto" w:sz="4" w:space="0"/>
            </w:tcBorders>
            <w:vAlign w:val="center"/>
          </w:tcPr>
          <w:p>
            <w:pPr>
              <w:rPr>
                <w:rFonts w:eastAsia="Times New Roman"/>
                <w:sz w:val="20"/>
                <w:szCs w:val="20"/>
              </w:rPr>
            </w:pPr>
          </w:p>
        </w:tc>
      </w:tr>
    </w:tbl>
    <w:p>
      <w:pPr>
        <w:ind w:firstLine="420" w:firstLineChars="200"/>
        <w:rPr>
          <w:rFonts w:ascii="宋体" w:hAnsi="宋体" w:cs="宋体"/>
          <w:bCs/>
          <w:sz w:val="21"/>
          <w:szCs w:val="21"/>
        </w:rPr>
      </w:pPr>
    </w:p>
    <w:p>
      <w:pPr>
        <w:pStyle w:val="3"/>
        <w:keepNext w:val="0"/>
        <w:keepLines w:val="0"/>
        <w:spacing w:before="300" w:after="300" w:line="360" w:lineRule="exact"/>
        <w:jc w:val="left"/>
        <w:rPr>
          <w:rFonts w:ascii="Arial" w:hAnsi="Arial" w:eastAsia="宋体" w:cs="Arial"/>
          <w:bCs/>
          <w:color w:val="000000"/>
          <w:sz w:val="24"/>
          <w:szCs w:val="24"/>
          <w:highlight w:val="none"/>
        </w:rPr>
      </w:pPr>
      <w:bookmarkStart w:id="51" w:name="_Toc9822"/>
      <w:bookmarkStart w:id="52" w:name="_Toc66115203"/>
      <w:bookmarkStart w:id="53" w:name="_Toc17148"/>
      <w:r>
        <w:rPr>
          <w:rFonts w:hint="eastAsia" w:ascii="Arial" w:hAnsi="Arial" w:eastAsia="宋体" w:cs="Arial"/>
          <w:bCs/>
          <w:color w:val="000000"/>
          <w:sz w:val="24"/>
          <w:szCs w:val="24"/>
          <w:highlight w:val="none"/>
        </w:rPr>
        <w:t>九、融资情况</w:t>
      </w:r>
      <w:bookmarkEnd w:id="51"/>
      <w:bookmarkEnd w:id="52"/>
      <w:bookmarkEnd w:id="53"/>
    </w:p>
    <w:p>
      <w:pPr>
        <w:pStyle w:val="32"/>
        <w:spacing w:line="480" w:lineRule="auto"/>
        <w:jc w:val="both"/>
        <w:rPr>
          <w:rFonts w:ascii="Arial" w:hAnsi="Arial" w:cs="Arial"/>
          <w:kern w:val="44"/>
          <w:sz w:val="21"/>
          <w:szCs w:val="21"/>
        </w:rPr>
      </w:pPr>
      <w:r>
        <w:rPr>
          <w:rFonts w:hint="eastAsia" w:ascii="Arial" w:hAnsi="Arial" w:cs="Arial"/>
          <w:kern w:val="44"/>
          <w:sz w:val="21"/>
          <w:szCs w:val="21"/>
        </w:rPr>
        <w:t>1.开发贷款：</w:t>
      </w:r>
    </w:p>
    <w:p>
      <w:pPr>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无。</w:t>
      </w:r>
    </w:p>
    <w:p>
      <w:pPr>
        <w:pStyle w:val="32"/>
        <w:spacing w:line="480" w:lineRule="auto"/>
        <w:jc w:val="both"/>
        <w:rPr>
          <w:rFonts w:hint="eastAsia" w:ascii="Arial" w:hAnsi="Arial" w:cs="Arial"/>
          <w:kern w:val="44"/>
          <w:sz w:val="21"/>
          <w:szCs w:val="21"/>
        </w:rPr>
      </w:pPr>
      <w:r>
        <w:rPr>
          <w:rFonts w:hint="eastAsia" w:ascii="Arial" w:hAnsi="Arial" w:cs="Arial"/>
          <w:kern w:val="44"/>
          <w:sz w:val="21"/>
          <w:szCs w:val="21"/>
        </w:rPr>
        <w:t>2.其他融资：项目公司</w:t>
      </w:r>
      <w:r>
        <w:rPr>
          <w:rFonts w:hint="eastAsia" w:ascii="Arial" w:hAnsi="Arial" w:cs="Arial"/>
          <w:kern w:val="44"/>
          <w:sz w:val="21"/>
          <w:szCs w:val="21"/>
          <w:lang w:val="en-US" w:eastAsia="zh-CN"/>
        </w:rPr>
        <w:t>已提供</w:t>
      </w:r>
      <w:r>
        <w:rPr>
          <w:rFonts w:hint="eastAsia" w:ascii="Arial" w:hAnsi="Arial" w:cs="Arial"/>
          <w:kern w:val="44"/>
          <w:sz w:val="21"/>
          <w:szCs w:val="21"/>
        </w:rPr>
        <w:t>三月份报表显示累计未兑付的商业承兑汇票共计</w:t>
      </w:r>
      <w:r>
        <w:rPr>
          <w:rFonts w:hint="eastAsia" w:ascii="Arial" w:hAnsi="Arial" w:cs="Arial"/>
          <w:kern w:val="44"/>
          <w:sz w:val="21"/>
          <w:szCs w:val="21"/>
          <w:lang w:val="en-US" w:eastAsia="zh-CN"/>
        </w:rPr>
        <w:t>金额26,622,936.95元明细（为</w:t>
      </w:r>
      <w:r>
        <w:rPr>
          <w:rFonts w:hint="eastAsia" w:ascii="Arial" w:hAnsi="Arial" w:cs="Arial"/>
          <w:kern w:val="44"/>
          <w:sz w:val="21"/>
          <w:szCs w:val="21"/>
        </w:rPr>
        <w:t>商业承兑汇票金额</w:t>
      </w:r>
      <w:r>
        <w:rPr>
          <w:rFonts w:hint="eastAsia" w:ascii="Arial" w:hAnsi="Arial" w:cs="Arial"/>
          <w:kern w:val="44"/>
          <w:sz w:val="21"/>
          <w:szCs w:val="21"/>
          <w:lang w:val="en-US" w:eastAsia="zh-CN"/>
        </w:rPr>
        <w:t>与</w:t>
      </w:r>
      <w:r>
        <w:rPr>
          <w:rFonts w:hint="eastAsia" w:ascii="Arial" w:hAnsi="Arial" w:cs="Arial"/>
          <w:kern w:val="44"/>
          <w:sz w:val="21"/>
          <w:szCs w:val="21"/>
        </w:rPr>
        <w:t>保理金额</w:t>
      </w:r>
      <w:r>
        <w:rPr>
          <w:rFonts w:hint="eastAsia" w:ascii="Arial" w:hAnsi="Arial" w:cs="Arial"/>
          <w:kern w:val="44"/>
          <w:sz w:val="21"/>
          <w:szCs w:val="21"/>
          <w:lang w:val="en-US" w:eastAsia="zh-CN"/>
        </w:rPr>
        <w:t xml:space="preserve">），截至5月31日未兑付的商业承兑汇票总额为 </w:t>
      </w:r>
      <w:r>
        <w:rPr>
          <w:rFonts w:hint="eastAsia" w:ascii="Arial" w:hAnsi="Arial" w:cs="Arial"/>
          <w:kern w:val="44"/>
          <w:sz w:val="21"/>
          <w:szCs w:val="21"/>
        </w:rPr>
        <w:t>26</w:t>
      </w:r>
      <w:r>
        <w:rPr>
          <w:rFonts w:hint="eastAsia" w:ascii="Arial" w:hAnsi="Arial" w:cs="Arial"/>
          <w:kern w:val="44"/>
          <w:sz w:val="21"/>
          <w:szCs w:val="21"/>
          <w:lang w:val="en-US" w:eastAsia="zh-CN"/>
        </w:rPr>
        <w:t>,</w:t>
      </w:r>
      <w:r>
        <w:rPr>
          <w:rFonts w:hint="eastAsia" w:ascii="Arial" w:hAnsi="Arial" w:cs="Arial"/>
          <w:kern w:val="44"/>
          <w:sz w:val="21"/>
          <w:szCs w:val="21"/>
        </w:rPr>
        <w:t>260</w:t>
      </w:r>
      <w:r>
        <w:rPr>
          <w:rFonts w:hint="eastAsia" w:ascii="Arial" w:hAnsi="Arial" w:cs="Arial"/>
          <w:kern w:val="44"/>
          <w:sz w:val="21"/>
          <w:szCs w:val="21"/>
          <w:lang w:val="en-US" w:eastAsia="zh-CN"/>
        </w:rPr>
        <w:t>,</w:t>
      </w:r>
      <w:r>
        <w:rPr>
          <w:rFonts w:hint="eastAsia" w:ascii="Arial" w:hAnsi="Arial" w:cs="Arial"/>
          <w:kern w:val="44"/>
          <w:sz w:val="21"/>
          <w:szCs w:val="21"/>
        </w:rPr>
        <w:t>580.94元，项目公司提供的明细台账累计未兑付的商业承兑汇票金额为14</w:t>
      </w:r>
      <w:r>
        <w:rPr>
          <w:rFonts w:hint="eastAsia" w:ascii="Arial" w:hAnsi="Arial" w:cs="Arial"/>
          <w:kern w:val="44"/>
          <w:sz w:val="21"/>
          <w:szCs w:val="21"/>
          <w:lang w:val="en-US" w:eastAsia="zh-CN"/>
        </w:rPr>
        <w:t>,</w:t>
      </w:r>
      <w:r>
        <w:rPr>
          <w:rFonts w:hint="eastAsia" w:ascii="Arial" w:hAnsi="Arial" w:cs="Arial"/>
          <w:kern w:val="44"/>
          <w:sz w:val="21"/>
          <w:szCs w:val="21"/>
        </w:rPr>
        <w:t>710</w:t>
      </w:r>
      <w:r>
        <w:rPr>
          <w:rFonts w:hint="eastAsia" w:ascii="Arial" w:hAnsi="Arial" w:cs="Arial"/>
          <w:kern w:val="44"/>
          <w:sz w:val="21"/>
          <w:szCs w:val="21"/>
          <w:lang w:val="en-US" w:eastAsia="zh-CN"/>
        </w:rPr>
        <w:t>,</w:t>
      </w:r>
      <w:r>
        <w:rPr>
          <w:rFonts w:hint="eastAsia" w:ascii="Arial" w:hAnsi="Arial" w:cs="Arial"/>
          <w:kern w:val="44"/>
          <w:sz w:val="21"/>
          <w:szCs w:val="21"/>
        </w:rPr>
        <w:t>125.05元，保理金额为11</w:t>
      </w:r>
      <w:r>
        <w:rPr>
          <w:rFonts w:hint="eastAsia" w:ascii="Arial" w:hAnsi="Arial" w:cs="Arial"/>
          <w:kern w:val="44"/>
          <w:sz w:val="21"/>
          <w:szCs w:val="21"/>
          <w:lang w:val="en-US" w:eastAsia="zh-CN"/>
        </w:rPr>
        <w:t>,</w:t>
      </w:r>
      <w:r>
        <w:rPr>
          <w:rFonts w:hint="eastAsia" w:ascii="Arial" w:hAnsi="Arial" w:cs="Arial"/>
          <w:kern w:val="44"/>
          <w:sz w:val="21"/>
          <w:szCs w:val="21"/>
        </w:rPr>
        <w:t>550</w:t>
      </w:r>
      <w:r>
        <w:rPr>
          <w:rFonts w:hint="eastAsia" w:ascii="Arial" w:hAnsi="Arial" w:cs="Arial"/>
          <w:kern w:val="44"/>
          <w:sz w:val="21"/>
          <w:szCs w:val="21"/>
          <w:lang w:val="en-US" w:eastAsia="zh-CN"/>
        </w:rPr>
        <w:t>,</w:t>
      </w:r>
      <w:r>
        <w:rPr>
          <w:rFonts w:hint="eastAsia" w:ascii="Arial" w:hAnsi="Arial" w:cs="Arial"/>
          <w:kern w:val="44"/>
          <w:sz w:val="21"/>
          <w:szCs w:val="21"/>
        </w:rPr>
        <w:t>455.89</w:t>
      </w:r>
      <w:r>
        <w:rPr>
          <w:rFonts w:hint="eastAsia" w:ascii="Arial" w:hAnsi="Arial" w:cs="Arial"/>
          <w:kern w:val="44"/>
          <w:sz w:val="21"/>
          <w:szCs w:val="21"/>
          <w:lang w:val="en-US" w:eastAsia="zh-CN"/>
        </w:rPr>
        <w:t>元。</w:t>
      </w:r>
    </w:p>
    <w:p>
      <w:pPr>
        <w:ind w:left="420"/>
        <w:jc w:val="center"/>
        <w:rPr>
          <w:rFonts w:ascii="宋体" w:hAnsi="宋体" w:cs="宋体"/>
          <w:b/>
          <w:sz w:val="21"/>
          <w:szCs w:val="21"/>
        </w:rPr>
      </w:pPr>
      <w:r>
        <w:rPr>
          <w:rFonts w:hint="eastAsia" w:ascii="宋体" w:hAnsi="宋体" w:cs="宋体"/>
          <w:b/>
          <w:sz w:val="21"/>
          <w:szCs w:val="21"/>
        </w:rPr>
        <w:t>表十一：其他融资情况</w:t>
      </w:r>
    </w:p>
    <w:tbl>
      <w:tblPr>
        <w:tblStyle w:val="18"/>
        <w:tblW w:w="8500" w:type="dxa"/>
        <w:tblInd w:w="0" w:type="dxa"/>
        <w:tblLayout w:type="autofit"/>
        <w:tblCellMar>
          <w:top w:w="0" w:type="dxa"/>
          <w:left w:w="108" w:type="dxa"/>
          <w:bottom w:w="0" w:type="dxa"/>
          <w:right w:w="108" w:type="dxa"/>
        </w:tblCellMar>
      </w:tblPr>
      <w:tblGrid>
        <w:gridCol w:w="1040"/>
        <w:gridCol w:w="2900"/>
        <w:gridCol w:w="1520"/>
        <w:gridCol w:w="1520"/>
        <w:gridCol w:w="1520"/>
      </w:tblGrid>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序号</w:t>
            </w:r>
          </w:p>
        </w:tc>
        <w:tc>
          <w:tcPr>
            <w:tcW w:w="290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项目</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商业承兑汇票</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保理</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其他</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截至上月累计未兑付余额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本月新增</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3</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本月到期兑付</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4</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截至本月累计未兑付余额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eastAsia"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14,710,125.05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eastAsia"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11,550,455.89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5</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截至本月累计发生额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6</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本月到期未兑付</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7</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累计到期未兑付余额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138,959.00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8</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被监管对象应承担利息金额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9</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承担利息方式</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赶工奖</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赶工奖</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10</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已付利息</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11</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未付利息</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bl>
    <w:p>
      <w:pPr>
        <w:jc w:val="both"/>
        <w:rPr>
          <w:rFonts w:hint="eastAsia" w:ascii="宋体" w:hAnsi="宋体" w:cs="宋体"/>
          <w:b/>
          <w:sz w:val="21"/>
          <w:szCs w:val="21"/>
        </w:rPr>
      </w:pPr>
    </w:p>
    <w:p>
      <w:pPr>
        <w:jc w:val="center"/>
        <w:rPr>
          <w:rFonts w:ascii="宋体" w:hAnsi="宋体" w:cs="宋体"/>
          <w:b/>
          <w:sz w:val="21"/>
          <w:szCs w:val="21"/>
        </w:rPr>
      </w:pPr>
      <w:r>
        <w:rPr>
          <w:rFonts w:hint="eastAsia" w:ascii="宋体" w:hAnsi="宋体" w:cs="宋体"/>
          <w:b/>
          <w:sz w:val="21"/>
          <w:szCs w:val="21"/>
        </w:rPr>
        <w:t>表十一：其他融资到期情况</w:t>
      </w:r>
    </w:p>
    <w:tbl>
      <w:tblPr>
        <w:tblStyle w:val="18"/>
        <w:tblW w:w="9120" w:type="dxa"/>
        <w:tblInd w:w="0" w:type="dxa"/>
        <w:tblLayout w:type="fixed"/>
        <w:tblCellMar>
          <w:top w:w="0" w:type="dxa"/>
          <w:left w:w="108" w:type="dxa"/>
          <w:bottom w:w="0" w:type="dxa"/>
          <w:right w:w="108" w:type="dxa"/>
        </w:tblCellMar>
      </w:tblPr>
      <w:tblGrid>
        <w:gridCol w:w="999"/>
        <w:gridCol w:w="1625"/>
        <w:gridCol w:w="1624"/>
        <w:gridCol w:w="1624"/>
        <w:gridCol w:w="1624"/>
        <w:gridCol w:w="1624"/>
      </w:tblGrid>
      <w:tr>
        <w:tblPrEx>
          <w:tblCellMar>
            <w:top w:w="0" w:type="dxa"/>
            <w:left w:w="108" w:type="dxa"/>
            <w:bottom w:w="0" w:type="dxa"/>
            <w:right w:w="108" w:type="dxa"/>
          </w:tblCellMar>
        </w:tblPrEx>
        <w:trPr>
          <w:trHeight w:val="278" w:hRule="atLeast"/>
          <w:tblHeader/>
        </w:trPr>
        <w:tc>
          <w:tcPr>
            <w:tcW w:w="10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序号</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到期时间</w:t>
            </w:r>
          </w:p>
        </w:tc>
        <w:tc>
          <w:tcPr>
            <w:tcW w:w="1701" w:type="dxa"/>
            <w:gridSpan w:val="4"/>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到期金额</w:t>
            </w:r>
          </w:p>
        </w:tc>
      </w:tr>
      <w:tr>
        <w:tblPrEx>
          <w:tblCellMar>
            <w:top w:w="0" w:type="dxa"/>
            <w:left w:w="108" w:type="dxa"/>
            <w:bottom w:w="0" w:type="dxa"/>
            <w:right w:w="108" w:type="dxa"/>
          </w:tblCellMar>
        </w:tblPrEx>
        <w:trPr>
          <w:trHeight w:val="278" w:hRule="atLeast"/>
          <w:tblHeader/>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b/>
                <w:bCs/>
                <w:color w:val="000000"/>
                <w:kern w:val="2"/>
                <w:sz w:val="18"/>
                <w:szCs w:val="18"/>
                <w:lang w:bidi="ar"/>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b/>
                <w:bCs/>
                <w:color w:val="000000"/>
                <w:kern w:val="2"/>
                <w:sz w:val="18"/>
                <w:szCs w:val="18"/>
                <w:lang w:bidi="ar"/>
              </w:rPr>
            </w:pP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商业承兑汇票</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保理</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其他</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合计</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2021年3月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2021年4月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138,959.00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138,959.00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2021年5月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2021年6月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6,009,531.80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6,009,531.80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7</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2021年7月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5,183,878.00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5,183,878.00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8</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2021年8月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3,377,756.25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3,377,756.25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9</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2021年9月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2,731,086.89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2,731,086.89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2021年10月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4,333,969.00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4,333,969.00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2022年1月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2,220,000.00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2,220,000.00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2022年2月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2,265,400.00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2,265,400.00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合计</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14,710,125.05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11,550,455.89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26,260,580.94 </w:t>
            </w:r>
          </w:p>
        </w:tc>
      </w:tr>
    </w:tbl>
    <w:p>
      <w:pPr>
        <w:rPr>
          <w:rFonts w:ascii="宋体" w:hAnsi="宋体" w:cs="宋体"/>
          <w:bCs/>
          <w:sz w:val="21"/>
          <w:szCs w:val="21"/>
        </w:rPr>
      </w:pPr>
    </w:p>
    <w:p>
      <w:pPr>
        <w:pStyle w:val="3"/>
        <w:keepNext w:val="0"/>
        <w:keepLines w:val="0"/>
        <w:spacing w:before="300" w:after="300" w:line="360" w:lineRule="exact"/>
        <w:jc w:val="left"/>
        <w:rPr>
          <w:rFonts w:ascii="Arial" w:hAnsi="Arial" w:eastAsia="宋体" w:cs="Arial"/>
          <w:bCs/>
          <w:color w:val="000000"/>
          <w:sz w:val="24"/>
          <w:szCs w:val="24"/>
        </w:rPr>
      </w:pPr>
      <w:bookmarkStart w:id="54" w:name="_Toc972"/>
      <w:bookmarkStart w:id="55" w:name="_Toc20728"/>
      <w:bookmarkStart w:id="56" w:name="_Toc66115204"/>
      <w:r>
        <w:rPr>
          <w:rFonts w:hint="eastAsia" w:ascii="Arial" w:hAnsi="Arial" w:eastAsia="宋体" w:cs="Arial"/>
          <w:bCs/>
          <w:color w:val="000000"/>
          <w:sz w:val="24"/>
          <w:szCs w:val="24"/>
        </w:rPr>
        <w:t>十、项目周边竞品情况分析</w:t>
      </w:r>
      <w:bookmarkEnd w:id="54"/>
      <w:bookmarkEnd w:id="55"/>
      <w:bookmarkEnd w:id="56"/>
    </w:p>
    <w:p>
      <w:pPr>
        <w:spacing w:line="480" w:lineRule="auto"/>
        <w:ind w:firstLine="420" w:firstLineChars="200"/>
        <w:rPr>
          <w:rFonts w:hint="eastAsia" w:ascii="Arial" w:hAnsi="Arial" w:cs="Arial"/>
          <w:kern w:val="44"/>
          <w:sz w:val="21"/>
        </w:rPr>
      </w:pPr>
      <w:r>
        <w:rPr>
          <w:rFonts w:hint="eastAsia" w:ascii="Arial" w:hAnsi="Arial" w:cs="Arial"/>
          <w:kern w:val="44"/>
          <w:sz w:val="21"/>
        </w:rPr>
        <w:t>本项目位于宜宾老城区，土地供应较少，周边无在售新盘，项目竞品少，属于稀缺地段。选取距本项目3-6公里项目参照如下，项目售价基本在8000-9000元/平方米左右，去化量相对平稳。</w:t>
      </w:r>
    </w:p>
    <w:tbl>
      <w:tblPr>
        <w:tblStyle w:val="18"/>
        <w:tblW w:w="9154" w:type="dxa"/>
        <w:jc w:val="center"/>
        <w:tblLayout w:type="fixed"/>
        <w:tblCellMar>
          <w:top w:w="0" w:type="dxa"/>
          <w:left w:w="108" w:type="dxa"/>
          <w:bottom w:w="0" w:type="dxa"/>
          <w:right w:w="108" w:type="dxa"/>
        </w:tblCellMar>
      </w:tblPr>
      <w:tblGrid>
        <w:gridCol w:w="1305"/>
        <w:gridCol w:w="2070"/>
        <w:gridCol w:w="2025"/>
        <w:gridCol w:w="1909"/>
        <w:gridCol w:w="1845"/>
      </w:tblGrid>
      <w:tr>
        <w:tblPrEx>
          <w:tblCellMar>
            <w:top w:w="0" w:type="dxa"/>
            <w:left w:w="108" w:type="dxa"/>
            <w:bottom w:w="0" w:type="dxa"/>
            <w:right w:w="108" w:type="dxa"/>
          </w:tblCellMar>
        </w:tblPrEx>
        <w:trPr>
          <w:trHeight w:val="322" w:hRule="atLeast"/>
          <w:tblHeader/>
          <w:jc w:val="center"/>
        </w:trPr>
        <w:tc>
          <w:tcPr>
            <w:tcW w:w="1305" w:type="dxa"/>
            <w:tcBorders>
              <w:top w:val="single" w:color="auto" w:sz="4" w:space="0"/>
              <w:left w:val="single" w:color="auto" w:sz="4" w:space="0"/>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项目名称</w:t>
            </w:r>
          </w:p>
        </w:tc>
        <w:tc>
          <w:tcPr>
            <w:tcW w:w="2070"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绿地-城际空间站</w:t>
            </w:r>
          </w:p>
        </w:tc>
        <w:tc>
          <w:tcPr>
            <w:tcW w:w="2025"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正黄-翡翠堂</w:t>
            </w:r>
          </w:p>
        </w:tc>
        <w:tc>
          <w:tcPr>
            <w:tcW w:w="1909"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鸿山-金域华庭</w:t>
            </w:r>
          </w:p>
        </w:tc>
        <w:tc>
          <w:tcPr>
            <w:tcW w:w="1845"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世茂金座·云锦</w:t>
            </w:r>
          </w:p>
        </w:tc>
      </w:tr>
      <w:tr>
        <w:tblPrEx>
          <w:tblCellMar>
            <w:top w:w="0" w:type="dxa"/>
            <w:left w:w="108" w:type="dxa"/>
            <w:bottom w:w="0" w:type="dxa"/>
            <w:right w:w="108" w:type="dxa"/>
          </w:tblCellMar>
        </w:tblPrEx>
        <w:trPr>
          <w:trHeight w:val="761"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距离</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约4km</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约3km</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约6km</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90"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楼盘定位</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刚需/刚改/改善</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刚改/改善（洋房）</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刚需</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刚需/刚改</w:t>
            </w:r>
          </w:p>
        </w:tc>
      </w:tr>
      <w:tr>
        <w:tblPrEx>
          <w:tblCellMar>
            <w:top w:w="0" w:type="dxa"/>
            <w:left w:w="108" w:type="dxa"/>
            <w:bottom w:w="0" w:type="dxa"/>
            <w:right w:w="108" w:type="dxa"/>
          </w:tblCellMar>
        </w:tblPrEx>
        <w:trPr>
          <w:trHeight w:val="427"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开发商</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绿地集团宜宾</w:t>
            </w:r>
          </w:p>
          <w:p>
            <w:pPr>
              <w:jc w:val="center"/>
              <w:rPr>
                <w:rFonts w:ascii="Arial" w:hAnsi="Arial" w:cs="Arial"/>
                <w:bCs/>
                <w:sz w:val="18"/>
                <w:szCs w:val="18"/>
                <w:lang w:bidi="ar"/>
              </w:rPr>
            </w:pPr>
            <w:r>
              <w:rPr>
                <w:rFonts w:hint="eastAsia" w:ascii="Arial" w:hAnsi="Arial" w:cs="Arial"/>
                <w:bCs/>
                <w:sz w:val="18"/>
                <w:szCs w:val="18"/>
                <w:lang w:bidi="ar"/>
              </w:rPr>
              <w:t>置业有限公司</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宜宾同瑞置业有限公司</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宜宾鸿山房地产</w:t>
            </w:r>
          </w:p>
          <w:p>
            <w:pPr>
              <w:jc w:val="center"/>
              <w:rPr>
                <w:rFonts w:ascii="Arial" w:hAnsi="Arial" w:cs="Arial"/>
                <w:bCs/>
                <w:sz w:val="18"/>
                <w:szCs w:val="18"/>
                <w:lang w:bidi="ar"/>
              </w:rPr>
            </w:pPr>
            <w:r>
              <w:rPr>
                <w:rFonts w:hint="eastAsia" w:ascii="Arial" w:hAnsi="Arial" w:cs="Arial"/>
                <w:bCs/>
                <w:sz w:val="18"/>
                <w:szCs w:val="18"/>
                <w:lang w:bidi="ar"/>
              </w:rPr>
              <w:t>开发经营有限公司</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宜宾骏继洪骥</w:t>
            </w:r>
          </w:p>
          <w:p>
            <w:pPr>
              <w:jc w:val="center"/>
              <w:rPr>
                <w:rFonts w:ascii="Arial" w:hAnsi="Arial" w:cs="Arial"/>
                <w:bCs/>
                <w:sz w:val="18"/>
                <w:szCs w:val="18"/>
                <w:lang w:bidi="ar"/>
              </w:rPr>
            </w:pPr>
            <w:r>
              <w:rPr>
                <w:rFonts w:hint="eastAsia" w:ascii="Arial" w:hAnsi="Arial" w:cs="Arial"/>
                <w:bCs/>
                <w:sz w:val="18"/>
                <w:szCs w:val="18"/>
                <w:lang w:bidi="ar"/>
              </w:rPr>
              <w:t>置业有限责任公司</w:t>
            </w:r>
          </w:p>
        </w:tc>
      </w:tr>
      <w:tr>
        <w:tblPrEx>
          <w:tblCellMar>
            <w:top w:w="0" w:type="dxa"/>
            <w:left w:w="108" w:type="dxa"/>
            <w:bottom w:w="0" w:type="dxa"/>
            <w:right w:w="108" w:type="dxa"/>
          </w:tblCellMar>
        </w:tblPrEx>
        <w:trPr>
          <w:trHeight w:val="369"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开盘时间</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2018年11月</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2020年5月</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2020年5月</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2020年10月</w:t>
            </w:r>
          </w:p>
        </w:tc>
      </w:tr>
      <w:tr>
        <w:tblPrEx>
          <w:tblCellMar>
            <w:top w:w="0" w:type="dxa"/>
            <w:left w:w="108" w:type="dxa"/>
            <w:bottom w:w="0" w:type="dxa"/>
            <w:right w:w="108" w:type="dxa"/>
          </w:tblCellMar>
        </w:tblPrEx>
        <w:trPr>
          <w:trHeight w:val="1083"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主要户型</w:t>
            </w:r>
          </w:p>
        </w:tc>
        <w:tc>
          <w:tcPr>
            <w:tcW w:w="2070" w:type="dxa"/>
            <w:tcBorders>
              <w:top w:val="nil"/>
              <w:left w:val="single" w:color="auto" w:sz="4" w:space="0"/>
              <w:bottom w:val="single" w:color="000000" w:sz="4" w:space="0"/>
              <w:right w:val="single" w:color="auto" w:sz="4" w:space="0"/>
            </w:tcBorders>
            <w:vAlign w:val="center"/>
          </w:tcPr>
          <w:p>
            <w:pPr>
              <w:jc w:val="left"/>
              <w:rPr>
                <w:rFonts w:ascii="Arial" w:hAnsi="Arial" w:cs="Arial"/>
                <w:bCs/>
                <w:sz w:val="18"/>
                <w:szCs w:val="18"/>
                <w:lang w:bidi="ar"/>
              </w:rPr>
            </w:pPr>
            <w:r>
              <w:rPr>
                <w:rFonts w:hint="eastAsia" w:ascii="Arial" w:hAnsi="Arial" w:cs="Arial"/>
                <w:bCs/>
                <w:sz w:val="18"/>
                <w:szCs w:val="18"/>
                <w:lang w:bidi="ar"/>
              </w:rPr>
              <w:t>两室两厅两卫75㎡</w:t>
            </w:r>
          </w:p>
          <w:p>
            <w:pPr>
              <w:jc w:val="left"/>
              <w:rPr>
                <w:rFonts w:ascii="Arial" w:hAnsi="Arial" w:cs="Arial"/>
                <w:bCs/>
                <w:sz w:val="18"/>
                <w:szCs w:val="18"/>
                <w:lang w:bidi="ar"/>
              </w:rPr>
            </w:pPr>
            <w:r>
              <w:rPr>
                <w:rFonts w:hint="eastAsia" w:ascii="Arial" w:hAnsi="Arial" w:cs="Arial"/>
                <w:bCs/>
                <w:sz w:val="18"/>
                <w:szCs w:val="18"/>
                <w:lang w:bidi="ar"/>
              </w:rPr>
              <w:t>三室两厅两卫121㎡</w:t>
            </w:r>
          </w:p>
          <w:p>
            <w:pPr>
              <w:jc w:val="left"/>
              <w:rPr>
                <w:rFonts w:ascii="Arial" w:hAnsi="Arial" w:cs="Arial"/>
                <w:bCs/>
                <w:sz w:val="18"/>
                <w:szCs w:val="18"/>
                <w:lang w:bidi="ar"/>
              </w:rPr>
            </w:pPr>
            <w:r>
              <w:rPr>
                <w:rFonts w:hint="eastAsia" w:ascii="Arial" w:hAnsi="Arial" w:cs="Arial"/>
                <w:bCs/>
                <w:sz w:val="18"/>
                <w:szCs w:val="18"/>
                <w:lang w:bidi="ar"/>
              </w:rPr>
              <w:t>四室两厅两卫130㎡</w:t>
            </w:r>
          </w:p>
        </w:tc>
        <w:tc>
          <w:tcPr>
            <w:tcW w:w="2025" w:type="dxa"/>
            <w:tcBorders>
              <w:top w:val="single" w:color="auto" w:sz="4" w:space="0"/>
              <w:left w:val="single" w:color="auto" w:sz="4" w:space="0"/>
              <w:right w:val="single" w:color="auto" w:sz="4" w:space="0"/>
            </w:tcBorders>
          </w:tcPr>
          <w:p>
            <w:pPr>
              <w:jc w:val="left"/>
              <w:rPr>
                <w:rFonts w:ascii="Arial" w:hAnsi="Arial" w:cs="Arial"/>
                <w:bCs/>
                <w:sz w:val="18"/>
                <w:szCs w:val="18"/>
                <w:lang w:bidi="ar"/>
              </w:rPr>
            </w:pPr>
            <w:r>
              <w:rPr>
                <w:rFonts w:hint="eastAsia" w:ascii="Arial" w:hAnsi="Arial" w:cs="Arial"/>
                <w:bCs/>
                <w:sz w:val="18"/>
                <w:szCs w:val="18"/>
                <w:lang w:bidi="ar"/>
              </w:rPr>
              <w:t>三室两厅两卫99㎡</w:t>
            </w:r>
          </w:p>
          <w:p>
            <w:pPr>
              <w:jc w:val="left"/>
              <w:rPr>
                <w:rFonts w:ascii="Arial" w:hAnsi="Arial" w:cs="Arial"/>
                <w:bCs/>
                <w:sz w:val="18"/>
                <w:szCs w:val="18"/>
                <w:lang w:bidi="ar"/>
              </w:rPr>
            </w:pPr>
            <w:r>
              <w:rPr>
                <w:rFonts w:hint="eastAsia" w:ascii="Arial" w:hAnsi="Arial" w:cs="Arial"/>
                <w:bCs/>
                <w:sz w:val="18"/>
                <w:szCs w:val="18"/>
                <w:lang w:bidi="ar"/>
              </w:rPr>
              <w:t>三室两厅两卫107㎡</w:t>
            </w:r>
          </w:p>
          <w:p>
            <w:pPr>
              <w:jc w:val="left"/>
              <w:rPr>
                <w:rFonts w:ascii="Arial" w:hAnsi="Arial" w:cs="Arial"/>
                <w:bCs/>
                <w:sz w:val="18"/>
                <w:szCs w:val="18"/>
                <w:lang w:bidi="ar"/>
              </w:rPr>
            </w:pPr>
            <w:r>
              <w:rPr>
                <w:rFonts w:hint="eastAsia" w:ascii="Arial" w:hAnsi="Arial" w:cs="Arial"/>
                <w:bCs/>
                <w:sz w:val="18"/>
                <w:szCs w:val="18"/>
                <w:lang w:bidi="ar"/>
              </w:rPr>
              <w:t>三室两厅两卫101㎡</w:t>
            </w:r>
          </w:p>
          <w:p>
            <w:pPr>
              <w:jc w:val="left"/>
              <w:rPr>
                <w:rFonts w:ascii="Arial" w:hAnsi="Arial" w:cs="Arial"/>
                <w:bCs/>
                <w:sz w:val="18"/>
                <w:szCs w:val="18"/>
                <w:lang w:bidi="ar"/>
              </w:rPr>
            </w:pPr>
            <w:r>
              <w:rPr>
                <w:rFonts w:hint="eastAsia" w:ascii="Arial" w:hAnsi="Arial" w:cs="Arial"/>
                <w:bCs/>
                <w:sz w:val="18"/>
                <w:szCs w:val="18"/>
                <w:lang w:bidi="ar"/>
              </w:rPr>
              <w:t>五室两厅三卫134㎡</w:t>
            </w:r>
          </w:p>
          <w:p>
            <w:pPr>
              <w:jc w:val="left"/>
              <w:rPr>
                <w:rFonts w:ascii="Arial" w:hAnsi="Arial" w:cs="Arial"/>
                <w:bCs/>
                <w:sz w:val="18"/>
                <w:szCs w:val="18"/>
                <w:lang w:bidi="ar"/>
              </w:rPr>
            </w:pPr>
            <w:r>
              <w:rPr>
                <w:rFonts w:hint="eastAsia" w:ascii="Arial" w:hAnsi="Arial" w:cs="Arial"/>
                <w:bCs/>
                <w:sz w:val="18"/>
                <w:szCs w:val="18"/>
                <w:lang w:bidi="ar"/>
              </w:rPr>
              <w:t>五室两厅三卫150㎡</w:t>
            </w:r>
          </w:p>
        </w:tc>
        <w:tc>
          <w:tcPr>
            <w:tcW w:w="1909" w:type="dxa"/>
            <w:tcBorders>
              <w:top w:val="single" w:color="auto" w:sz="4" w:space="0"/>
              <w:left w:val="single" w:color="auto" w:sz="4" w:space="0"/>
              <w:right w:val="single" w:color="auto" w:sz="4" w:space="0"/>
            </w:tcBorders>
            <w:vAlign w:val="center"/>
          </w:tcPr>
          <w:p>
            <w:pPr>
              <w:jc w:val="left"/>
              <w:rPr>
                <w:rFonts w:ascii="Arial" w:hAnsi="Arial" w:cs="Arial"/>
                <w:bCs/>
                <w:sz w:val="18"/>
                <w:szCs w:val="18"/>
                <w:lang w:bidi="ar"/>
              </w:rPr>
            </w:pPr>
            <w:r>
              <w:rPr>
                <w:rFonts w:hint="eastAsia" w:ascii="Arial" w:hAnsi="Arial" w:cs="Arial"/>
                <w:bCs/>
                <w:sz w:val="18"/>
                <w:szCs w:val="18"/>
                <w:lang w:bidi="ar"/>
              </w:rPr>
              <w:t>两房两厅一卫74㎡</w:t>
            </w:r>
          </w:p>
          <w:p>
            <w:pPr>
              <w:jc w:val="left"/>
              <w:rPr>
                <w:rFonts w:ascii="Arial" w:hAnsi="Arial" w:cs="Arial"/>
                <w:bCs/>
                <w:sz w:val="18"/>
                <w:szCs w:val="18"/>
                <w:lang w:bidi="ar"/>
              </w:rPr>
            </w:pPr>
            <w:r>
              <w:rPr>
                <w:rFonts w:hint="eastAsia" w:ascii="Arial" w:hAnsi="Arial" w:cs="Arial"/>
                <w:bCs/>
                <w:sz w:val="18"/>
                <w:szCs w:val="18"/>
                <w:lang w:bidi="ar"/>
              </w:rPr>
              <w:t>三房两厅一卫82㎡</w:t>
            </w:r>
          </w:p>
          <w:p>
            <w:pPr>
              <w:jc w:val="left"/>
              <w:rPr>
                <w:rFonts w:ascii="Arial" w:hAnsi="Arial" w:cs="Arial"/>
                <w:bCs/>
                <w:sz w:val="18"/>
                <w:szCs w:val="18"/>
                <w:lang w:bidi="ar"/>
              </w:rPr>
            </w:pPr>
            <w:r>
              <w:rPr>
                <w:rFonts w:hint="eastAsia" w:ascii="Arial" w:hAnsi="Arial" w:cs="Arial"/>
                <w:bCs/>
                <w:sz w:val="18"/>
                <w:szCs w:val="18"/>
                <w:lang w:bidi="ar"/>
              </w:rPr>
              <w:t>三房两厅两卫91㎡</w:t>
            </w:r>
          </w:p>
          <w:p>
            <w:pPr>
              <w:jc w:val="left"/>
              <w:rPr>
                <w:rFonts w:ascii="Arial" w:hAnsi="Arial" w:cs="Arial"/>
                <w:bCs/>
                <w:sz w:val="18"/>
                <w:szCs w:val="18"/>
                <w:lang w:bidi="ar"/>
              </w:rPr>
            </w:pPr>
            <w:r>
              <w:rPr>
                <w:rFonts w:hint="eastAsia" w:ascii="Arial" w:hAnsi="Arial" w:cs="Arial"/>
                <w:bCs/>
                <w:sz w:val="18"/>
                <w:szCs w:val="18"/>
                <w:lang w:bidi="ar"/>
              </w:rPr>
              <w:t>四房两厅两卫105㎡</w:t>
            </w:r>
          </w:p>
        </w:tc>
        <w:tc>
          <w:tcPr>
            <w:tcW w:w="1845" w:type="dxa"/>
            <w:tcBorders>
              <w:top w:val="single" w:color="auto" w:sz="4" w:space="0"/>
              <w:left w:val="single" w:color="auto" w:sz="4" w:space="0"/>
              <w:right w:val="single" w:color="auto" w:sz="4" w:space="0"/>
            </w:tcBorders>
            <w:vAlign w:val="center"/>
          </w:tcPr>
          <w:p>
            <w:pPr>
              <w:jc w:val="left"/>
              <w:rPr>
                <w:rFonts w:ascii="Arial" w:hAnsi="Arial" w:cs="Arial"/>
                <w:bCs/>
                <w:sz w:val="18"/>
                <w:szCs w:val="18"/>
                <w:lang w:bidi="ar"/>
              </w:rPr>
            </w:pPr>
            <w:r>
              <w:rPr>
                <w:rFonts w:hint="eastAsia" w:ascii="Arial" w:hAnsi="Arial" w:cs="Arial"/>
                <w:bCs/>
                <w:sz w:val="18"/>
                <w:szCs w:val="18"/>
                <w:lang w:bidi="ar"/>
              </w:rPr>
              <w:t>三房两厅两卫87㎡</w:t>
            </w:r>
          </w:p>
          <w:p>
            <w:pPr>
              <w:jc w:val="left"/>
              <w:rPr>
                <w:rFonts w:ascii="Arial" w:hAnsi="Arial" w:cs="Arial"/>
                <w:bCs/>
                <w:sz w:val="18"/>
                <w:szCs w:val="18"/>
                <w:lang w:bidi="ar"/>
              </w:rPr>
            </w:pPr>
            <w:r>
              <w:rPr>
                <w:rFonts w:hint="eastAsia" w:ascii="Arial" w:hAnsi="Arial" w:cs="Arial"/>
                <w:bCs/>
                <w:sz w:val="18"/>
                <w:szCs w:val="18"/>
                <w:lang w:bidi="ar"/>
              </w:rPr>
              <w:t>三房两厅两卫97㎡</w:t>
            </w:r>
          </w:p>
          <w:p>
            <w:pPr>
              <w:jc w:val="left"/>
              <w:rPr>
                <w:rFonts w:ascii="Arial" w:hAnsi="Arial" w:cs="Arial"/>
                <w:bCs/>
                <w:sz w:val="18"/>
                <w:szCs w:val="18"/>
                <w:lang w:bidi="ar"/>
              </w:rPr>
            </w:pPr>
            <w:r>
              <w:rPr>
                <w:rFonts w:hint="eastAsia" w:ascii="Arial" w:hAnsi="Arial" w:cs="Arial"/>
                <w:bCs/>
                <w:sz w:val="18"/>
                <w:szCs w:val="18"/>
                <w:lang w:bidi="ar"/>
              </w:rPr>
              <w:t>四房两厅两卫108㎡</w:t>
            </w:r>
          </w:p>
        </w:tc>
      </w:tr>
      <w:tr>
        <w:tblPrEx>
          <w:tblCellMar>
            <w:top w:w="0" w:type="dxa"/>
            <w:left w:w="108" w:type="dxa"/>
            <w:bottom w:w="0" w:type="dxa"/>
            <w:right w:w="108" w:type="dxa"/>
          </w:tblCellMar>
        </w:tblPrEx>
        <w:trPr>
          <w:trHeight w:val="329"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容积率</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3.0</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2.5</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2.5</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4.0</w:t>
            </w:r>
          </w:p>
        </w:tc>
      </w:tr>
      <w:tr>
        <w:tblPrEx>
          <w:tblCellMar>
            <w:top w:w="0" w:type="dxa"/>
            <w:left w:w="108" w:type="dxa"/>
            <w:bottom w:w="0" w:type="dxa"/>
            <w:right w:w="108" w:type="dxa"/>
          </w:tblCellMar>
        </w:tblPrEx>
        <w:trPr>
          <w:trHeight w:val="289"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装修状况</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总建筑面积</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280万㎡</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18万㎡</w:t>
            </w:r>
          </w:p>
        </w:tc>
        <w:tc>
          <w:tcPr>
            <w:tcW w:w="19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15.8万㎡</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18万㎡</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近三个月月均成交量</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16800</w:t>
            </w:r>
            <w:r>
              <w:rPr>
                <w:rFonts w:hint="eastAsia" w:ascii="Arial" w:hAnsi="Arial" w:cs="Arial"/>
                <w:bCs/>
                <w:sz w:val="18"/>
                <w:szCs w:val="18"/>
                <w:lang w:bidi="ar"/>
              </w:rPr>
              <w:t>㎡</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8800</w:t>
            </w:r>
            <w:r>
              <w:rPr>
                <w:rFonts w:hint="eastAsia" w:ascii="Arial" w:hAnsi="Arial" w:cs="Arial"/>
                <w:bCs/>
                <w:sz w:val="18"/>
                <w:szCs w:val="18"/>
                <w:lang w:bidi="ar"/>
              </w:rPr>
              <w:t>㎡</w:t>
            </w:r>
          </w:p>
        </w:tc>
        <w:tc>
          <w:tcPr>
            <w:tcW w:w="19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12000</w:t>
            </w:r>
            <w:r>
              <w:rPr>
                <w:rFonts w:hint="eastAsia" w:ascii="Arial" w:hAnsi="Arial" w:cs="Arial"/>
                <w:bCs/>
                <w:sz w:val="18"/>
                <w:szCs w:val="18"/>
                <w:lang w:bidi="ar"/>
              </w:rPr>
              <w:t>㎡</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val="en-US" w:eastAsia="zh-CN" w:bidi="ar"/>
              </w:rPr>
              <w:t>4108.87</w:t>
            </w:r>
            <w:r>
              <w:rPr>
                <w:rFonts w:hint="eastAsia" w:ascii="Arial" w:hAnsi="Arial" w:cs="Arial"/>
                <w:bCs/>
                <w:sz w:val="18"/>
                <w:szCs w:val="18"/>
                <w:lang w:bidi="ar"/>
              </w:rPr>
              <w:t>㎡</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累计已售</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43万</w:t>
            </w:r>
            <w:r>
              <w:rPr>
                <w:rFonts w:hint="eastAsia" w:ascii="Arial" w:hAnsi="Arial" w:cs="Arial"/>
                <w:bCs/>
                <w:sz w:val="18"/>
                <w:szCs w:val="18"/>
                <w:lang w:bidi="ar"/>
              </w:rPr>
              <w:t>㎡</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7.7万</w:t>
            </w:r>
            <w:r>
              <w:rPr>
                <w:rFonts w:hint="eastAsia" w:ascii="Arial" w:hAnsi="Arial" w:cs="Arial"/>
                <w:bCs/>
                <w:sz w:val="18"/>
                <w:szCs w:val="18"/>
                <w:lang w:bidi="ar"/>
              </w:rPr>
              <w:t>㎡</w:t>
            </w:r>
          </w:p>
        </w:tc>
        <w:tc>
          <w:tcPr>
            <w:tcW w:w="19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9.6万</w:t>
            </w:r>
            <w:r>
              <w:rPr>
                <w:rFonts w:hint="eastAsia" w:ascii="Arial" w:hAnsi="Arial" w:cs="Arial"/>
                <w:bCs/>
                <w:sz w:val="18"/>
                <w:szCs w:val="18"/>
                <w:lang w:bidi="ar"/>
              </w:rPr>
              <w:t>㎡</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31801.95㎡</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成交均价</w:t>
            </w:r>
          </w:p>
          <w:p>
            <w:pPr>
              <w:jc w:val="center"/>
              <w:rPr>
                <w:rFonts w:ascii="Arial" w:hAnsi="Arial" w:cs="Arial"/>
                <w:bCs/>
                <w:sz w:val="18"/>
                <w:szCs w:val="18"/>
                <w:lang w:bidi="ar"/>
              </w:rPr>
            </w:pPr>
            <w:r>
              <w:rPr>
                <w:rFonts w:hint="eastAsia" w:ascii="Arial" w:hAnsi="Arial" w:cs="Arial"/>
                <w:bCs/>
                <w:sz w:val="18"/>
                <w:szCs w:val="18"/>
                <w:lang w:bidi="ar"/>
              </w:rPr>
              <w:t>（元/㎡）</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8296</w:t>
            </w:r>
            <w:r>
              <w:rPr>
                <w:rFonts w:hint="eastAsia" w:ascii="Arial" w:hAnsi="Arial" w:cs="Arial"/>
                <w:bCs/>
                <w:sz w:val="18"/>
                <w:szCs w:val="18"/>
                <w:lang w:bidi="ar"/>
              </w:rPr>
              <w:t>元/㎡</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9500</w:t>
            </w:r>
            <w:r>
              <w:rPr>
                <w:rFonts w:hint="eastAsia" w:ascii="Arial" w:hAnsi="Arial" w:cs="Arial"/>
                <w:bCs/>
                <w:sz w:val="18"/>
                <w:szCs w:val="18"/>
                <w:lang w:bidi="ar"/>
              </w:rPr>
              <w:t>元/㎡</w:t>
            </w:r>
          </w:p>
        </w:tc>
        <w:tc>
          <w:tcPr>
            <w:tcW w:w="19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8200</w:t>
            </w:r>
            <w:r>
              <w:rPr>
                <w:rFonts w:hint="eastAsia" w:ascii="Arial" w:hAnsi="Arial" w:cs="Arial"/>
                <w:bCs/>
                <w:sz w:val="18"/>
                <w:szCs w:val="18"/>
                <w:lang w:bidi="ar"/>
              </w:rPr>
              <w:t>元/㎡</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85</w:t>
            </w:r>
            <w:r>
              <w:rPr>
                <w:rFonts w:hint="eastAsia" w:ascii="Arial" w:hAnsi="Arial" w:cs="Arial"/>
                <w:bCs/>
                <w:sz w:val="18"/>
                <w:szCs w:val="18"/>
                <w:lang w:val="en-US" w:eastAsia="zh-CN" w:bidi="ar"/>
              </w:rPr>
              <w:t>30.13</w:t>
            </w:r>
            <w:r>
              <w:rPr>
                <w:rFonts w:hint="eastAsia" w:ascii="Arial" w:hAnsi="Arial" w:cs="Arial"/>
                <w:bCs/>
                <w:sz w:val="18"/>
                <w:szCs w:val="18"/>
                <w:lang w:bidi="ar"/>
              </w:rPr>
              <w:t>元/㎡</w:t>
            </w:r>
          </w:p>
        </w:tc>
      </w:tr>
    </w:tbl>
    <w:p>
      <w:pPr>
        <w:spacing w:line="480" w:lineRule="auto"/>
        <w:ind w:firstLine="420" w:firstLineChars="200"/>
        <w:rPr>
          <w:rFonts w:hint="eastAsia" w:ascii="Arial" w:hAnsi="Arial" w:cs="Arial"/>
          <w:kern w:val="44"/>
          <w:sz w:val="21"/>
        </w:rPr>
      </w:pPr>
      <w:r>
        <w:rPr>
          <w:rFonts w:hint="eastAsia" w:ascii="Arial" w:hAnsi="Arial" w:cs="Arial"/>
          <w:kern w:val="44"/>
          <w:sz w:val="21"/>
        </w:rPr>
        <w:t>与竞品相比，本项目在高层住宅业态中价位较高，去化速度较慢。</w:t>
      </w:r>
    </w:p>
    <w:p>
      <w:pPr>
        <w:rPr>
          <w:rFonts w:hint="eastAsia" w:ascii="Arial" w:hAnsi="Arial" w:eastAsia="宋体" w:cs="Arial"/>
          <w:bCs/>
          <w:color w:val="000000"/>
          <w:sz w:val="24"/>
          <w:szCs w:val="24"/>
        </w:rPr>
      </w:pPr>
      <w:bookmarkStart w:id="57" w:name="_Toc66115205"/>
      <w:bookmarkStart w:id="58" w:name="_Toc13379"/>
      <w:bookmarkStart w:id="59" w:name="_Toc27713"/>
      <w:r>
        <w:rPr>
          <w:rFonts w:hint="eastAsia" w:ascii="Arial" w:hAnsi="Arial" w:eastAsia="宋体" w:cs="Arial"/>
          <w:bCs/>
          <w:color w:val="000000"/>
          <w:sz w:val="24"/>
          <w:szCs w:val="24"/>
        </w:rPr>
        <w:br w:type="page"/>
      </w:r>
    </w:p>
    <w:p>
      <w:pPr>
        <w:pStyle w:val="3"/>
        <w:keepNext w:val="0"/>
        <w:keepLines w:val="0"/>
        <w:spacing w:before="300" w:after="300" w:line="360" w:lineRule="exact"/>
        <w:jc w:val="left"/>
        <w:rPr>
          <w:rFonts w:ascii="Arial" w:hAnsi="Arial" w:eastAsia="宋体" w:cs="Arial"/>
          <w:bCs/>
          <w:color w:val="000000"/>
          <w:sz w:val="24"/>
          <w:szCs w:val="24"/>
        </w:rPr>
      </w:pPr>
      <w:r>
        <w:rPr>
          <w:rFonts w:hint="eastAsia" w:ascii="Arial" w:hAnsi="Arial" w:eastAsia="宋体" w:cs="Arial"/>
          <w:bCs/>
          <w:color w:val="000000"/>
          <w:sz w:val="24"/>
          <w:szCs w:val="24"/>
        </w:rPr>
        <w:t>十一、区域市场情况分析</w:t>
      </w:r>
      <w:bookmarkEnd w:id="57"/>
      <w:bookmarkEnd w:id="58"/>
      <w:bookmarkEnd w:id="59"/>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1.客群情况分析</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老城区及少量南岸外溢客群。</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2.政策分析</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7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tcPr>
          <w:p>
            <w:pPr>
              <w:jc w:val="center"/>
              <w:rPr>
                <w:rFonts w:ascii="Arial" w:hAnsi="Arial" w:cs="Arial"/>
                <w:b/>
                <w:sz w:val="18"/>
                <w:szCs w:val="18"/>
                <w:lang w:bidi="ar"/>
              </w:rPr>
            </w:pPr>
            <w:r>
              <w:rPr>
                <w:rFonts w:hint="eastAsia" w:ascii="Arial" w:hAnsi="Arial" w:cs="Arial"/>
                <w:b/>
                <w:sz w:val="18"/>
                <w:szCs w:val="18"/>
                <w:lang w:bidi="ar"/>
              </w:rPr>
              <w:t xml:space="preserve">  类别</w:t>
            </w:r>
          </w:p>
        </w:tc>
        <w:tc>
          <w:tcPr>
            <w:tcW w:w="7368" w:type="dxa"/>
          </w:tcPr>
          <w:p>
            <w:pPr>
              <w:jc w:val="center"/>
              <w:rPr>
                <w:rFonts w:ascii="Arial" w:hAnsi="Arial" w:cs="Arial"/>
                <w:b/>
                <w:sz w:val="18"/>
                <w:szCs w:val="18"/>
                <w:lang w:bidi="ar"/>
              </w:rPr>
            </w:pPr>
            <w:r>
              <w:rPr>
                <w:rFonts w:hint="eastAsia" w:ascii="Arial" w:hAnsi="Arial" w:cs="Arial"/>
                <w:b/>
                <w:sz w:val="18"/>
                <w:szCs w:val="18"/>
                <w:lang w:bidi="ar"/>
              </w:rPr>
              <w:t>政策规定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限购</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不限购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限贷</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3套以上（含3套）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限售</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不限售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限价/限签</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不限价不限签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限精装/车位</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预售政策</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高层达4层可开始预售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抵押</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如有土地抵押，需出具同意预售函才可取预售证；</w:t>
            </w:r>
          </w:p>
          <w:p>
            <w:pPr>
              <w:jc w:val="center"/>
              <w:rPr>
                <w:rFonts w:ascii="Arial" w:hAnsi="Arial" w:cs="Arial"/>
                <w:bCs/>
                <w:sz w:val="18"/>
                <w:szCs w:val="18"/>
                <w:lang w:bidi="ar"/>
              </w:rPr>
            </w:pPr>
            <w:r>
              <w:rPr>
                <w:rFonts w:hint="eastAsia" w:ascii="Arial" w:hAnsi="Arial" w:cs="Arial"/>
                <w:bCs/>
                <w:sz w:val="18"/>
                <w:szCs w:val="18"/>
                <w:lang w:bidi="ar"/>
              </w:rPr>
              <w:t>后续办理他项权证的时候，也需要见同意预售函；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预售资金监管</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严格执行商品房预售资金监管开户银行和账户设立标准(翠屏区为形式监管)。</w:t>
            </w:r>
          </w:p>
        </w:tc>
      </w:tr>
    </w:tbl>
    <w:p>
      <w:pPr>
        <w:pStyle w:val="2"/>
        <w:ind w:firstLine="0" w:firstLineChars="0"/>
      </w:pP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3.同业态售房成交量分析</w:t>
      </w:r>
    </w:p>
    <w:p>
      <w:pPr>
        <w:spacing w:line="480" w:lineRule="auto"/>
        <w:ind w:firstLine="420" w:firstLineChars="200"/>
        <w:rPr>
          <w:rFonts w:hint="eastAsia" w:ascii="Arial" w:hAnsi="Arial" w:cs="Arial"/>
          <w:kern w:val="44"/>
          <w:sz w:val="21"/>
        </w:rPr>
      </w:pPr>
      <w:r>
        <w:rPr>
          <w:rFonts w:hint="eastAsia" w:ascii="Arial" w:hAnsi="Arial" w:cs="Arial"/>
          <w:kern w:val="44"/>
          <w:sz w:val="21"/>
        </w:rPr>
        <w:t>本项目位于宜宾老城区，土地供应较少，周边无在售新盘，项目竞品少，属于稀缺地段。选取距本项目3-6公里项目参照如下，项目售价基本在8000-9000元/平方米左右，去化量相对平稳。</w:t>
      </w:r>
    </w:p>
    <w:tbl>
      <w:tblPr>
        <w:tblStyle w:val="18"/>
        <w:tblW w:w="9154" w:type="dxa"/>
        <w:jc w:val="center"/>
        <w:tblLayout w:type="fixed"/>
        <w:tblCellMar>
          <w:top w:w="0" w:type="dxa"/>
          <w:left w:w="108" w:type="dxa"/>
          <w:bottom w:w="0" w:type="dxa"/>
          <w:right w:w="108" w:type="dxa"/>
        </w:tblCellMar>
      </w:tblPr>
      <w:tblGrid>
        <w:gridCol w:w="1305"/>
        <w:gridCol w:w="2070"/>
        <w:gridCol w:w="2025"/>
        <w:gridCol w:w="1909"/>
        <w:gridCol w:w="1845"/>
      </w:tblGrid>
      <w:tr>
        <w:tblPrEx>
          <w:tblCellMar>
            <w:top w:w="0" w:type="dxa"/>
            <w:left w:w="108" w:type="dxa"/>
            <w:bottom w:w="0" w:type="dxa"/>
            <w:right w:w="108" w:type="dxa"/>
          </w:tblCellMar>
        </w:tblPrEx>
        <w:trPr>
          <w:trHeight w:val="322" w:hRule="atLeast"/>
          <w:tblHeader/>
          <w:jc w:val="center"/>
        </w:trPr>
        <w:tc>
          <w:tcPr>
            <w:tcW w:w="1305" w:type="dxa"/>
            <w:tcBorders>
              <w:top w:val="single" w:color="auto" w:sz="4" w:space="0"/>
              <w:left w:val="single" w:color="auto" w:sz="4" w:space="0"/>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项目名称</w:t>
            </w:r>
          </w:p>
        </w:tc>
        <w:tc>
          <w:tcPr>
            <w:tcW w:w="2070"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绿地-城际空间站</w:t>
            </w:r>
          </w:p>
        </w:tc>
        <w:tc>
          <w:tcPr>
            <w:tcW w:w="2025"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正黄-翡翠堂</w:t>
            </w:r>
          </w:p>
        </w:tc>
        <w:tc>
          <w:tcPr>
            <w:tcW w:w="1909"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鸿山-金域华庭</w:t>
            </w:r>
          </w:p>
        </w:tc>
        <w:tc>
          <w:tcPr>
            <w:tcW w:w="1845"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lang w:bidi="ar"/>
              </w:rPr>
            </w:pPr>
            <w:r>
              <w:rPr>
                <w:rFonts w:hint="eastAsia" w:ascii="Arial" w:hAnsi="Arial" w:cs="Arial"/>
                <w:b/>
                <w:sz w:val="18"/>
                <w:szCs w:val="18"/>
                <w:lang w:bidi="ar"/>
              </w:rPr>
              <w:t>世茂金座·云锦</w:t>
            </w:r>
          </w:p>
        </w:tc>
      </w:tr>
      <w:tr>
        <w:tblPrEx>
          <w:tblCellMar>
            <w:top w:w="0" w:type="dxa"/>
            <w:left w:w="108" w:type="dxa"/>
            <w:bottom w:w="0" w:type="dxa"/>
            <w:right w:w="108" w:type="dxa"/>
          </w:tblCellMar>
        </w:tblPrEx>
        <w:trPr>
          <w:trHeight w:val="761"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距离</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约4km</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约3km</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约6km</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p>
        </w:tc>
      </w:tr>
      <w:tr>
        <w:tblPrEx>
          <w:tblCellMar>
            <w:top w:w="0" w:type="dxa"/>
            <w:left w:w="108" w:type="dxa"/>
            <w:bottom w:w="0" w:type="dxa"/>
            <w:right w:w="108" w:type="dxa"/>
          </w:tblCellMar>
        </w:tblPrEx>
        <w:trPr>
          <w:trHeight w:val="90"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楼盘定位</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刚需/刚改/改善</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刚改/改善（洋房）</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刚需</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刚需/刚改</w:t>
            </w:r>
          </w:p>
        </w:tc>
      </w:tr>
      <w:tr>
        <w:tblPrEx>
          <w:tblCellMar>
            <w:top w:w="0" w:type="dxa"/>
            <w:left w:w="108" w:type="dxa"/>
            <w:bottom w:w="0" w:type="dxa"/>
            <w:right w:w="108" w:type="dxa"/>
          </w:tblCellMar>
        </w:tblPrEx>
        <w:trPr>
          <w:trHeight w:val="427"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开发商</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绿地集团宜宾</w:t>
            </w:r>
          </w:p>
          <w:p>
            <w:pPr>
              <w:jc w:val="center"/>
              <w:rPr>
                <w:rFonts w:ascii="Arial" w:hAnsi="Arial" w:cs="Arial"/>
                <w:bCs/>
                <w:sz w:val="18"/>
                <w:szCs w:val="18"/>
                <w:lang w:bidi="ar"/>
              </w:rPr>
            </w:pPr>
            <w:r>
              <w:rPr>
                <w:rFonts w:hint="eastAsia" w:ascii="Arial" w:hAnsi="Arial" w:cs="Arial"/>
                <w:bCs/>
                <w:sz w:val="18"/>
                <w:szCs w:val="18"/>
                <w:lang w:bidi="ar"/>
              </w:rPr>
              <w:t>置业有限公司</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宜宾同瑞置业有限公司</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宜宾鸿山房地产</w:t>
            </w:r>
          </w:p>
          <w:p>
            <w:pPr>
              <w:jc w:val="center"/>
              <w:rPr>
                <w:rFonts w:ascii="Arial" w:hAnsi="Arial" w:cs="Arial"/>
                <w:bCs/>
                <w:sz w:val="18"/>
                <w:szCs w:val="18"/>
                <w:lang w:bidi="ar"/>
              </w:rPr>
            </w:pPr>
            <w:r>
              <w:rPr>
                <w:rFonts w:hint="eastAsia" w:ascii="Arial" w:hAnsi="Arial" w:cs="Arial"/>
                <w:bCs/>
                <w:sz w:val="18"/>
                <w:szCs w:val="18"/>
                <w:lang w:bidi="ar"/>
              </w:rPr>
              <w:t>开发经营有限公司</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宜宾骏继洪骥</w:t>
            </w:r>
          </w:p>
          <w:p>
            <w:pPr>
              <w:jc w:val="center"/>
              <w:rPr>
                <w:rFonts w:ascii="Arial" w:hAnsi="Arial" w:cs="Arial"/>
                <w:bCs/>
                <w:sz w:val="18"/>
                <w:szCs w:val="18"/>
                <w:lang w:bidi="ar"/>
              </w:rPr>
            </w:pPr>
            <w:r>
              <w:rPr>
                <w:rFonts w:hint="eastAsia" w:ascii="Arial" w:hAnsi="Arial" w:cs="Arial"/>
                <w:bCs/>
                <w:sz w:val="18"/>
                <w:szCs w:val="18"/>
                <w:lang w:bidi="ar"/>
              </w:rPr>
              <w:t>置业有限责任公司</w:t>
            </w:r>
          </w:p>
        </w:tc>
      </w:tr>
      <w:tr>
        <w:tblPrEx>
          <w:tblCellMar>
            <w:top w:w="0" w:type="dxa"/>
            <w:left w:w="108" w:type="dxa"/>
            <w:bottom w:w="0" w:type="dxa"/>
            <w:right w:w="108" w:type="dxa"/>
          </w:tblCellMar>
        </w:tblPrEx>
        <w:trPr>
          <w:trHeight w:val="369"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开盘时间</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2018年11月</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2020年5月</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2020年5月</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2020年10月</w:t>
            </w:r>
          </w:p>
        </w:tc>
      </w:tr>
      <w:tr>
        <w:tblPrEx>
          <w:tblCellMar>
            <w:top w:w="0" w:type="dxa"/>
            <w:left w:w="108" w:type="dxa"/>
            <w:bottom w:w="0" w:type="dxa"/>
            <w:right w:w="108" w:type="dxa"/>
          </w:tblCellMar>
        </w:tblPrEx>
        <w:trPr>
          <w:trHeight w:val="1083"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主要户型</w:t>
            </w:r>
          </w:p>
        </w:tc>
        <w:tc>
          <w:tcPr>
            <w:tcW w:w="2070" w:type="dxa"/>
            <w:tcBorders>
              <w:top w:val="nil"/>
              <w:left w:val="single" w:color="auto" w:sz="4" w:space="0"/>
              <w:bottom w:val="single" w:color="000000" w:sz="4" w:space="0"/>
              <w:right w:val="single" w:color="auto" w:sz="4" w:space="0"/>
            </w:tcBorders>
            <w:vAlign w:val="center"/>
          </w:tcPr>
          <w:p>
            <w:pPr>
              <w:jc w:val="left"/>
              <w:rPr>
                <w:rFonts w:ascii="Arial" w:hAnsi="Arial" w:cs="Arial"/>
                <w:bCs/>
                <w:sz w:val="18"/>
                <w:szCs w:val="18"/>
                <w:lang w:bidi="ar"/>
              </w:rPr>
            </w:pPr>
            <w:r>
              <w:rPr>
                <w:rFonts w:hint="eastAsia" w:ascii="Arial" w:hAnsi="Arial" w:cs="Arial"/>
                <w:bCs/>
                <w:sz w:val="18"/>
                <w:szCs w:val="18"/>
                <w:lang w:bidi="ar"/>
              </w:rPr>
              <w:t>两室两厅两卫75㎡</w:t>
            </w:r>
          </w:p>
          <w:p>
            <w:pPr>
              <w:jc w:val="left"/>
              <w:rPr>
                <w:rFonts w:ascii="Arial" w:hAnsi="Arial" w:cs="Arial"/>
                <w:bCs/>
                <w:sz w:val="18"/>
                <w:szCs w:val="18"/>
                <w:lang w:bidi="ar"/>
              </w:rPr>
            </w:pPr>
            <w:r>
              <w:rPr>
                <w:rFonts w:hint="eastAsia" w:ascii="Arial" w:hAnsi="Arial" w:cs="Arial"/>
                <w:bCs/>
                <w:sz w:val="18"/>
                <w:szCs w:val="18"/>
                <w:lang w:bidi="ar"/>
              </w:rPr>
              <w:t>三室两厅两卫121㎡</w:t>
            </w:r>
          </w:p>
          <w:p>
            <w:pPr>
              <w:jc w:val="left"/>
              <w:rPr>
                <w:rFonts w:ascii="Arial" w:hAnsi="Arial" w:cs="Arial"/>
                <w:bCs/>
                <w:sz w:val="18"/>
                <w:szCs w:val="18"/>
                <w:lang w:bidi="ar"/>
              </w:rPr>
            </w:pPr>
            <w:r>
              <w:rPr>
                <w:rFonts w:hint="eastAsia" w:ascii="Arial" w:hAnsi="Arial" w:cs="Arial"/>
                <w:bCs/>
                <w:sz w:val="18"/>
                <w:szCs w:val="18"/>
                <w:lang w:bidi="ar"/>
              </w:rPr>
              <w:t>四室两厅两卫130㎡</w:t>
            </w:r>
          </w:p>
        </w:tc>
        <w:tc>
          <w:tcPr>
            <w:tcW w:w="2025" w:type="dxa"/>
            <w:tcBorders>
              <w:top w:val="single" w:color="auto" w:sz="4" w:space="0"/>
              <w:left w:val="single" w:color="auto" w:sz="4" w:space="0"/>
              <w:right w:val="single" w:color="auto" w:sz="4" w:space="0"/>
            </w:tcBorders>
          </w:tcPr>
          <w:p>
            <w:pPr>
              <w:jc w:val="left"/>
              <w:rPr>
                <w:rFonts w:ascii="Arial" w:hAnsi="Arial" w:cs="Arial"/>
                <w:bCs/>
                <w:sz w:val="18"/>
                <w:szCs w:val="18"/>
                <w:lang w:bidi="ar"/>
              </w:rPr>
            </w:pPr>
            <w:r>
              <w:rPr>
                <w:rFonts w:hint="eastAsia" w:ascii="Arial" w:hAnsi="Arial" w:cs="Arial"/>
                <w:bCs/>
                <w:sz w:val="18"/>
                <w:szCs w:val="18"/>
                <w:lang w:bidi="ar"/>
              </w:rPr>
              <w:t>三室两厅两卫99㎡</w:t>
            </w:r>
          </w:p>
          <w:p>
            <w:pPr>
              <w:jc w:val="left"/>
              <w:rPr>
                <w:rFonts w:ascii="Arial" w:hAnsi="Arial" w:cs="Arial"/>
                <w:bCs/>
                <w:sz w:val="18"/>
                <w:szCs w:val="18"/>
                <w:lang w:bidi="ar"/>
              </w:rPr>
            </w:pPr>
            <w:r>
              <w:rPr>
                <w:rFonts w:hint="eastAsia" w:ascii="Arial" w:hAnsi="Arial" w:cs="Arial"/>
                <w:bCs/>
                <w:sz w:val="18"/>
                <w:szCs w:val="18"/>
                <w:lang w:bidi="ar"/>
              </w:rPr>
              <w:t>三室两厅两卫107㎡</w:t>
            </w:r>
          </w:p>
          <w:p>
            <w:pPr>
              <w:jc w:val="left"/>
              <w:rPr>
                <w:rFonts w:ascii="Arial" w:hAnsi="Arial" w:cs="Arial"/>
                <w:bCs/>
                <w:sz w:val="18"/>
                <w:szCs w:val="18"/>
                <w:lang w:bidi="ar"/>
              </w:rPr>
            </w:pPr>
            <w:r>
              <w:rPr>
                <w:rFonts w:hint="eastAsia" w:ascii="Arial" w:hAnsi="Arial" w:cs="Arial"/>
                <w:bCs/>
                <w:sz w:val="18"/>
                <w:szCs w:val="18"/>
                <w:lang w:bidi="ar"/>
              </w:rPr>
              <w:t>三室两厅两卫101㎡</w:t>
            </w:r>
          </w:p>
          <w:p>
            <w:pPr>
              <w:jc w:val="left"/>
              <w:rPr>
                <w:rFonts w:ascii="Arial" w:hAnsi="Arial" w:cs="Arial"/>
                <w:bCs/>
                <w:sz w:val="18"/>
                <w:szCs w:val="18"/>
                <w:lang w:bidi="ar"/>
              </w:rPr>
            </w:pPr>
            <w:r>
              <w:rPr>
                <w:rFonts w:hint="eastAsia" w:ascii="Arial" w:hAnsi="Arial" w:cs="Arial"/>
                <w:bCs/>
                <w:sz w:val="18"/>
                <w:szCs w:val="18"/>
                <w:lang w:bidi="ar"/>
              </w:rPr>
              <w:t>五室两厅三卫134㎡</w:t>
            </w:r>
          </w:p>
          <w:p>
            <w:pPr>
              <w:jc w:val="left"/>
              <w:rPr>
                <w:rFonts w:ascii="Arial" w:hAnsi="Arial" w:cs="Arial"/>
                <w:bCs/>
                <w:sz w:val="18"/>
                <w:szCs w:val="18"/>
                <w:lang w:bidi="ar"/>
              </w:rPr>
            </w:pPr>
            <w:r>
              <w:rPr>
                <w:rFonts w:hint="eastAsia" w:ascii="Arial" w:hAnsi="Arial" w:cs="Arial"/>
                <w:bCs/>
                <w:sz w:val="18"/>
                <w:szCs w:val="18"/>
                <w:lang w:bidi="ar"/>
              </w:rPr>
              <w:t>五室两厅三卫150㎡</w:t>
            </w:r>
          </w:p>
        </w:tc>
        <w:tc>
          <w:tcPr>
            <w:tcW w:w="1909" w:type="dxa"/>
            <w:tcBorders>
              <w:top w:val="single" w:color="auto" w:sz="4" w:space="0"/>
              <w:left w:val="single" w:color="auto" w:sz="4" w:space="0"/>
              <w:right w:val="single" w:color="auto" w:sz="4" w:space="0"/>
            </w:tcBorders>
            <w:vAlign w:val="center"/>
          </w:tcPr>
          <w:p>
            <w:pPr>
              <w:jc w:val="left"/>
              <w:rPr>
                <w:rFonts w:ascii="Arial" w:hAnsi="Arial" w:cs="Arial"/>
                <w:bCs/>
                <w:sz w:val="18"/>
                <w:szCs w:val="18"/>
                <w:lang w:bidi="ar"/>
              </w:rPr>
            </w:pPr>
            <w:r>
              <w:rPr>
                <w:rFonts w:hint="eastAsia" w:ascii="Arial" w:hAnsi="Arial" w:cs="Arial"/>
                <w:bCs/>
                <w:sz w:val="18"/>
                <w:szCs w:val="18"/>
                <w:lang w:bidi="ar"/>
              </w:rPr>
              <w:t>两房两厅一卫74㎡</w:t>
            </w:r>
          </w:p>
          <w:p>
            <w:pPr>
              <w:jc w:val="left"/>
              <w:rPr>
                <w:rFonts w:ascii="Arial" w:hAnsi="Arial" w:cs="Arial"/>
                <w:bCs/>
                <w:sz w:val="18"/>
                <w:szCs w:val="18"/>
                <w:lang w:bidi="ar"/>
              </w:rPr>
            </w:pPr>
            <w:r>
              <w:rPr>
                <w:rFonts w:hint="eastAsia" w:ascii="Arial" w:hAnsi="Arial" w:cs="Arial"/>
                <w:bCs/>
                <w:sz w:val="18"/>
                <w:szCs w:val="18"/>
                <w:lang w:bidi="ar"/>
              </w:rPr>
              <w:t>三房两厅一卫82㎡</w:t>
            </w:r>
          </w:p>
          <w:p>
            <w:pPr>
              <w:jc w:val="left"/>
              <w:rPr>
                <w:rFonts w:ascii="Arial" w:hAnsi="Arial" w:cs="Arial"/>
                <w:bCs/>
                <w:sz w:val="18"/>
                <w:szCs w:val="18"/>
                <w:lang w:bidi="ar"/>
              </w:rPr>
            </w:pPr>
            <w:r>
              <w:rPr>
                <w:rFonts w:hint="eastAsia" w:ascii="Arial" w:hAnsi="Arial" w:cs="Arial"/>
                <w:bCs/>
                <w:sz w:val="18"/>
                <w:szCs w:val="18"/>
                <w:lang w:bidi="ar"/>
              </w:rPr>
              <w:t>三房两厅两卫91㎡</w:t>
            </w:r>
          </w:p>
          <w:p>
            <w:pPr>
              <w:jc w:val="left"/>
              <w:rPr>
                <w:rFonts w:ascii="Arial" w:hAnsi="Arial" w:cs="Arial"/>
                <w:bCs/>
                <w:sz w:val="18"/>
                <w:szCs w:val="18"/>
                <w:lang w:bidi="ar"/>
              </w:rPr>
            </w:pPr>
            <w:r>
              <w:rPr>
                <w:rFonts w:hint="eastAsia" w:ascii="Arial" w:hAnsi="Arial" w:cs="Arial"/>
                <w:bCs/>
                <w:sz w:val="18"/>
                <w:szCs w:val="18"/>
                <w:lang w:bidi="ar"/>
              </w:rPr>
              <w:t>四房两厅两卫105㎡</w:t>
            </w:r>
          </w:p>
        </w:tc>
        <w:tc>
          <w:tcPr>
            <w:tcW w:w="1845" w:type="dxa"/>
            <w:tcBorders>
              <w:top w:val="single" w:color="auto" w:sz="4" w:space="0"/>
              <w:left w:val="single" w:color="auto" w:sz="4" w:space="0"/>
              <w:right w:val="single" w:color="auto" w:sz="4" w:space="0"/>
            </w:tcBorders>
            <w:vAlign w:val="center"/>
          </w:tcPr>
          <w:p>
            <w:pPr>
              <w:jc w:val="left"/>
              <w:rPr>
                <w:rFonts w:ascii="Arial" w:hAnsi="Arial" w:cs="Arial"/>
                <w:bCs/>
                <w:sz w:val="18"/>
                <w:szCs w:val="18"/>
                <w:lang w:bidi="ar"/>
              </w:rPr>
            </w:pPr>
            <w:r>
              <w:rPr>
                <w:rFonts w:hint="eastAsia" w:ascii="Arial" w:hAnsi="Arial" w:cs="Arial"/>
                <w:bCs/>
                <w:sz w:val="18"/>
                <w:szCs w:val="18"/>
                <w:lang w:bidi="ar"/>
              </w:rPr>
              <w:t>三房两厅两卫87㎡</w:t>
            </w:r>
          </w:p>
          <w:p>
            <w:pPr>
              <w:jc w:val="left"/>
              <w:rPr>
                <w:rFonts w:ascii="Arial" w:hAnsi="Arial" w:cs="Arial"/>
                <w:bCs/>
                <w:sz w:val="18"/>
                <w:szCs w:val="18"/>
                <w:lang w:bidi="ar"/>
              </w:rPr>
            </w:pPr>
            <w:r>
              <w:rPr>
                <w:rFonts w:hint="eastAsia" w:ascii="Arial" w:hAnsi="Arial" w:cs="Arial"/>
                <w:bCs/>
                <w:sz w:val="18"/>
                <w:szCs w:val="18"/>
                <w:lang w:bidi="ar"/>
              </w:rPr>
              <w:t>三房两厅两卫97㎡</w:t>
            </w:r>
          </w:p>
          <w:p>
            <w:pPr>
              <w:jc w:val="left"/>
              <w:rPr>
                <w:rFonts w:ascii="Arial" w:hAnsi="Arial" w:cs="Arial"/>
                <w:bCs/>
                <w:sz w:val="18"/>
                <w:szCs w:val="18"/>
                <w:lang w:bidi="ar"/>
              </w:rPr>
            </w:pPr>
            <w:r>
              <w:rPr>
                <w:rFonts w:hint="eastAsia" w:ascii="Arial" w:hAnsi="Arial" w:cs="Arial"/>
                <w:bCs/>
                <w:sz w:val="18"/>
                <w:szCs w:val="18"/>
                <w:lang w:bidi="ar"/>
              </w:rPr>
              <w:t>四房两厅两卫108㎡</w:t>
            </w:r>
          </w:p>
        </w:tc>
      </w:tr>
      <w:tr>
        <w:tblPrEx>
          <w:tblCellMar>
            <w:top w:w="0" w:type="dxa"/>
            <w:left w:w="108" w:type="dxa"/>
            <w:bottom w:w="0" w:type="dxa"/>
            <w:right w:w="108" w:type="dxa"/>
          </w:tblCellMar>
        </w:tblPrEx>
        <w:trPr>
          <w:trHeight w:val="329"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容积率</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3.0</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2.5</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2.5</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4.0</w:t>
            </w:r>
          </w:p>
        </w:tc>
      </w:tr>
      <w:tr>
        <w:tblPrEx>
          <w:tblCellMar>
            <w:top w:w="0" w:type="dxa"/>
            <w:left w:w="108" w:type="dxa"/>
            <w:bottom w:w="0" w:type="dxa"/>
            <w:right w:w="108" w:type="dxa"/>
          </w:tblCellMar>
        </w:tblPrEx>
        <w:trPr>
          <w:trHeight w:val="289" w:hRule="atLeast"/>
          <w:jc w:val="center"/>
        </w:trPr>
        <w:tc>
          <w:tcPr>
            <w:tcW w:w="1305"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装修状况</w:t>
            </w:r>
          </w:p>
        </w:tc>
        <w:tc>
          <w:tcPr>
            <w:tcW w:w="2070" w:type="dxa"/>
            <w:tcBorders>
              <w:top w:val="nil"/>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c>
          <w:tcPr>
            <w:tcW w:w="202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c>
          <w:tcPr>
            <w:tcW w:w="190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c>
          <w:tcPr>
            <w:tcW w:w="184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毛坯</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总建筑面积</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280万㎡</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18万㎡</w:t>
            </w:r>
          </w:p>
        </w:tc>
        <w:tc>
          <w:tcPr>
            <w:tcW w:w="19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15.8万㎡</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18万㎡</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近三个月月均成交量</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val="en-US" w:eastAsia="zh-CN" w:bidi="ar"/>
              </w:rPr>
              <w:t>16800</w:t>
            </w:r>
            <w:r>
              <w:rPr>
                <w:rFonts w:hint="eastAsia" w:ascii="Arial" w:hAnsi="Arial" w:cs="Arial"/>
                <w:bCs/>
                <w:sz w:val="18"/>
                <w:szCs w:val="18"/>
                <w:lang w:bidi="ar"/>
              </w:rPr>
              <w:t>㎡</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val="en-US" w:eastAsia="zh-CN" w:bidi="ar"/>
              </w:rPr>
              <w:t>8800</w:t>
            </w:r>
            <w:r>
              <w:rPr>
                <w:rFonts w:hint="eastAsia" w:ascii="Arial" w:hAnsi="Arial" w:cs="Arial"/>
                <w:bCs/>
                <w:sz w:val="18"/>
                <w:szCs w:val="18"/>
                <w:lang w:bidi="ar"/>
              </w:rPr>
              <w:t>㎡</w:t>
            </w:r>
          </w:p>
        </w:tc>
        <w:tc>
          <w:tcPr>
            <w:tcW w:w="19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val="en-US" w:eastAsia="zh-CN" w:bidi="ar"/>
              </w:rPr>
              <w:t>12000</w:t>
            </w:r>
            <w:r>
              <w:rPr>
                <w:rFonts w:hint="eastAsia" w:ascii="Arial" w:hAnsi="Arial" w:cs="Arial"/>
                <w:bCs/>
                <w:sz w:val="18"/>
                <w:szCs w:val="18"/>
                <w:lang w:bidi="ar"/>
              </w:rPr>
              <w:t>㎡</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val="en-US" w:eastAsia="zh-CN" w:bidi="ar"/>
              </w:rPr>
              <w:t>4108.87</w:t>
            </w:r>
            <w:r>
              <w:rPr>
                <w:rFonts w:hint="eastAsia" w:ascii="Arial" w:hAnsi="Arial" w:cs="Arial"/>
                <w:bCs/>
                <w:sz w:val="18"/>
                <w:szCs w:val="18"/>
                <w:lang w:bidi="ar"/>
              </w:rPr>
              <w:t>㎡</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累计已售</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val="en-US" w:eastAsia="zh-CN" w:bidi="ar"/>
              </w:rPr>
              <w:t>43万</w:t>
            </w:r>
            <w:r>
              <w:rPr>
                <w:rFonts w:hint="eastAsia" w:ascii="Arial" w:hAnsi="Arial" w:cs="Arial"/>
                <w:bCs/>
                <w:sz w:val="18"/>
                <w:szCs w:val="18"/>
                <w:lang w:bidi="ar"/>
              </w:rPr>
              <w:t>㎡</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val="en-US" w:eastAsia="zh-CN" w:bidi="ar"/>
              </w:rPr>
              <w:t>7.7万</w:t>
            </w:r>
            <w:r>
              <w:rPr>
                <w:rFonts w:hint="eastAsia" w:ascii="Arial" w:hAnsi="Arial" w:cs="Arial"/>
                <w:bCs/>
                <w:sz w:val="18"/>
                <w:szCs w:val="18"/>
                <w:lang w:bidi="ar"/>
              </w:rPr>
              <w:t>㎡</w:t>
            </w:r>
          </w:p>
        </w:tc>
        <w:tc>
          <w:tcPr>
            <w:tcW w:w="19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val="en-US" w:eastAsia="zh-CN" w:bidi="ar"/>
              </w:rPr>
              <w:t>9.6万</w:t>
            </w:r>
            <w:r>
              <w:rPr>
                <w:rFonts w:hint="eastAsia" w:ascii="Arial" w:hAnsi="Arial" w:cs="Arial"/>
                <w:bCs/>
                <w:sz w:val="18"/>
                <w:szCs w:val="18"/>
                <w:lang w:bidi="ar"/>
              </w:rPr>
              <w:t>㎡</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31801.95㎡</w:t>
            </w:r>
          </w:p>
        </w:tc>
      </w:tr>
      <w:tr>
        <w:tblPrEx>
          <w:tblCellMar>
            <w:top w:w="0" w:type="dxa"/>
            <w:left w:w="108" w:type="dxa"/>
            <w:bottom w:w="0" w:type="dxa"/>
            <w:right w:w="108" w:type="dxa"/>
          </w:tblCellMar>
        </w:tblPrEx>
        <w:trPr>
          <w:trHeight w:val="228"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成交均价</w:t>
            </w:r>
          </w:p>
          <w:p>
            <w:pPr>
              <w:jc w:val="center"/>
              <w:rPr>
                <w:rFonts w:ascii="Arial" w:hAnsi="Arial" w:cs="Arial"/>
                <w:bCs/>
                <w:sz w:val="18"/>
                <w:szCs w:val="18"/>
                <w:lang w:bidi="ar"/>
              </w:rPr>
            </w:pPr>
            <w:r>
              <w:rPr>
                <w:rFonts w:hint="eastAsia" w:ascii="Arial" w:hAnsi="Arial" w:cs="Arial"/>
                <w:bCs/>
                <w:sz w:val="18"/>
                <w:szCs w:val="18"/>
                <w:lang w:bidi="ar"/>
              </w:rPr>
              <w:t>（元/㎡）</w:t>
            </w:r>
          </w:p>
        </w:tc>
        <w:tc>
          <w:tcPr>
            <w:tcW w:w="20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val="en-US" w:eastAsia="zh-CN" w:bidi="ar"/>
              </w:rPr>
              <w:t>8296</w:t>
            </w:r>
            <w:r>
              <w:rPr>
                <w:rFonts w:hint="eastAsia" w:ascii="Arial" w:hAnsi="Arial" w:cs="Arial"/>
                <w:bCs/>
                <w:sz w:val="18"/>
                <w:szCs w:val="18"/>
                <w:lang w:bidi="ar"/>
              </w:rPr>
              <w:t>元/㎡</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val="en-US" w:eastAsia="zh-CN" w:bidi="ar"/>
              </w:rPr>
              <w:t>9500</w:t>
            </w:r>
            <w:r>
              <w:rPr>
                <w:rFonts w:hint="eastAsia" w:ascii="Arial" w:hAnsi="Arial" w:cs="Arial"/>
                <w:bCs/>
                <w:sz w:val="18"/>
                <w:szCs w:val="18"/>
                <w:lang w:bidi="ar"/>
              </w:rPr>
              <w:t>元/㎡</w:t>
            </w:r>
          </w:p>
        </w:tc>
        <w:tc>
          <w:tcPr>
            <w:tcW w:w="19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val="en-US" w:eastAsia="zh-CN" w:bidi="ar"/>
              </w:rPr>
              <w:t>8200</w:t>
            </w:r>
            <w:r>
              <w:rPr>
                <w:rFonts w:hint="eastAsia" w:ascii="Arial" w:hAnsi="Arial" w:cs="Arial"/>
                <w:bCs/>
                <w:sz w:val="18"/>
                <w:szCs w:val="18"/>
                <w:lang w:bidi="ar"/>
              </w:rPr>
              <w:t>元/㎡</w:t>
            </w:r>
          </w:p>
        </w:tc>
        <w:tc>
          <w:tcPr>
            <w:tcW w:w="184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lang w:bidi="ar"/>
              </w:rPr>
            </w:pPr>
            <w:r>
              <w:rPr>
                <w:rFonts w:hint="eastAsia" w:ascii="Arial" w:hAnsi="Arial" w:cs="Arial"/>
                <w:bCs/>
                <w:sz w:val="18"/>
                <w:szCs w:val="18"/>
                <w:lang w:bidi="ar"/>
              </w:rPr>
              <w:t>85</w:t>
            </w:r>
            <w:r>
              <w:rPr>
                <w:rFonts w:hint="eastAsia" w:ascii="Arial" w:hAnsi="Arial" w:cs="Arial"/>
                <w:bCs/>
                <w:sz w:val="18"/>
                <w:szCs w:val="18"/>
                <w:lang w:val="en-US" w:eastAsia="zh-CN" w:bidi="ar"/>
              </w:rPr>
              <w:t>30.13</w:t>
            </w:r>
            <w:r>
              <w:rPr>
                <w:rFonts w:hint="eastAsia" w:ascii="Arial" w:hAnsi="Arial" w:cs="Arial"/>
                <w:bCs/>
                <w:sz w:val="18"/>
                <w:szCs w:val="18"/>
                <w:lang w:bidi="ar"/>
              </w:rPr>
              <w:t>元/㎡</w:t>
            </w:r>
          </w:p>
        </w:tc>
      </w:tr>
    </w:tbl>
    <w:p>
      <w:pPr>
        <w:spacing w:line="480" w:lineRule="auto"/>
        <w:ind w:firstLine="420" w:firstLineChars="200"/>
        <w:rPr>
          <w:rFonts w:ascii="Arial" w:hAnsi="Arial" w:cs="Arial"/>
          <w:kern w:val="44"/>
          <w:sz w:val="21"/>
          <w:szCs w:val="21"/>
        </w:rPr>
      </w:pPr>
      <w:r>
        <w:rPr>
          <w:rFonts w:hint="eastAsia" w:ascii="Arial" w:hAnsi="Arial" w:cs="Arial"/>
          <w:kern w:val="44"/>
          <w:sz w:val="21"/>
        </w:rPr>
        <w:t>与竞品相比，本项目在高层住宅业态中价位较高，去化速度较慢。</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4.土地成交量分析</w:t>
      </w:r>
    </w:p>
    <w:p>
      <w:pPr>
        <w:spacing w:line="480" w:lineRule="auto"/>
        <w:ind w:firstLine="420" w:firstLineChars="200"/>
        <w:rPr>
          <w:rFonts w:hint="eastAsia" w:ascii="Arial" w:hAnsi="Arial" w:cs="Arial"/>
          <w:kern w:val="44"/>
          <w:sz w:val="21"/>
        </w:rPr>
      </w:pPr>
      <w:r>
        <w:rPr>
          <w:rFonts w:hint="eastAsia" w:ascii="Arial" w:hAnsi="Arial" w:cs="Arial"/>
          <w:kern w:val="44"/>
          <w:sz w:val="21"/>
        </w:rPr>
        <w:t>2021年</w:t>
      </w:r>
      <w:r>
        <w:rPr>
          <w:rFonts w:hint="eastAsia" w:ascii="Arial" w:hAnsi="Arial" w:cs="Arial"/>
          <w:kern w:val="44"/>
          <w:sz w:val="21"/>
          <w:lang w:val="en-US" w:eastAsia="zh-CN"/>
        </w:rPr>
        <w:t>5</w:t>
      </w:r>
      <w:r>
        <w:rPr>
          <w:rFonts w:hint="eastAsia" w:ascii="Arial" w:hAnsi="Arial" w:cs="Arial"/>
          <w:kern w:val="44"/>
          <w:sz w:val="21"/>
        </w:rPr>
        <w:t>月共成交城镇住宅用地2宗，成交楼面价分别为4519.99元/㎡，溢价率33.73%，2303.33元/㎡，未溢价，区域土地市场不活跃。</w:t>
      </w:r>
    </w:p>
    <w:p>
      <w:pPr>
        <w:spacing w:line="480" w:lineRule="auto"/>
        <w:ind w:firstLine="420" w:firstLineChars="200"/>
        <w:rPr>
          <w:rFonts w:ascii="Arial" w:hAnsi="Arial" w:cs="Arial"/>
          <w:kern w:val="0"/>
          <w:sz w:val="20"/>
          <w:szCs w:val="20"/>
        </w:rPr>
      </w:pPr>
      <w:r>
        <w:rPr>
          <w:rFonts w:hint="eastAsia" w:ascii="Arial" w:hAnsi="Arial" w:cs="Arial"/>
          <w:kern w:val="44"/>
          <w:sz w:val="21"/>
        </w:rPr>
        <w:t>宜宾市老城区土地稀缺，土地供应较少，以下为宜宾市近半年集中土地成交案例。</w:t>
      </w:r>
    </w:p>
    <w:tbl>
      <w:tblPr>
        <w:tblStyle w:val="18"/>
        <w:tblW w:w="9221" w:type="dxa"/>
        <w:tblInd w:w="96" w:type="dxa"/>
        <w:tblLayout w:type="fixed"/>
        <w:tblCellMar>
          <w:top w:w="0" w:type="dxa"/>
          <w:left w:w="108" w:type="dxa"/>
          <w:bottom w:w="0" w:type="dxa"/>
          <w:right w:w="108" w:type="dxa"/>
        </w:tblCellMar>
      </w:tblPr>
      <w:tblGrid>
        <w:gridCol w:w="1016"/>
        <w:gridCol w:w="1485"/>
        <w:gridCol w:w="1515"/>
        <w:gridCol w:w="1710"/>
        <w:gridCol w:w="1800"/>
        <w:gridCol w:w="1695"/>
      </w:tblGrid>
      <w:tr>
        <w:tblPrEx>
          <w:tblCellMar>
            <w:top w:w="0" w:type="dxa"/>
            <w:left w:w="108" w:type="dxa"/>
            <w:bottom w:w="0" w:type="dxa"/>
            <w:right w:w="108" w:type="dxa"/>
          </w:tblCellMar>
        </w:tblPrEx>
        <w:trPr>
          <w:trHeight w:val="743" w:hRule="atLeast"/>
          <w:tblHeader/>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土拍1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土拍2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土拍3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土拍4</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土拍5</w:t>
            </w:r>
          </w:p>
        </w:tc>
      </w:tr>
      <w:tr>
        <w:tblPrEx>
          <w:tblCellMar>
            <w:top w:w="0" w:type="dxa"/>
            <w:left w:w="108" w:type="dxa"/>
            <w:bottom w:w="0" w:type="dxa"/>
            <w:right w:w="108" w:type="dxa"/>
          </w:tblCellMar>
        </w:tblPrEx>
        <w:trPr>
          <w:trHeight w:val="9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土地位置</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叙州区南部新区（北区）BQ24-07、BQ24-04地块</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宜宾三江新区TD-C-05-01、TD-C-05-03、TD-C-05-05、TD-C-06-06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宜宾市翠屏区天柏组团黄桷庄单元TC-24-01、TC-24-02、TC-24-05、TC-21-07和TC-22-06地块</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宜宾三江新区TD-B-02-03地块</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翠屏区岷江新区A-05-01地块</w:t>
            </w:r>
          </w:p>
        </w:tc>
      </w:tr>
      <w:tr>
        <w:tblPrEx>
          <w:tblCellMar>
            <w:top w:w="0" w:type="dxa"/>
            <w:left w:w="108" w:type="dxa"/>
            <w:bottom w:w="0" w:type="dxa"/>
            <w:right w:w="108" w:type="dxa"/>
          </w:tblCellMar>
        </w:tblPrEx>
        <w:trPr>
          <w:trHeight w:val="10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土地四至</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叙州区南部新区（北区）BQ24-07、BQ24-04地块</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宜宾三江新区TD-C-05-01、TD-C-05-03、TD-C-05-05、TD-C-06-06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宜宾市翠屏区天柏组团黄桷庄单元TC-24-01、TC-24-02、TC-24-05、TC-21-07和TC-22-06地块</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宜宾三江新区TD-B-02-03地块</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翠屏区岷江新区A-05-01地块</w:t>
            </w:r>
          </w:p>
        </w:tc>
      </w:tr>
      <w:tr>
        <w:tblPrEx>
          <w:tblCellMar>
            <w:top w:w="0" w:type="dxa"/>
            <w:left w:w="108" w:type="dxa"/>
            <w:bottom w:w="0" w:type="dxa"/>
            <w:right w:w="108" w:type="dxa"/>
          </w:tblCellMar>
        </w:tblPrEx>
        <w:trPr>
          <w:trHeight w:val="122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土地编号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叙州区南部新区（北区）BQ24-07、BQ24-04地块</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宜宾三江新区TD-C-05-01、TD-C-05-03、TD-C-05-05、TD-C-06-06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宜宾市翠屏区天柏组团黄桷庄单元TC-24-01、TC-24-02、TC-24-05、TC-21-07和TC-22-06地块</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宜宾三江新区TD-B-02-03地块</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翠屏区岷江新区A-05-01地块</w:t>
            </w:r>
          </w:p>
        </w:tc>
      </w:tr>
      <w:tr>
        <w:tblPrEx>
          <w:tblCellMar>
            <w:top w:w="0" w:type="dxa"/>
            <w:left w:w="108" w:type="dxa"/>
            <w:bottom w:w="0" w:type="dxa"/>
            <w:right w:w="108" w:type="dxa"/>
          </w:tblCellMar>
        </w:tblPrEx>
        <w:trPr>
          <w:trHeight w:val="72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用地性质</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城镇住宅-普通商品住房用地</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城镇住宅-普通商品住房用地</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城镇住宅-普通商品住房用地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二类居住用地</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商业居住混合用地</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出让方式</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拍卖</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拍卖</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拍卖</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拍卖</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拍卖</w:t>
            </w:r>
          </w:p>
        </w:tc>
      </w:tr>
      <w:tr>
        <w:tblPrEx>
          <w:tblCellMar>
            <w:top w:w="0" w:type="dxa"/>
            <w:left w:w="108" w:type="dxa"/>
            <w:bottom w:w="0" w:type="dxa"/>
            <w:right w:w="108" w:type="dxa"/>
          </w:tblCellMar>
        </w:tblPrEx>
        <w:trPr>
          <w:trHeight w:val="4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总用地面积</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150963㎡（226.44亩）</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165330㎡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199924㎡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32709㎡</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106871㎡</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代征面积</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0㎡（0亩）</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0㎡</w:t>
            </w:r>
          </w:p>
        </w:tc>
      </w:tr>
      <w:tr>
        <w:tblPrEx>
          <w:tblCellMar>
            <w:top w:w="0" w:type="dxa"/>
            <w:left w:w="108" w:type="dxa"/>
            <w:bottom w:w="0" w:type="dxa"/>
            <w:right w:w="108" w:type="dxa"/>
          </w:tblCellMar>
        </w:tblPrEx>
        <w:trPr>
          <w:trHeight w:val="4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建设</w:t>
            </w:r>
          </w:p>
          <w:p>
            <w:pPr>
              <w:jc w:val="center"/>
              <w:rPr>
                <w:rFonts w:ascii="Arial" w:hAnsi="Arial" w:cs="Arial"/>
                <w:b/>
                <w:sz w:val="15"/>
                <w:szCs w:val="15"/>
                <w:lang w:bidi="ar"/>
              </w:rPr>
            </w:pPr>
            <w:r>
              <w:rPr>
                <w:rFonts w:hint="eastAsia" w:ascii="Arial" w:hAnsi="Arial" w:cs="Arial"/>
                <w:b/>
                <w:sz w:val="15"/>
                <w:szCs w:val="15"/>
                <w:lang w:bidi="ar"/>
              </w:rPr>
              <w:t>用地面积</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150963㎡（226.44亩）</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165330㎡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199924㎡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32709㎡</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106871㎡</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规划</w:t>
            </w:r>
          </w:p>
          <w:p>
            <w:pPr>
              <w:jc w:val="center"/>
              <w:rPr>
                <w:rFonts w:ascii="Arial" w:hAnsi="Arial" w:cs="Arial"/>
                <w:b/>
                <w:sz w:val="15"/>
                <w:szCs w:val="15"/>
                <w:lang w:bidi="ar"/>
              </w:rPr>
            </w:pPr>
            <w:r>
              <w:rPr>
                <w:rFonts w:hint="eastAsia" w:ascii="Arial" w:hAnsi="Arial" w:cs="Arial"/>
                <w:b/>
                <w:sz w:val="15"/>
                <w:szCs w:val="15"/>
                <w:lang w:bidi="ar"/>
              </w:rPr>
              <w:t>建筑面积</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419677㎡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413325㎡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639756.8㎡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65418㎡</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320613㎡</w:t>
            </w:r>
          </w:p>
        </w:tc>
      </w:tr>
      <w:tr>
        <w:tblPrEx>
          <w:tblCellMar>
            <w:top w:w="0" w:type="dxa"/>
            <w:left w:w="108" w:type="dxa"/>
            <w:bottom w:w="0" w:type="dxa"/>
            <w:right w:w="108" w:type="dxa"/>
          </w:tblCellMar>
        </w:tblPrEx>
        <w:trPr>
          <w:trHeight w:val="4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容积率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大于1并且小于或等于2.78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大于1并且小于或等于2.5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大于1并且小于或等于3.2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大于1.0并且不大于2.0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不大于3.0</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建筑密度</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小于或等于22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小于或等于35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不大于25%</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不大于50%</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绿化率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大于或等于35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出让年限</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70年</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70年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70年</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70年</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居住70年，商业40年</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成交时间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2021年1月28日</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2021年3月31日</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2021年2月10日</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2021年5月8日</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2021年5月8日</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成交价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134508万元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99198万元</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129551万元</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29568.9万元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73847.86万元</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溢价率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0.20%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37.14%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33.73%</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0</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成交楼面价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3205元/㎡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2400元/㎡</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2025元/㎡</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4519.99元/㎡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2303.33元/㎡</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成交每亩价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594万元/亩</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400万元/亩</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432万元/亩</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602.67万元/亩</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460.67万元/亩</w:t>
            </w:r>
          </w:p>
        </w:tc>
      </w:tr>
      <w:tr>
        <w:tblPrEx>
          <w:tblCellMar>
            <w:top w:w="0" w:type="dxa"/>
            <w:left w:w="108" w:type="dxa"/>
            <w:bottom w:w="0" w:type="dxa"/>
            <w:right w:w="108" w:type="dxa"/>
          </w:tblCellMar>
        </w:tblPrEx>
        <w:trPr>
          <w:trHeight w:val="72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受让单位</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四川正煦置业有限公司</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宜宾市保宜昊运房地产开发有限公司</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宜宾励成睿升置业有限公司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成都享通达商贸有限公司</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新域控股集团企业管理有限公司</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lang w:bidi="ar"/>
              </w:rPr>
            </w:pPr>
            <w:r>
              <w:rPr>
                <w:rFonts w:hint="eastAsia" w:ascii="Arial" w:hAnsi="Arial" w:cs="Arial"/>
                <w:b/>
                <w:sz w:val="15"/>
                <w:szCs w:val="15"/>
                <w:lang w:bidi="ar"/>
              </w:rPr>
              <w:t>保证金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27000万元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30000万元</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20000万元</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4500万元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val="0"/>
                <w:bCs/>
                <w:sz w:val="15"/>
                <w:szCs w:val="15"/>
                <w:lang w:bidi="ar"/>
              </w:rPr>
            </w:pPr>
            <w:r>
              <w:rPr>
                <w:rFonts w:hint="eastAsia" w:ascii="Arial" w:hAnsi="Arial" w:cs="Arial"/>
                <w:b w:val="0"/>
                <w:bCs/>
                <w:sz w:val="15"/>
                <w:szCs w:val="15"/>
                <w:lang w:val="en-US" w:eastAsia="zh-CN" w:bidi="ar"/>
              </w:rPr>
              <w:t>15000万元</w:t>
            </w:r>
          </w:p>
        </w:tc>
      </w:tr>
    </w:tbl>
    <w:p>
      <w:pPr>
        <w:pStyle w:val="2"/>
      </w:pPr>
    </w:p>
    <w:p>
      <w:pPr>
        <w:pStyle w:val="3"/>
        <w:keepNext w:val="0"/>
        <w:keepLines w:val="0"/>
        <w:spacing w:before="300" w:after="300" w:line="360" w:lineRule="exact"/>
        <w:jc w:val="left"/>
        <w:rPr>
          <w:rFonts w:hint="eastAsia" w:ascii="Arial" w:hAnsi="Arial" w:eastAsia="宋体" w:cs="Arial"/>
          <w:bCs/>
          <w:color w:val="000000"/>
          <w:sz w:val="24"/>
          <w:szCs w:val="24"/>
        </w:rPr>
      </w:pPr>
      <w:bookmarkStart w:id="60" w:name="_Toc15641"/>
      <w:bookmarkStart w:id="61" w:name="_Toc66115206"/>
      <w:bookmarkStart w:id="62" w:name="_Toc23949"/>
      <w:r>
        <w:rPr>
          <w:rFonts w:hint="eastAsia" w:ascii="Arial" w:hAnsi="Arial" w:eastAsia="宋体" w:cs="Arial"/>
          <w:bCs/>
          <w:color w:val="000000"/>
          <w:sz w:val="24"/>
          <w:szCs w:val="24"/>
        </w:rPr>
        <w:t>十二、项目公司资金计划执行情况</w:t>
      </w:r>
      <w:bookmarkEnd w:id="60"/>
      <w:bookmarkEnd w:id="61"/>
      <w:bookmarkEnd w:id="62"/>
    </w:p>
    <w:p>
      <w:pPr>
        <w:jc w:val="center"/>
      </w:pPr>
      <w:bookmarkStart w:id="63" w:name="_Toc2913"/>
      <w:bookmarkStart w:id="64" w:name="_Toc66115207"/>
      <w:bookmarkStart w:id="65" w:name="_Toc13011"/>
      <w:r>
        <w:rPr>
          <w:rFonts w:hint="eastAsia" w:ascii="宋体" w:hAnsi="宋体" w:cs="宋体"/>
          <w:b/>
          <w:bCs/>
          <w:color w:val="000000"/>
          <w:sz w:val="21"/>
          <w:szCs w:val="21"/>
        </w:rPr>
        <w:t>表十三：</w:t>
      </w:r>
      <w:r>
        <w:rPr>
          <w:rFonts w:hint="eastAsia" w:ascii="宋体" w:hAnsi="宋体" w:cs="宋体"/>
          <w:b/>
          <w:bCs/>
          <w:sz w:val="21"/>
          <w:szCs w:val="21"/>
          <w:lang w:val="en-US" w:eastAsia="zh-CN"/>
        </w:rPr>
        <w:t>2021</w:t>
      </w:r>
      <w:r>
        <w:rPr>
          <w:rFonts w:hint="eastAsia" w:ascii="宋体" w:hAnsi="宋体" w:cs="宋体"/>
          <w:b/>
          <w:bCs/>
          <w:sz w:val="21"/>
          <w:szCs w:val="21"/>
        </w:rPr>
        <w:t>年</w:t>
      </w:r>
      <w:r>
        <w:rPr>
          <w:rFonts w:hint="eastAsia" w:ascii="宋体" w:hAnsi="宋体" w:cs="宋体"/>
          <w:b/>
          <w:bCs/>
          <w:sz w:val="21"/>
          <w:szCs w:val="21"/>
          <w:lang w:val="en-US" w:eastAsia="zh-CN"/>
        </w:rPr>
        <w:t>5</w:t>
      </w:r>
      <w:r>
        <w:rPr>
          <w:rFonts w:hint="eastAsia" w:ascii="宋体" w:hAnsi="宋体" w:cs="宋体"/>
          <w:b/>
          <w:bCs/>
          <w:sz w:val="21"/>
          <w:szCs w:val="21"/>
        </w:rPr>
        <w:t>月资金计划执行情况</w:t>
      </w:r>
    </w:p>
    <w:tbl>
      <w:tblPr>
        <w:tblStyle w:val="18"/>
        <w:tblW w:w="9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14"/>
        <w:gridCol w:w="1800"/>
        <w:gridCol w:w="1457"/>
        <w:gridCol w:w="1440"/>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19"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1114"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支出项目</w:t>
            </w:r>
          </w:p>
        </w:tc>
        <w:tc>
          <w:tcPr>
            <w:tcW w:w="1800"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计划金额</w:t>
            </w:r>
          </w:p>
        </w:tc>
        <w:tc>
          <w:tcPr>
            <w:tcW w:w="1457"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实际金额</w:t>
            </w:r>
          </w:p>
        </w:tc>
        <w:tc>
          <w:tcPr>
            <w:tcW w:w="1440"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差异金额</w:t>
            </w:r>
          </w:p>
        </w:tc>
        <w:tc>
          <w:tcPr>
            <w:tcW w:w="2621"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1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开发费用</w:t>
            </w:r>
          </w:p>
        </w:tc>
        <w:tc>
          <w:tcPr>
            <w:tcW w:w="180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1,359,562.00 </w:t>
            </w:r>
          </w:p>
        </w:tc>
        <w:tc>
          <w:tcPr>
            <w:tcW w:w="1457"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48,800.00 </w:t>
            </w:r>
          </w:p>
        </w:tc>
        <w:tc>
          <w:tcPr>
            <w:tcW w:w="144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1,310,762.00 </w:t>
            </w:r>
          </w:p>
        </w:tc>
        <w:tc>
          <w:tcPr>
            <w:tcW w:w="2621" w:type="dxa"/>
            <w:vAlign w:val="center"/>
          </w:tcPr>
          <w:p>
            <w:pPr>
              <w:widowControl w:val="0"/>
              <w:jc w:val="left"/>
              <w:textAlignment w:val="center"/>
              <w:rPr>
                <w:rFonts w:hint="eastAsia" w:ascii="Arial" w:hAnsi="Arial" w:cs="Arial"/>
                <w:color w:val="000000"/>
                <w:kern w:val="2"/>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2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建安费用</w:t>
            </w:r>
          </w:p>
        </w:tc>
        <w:tc>
          <w:tcPr>
            <w:tcW w:w="180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21,190,483.01 </w:t>
            </w:r>
          </w:p>
        </w:tc>
        <w:tc>
          <w:tcPr>
            <w:tcW w:w="1457"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6,510,000.00 </w:t>
            </w:r>
          </w:p>
        </w:tc>
        <w:tc>
          <w:tcPr>
            <w:tcW w:w="144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14,680,483.01 </w:t>
            </w:r>
          </w:p>
        </w:tc>
        <w:tc>
          <w:tcPr>
            <w:tcW w:w="2621" w:type="dxa"/>
            <w:vAlign w:val="center"/>
          </w:tcPr>
          <w:p>
            <w:pPr>
              <w:widowControl w:val="0"/>
              <w:jc w:val="left"/>
              <w:textAlignment w:val="center"/>
              <w:rPr>
                <w:rFonts w:hint="eastAsia" w:ascii="Arial" w:hAnsi="Arial" w:cs="Arial"/>
                <w:color w:val="000000"/>
                <w:kern w:val="2"/>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3 </w:t>
            </w:r>
          </w:p>
        </w:tc>
        <w:tc>
          <w:tcPr>
            <w:tcW w:w="1114"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val="en-US" w:eastAsia="zh-CN" w:bidi="ar"/>
              </w:rPr>
              <w:t>营建成本</w:t>
            </w:r>
          </w:p>
        </w:tc>
        <w:tc>
          <w:tcPr>
            <w:tcW w:w="180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251,750.38 </w:t>
            </w:r>
          </w:p>
        </w:tc>
        <w:tc>
          <w:tcPr>
            <w:tcW w:w="1457"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44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251,750.38 </w:t>
            </w:r>
          </w:p>
        </w:tc>
        <w:tc>
          <w:tcPr>
            <w:tcW w:w="2621" w:type="dxa"/>
            <w:vAlign w:val="center"/>
          </w:tcPr>
          <w:p>
            <w:pPr>
              <w:widowControl w:val="0"/>
              <w:jc w:val="lef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4 </w:t>
            </w:r>
          </w:p>
        </w:tc>
        <w:tc>
          <w:tcPr>
            <w:tcW w:w="1114"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val="en-US" w:eastAsia="zh-CN" w:bidi="ar"/>
              </w:rPr>
              <w:t>管理费用</w:t>
            </w:r>
          </w:p>
        </w:tc>
        <w:tc>
          <w:tcPr>
            <w:tcW w:w="180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8,194,540.00 </w:t>
            </w:r>
          </w:p>
        </w:tc>
        <w:tc>
          <w:tcPr>
            <w:tcW w:w="1457"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2,989,880.36 </w:t>
            </w:r>
          </w:p>
        </w:tc>
        <w:tc>
          <w:tcPr>
            <w:tcW w:w="144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5,204,659.64 </w:t>
            </w:r>
          </w:p>
        </w:tc>
        <w:tc>
          <w:tcPr>
            <w:tcW w:w="2621" w:type="dxa"/>
            <w:vAlign w:val="center"/>
          </w:tcPr>
          <w:p>
            <w:pPr>
              <w:widowControl w:val="0"/>
              <w:jc w:val="lef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资金计划外申请80万元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5 </w:t>
            </w:r>
          </w:p>
        </w:tc>
        <w:tc>
          <w:tcPr>
            <w:tcW w:w="1114"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val="en-US" w:eastAsia="zh-CN" w:bidi="ar"/>
              </w:rPr>
              <w:t>营销费用</w:t>
            </w:r>
          </w:p>
        </w:tc>
        <w:tc>
          <w:tcPr>
            <w:tcW w:w="180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2,645,544.00 </w:t>
            </w:r>
          </w:p>
        </w:tc>
        <w:tc>
          <w:tcPr>
            <w:tcW w:w="1457"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233,904.56 </w:t>
            </w:r>
          </w:p>
        </w:tc>
        <w:tc>
          <w:tcPr>
            <w:tcW w:w="144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2,411,639.44 </w:t>
            </w:r>
          </w:p>
        </w:tc>
        <w:tc>
          <w:tcPr>
            <w:tcW w:w="2621" w:type="dxa"/>
            <w:vAlign w:val="center"/>
          </w:tcPr>
          <w:p>
            <w:pPr>
              <w:widowControl w:val="0"/>
              <w:jc w:val="lef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6 </w:t>
            </w:r>
          </w:p>
        </w:tc>
        <w:tc>
          <w:tcPr>
            <w:tcW w:w="1114"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val="en-US" w:eastAsia="zh-CN" w:bidi="ar"/>
              </w:rPr>
              <w:t>税费</w:t>
            </w:r>
          </w:p>
        </w:tc>
        <w:tc>
          <w:tcPr>
            <w:tcW w:w="180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3,000,000.00 </w:t>
            </w:r>
          </w:p>
        </w:tc>
        <w:tc>
          <w:tcPr>
            <w:tcW w:w="1457"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1,171,605.92 </w:t>
            </w:r>
          </w:p>
        </w:tc>
        <w:tc>
          <w:tcPr>
            <w:tcW w:w="144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1,828,394.08 </w:t>
            </w:r>
          </w:p>
        </w:tc>
        <w:tc>
          <w:tcPr>
            <w:tcW w:w="2621" w:type="dxa"/>
            <w:vAlign w:val="center"/>
          </w:tcPr>
          <w:p>
            <w:pPr>
              <w:widowControl w:val="0"/>
              <w:jc w:val="left"/>
              <w:textAlignment w:val="center"/>
              <w:rPr>
                <w:rFonts w:hint="eastAsia" w:ascii="Arial" w:hAnsi="Arial" w:cs="Arial"/>
                <w:color w:val="000000"/>
                <w:kern w:val="2"/>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7 </w:t>
            </w:r>
          </w:p>
        </w:tc>
        <w:tc>
          <w:tcPr>
            <w:tcW w:w="1114"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val="en-US" w:eastAsia="zh-CN" w:bidi="ar"/>
              </w:rPr>
              <w:t>财务费用</w:t>
            </w:r>
          </w:p>
        </w:tc>
        <w:tc>
          <w:tcPr>
            <w:tcW w:w="180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457"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2,096.58 </w:t>
            </w:r>
          </w:p>
        </w:tc>
        <w:tc>
          <w:tcPr>
            <w:tcW w:w="144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-2,096.58 </w:t>
            </w:r>
          </w:p>
        </w:tc>
        <w:tc>
          <w:tcPr>
            <w:tcW w:w="2621" w:type="dxa"/>
            <w:vAlign w:val="center"/>
          </w:tcPr>
          <w:p>
            <w:pPr>
              <w:widowControl w:val="0"/>
              <w:jc w:val="left"/>
              <w:textAlignment w:val="center"/>
              <w:rPr>
                <w:rFonts w:hint="eastAsia" w:ascii="Arial" w:hAnsi="Arial" w:cs="Arial"/>
                <w:color w:val="000000"/>
                <w:kern w:val="2"/>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8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其他费用</w:t>
            </w:r>
          </w:p>
        </w:tc>
        <w:tc>
          <w:tcPr>
            <w:tcW w:w="180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164,000.00 </w:t>
            </w:r>
          </w:p>
        </w:tc>
        <w:tc>
          <w:tcPr>
            <w:tcW w:w="1457"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164,000.00 </w:t>
            </w:r>
          </w:p>
        </w:tc>
        <w:tc>
          <w:tcPr>
            <w:tcW w:w="144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2621" w:type="dxa"/>
            <w:vAlign w:val="center"/>
          </w:tcPr>
          <w:p>
            <w:pPr>
              <w:widowControl w:val="0"/>
              <w:jc w:val="lef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资金计划外申请164,000.00元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9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合计</w:t>
            </w:r>
          </w:p>
        </w:tc>
        <w:tc>
          <w:tcPr>
            <w:tcW w:w="180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36,805,879.39 </w:t>
            </w:r>
          </w:p>
        </w:tc>
        <w:tc>
          <w:tcPr>
            <w:tcW w:w="1457"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11,120,287.42 </w:t>
            </w:r>
          </w:p>
        </w:tc>
        <w:tc>
          <w:tcPr>
            <w:tcW w:w="1440" w:type="dxa"/>
            <w:vAlign w:val="center"/>
          </w:tcPr>
          <w:p>
            <w:pPr>
              <w:widowControl w:val="0"/>
              <w:jc w:val="righ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25,685,591.97 </w:t>
            </w:r>
          </w:p>
        </w:tc>
        <w:tc>
          <w:tcPr>
            <w:tcW w:w="2621" w:type="dxa"/>
            <w:vAlign w:val="center"/>
          </w:tcPr>
          <w:p>
            <w:pPr>
              <w:widowControl w:val="0"/>
              <w:jc w:val="lef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资金计划外申请</w:t>
            </w:r>
          </w:p>
          <w:p>
            <w:pPr>
              <w:widowControl w:val="0"/>
              <w:jc w:val="left"/>
              <w:textAlignment w:val="center"/>
              <w:rPr>
                <w:rFonts w:hint="eastAsia"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总计964,000.00元 </w:t>
            </w:r>
          </w:p>
        </w:tc>
      </w:tr>
    </w:tbl>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（1）</w:t>
      </w:r>
      <w:r>
        <w:rPr>
          <w:rFonts w:hint="eastAsia" w:ascii="Arial" w:hAnsi="Arial" w:cs="Arial"/>
          <w:kern w:val="44"/>
          <w:sz w:val="21"/>
          <w:szCs w:val="21"/>
          <w:lang w:val="en-US" w:eastAsia="zh-CN"/>
        </w:rPr>
        <w:t>项目公司报的资金计划因为集团支付总额限制，很多费用无法支付，导致资金执行过程中存在较大差异</w:t>
      </w:r>
      <w:r>
        <w:rPr>
          <w:rFonts w:hint="eastAsia" w:ascii="Arial" w:hAnsi="Arial" w:cs="Arial"/>
          <w:kern w:val="44"/>
          <w:sz w:val="21"/>
          <w:szCs w:val="21"/>
        </w:rPr>
        <w:t>。</w:t>
      </w:r>
    </w:p>
    <w:p>
      <w:pPr>
        <w:widowControl w:val="0"/>
        <w:spacing w:line="480" w:lineRule="auto"/>
        <w:ind w:firstLine="420" w:firstLineChars="200"/>
        <w:jc w:val="both"/>
        <w:rPr>
          <w:rFonts w:hint="default" w:eastAsia="宋体"/>
          <w:lang w:val="en-US" w:eastAsia="zh-CN"/>
        </w:rPr>
      </w:pPr>
      <w:r>
        <w:rPr>
          <w:rFonts w:hint="eastAsia" w:ascii="Arial" w:hAnsi="Arial" w:cs="Arial"/>
          <w:kern w:val="44"/>
          <w:sz w:val="21"/>
          <w:szCs w:val="21"/>
        </w:rPr>
        <w:t>（2）</w:t>
      </w:r>
      <w:r>
        <w:rPr>
          <w:rFonts w:hint="eastAsia" w:ascii="Arial" w:hAnsi="Arial" w:cs="Arial"/>
          <w:kern w:val="44"/>
          <w:sz w:val="21"/>
          <w:szCs w:val="21"/>
          <w:lang w:val="en-US" w:eastAsia="zh-CN"/>
        </w:rPr>
        <w:t>项目公司内部没有沟通好，经办人表示付款很急的事项，资料审核可以支付时发现没有制单，或者不在集团付款计划范围内，导致付款滞后</w:t>
      </w:r>
      <w:r>
        <w:rPr>
          <w:rFonts w:hint="eastAsia" w:ascii="Arial" w:hAnsi="Arial" w:cs="Arial"/>
          <w:kern w:val="44"/>
          <w:sz w:val="21"/>
          <w:szCs w:val="21"/>
        </w:rPr>
        <w:t>。</w:t>
      </w:r>
    </w:p>
    <w:p>
      <w:pPr>
        <w:rPr>
          <w:rFonts w:hint="eastAsia" w:ascii="Arial" w:hAnsi="Arial" w:eastAsia="宋体" w:cs="Arial"/>
          <w:bCs/>
          <w:color w:val="000000"/>
          <w:sz w:val="24"/>
          <w:szCs w:val="24"/>
        </w:rPr>
      </w:pPr>
      <w:r>
        <w:rPr>
          <w:rFonts w:hint="eastAsia" w:ascii="Arial" w:hAnsi="Arial" w:eastAsia="宋体" w:cs="Arial"/>
          <w:bCs/>
          <w:color w:val="000000"/>
          <w:sz w:val="24"/>
          <w:szCs w:val="24"/>
        </w:rPr>
        <w:br w:type="page"/>
      </w:r>
    </w:p>
    <w:p>
      <w:pPr>
        <w:pStyle w:val="3"/>
        <w:keepNext w:val="0"/>
        <w:keepLines w:val="0"/>
        <w:spacing w:before="300" w:after="300" w:line="360" w:lineRule="exact"/>
        <w:jc w:val="left"/>
        <w:rPr>
          <w:rFonts w:ascii="Arial" w:hAnsi="Arial" w:eastAsia="宋体" w:cs="Arial"/>
          <w:bCs/>
          <w:color w:val="000000"/>
          <w:sz w:val="24"/>
          <w:szCs w:val="24"/>
          <w:highlight w:val="none"/>
        </w:rPr>
      </w:pPr>
      <w:r>
        <w:rPr>
          <w:rFonts w:hint="eastAsia" w:ascii="Arial" w:hAnsi="Arial" w:eastAsia="宋体" w:cs="Arial"/>
          <w:bCs/>
          <w:color w:val="000000"/>
          <w:sz w:val="24"/>
          <w:szCs w:val="24"/>
          <w:highlight w:val="none"/>
        </w:rPr>
        <w:t>十三、项目公司用印情况（明细台账作为附件）</w:t>
      </w:r>
      <w:bookmarkEnd w:id="63"/>
      <w:bookmarkEnd w:id="64"/>
      <w:bookmarkEnd w:id="65"/>
    </w:p>
    <w:p>
      <w:pPr>
        <w:jc w:val="center"/>
      </w:pPr>
      <w:bookmarkStart w:id="66" w:name="_Toc9035"/>
      <w:r>
        <w:rPr>
          <w:rFonts w:hint="eastAsia" w:ascii="宋体" w:hAnsi="宋体" w:cs="宋体"/>
          <w:b/>
          <w:bCs/>
          <w:color w:val="000000"/>
          <w:sz w:val="21"/>
          <w:szCs w:val="21"/>
        </w:rPr>
        <w:t>表十二：</w:t>
      </w:r>
      <w:r>
        <w:rPr>
          <w:rFonts w:hint="eastAsia" w:ascii="宋体" w:hAnsi="宋体" w:cs="宋体"/>
          <w:b/>
          <w:bCs/>
          <w:sz w:val="21"/>
          <w:szCs w:val="21"/>
        </w:rPr>
        <w:t>项目公司用印情况统计表</w:t>
      </w:r>
      <w:bookmarkEnd w:id="66"/>
    </w:p>
    <w:tbl>
      <w:tblPr>
        <w:tblStyle w:val="1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6274"/>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73"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6274"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用途（合同、内部文件等）</w:t>
            </w:r>
          </w:p>
        </w:tc>
        <w:tc>
          <w:tcPr>
            <w:tcW w:w="1489"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textAlignment w:val="center"/>
              <w:rPr>
                <w:rFonts w:ascii="宋体" w:hAnsi="宋体" w:cs="宋体"/>
                <w:color w:val="000000"/>
                <w:sz w:val="18"/>
                <w:szCs w:val="18"/>
                <w:lang w:bidi="ar"/>
              </w:rPr>
            </w:pPr>
            <w:r>
              <w:rPr>
                <w:rFonts w:ascii="宋体" w:hAnsi="宋体" w:cs="宋体"/>
                <w:color w:val="000000"/>
                <w:sz w:val="18"/>
                <w:szCs w:val="18"/>
                <w:lang w:bidi="ar"/>
              </w:rPr>
              <w:t>1</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合同类</w:t>
            </w:r>
          </w:p>
        </w:tc>
        <w:tc>
          <w:tcPr>
            <w:tcW w:w="1489" w:type="dxa"/>
            <w:vAlign w:val="center"/>
          </w:tcPr>
          <w:p>
            <w:pPr>
              <w:jc w:val="center"/>
              <w:textAlignment w:val="center"/>
              <w:rPr>
                <w:rFonts w:hint="default" w:ascii="宋体" w:hAnsi="宋体" w:eastAsia="宋体" w:cs="宋体"/>
                <w:color w:val="000000"/>
                <w:sz w:val="18"/>
                <w:szCs w:val="18"/>
                <w:lang w:val="en-US" w:eastAsia="zh-CN" w:bidi="ar"/>
              </w:rPr>
            </w:pPr>
            <w:r>
              <w:rPr>
                <w:rFonts w:hint="eastAsia" w:ascii="宋体" w:hAnsi="宋体" w:cs="宋体"/>
                <w:color w:val="000000"/>
                <w:sz w:val="18"/>
                <w:szCs w:val="18"/>
                <w:lang w:val="en-US" w:eastAsia="zh-CN" w:bidi="ar"/>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textAlignment w:val="center"/>
              <w:rPr>
                <w:rFonts w:ascii="宋体" w:hAnsi="宋体" w:cs="宋体"/>
                <w:color w:val="000000"/>
                <w:sz w:val="18"/>
                <w:szCs w:val="18"/>
                <w:lang w:bidi="ar"/>
              </w:rPr>
            </w:pPr>
            <w:r>
              <w:rPr>
                <w:rFonts w:ascii="宋体" w:hAnsi="宋体" w:cs="宋体"/>
                <w:color w:val="000000"/>
                <w:sz w:val="18"/>
                <w:szCs w:val="18"/>
                <w:lang w:bidi="ar"/>
              </w:rPr>
              <w:t>2</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（日常管理事项用印）</w:t>
            </w:r>
          </w:p>
        </w:tc>
        <w:tc>
          <w:tcPr>
            <w:tcW w:w="1489" w:type="dxa"/>
            <w:vAlign w:val="center"/>
          </w:tcPr>
          <w:p>
            <w:pPr>
              <w:jc w:val="center"/>
              <w:textAlignment w:val="center"/>
              <w:rPr>
                <w:rFonts w:hint="default" w:ascii="宋体" w:hAnsi="宋体" w:eastAsia="宋体" w:cs="宋体"/>
                <w:color w:val="000000"/>
                <w:sz w:val="18"/>
                <w:szCs w:val="18"/>
                <w:lang w:val="en-US" w:eastAsia="zh-CN" w:bidi="ar"/>
              </w:rPr>
            </w:pPr>
            <w:r>
              <w:rPr>
                <w:rFonts w:hint="eastAsia" w:ascii="宋体" w:hAnsi="宋体" w:cs="宋体"/>
                <w:color w:val="000000"/>
                <w:sz w:val="18"/>
                <w:szCs w:val="18"/>
                <w:lang w:val="en-US" w:eastAsia="zh-CN" w:bidi="ar"/>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73" w:type="dxa"/>
            <w:vAlign w:val="center"/>
          </w:tcPr>
          <w:p>
            <w:pPr>
              <w:widowControl w:val="0"/>
              <w:jc w:val="center"/>
              <w:textAlignment w:val="center"/>
              <w:rPr>
                <w:rFonts w:hint="eastAsia" w:ascii="宋体" w:hAnsi="宋体" w:eastAsia="宋体" w:cs="宋体"/>
                <w:color w:val="000000"/>
                <w:sz w:val="18"/>
                <w:szCs w:val="18"/>
                <w:lang w:eastAsia="zh-CN" w:bidi="ar"/>
              </w:rPr>
            </w:pPr>
            <w:r>
              <w:rPr>
                <w:rFonts w:hint="eastAsia" w:ascii="宋体" w:hAnsi="宋体" w:cs="宋体"/>
                <w:color w:val="000000"/>
                <w:sz w:val="18"/>
                <w:szCs w:val="18"/>
                <w:lang w:val="en-US" w:eastAsia="zh-CN" w:bidi="ar"/>
              </w:rPr>
              <w:t>3</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其他</w:t>
            </w:r>
          </w:p>
        </w:tc>
        <w:tc>
          <w:tcPr>
            <w:tcW w:w="1489" w:type="dxa"/>
            <w:vAlign w:val="center"/>
          </w:tcPr>
          <w:p>
            <w:pPr>
              <w:jc w:val="both"/>
              <w:textAlignment w:val="center"/>
              <w:rPr>
                <w:rFonts w:ascii="宋体" w:hAnsi="宋体" w:cs="宋体"/>
                <w:color w:val="000000"/>
                <w:sz w:val="18"/>
                <w:szCs w:val="18"/>
                <w:lang w:bidi="ar"/>
              </w:rPr>
            </w:pPr>
            <w:r>
              <w:rPr>
                <w:rFonts w:hint="eastAsia" w:ascii="宋体" w:hAnsi="宋体" w:cs="宋体"/>
                <w:color w:val="000000"/>
                <w:sz w:val="18"/>
                <w:szCs w:val="18"/>
                <w:lang w:bidi="ar"/>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273" w:type="dxa"/>
            <w:vAlign w:val="center"/>
          </w:tcPr>
          <w:p>
            <w:pPr>
              <w:widowControl w:val="0"/>
              <w:jc w:val="center"/>
              <w:textAlignment w:val="center"/>
            </w:pPr>
            <w:r>
              <w:rPr>
                <w:rFonts w:hint="eastAsia" w:ascii="宋体" w:hAnsi="宋体" w:cs="宋体"/>
                <w:color w:val="000000"/>
                <w:sz w:val="18"/>
                <w:szCs w:val="18"/>
                <w:lang w:val="en-US" w:eastAsia="zh-CN" w:bidi="ar"/>
              </w:rPr>
              <w:t>4</w:t>
            </w:r>
          </w:p>
        </w:tc>
        <w:tc>
          <w:tcPr>
            <w:tcW w:w="6274"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合计</w:t>
            </w:r>
          </w:p>
        </w:tc>
        <w:tc>
          <w:tcPr>
            <w:tcW w:w="1489" w:type="dxa"/>
            <w:vAlign w:val="center"/>
          </w:tcPr>
          <w:p>
            <w:pPr>
              <w:jc w:val="center"/>
              <w:textAlignment w:val="center"/>
              <w:rPr>
                <w:rFonts w:hint="default" w:ascii="宋体" w:hAnsi="宋体" w:eastAsia="宋体" w:cs="宋体"/>
                <w:color w:val="000000"/>
                <w:sz w:val="18"/>
                <w:szCs w:val="18"/>
                <w:lang w:val="en-US" w:eastAsia="zh-CN" w:bidi="ar"/>
              </w:rPr>
            </w:pPr>
            <w:r>
              <w:rPr>
                <w:rFonts w:hint="eastAsia" w:ascii="宋体" w:hAnsi="宋体" w:cs="宋体"/>
                <w:color w:val="000000"/>
                <w:sz w:val="18"/>
                <w:szCs w:val="18"/>
                <w:lang w:val="en-US" w:eastAsia="zh-CN" w:bidi="ar"/>
              </w:rPr>
              <w:t>506</w:t>
            </w:r>
          </w:p>
        </w:tc>
      </w:tr>
    </w:tbl>
    <w:p/>
    <w:p>
      <w:pPr>
        <w:pStyle w:val="3"/>
        <w:keepNext w:val="0"/>
        <w:keepLines w:val="0"/>
        <w:spacing w:before="300" w:after="300" w:line="360" w:lineRule="exact"/>
        <w:jc w:val="left"/>
        <w:rPr>
          <w:rFonts w:hint="eastAsia" w:ascii="Arial" w:hAnsi="Arial" w:eastAsia="宋体" w:cs="Arial"/>
          <w:bCs/>
          <w:color w:val="000000"/>
          <w:sz w:val="24"/>
          <w:szCs w:val="24"/>
          <w:highlight w:val="none"/>
        </w:rPr>
      </w:pPr>
      <w:bookmarkStart w:id="67" w:name="_Toc17336"/>
      <w:bookmarkStart w:id="68" w:name="_Toc31746"/>
      <w:bookmarkStart w:id="69" w:name="_Toc66115208"/>
      <w:r>
        <w:rPr>
          <w:rFonts w:hint="eastAsia" w:ascii="Arial" w:hAnsi="Arial" w:eastAsia="宋体" w:cs="Arial"/>
          <w:bCs/>
          <w:color w:val="000000"/>
          <w:sz w:val="24"/>
          <w:szCs w:val="24"/>
          <w:highlight w:val="none"/>
        </w:rPr>
        <w:t>十四、项目公司印章证照外出使用情况</w:t>
      </w:r>
      <w:bookmarkEnd w:id="67"/>
      <w:bookmarkEnd w:id="68"/>
      <w:bookmarkEnd w:id="69"/>
    </w:p>
    <w:p>
      <w:pPr>
        <w:jc w:val="center"/>
      </w:pPr>
      <w:bookmarkStart w:id="70" w:name="_Toc6302"/>
      <w:r>
        <w:rPr>
          <w:rFonts w:hint="eastAsia" w:ascii="宋体" w:hAnsi="宋体" w:cs="宋体"/>
          <w:b/>
          <w:bCs/>
          <w:color w:val="000000"/>
          <w:sz w:val="21"/>
          <w:szCs w:val="21"/>
        </w:rPr>
        <w:t>表十三：SPV</w:t>
      </w:r>
      <w:r>
        <w:rPr>
          <w:rFonts w:hint="eastAsia" w:ascii="宋体" w:hAnsi="宋体" w:cs="宋体"/>
          <w:b/>
          <w:bCs/>
          <w:sz w:val="21"/>
          <w:szCs w:val="21"/>
        </w:rPr>
        <w:t>公司印章证照外出使用情况</w:t>
      </w:r>
      <w:bookmarkEnd w:id="70"/>
    </w:p>
    <w:tbl>
      <w:tblPr>
        <w:tblStyle w:val="1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056"/>
        <w:gridCol w:w="1336"/>
        <w:gridCol w:w="1240"/>
        <w:gridCol w:w="1240"/>
        <w:gridCol w:w="1057"/>
        <w:gridCol w:w="1171"/>
        <w:gridCol w:w="939"/>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628" w:type="dxa"/>
            <w:vAlign w:val="center"/>
          </w:tcPr>
          <w:p>
            <w:pPr>
              <w:jc w:val="center"/>
              <w:rPr>
                <w:rFonts w:ascii="Arial" w:hAnsi="Arial" w:cs="Arial"/>
                <w:bCs/>
                <w:sz w:val="18"/>
                <w:szCs w:val="18"/>
                <w:lang w:bidi="ar"/>
              </w:rPr>
            </w:pPr>
            <w:r>
              <w:rPr>
                <w:rFonts w:hint="eastAsia" w:ascii="Arial" w:hAnsi="Arial" w:cs="Arial"/>
                <w:bCs/>
                <w:sz w:val="18"/>
                <w:szCs w:val="18"/>
                <w:lang w:bidi="ar"/>
              </w:rPr>
              <w:t>序号</w:t>
            </w:r>
          </w:p>
        </w:tc>
        <w:tc>
          <w:tcPr>
            <w:tcW w:w="1056" w:type="dxa"/>
            <w:vAlign w:val="center"/>
          </w:tcPr>
          <w:p>
            <w:pPr>
              <w:jc w:val="center"/>
              <w:rPr>
                <w:rFonts w:ascii="Arial" w:hAnsi="Arial" w:cs="Arial"/>
                <w:bCs/>
                <w:sz w:val="18"/>
                <w:szCs w:val="18"/>
                <w:lang w:bidi="ar"/>
              </w:rPr>
            </w:pPr>
            <w:r>
              <w:rPr>
                <w:rFonts w:hint="eastAsia" w:ascii="Arial" w:hAnsi="Arial" w:cs="Arial"/>
                <w:bCs/>
                <w:sz w:val="18"/>
                <w:szCs w:val="18"/>
                <w:lang w:bidi="ar"/>
              </w:rPr>
              <w:t>外借时间</w:t>
            </w:r>
          </w:p>
        </w:tc>
        <w:tc>
          <w:tcPr>
            <w:tcW w:w="1336" w:type="dxa"/>
            <w:vAlign w:val="center"/>
          </w:tcPr>
          <w:p>
            <w:pPr>
              <w:jc w:val="center"/>
              <w:rPr>
                <w:rFonts w:ascii="Arial" w:hAnsi="Arial" w:cs="Arial"/>
                <w:bCs/>
                <w:sz w:val="18"/>
                <w:szCs w:val="18"/>
                <w:lang w:bidi="ar"/>
              </w:rPr>
            </w:pPr>
            <w:r>
              <w:rPr>
                <w:rFonts w:hint="eastAsia" w:ascii="Arial" w:hAnsi="Arial" w:cs="Arial"/>
                <w:bCs/>
                <w:sz w:val="18"/>
                <w:szCs w:val="18"/>
                <w:lang w:bidi="ar"/>
              </w:rPr>
              <w:t>印鉴证照名称</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事由（银行开户、政府机关报税报件等）</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经办部门</w:t>
            </w:r>
          </w:p>
        </w:tc>
        <w:tc>
          <w:tcPr>
            <w:tcW w:w="1057" w:type="dxa"/>
            <w:vAlign w:val="center"/>
          </w:tcPr>
          <w:p>
            <w:pPr>
              <w:jc w:val="center"/>
              <w:rPr>
                <w:rFonts w:ascii="Arial" w:hAnsi="Arial" w:cs="Arial"/>
                <w:bCs/>
                <w:sz w:val="18"/>
                <w:szCs w:val="18"/>
                <w:lang w:bidi="ar"/>
              </w:rPr>
            </w:pPr>
            <w:r>
              <w:rPr>
                <w:rFonts w:hint="eastAsia" w:ascii="Arial" w:hAnsi="Arial" w:cs="Arial"/>
                <w:bCs/>
                <w:sz w:val="18"/>
                <w:szCs w:val="18"/>
                <w:lang w:bidi="ar"/>
              </w:rPr>
              <w:t>经办人</w:t>
            </w:r>
          </w:p>
        </w:tc>
        <w:tc>
          <w:tcPr>
            <w:tcW w:w="1171" w:type="dxa"/>
            <w:vAlign w:val="center"/>
          </w:tcPr>
          <w:p>
            <w:pPr>
              <w:jc w:val="center"/>
              <w:rPr>
                <w:rFonts w:ascii="Arial" w:hAnsi="Arial" w:cs="Arial"/>
                <w:bCs/>
                <w:sz w:val="18"/>
                <w:szCs w:val="18"/>
                <w:lang w:bidi="ar"/>
              </w:rPr>
            </w:pPr>
            <w:r>
              <w:rPr>
                <w:rFonts w:hint="eastAsia" w:ascii="Arial" w:hAnsi="Arial" w:cs="Arial"/>
                <w:bCs/>
                <w:sz w:val="18"/>
                <w:szCs w:val="18"/>
                <w:lang w:bidi="ar"/>
              </w:rPr>
              <w:t>监印/证人</w:t>
            </w:r>
          </w:p>
        </w:tc>
        <w:tc>
          <w:tcPr>
            <w:tcW w:w="939" w:type="dxa"/>
            <w:vAlign w:val="center"/>
          </w:tcPr>
          <w:p>
            <w:pPr>
              <w:jc w:val="center"/>
              <w:rPr>
                <w:rFonts w:ascii="Arial" w:hAnsi="Arial" w:cs="Arial"/>
                <w:bCs/>
                <w:sz w:val="18"/>
                <w:szCs w:val="18"/>
                <w:lang w:bidi="ar"/>
              </w:rPr>
            </w:pPr>
            <w:r>
              <w:rPr>
                <w:rFonts w:hint="eastAsia" w:ascii="Arial" w:hAnsi="Arial" w:cs="Arial"/>
                <w:bCs/>
                <w:sz w:val="18"/>
                <w:szCs w:val="18"/>
                <w:lang w:bidi="ar"/>
              </w:rPr>
              <w:t>是否陪同</w:t>
            </w:r>
          </w:p>
        </w:tc>
        <w:tc>
          <w:tcPr>
            <w:tcW w:w="1249" w:type="dxa"/>
            <w:vAlign w:val="center"/>
          </w:tcPr>
          <w:p>
            <w:pPr>
              <w:jc w:val="center"/>
              <w:rPr>
                <w:rFonts w:ascii="Arial" w:hAnsi="Arial" w:cs="Arial"/>
                <w:bCs/>
                <w:sz w:val="18"/>
                <w:szCs w:val="18"/>
                <w:lang w:bidi="ar"/>
              </w:rPr>
            </w:pPr>
            <w:r>
              <w:rPr>
                <w:rFonts w:hint="eastAsia" w:ascii="Arial" w:hAnsi="Arial" w:cs="Arial"/>
                <w:bCs/>
                <w:sz w:val="18"/>
                <w:szCs w:val="18"/>
                <w:lang w:bidi="ar"/>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28"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1</w:t>
            </w:r>
          </w:p>
        </w:tc>
        <w:tc>
          <w:tcPr>
            <w:tcW w:w="1056"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2021-5-26</w:t>
            </w:r>
          </w:p>
        </w:tc>
        <w:tc>
          <w:tcPr>
            <w:tcW w:w="1336"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营业执照正副本、开户许可证、公章、法人章、财务章</w:t>
            </w:r>
          </w:p>
        </w:tc>
        <w:tc>
          <w:tcPr>
            <w:tcW w:w="1240"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用于信茂涵法人印鉴变更</w:t>
            </w:r>
          </w:p>
        </w:tc>
        <w:tc>
          <w:tcPr>
            <w:tcW w:w="1240"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行政人事部</w:t>
            </w:r>
          </w:p>
        </w:tc>
        <w:tc>
          <w:tcPr>
            <w:tcW w:w="1057"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谢程宜</w:t>
            </w:r>
          </w:p>
        </w:tc>
        <w:tc>
          <w:tcPr>
            <w:tcW w:w="1171"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陈文丽</w:t>
            </w:r>
          </w:p>
        </w:tc>
        <w:tc>
          <w:tcPr>
            <w:tcW w:w="939" w:type="dxa"/>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是</w:t>
            </w:r>
          </w:p>
        </w:tc>
        <w:tc>
          <w:tcPr>
            <w:tcW w:w="1249"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28"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w:t>
            </w:r>
          </w:p>
        </w:tc>
        <w:tc>
          <w:tcPr>
            <w:tcW w:w="1056"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2021-5-27</w:t>
            </w:r>
          </w:p>
        </w:tc>
        <w:tc>
          <w:tcPr>
            <w:tcW w:w="1336"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营业执照正副本、开户许可证、公章、法人章、财务章</w:t>
            </w:r>
          </w:p>
        </w:tc>
        <w:tc>
          <w:tcPr>
            <w:tcW w:w="1240"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用于信茂涵基本户法人变更</w:t>
            </w:r>
          </w:p>
        </w:tc>
        <w:tc>
          <w:tcPr>
            <w:tcW w:w="1240"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c>
          <w:tcPr>
            <w:tcW w:w="1057"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宋丹妮</w:t>
            </w:r>
          </w:p>
        </w:tc>
        <w:tc>
          <w:tcPr>
            <w:tcW w:w="1171"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陈文丽</w:t>
            </w:r>
          </w:p>
        </w:tc>
        <w:tc>
          <w:tcPr>
            <w:tcW w:w="939"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是</w:t>
            </w:r>
          </w:p>
        </w:tc>
        <w:tc>
          <w:tcPr>
            <w:tcW w:w="1249"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2021-5-27</w:t>
            </w:r>
          </w:p>
        </w:tc>
      </w:tr>
    </w:tbl>
    <w:p>
      <w:pPr>
        <w:pStyle w:val="3"/>
        <w:keepNext w:val="0"/>
        <w:keepLines w:val="0"/>
        <w:spacing w:before="300" w:after="300" w:line="360" w:lineRule="exact"/>
        <w:jc w:val="left"/>
        <w:rPr>
          <w:rFonts w:ascii="Arial" w:hAnsi="Arial" w:eastAsia="宋体" w:cs="Arial"/>
          <w:bCs/>
          <w:color w:val="000000"/>
          <w:sz w:val="24"/>
          <w:szCs w:val="24"/>
          <w:highlight w:val="none"/>
        </w:rPr>
      </w:pPr>
      <w:bookmarkStart w:id="71" w:name="_Toc66115209"/>
      <w:bookmarkStart w:id="72" w:name="_Toc20509"/>
      <w:bookmarkStart w:id="73" w:name="_Toc25369"/>
      <w:r>
        <w:rPr>
          <w:rFonts w:hint="eastAsia" w:ascii="Arial" w:hAnsi="Arial" w:eastAsia="宋体" w:cs="Arial"/>
          <w:bCs/>
          <w:color w:val="000000"/>
          <w:sz w:val="24"/>
          <w:szCs w:val="24"/>
          <w:highlight w:val="none"/>
        </w:rPr>
        <w:t>十五、项目公司签约情况（明细台账作为附件）</w:t>
      </w:r>
      <w:bookmarkEnd w:id="71"/>
      <w:bookmarkEnd w:id="72"/>
      <w:bookmarkEnd w:id="73"/>
    </w:p>
    <w:p>
      <w:pPr>
        <w:jc w:val="center"/>
        <w:rPr>
          <w:rFonts w:ascii="宋体" w:hAnsi="宋体" w:cs="宋体"/>
          <w:b/>
          <w:bCs/>
          <w:sz w:val="21"/>
          <w:szCs w:val="21"/>
        </w:rPr>
      </w:pPr>
      <w:bookmarkStart w:id="74" w:name="_Toc16250"/>
      <w:r>
        <w:rPr>
          <w:rFonts w:hint="eastAsia" w:ascii="宋体" w:hAnsi="宋体" w:cs="宋体"/>
          <w:b/>
          <w:bCs/>
          <w:color w:val="000000"/>
          <w:sz w:val="21"/>
          <w:szCs w:val="21"/>
        </w:rPr>
        <w:t>表十四：</w:t>
      </w:r>
      <w:r>
        <w:rPr>
          <w:rFonts w:hint="eastAsia" w:ascii="宋体" w:hAnsi="宋体" w:cs="宋体"/>
          <w:b/>
          <w:bCs/>
          <w:sz w:val="21"/>
          <w:szCs w:val="21"/>
        </w:rPr>
        <w:t>项目公司签约情况统计表</w:t>
      </w:r>
      <w:bookmarkEnd w:id="74"/>
    </w:p>
    <w:tbl>
      <w:tblPr>
        <w:tblStyle w:val="1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6274"/>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73"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6274"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用途（合同、内部文件等）</w:t>
            </w:r>
          </w:p>
        </w:tc>
        <w:tc>
          <w:tcPr>
            <w:tcW w:w="1489"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textAlignment w:val="center"/>
              <w:rPr>
                <w:rFonts w:ascii="宋体" w:hAnsi="宋体" w:cs="宋体"/>
                <w:color w:val="000000"/>
                <w:sz w:val="18"/>
                <w:szCs w:val="18"/>
                <w:lang w:bidi="ar"/>
              </w:rPr>
            </w:pPr>
            <w:r>
              <w:rPr>
                <w:rFonts w:ascii="宋体" w:hAnsi="宋体" w:cs="宋体"/>
                <w:color w:val="000000"/>
                <w:sz w:val="18"/>
                <w:szCs w:val="18"/>
                <w:lang w:bidi="ar"/>
              </w:rPr>
              <w:t>1</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合同类</w:t>
            </w:r>
          </w:p>
        </w:tc>
        <w:tc>
          <w:tcPr>
            <w:tcW w:w="1489" w:type="dxa"/>
            <w:vAlign w:val="center"/>
          </w:tcPr>
          <w:p>
            <w:pPr>
              <w:jc w:val="center"/>
              <w:textAlignment w:val="center"/>
              <w:rPr>
                <w:rFonts w:hint="default" w:ascii="宋体" w:hAnsi="宋体" w:eastAsia="宋体" w:cs="宋体"/>
                <w:color w:val="000000"/>
                <w:sz w:val="18"/>
                <w:szCs w:val="18"/>
                <w:lang w:val="en-US" w:eastAsia="zh-CN" w:bidi="ar"/>
              </w:rPr>
            </w:pPr>
            <w:r>
              <w:rPr>
                <w:rFonts w:hint="eastAsia" w:ascii="宋体" w:hAnsi="宋体" w:cs="宋体"/>
                <w:color w:val="000000"/>
                <w:sz w:val="18"/>
                <w:szCs w:val="18"/>
                <w:lang w:val="en-US" w:eastAsia="zh-CN" w:bidi="ar"/>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textAlignment w:val="center"/>
              <w:rPr>
                <w:rFonts w:ascii="宋体" w:hAnsi="宋体" w:cs="宋体"/>
                <w:color w:val="000000"/>
                <w:sz w:val="18"/>
                <w:szCs w:val="18"/>
                <w:lang w:bidi="ar"/>
              </w:rPr>
            </w:pPr>
            <w:r>
              <w:rPr>
                <w:rFonts w:ascii="宋体" w:hAnsi="宋体" w:cs="宋体"/>
                <w:color w:val="000000"/>
                <w:sz w:val="18"/>
                <w:szCs w:val="18"/>
                <w:lang w:bidi="ar"/>
              </w:rPr>
              <w:t>2</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（日常管理事项用印）</w:t>
            </w:r>
          </w:p>
        </w:tc>
        <w:tc>
          <w:tcPr>
            <w:tcW w:w="1489" w:type="dxa"/>
            <w:vAlign w:val="center"/>
          </w:tcPr>
          <w:p>
            <w:pPr>
              <w:jc w:val="center"/>
              <w:textAlignment w:val="center"/>
              <w:rPr>
                <w:rFonts w:hint="default" w:ascii="宋体" w:hAnsi="宋体" w:eastAsia="宋体" w:cs="宋体"/>
                <w:color w:val="000000"/>
                <w:sz w:val="18"/>
                <w:szCs w:val="18"/>
                <w:lang w:val="en-US" w:eastAsia="zh-CN" w:bidi="ar"/>
              </w:rPr>
            </w:pPr>
            <w:r>
              <w:rPr>
                <w:rFonts w:hint="eastAsia" w:ascii="宋体" w:hAnsi="宋体" w:cs="宋体"/>
                <w:color w:val="000000"/>
                <w:sz w:val="18"/>
                <w:szCs w:val="18"/>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273" w:type="dxa"/>
            <w:vAlign w:val="center"/>
          </w:tcPr>
          <w:p>
            <w:pPr>
              <w:jc w:val="center"/>
              <w:textAlignment w:val="center"/>
              <w:rPr>
                <w:rFonts w:hint="eastAsia" w:ascii="宋体" w:hAnsi="宋体" w:cs="宋体"/>
                <w:color w:val="000000"/>
                <w:sz w:val="18"/>
                <w:szCs w:val="18"/>
                <w:lang w:eastAsia="zh-CN" w:bidi="ar"/>
              </w:rPr>
            </w:pPr>
            <w:r>
              <w:rPr>
                <w:rFonts w:hint="eastAsia" w:ascii="宋体" w:hAnsi="宋体" w:cs="宋体"/>
                <w:color w:val="000000"/>
                <w:sz w:val="18"/>
                <w:szCs w:val="18"/>
                <w:lang w:val="en-US" w:eastAsia="zh-CN" w:bidi="ar"/>
              </w:rPr>
              <w:t>3</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其他</w:t>
            </w:r>
          </w:p>
        </w:tc>
        <w:tc>
          <w:tcPr>
            <w:tcW w:w="1489" w:type="dxa"/>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cs="宋体"/>
                <w:color w:val="000000"/>
                <w:sz w:val="18"/>
                <w:szCs w:val="18"/>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273" w:type="dxa"/>
            <w:vAlign w:val="center"/>
          </w:tcPr>
          <w:p>
            <w:pPr>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4</w:t>
            </w:r>
          </w:p>
        </w:tc>
        <w:tc>
          <w:tcPr>
            <w:tcW w:w="6274"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合计</w:t>
            </w:r>
          </w:p>
        </w:tc>
        <w:tc>
          <w:tcPr>
            <w:tcW w:w="1489" w:type="dxa"/>
            <w:vAlign w:val="center"/>
          </w:tcPr>
          <w:p>
            <w:pPr>
              <w:jc w:val="center"/>
              <w:textAlignment w:val="center"/>
              <w:rPr>
                <w:rFonts w:hint="default" w:ascii="宋体" w:hAnsi="宋体" w:eastAsia="宋体" w:cs="宋体"/>
                <w:color w:val="000000"/>
                <w:sz w:val="18"/>
                <w:szCs w:val="18"/>
                <w:lang w:val="en-US" w:eastAsia="zh-CN" w:bidi="ar"/>
              </w:rPr>
            </w:pPr>
            <w:r>
              <w:rPr>
                <w:rFonts w:hint="eastAsia" w:ascii="宋体" w:hAnsi="宋体" w:cs="宋体"/>
                <w:color w:val="000000"/>
                <w:sz w:val="18"/>
                <w:szCs w:val="18"/>
                <w:lang w:val="en-US" w:eastAsia="zh-CN" w:bidi="ar"/>
              </w:rPr>
              <w:t>349</w:t>
            </w:r>
          </w:p>
        </w:tc>
      </w:tr>
    </w:tbl>
    <w:p>
      <w:pPr>
        <w:rPr>
          <w:rFonts w:ascii="Arial" w:hAnsi="Arial" w:cs="Arial"/>
          <w:bCs/>
          <w:color w:val="000000"/>
        </w:rPr>
      </w:pPr>
      <w:bookmarkStart w:id="75" w:name="_Toc25799"/>
      <w:bookmarkStart w:id="76" w:name="_Toc25878"/>
      <w:bookmarkStart w:id="77" w:name="_Toc66115211"/>
      <w:r>
        <w:rPr>
          <w:rFonts w:hint="eastAsia" w:ascii="Arial" w:hAnsi="Arial" w:cs="Arial"/>
          <w:kern w:val="44"/>
          <w:sz w:val="18"/>
          <w:szCs w:val="18"/>
          <w:lang w:val="en-US" w:eastAsia="zh-CN"/>
        </w:rPr>
        <w:t>备注：新增销售类合同5份，合同金额358,581.00元，补盖章前期销售类合同18份，合同金额397,411.00元，新增1份管理类合同，合同金额20,000.00，新增开发类合同2份，合同金额279,290.00元，新增建安成本类合同1份，合同金额4,915,120.00元</w:t>
      </w:r>
      <w:r>
        <w:rPr>
          <w:rFonts w:hint="eastAsia" w:ascii="Arial" w:hAnsi="Arial" w:cs="Arial"/>
          <w:bCs/>
          <w:color w:val="000000"/>
        </w:rPr>
        <w:br w:type="page"/>
      </w:r>
    </w:p>
    <w:p>
      <w:pPr>
        <w:pStyle w:val="3"/>
        <w:keepNext w:val="0"/>
        <w:keepLines w:val="0"/>
        <w:spacing w:before="300" w:after="300" w:line="360" w:lineRule="exact"/>
        <w:jc w:val="left"/>
        <w:rPr>
          <w:rFonts w:ascii="Arial" w:hAnsi="Arial" w:eastAsia="宋体" w:cs="Arial"/>
          <w:bCs/>
          <w:color w:val="000000"/>
          <w:sz w:val="24"/>
          <w:szCs w:val="24"/>
        </w:rPr>
      </w:pPr>
      <w:r>
        <w:rPr>
          <w:rFonts w:hint="eastAsia" w:ascii="Arial" w:hAnsi="Arial" w:eastAsia="宋体" w:cs="Arial"/>
          <w:bCs/>
          <w:color w:val="000000"/>
          <w:sz w:val="24"/>
          <w:szCs w:val="24"/>
        </w:rPr>
        <w:t>十六、项目整体运行情况分析</w:t>
      </w:r>
      <w:bookmarkEnd w:id="75"/>
      <w:bookmarkEnd w:id="76"/>
      <w:bookmarkEnd w:id="77"/>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1.项目开发建设情况评价</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项目整体情况与照尽调报告预期的进度基本相符。</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2.项目销售情况评价</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尽调报告</w:t>
      </w:r>
      <w:r>
        <w:rPr>
          <w:rFonts w:hint="eastAsia" w:ascii="Arial" w:hAnsi="Arial" w:cs="Arial"/>
          <w:kern w:val="44"/>
          <w:sz w:val="21"/>
          <w:szCs w:val="21"/>
          <w:lang w:val="en-US" w:eastAsia="zh-CN"/>
        </w:rPr>
        <w:t>预计</w:t>
      </w:r>
      <w:r>
        <w:rPr>
          <w:rFonts w:hint="eastAsia" w:ascii="Arial" w:hAnsi="Arial" w:cs="Arial"/>
          <w:kern w:val="44"/>
          <w:sz w:val="21"/>
          <w:szCs w:val="21"/>
        </w:rPr>
        <w:t>项</w:t>
      </w:r>
      <w:r>
        <w:rPr>
          <w:rFonts w:hint="eastAsia" w:ascii="Arial" w:hAnsi="Arial" w:cs="Arial"/>
          <w:kern w:val="44"/>
          <w:sz w:val="21"/>
          <w:szCs w:val="21"/>
          <w:lang w:val="en-US" w:eastAsia="zh-CN"/>
        </w:rPr>
        <w:t>2</w:t>
      </w:r>
      <w:r>
        <w:rPr>
          <w:rFonts w:hint="eastAsia" w:ascii="Arial" w:hAnsi="Arial" w:cs="Arial"/>
          <w:kern w:val="44"/>
          <w:sz w:val="21"/>
          <w:szCs w:val="21"/>
        </w:rPr>
        <w:t>020年12月首次开盘销售，项目实际于2020年10月17日首次开盘住宅203套（20264.23㎡），于2020年12月5日推盘203套（19681.46㎡），于2021年4月23日推盘203套（20264.23㎡）</w:t>
      </w:r>
      <w:r>
        <w:rPr>
          <w:rFonts w:hint="eastAsia" w:ascii="Arial" w:hAnsi="Arial" w:cs="Arial"/>
          <w:kern w:val="44"/>
          <w:sz w:val="21"/>
          <w:szCs w:val="21"/>
          <w:lang w:eastAsia="zh-CN"/>
        </w:rPr>
        <w:t>，</w:t>
      </w:r>
      <w:r>
        <w:rPr>
          <w:rFonts w:hint="eastAsia" w:ascii="Arial" w:hAnsi="Arial" w:cs="Arial"/>
          <w:kern w:val="44"/>
          <w:sz w:val="21"/>
          <w:szCs w:val="21"/>
        </w:rPr>
        <w:t>相对于尽调报告预期提前开盘，截至</w:t>
      </w:r>
      <w:r>
        <w:rPr>
          <w:rFonts w:hint="eastAsia" w:ascii="Arial" w:hAnsi="Arial" w:cs="Arial"/>
          <w:kern w:val="44"/>
          <w:sz w:val="21"/>
          <w:szCs w:val="21"/>
          <w:lang w:val="en-US" w:eastAsia="zh-CN"/>
        </w:rPr>
        <w:t>5</w:t>
      </w:r>
      <w:r>
        <w:rPr>
          <w:rFonts w:hint="eastAsia" w:ascii="Arial" w:hAnsi="Arial" w:cs="Arial"/>
          <w:kern w:val="44"/>
          <w:sz w:val="21"/>
          <w:szCs w:val="21"/>
        </w:rPr>
        <w:t>月</w:t>
      </w:r>
      <w:r>
        <w:rPr>
          <w:rFonts w:hint="eastAsia" w:ascii="Arial" w:hAnsi="Arial" w:cs="Arial"/>
          <w:kern w:val="44"/>
          <w:sz w:val="21"/>
          <w:szCs w:val="21"/>
          <w:lang w:val="en-US" w:eastAsia="zh-CN"/>
        </w:rPr>
        <w:t>31</w:t>
      </w:r>
      <w:r>
        <w:rPr>
          <w:rFonts w:hint="eastAsia" w:ascii="Arial" w:hAnsi="Arial" w:cs="Arial"/>
          <w:kern w:val="44"/>
          <w:sz w:val="21"/>
          <w:szCs w:val="21"/>
        </w:rPr>
        <w:t>日累计开盘</w:t>
      </w:r>
      <w:r>
        <w:rPr>
          <w:rFonts w:hint="eastAsia" w:ascii="Arial" w:hAnsi="Arial" w:cs="Arial"/>
          <w:kern w:val="44"/>
          <w:szCs w:val="21"/>
        </w:rPr>
        <w:t>609套（60209.92㎡）</w:t>
      </w:r>
      <w:r>
        <w:rPr>
          <w:rFonts w:hint="eastAsia" w:ascii="Arial" w:hAnsi="Arial" w:cs="Arial"/>
          <w:kern w:val="44"/>
          <w:sz w:val="21"/>
          <w:szCs w:val="21"/>
        </w:rPr>
        <w:t>，累计销售</w:t>
      </w:r>
      <w:r>
        <w:rPr>
          <w:rFonts w:hint="eastAsia" w:ascii="Arial" w:hAnsi="Arial" w:cs="Arial"/>
          <w:kern w:val="44"/>
          <w:sz w:val="21"/>
          <w:szCs w:val="21"/>
          <w:lang w:val="en-US" w:eastAsia="zh-CN"/>
        </w:rPr>
        <w:t>319</w:t>
      </w:r>
      <w:r>
        <w:rPr>
          <w:rFonts w:hint="eastAsia" w:ascii="Arial" w:hAnsi="Arial" w:cs="Arial"/>
          <w:kern w:val="44"/>
          <w:sz w:val="21"/>
          <w:szCs w:val="21"/>
        </w:rPr>
        <w:t>套，月均销售</w:t>
      </w:r>
      <w:r>
        <w:rPr>
          <w:rFonts w:hint="eastAsia" w:ascii="Arial" w:hAnsi="Arial" w:cs="Arial"/>
          <w:kern w:val="44"/>
          <w:sz w:val="21"/>
          <w:szCs w:val="21"/>
          <w:lang w:val="en-US" w:eastAsia="zh-CN"/>
        </w:rPr>
        <w:t>39.88</w:t>
      </w:r>
      <w:r>
        <w:rPr>
          <w:rFonts w:hint="eastAsia" w:ascii="Arial" w:hAnsi="Arial" w:cs="Arial"/>
          <w:kern w:val="44"/>
          <w:sz w:val="21"/>
          <w:szCs w:val="21"/>
        </w:rPr>
        <w:t>套</w:t>
      </w:r>
      <w:r>
        <w:rPr>
          <w:rFonts w:hint="eastAsia" w:ascii="Arial" w:hAnsi="Arial" w:cs="Arial"/>
          <w:kern w:val="44"/>
          <w:sz w:val="21"/>
          <w:szCs w:val="21"/>
          <w:lang w:eastAsia="zh-CN"/>
        </w:rPr>
        <w:t>。</w:t>
      </w:r>
      <w:r>
        <w:rPr>
          <w:rFonts w:hint="eastAsia" w:ascii="Arial" w:hAnsi="Arial" w:cs="Arial"/>
          <w:kern w:val="44"/>
          <w:sz w:val="21"/>
          <w:szCs w:val="21"/>
          <w:lang w:val="en-US" w:eastAsia="zh-CN"/>
        </w:rPr>
        <w:t>实际</w:t>
      </w:r>
      <w:r>
        <w:rPr>
          <w:rFonts w:hint="eastAsia" w:ascii="Arial" w:hAnsi="Arial" w:cs="Arial"/>
          <w:kern w:val="44"/>
          <w:sz w:val="21"/>
          <w:szCs w:val="21"/>
        </w:rPr>
        <w:t>销售均价</w:t>
      </w:r>
      <w:r>
        <w:rPr>
          <w:rFonts w:hint="eastAsia" w:ascii="Arial" w:hAnsi="Arial" w:cs="Arial"/>
          <w:kern w:val="44"/>
          <w:sz w:val="21"/>
          <w:szCs w:val="21"/>
          <w:lang w:val="en-US" w:eastAsia="zh-CN"/>
        </w:rPr>
        <w:t>8,530.13</w:t>
      </w:r>
      <w:r>
        <w:rPr>
          <w:rFonts w:hint="eastAsia" w:ascii="Arial" w:hAnsi="Arial" w:cs="Arial"/>
          <w:kern w:val="44"/>
          <w:sz w:val="21"/>
          <w:szCs w:val="21"/>
        </w:rPr>
        <w:t>元/㎡，相对于尽调报告</w:t>
      </w:r>
      <w:r>
        <w:rPr>
          <w:rFonts w:hint="eastAsia" w:ascii="Arial" w:hAnsi="Arial" w:cs="Arial"/>
          <w:kern w:val="44"/>
          <w:sz w:val="21"/>
          <w:szCs w:val="21"/>
          <w:lang w:val="en-US" w:eastAsia="zh-CN"/>
        </w:rPr>
        <w:t>预期的</w:t>
      </w:r>
      <w:r>
        <w:rPr>
          <w:rFonts w:hint="eastAsia" w:ascii="Arial" w:hAnsi="Arial" w:cs="Arial"/>
          <w:kern w:val="44"/>
          <w:sz w:val="21"/>
          <w:szCs w:val="21"/>
        </w:rPr>
        <w:t>高层售价9,785元/㎡，售价暂未达到预期。</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3.操作风险评价</w:t>
      </w:r>
    </w:p>
    <w:p>
      <w:pPr>
        <w:widowControl w:val="0"/>
        <w:spacing w:line="480" w:lineRule="auto"/>
        <w:ind w:firstLine="420" w:firstLineChars="200"/>
        <w:jc w:val="both"/>
        <w:rPr>
          <w:rFonts w:hint="default" w:ascii="Arial" w:hAnsi="Arial" w:eastAsia="宋体" w:cs="Arial"/>
          <w:kern w:val="44"/>
          <w:sz w:val="21"/>
          <w:szCs w:val="21"/>
          <w:lang w:val="en-US" w:eastAsia="zh-CN"/>
        </w:rPr>
      </w:pPr>
      <w:r>
        <w:rPr>
          <w:rFonts w:hint="eastAsia" w:ascii="Arial" w:hAnsi="Arial" w:cs="Arial"/>
          <w:kern w:val="44"/>
          <w:sz w:val="21"/>
          <w:szCs w:val="21"/>
        </w:rPr>
        <w:t>相对于尽调报告预期的2021年12月31日首期主体结构封顶，目前项目工程进度情况稍微迟缓，</w:t>
      </w:r>
      <w:r>
        <w:rPr>
          <w:rFonts w:hint="eastAsia" w:ascii="Arial" w:hAnsi="Arial" w:cs="Arial"/>
          <w:kern w:val="44"/>
          <w:sz w:val="21"/>
          <w:szCs w:val="21"/>
          <w:lang w:val="en-US" w:eastAsia="zh-CN"/>
        </w:rPr>
        <w:t>相较于4月份工程进度，5月份工程进度有所加快。</w:t>
      </w:r>
    </w:p>
    <w:p>
      <w:pPr>
        <w:widowControl w:val="0"/>
        <w:spacing w:line="480" w:lineRule="auto"/>
        <w:ind w:firstLine="420" w:firstLineChars="200"/>
        <w:jc w:val="both"/>
        <w:rPr>
          <w:rFonts w:ascii="Arial" w:hAnsi="Arial" w:cs="Arial"/>
          <w:kern w:val="44"/>
          <w:sz w:val="21"/>
          <w:szCs w:val="21"/>
        </w:rPr>
      </w:pPr>
    </w:p>
    <w:p>
      <w:pPr>
        <w:rPr>
          <w:rFonts w:ascii="宋体" w:hAnsi="宋体"/>
          <w:b/>
          <w:kern w:val="44"/>
          <w:sz w:val="21"/>
          <w:szCs w:val="21"/>
        </w:rPr>
      </w:pPr>
      <w:r>
        <w:rPr>
          <w:rFonts w:ascii="宋体" w:hAnsi="宋体"/>
          <w:sz w:val="21"/>
          <w:szCs w:val="21"/>
        </w:rPr>
        <w:br w:type="page"/>
      </w:r>
    </w:p>
    <w:p>
      <w:pPr>
        <w:pStyle w:val="3"/>
        <w:keepNext w:val="0"/>
        <w:keepLines w:val="0"/>
        <w:spacing w:before="300" w:after="300" w:line="360" w:lineRule="exact"/>
        <w:jc w:val="left"/>
        <w:rPr>
          <w:rFonts w:ascii="Arial" w:hAnsi="Arial" w:eastAsia="宋体" w:cs="Arial"/>
          <w:bCs/>
          <w:color w:val="000000"/>
          <w:sz w:val="24"/>
          <w:szCs w:val="24"/>
        </w:rPr>
      </w:pPr>
      <w:bookmarkStart w:id="78" w:name="_Toc21512"/>
      <w:bookmarkStart w:id="79" w:name="_Toc29431"/>
      <w:bookmarkStart w:id="80" w:name="_Toc66115212"/>
      <w:r>
        <w:rPr>
          <w:rFonts w:hint="eastAsia" w:ascii="Arial" w:hAnsi="Arial" w:eastAsia="宋体" w:cs="Arial"/>
          <w:bCs/>
          <w:color w:val="000000"/>
          <w:sz w:val="24"/>
          <w:szCs w:val="24"/>
        </w:rPr>
        <w:t>十七、附件</w:t>
      </w:r>
      <w:bookmarkEnd w:id="78"/>
      <w:bookmarkEnd w:id="79"/>
      <w:bookmarkEnd w:id="80"/>
    </w:p>
    <w:p>
      <w:pPr>
        <w:widowControl w:val="0"/>
        <w:spacing w:line="480" w:lineRule="auto"/>
        <w:rPr>
          <w:rFonts w:ascii="Arial" w:hAnsi="Arial" w:cs="Arial"/>
          <w:kern w:val="44"/>
          <w:sz w:val="21"/>
          <w:szCs w:val="21"/>
        </w:rPr>
      </w:pPr>
      <w:bookmarkStart w:id="81" w:name="_Toc20451"/>
      <w:bookmarkStart w:id="82" w:name="_Toc12876"/>
      <w:bookmarkStart w:id="83" w:name="_Toc11096"/>
      <w:bookmarkStart w:id="84" w:name="_Toc9588"/>
      <w:bookmarkStart w:id="85" w:name="_Toc5428"/>
      <w:bookmarkStart w:id="86" w:name="_Toc14162"/>
      <w:bookmarkStart w:id="87" w:name="_Toc12359"/>
      <w:bookmarkStart w:id="88" w:name="_Toc105"/>
      <w:bookmarkStart w:id="89" w:name="_Toc10536"/>
      <w:bookmarkStart w:id="90" w:name="_Toc1010"/>
      <w:r>
        <w:rPr>
          <w:rFonts w:hint="eastAsia" w:ascii="Arial" w:hAnsi="Arial" w:cs="Arial"/>
          <w:kern w:val="44"/>
          <w:sz w:val="21"/>
          <w:szCs w:val="21"/>
        </w:rPr>
        <w:t>附件一、各账户余额截图</w:t>
      </w:r>
      <w:bookmarkEnd w:id="81"/>
      <w:bookmarkEnd w:id="82"/>
      <w:bookmarkEnd w:id="83"/>
      <w:bookmarkEnd w:id="84"/>
      <w:bookmarkEnd w:id="85"/>
      <w:bookmarkEnd w:id="86"/>
      <w:bookmarkEnd w:id="87"/>
      <w:bookmarkEnd w:id="88"/>
      <w:bookmarkEnd w:id="89"/>
      <w:bookmarkEnd w:id="90"/>
    </w:p>
    <w:p>
      <w:pPr>
        <w:jc w:val="center"/>
        <w:rPr>
          <w:rFonts w:ascii="宋体" w:hAnsi="宋体" w:cs="宋体"/>
          <w:b/>
          <w:bCs/>
        </w:rPr>
      </w:pPr>
      <w:r>
        <w:rPr>
          <w:rFonts w:hint="eastAsia" w:ascii="宋体" w:hAnsi="宋体" w:cs="宋体"/>
          <w:b/>
          <w:bCs/>
        </w:rPr>
        <w:t>宜宾骏继工商银行基本户     单位：元</w:t>
      </w:r>
      <w:bookmarkStart w:id="91" w:name="_Toc10321"/>
      <w:bookmarkStart w:id="92" w:name="_Toc22742"/>
      <w:bookmarkStart w:id="93" w:name="_Toc8196"/>
    </w:p>
    <w:p>
      <w:pPr>
        <w:jc w:val="center"/>
        <w:rPr>
          <w:rFonts w:ascii="仿宋" w:hAnsi="仿宋" w:eastAsia="仿宋" w:cs="仿宋"/>
          <w:b/>
          <w:bCs/>
        </w:rPr>
      </w:pPr>
      <w:r>
        <w:rPr>
          <w:rFonts w:hint="eastAsia" w:ascii="仿宋" w:hAnsi="仿宋" w:eastAsia="仿宋" w:cs="仿宋"/>
          <w:b/>
          <w:bCs/>
        </w:rPr>
        <w:drawing>
          <wp:inline distT="0" distB="0" distL="114300" distR="114300">
            <wp:extent cx="5228590" cy="2990850"/>
            <wp:effectExtent l="0" t="0" r="13970" b="11430"/>
            <wp:docPr id="25" name="图片 1" descr="C:\Users\123\Desktop\银行流水最新版本\工商\e687b22bab9d8db87b582fcc49db4b2.pnge687b22bab9d8db87b582fcc49db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123\Desktop\银行流水最新版本\工商\e687b22bab9d8db87b582fcc49db4b2.pnge687b22bab9d8db87b582fcc49db4b2"/>
                    <pic:cNvPicPr>
                      <a:picLocks noChangeAspect="1"/>
                    </pic:cNvPicPr>
                  </pic:nvPicPr>
                  <pic:blipFill>
                    <a:blip r:embed="rId13"/>
                    <a:srcRect/>
                    <a:stretch>
                      <a:fillRect/>
                    </a:stretch>
                  </pic:blipFill>
                  <pic:spPr>
                    <a:xfrm>
                      <a:off x="0" y="0"/>
                      <a:ext cx="5228590" cy="299085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宜宾骏继建行预售资金监管账户    单位：元</w:t>
      </w:r>
      <w:bookmarkEnd w:id="91"/>
      <w:bookmarkEnd w:id="92"/>
      <w:bookmarkEnd w:id="93"/>
      <w:bookmarkStart w:id="94" w:name="_Toc27794"/>
      <w:bookmarkStart w:id="95" w:name="_Toc20294"/>
    </w:p>
    <w:p>
      <w:pPr>
        <w:jc w:val="center"/>
        <w:rPr>
          <w:rFonts w:ascii="仿宋" w:hAnsi="仿宋" w:eastAsia="仿宋" w:cs="仿宋"/>
          <w:b/>
          <w:bCs/>
        </w:rPr>
      </w:pPr>
      <w:r>
        <w:rPr>
          <w:rFonts w:hint="eastAsia" w:ascii="仿宋" w:hAnsi="仿宋" w:eastAsia="仿宋" w:cs="仿宋"/>
          <w:b/>
          <w:bCs/>
        </w:rPr>
        <w:drawing>
          <wp:inline distT="0" distB="0" distL="114300" distR="114300">
            <wp:extent cx="5492750" cy="2983230"/>
            <wp:effectExtent l="0" t="0" r="8890" b="3810"/>
            <wp:docPr id="26" name="图片 2" descr="C:\Users\123\Desktop\银行流水最新版本\建设\39c9f8695c05e2854da7e3addf75f35.png39c9f8695c05e2854da7e3addf75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C:\Users\123\Desktop\银行流水最新版本\建设\39c9f8695c05e2854da7e3addf75f35.png39c9f8695c05e2854da7e3addf75f35"/>
                    <pic:cNvPicPr>
                      <a:picLocks noChangeAspect="1"/>
                    </pic:cNvPicPr>
                  </pic:nvPicPr>
                  <pic:blipFill>
                    <a:blip r:embed="rId14"/>
                    <a:srcRect/>
                    <a:stretch>
                      <a:fillRect/>
                    </a:stretch>
                  </pic:blipFill>
                  <pic:spPr>
                    <a:xfrm>
                      <a:off x="0" y="0"/>
                      <a:ext cx="5492750" cy="2983230"/>
                    </a:xfrm>
                    <a:prstGeom prst="rect">
                      <a:avLst/>
                    </a:prstGeom>
                    <a:noFill/>
                    <a:ln>
                      <a:noFill/>
                    </a:ln>
                  </pic:spPr>
                </pic:pic>
              </a:graphicData>
            </a:graphic>
          </wp:inline>
        </w:drawing>
      </w:r>
    </w:p>
    <w:p>
      <w:pPr>
        <w:jc w:val="center"/>
        <w:rPr>
          <w:rFonts w:ascii="仿宋" w:hAnsi="仿宋" w:eastAsia="仿宋" w:cs="仿宋"/>
          <w:b/>
          <w:bCs/>
        </w:rPr>
      </w:pPr>
    </w:p>
    <w:p>
      <w:pP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宜宾骏继农业银行     单位：元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749925" cy="2752090"/>
            <wp:effectExtent l="0" t="0" r="10795" b="6350"/>
            <wp:docPr id="27" name="图片 3" descr="C:\Users\123\Desktop\银行流水最新版本\农业\e2a8acd4275cca4315531d2679c4820.pnge2a8acd4275cca4315531d2679c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C:\Users\123\Desktop\银行流水最新版本\农业\e2a8acd4275cca4315531d2679c4820.pnge2a8acd4275cca4315531d2679c4820"/>
                    <pic:cNvPicPr>
                      <a:picLocks noChangeAspect="1"/>
                    </pic:cNvPicPr>
                  </pic:nvPicPr>
                  <pic:blipFill>
                    <a:blip r:embed="rId15"/>
                    <a:srcRect/>
                    <a:stretch>
                      <a:fillRect/>
                    </a:stretch>
                  </pic:blipFill>
                  <pic:spPr>
                    <a:xfrm>
                      <a:off x="0" y="0"/>
                      <a:ext cx="5749925" cy="275209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宜宾骏继建设银行     单位：元</w:t>
      </w:r>
      <w:bookmarkEnd w:id="94"/>
      <w:bookmarkEnd w:id="95"/>
      <w:bookmarkStart w:id="96" w:name="_Toc31375"/>
      <w:bookmarkStart w:id="97" w:name="_Toc26511"/>
    </w:p>
    <w:p>
      <w:pPr>
        <w:jc w:val="center"/>
        <w:rPr>
          <w:rFonts w:ascii="仿宋" w:hAnsi="仿宋" w:eastAsia="仿宋" w:cs="仿宋"/>
          <w:b/>
          <w:bCs/>
        </w:rPr>
      </w:pPr>
      <w:r>
        <w:rPr>
          <w:rFonts w:hint="eastAsia" w:ascii="仿宋" w:hAnsi="仿宋" w:eastAsia="仿宋" w:cs="仿宋"/>
          <w:b/>
          <w:bCs/>
        </w:rPr>
        <w:drawing>
          <wp:inline distT="0" distB="0" distL="114300" distR="114300">
            <wp:extent cx="5634990" cy="2956560"/>
            <wp:effectExtent l="0" t="0" r="3810" b="0"/>
            <wp:docPr id="28" name="图片 4" descr="C:\Users\123\Desktop\银行流水最新版本\建设\0895.png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C:\Users\123\Desktop\银行流水最新版本\建设\0895.png0895"/>
                    <pic:cNvPicPr>
                      <a:picLocks noChangeAspect="1"/>
                    </pic:cNvPicPr>
                  </pic:nvPicPr>
                  <pic:blipFill>
                    <a:blip r:embed="rId16"/>
                    <a:srcRect/>
                    <a:stretch>
                      <a:fillRect/>
                    </a:stretch>
                  </pic:blipFill>
                  <pic:spPr>
                    <a:xfrm>
                      <a:off x="0" y="0"/>
                      <a:ext cx="5634990" cy="295656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宋体" w:hAnsi="宋体" w:cs="宋体"/>
          <w:b/>
          <w:bCs/>
        </w:rPr>
      </w:pPr>
    </w:p>
    <w:p>
      <w:pPr>
        <w:jc w:val="center"/>
        <w:rPr>
          <w:rFonts w:ascii="宋体" w:hAnsi="宋体" w:cs="宋体"/>
          <w:b/>
          <w:bCs/>
        </w:rPr>
      </w:pPr>
      <w:r>
        <w:rPr>
          <w:rFonts w:hint="eastAsia" w:ascii="宋体" w:hAnsi="宋体" w:cs="宋体"/>
          <w:b/>
          <w:bCs/>
        </w:rPr>
        <w:t>宜宾骏继中国银行     单位：元</w:t>
      </w:r>
      <w:bookmarkEnd w:id="96"/>
      <w:bookmarkEnd w:id="97"/>
      <w:bookmarkStart w:id="98" w:name="_Toc20042"/>
      <w:bookmarkStart w:id="99" w:name="_Toc6775"/>
      <w:bookmarkStart w:id="100" w:name="_Toc2326"/>
    </w:p>
    <w:p>
      <w:pPr>
        <w:jc w:val="center"/>
        <w:rPr>
          <w:rFonts w:ascii="仿宋" w:hAnsi="仿宋" w:eastAsia="仿宋" w:cs="仿宋"/>
          <w:b/>
          <w:bCs/>
        </w:rPr>
      </w:pPr>
      <w:r>
        <w:rPr>
          <w:rFonts w:hint="eastAsia" w:ascii="仿宋" w:hAnsi="仿宋" w:eastAsia="仿宋" w:cs="仿宋"/>
          <w:b/>
          <w:bCs/>
        </w:rPr>
        <w:drawing>
          <wp:inline distT="0" distB="0" distL="114300" distR="114300">
            <wp:extent cx="5610860" cy="3159125"/>
            <wp:effectExtent l="0" t="0" r="12700" b="10795"/>
            <wp:docPr id="29" name="图片 5" descr="C:\Users\123\Desktop\银行流水最新版本\中国银行\1622509297(1).png1622509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C:\Users\123\Desktop\银行流水最新版本\中国银行\1622509297(1).png1622509297(1)"/>
                    <pic:cNvPicPr>
                      <a:picLocks noChangeAspect="1"/>
                    </pic:cNvPicPr>
                  </pic:nvPicPr>
                  <pic:blipFill>
                    <a:blip r:embed="rId17"/>
                    <a:srcRect/>
                    <a:stretch>
                      <a:fillRect/>
                    </a:stretch>
                  </pic:blipFill>
                  <pic:spPr>
                    <a:xfrm>
                      <a:off x="0" y="0"/>
                      <a:ext cx="5610860" cy="3159125"/>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宜宾骏继中信银行     单位：</w:t>
      </w:r>
      <w:bookmarkEnd w:id="98"/>
      <w:bookmarkEnd w:id="99"/>
      <w:bookmarkEnd w:id="100"/>
      <w:bookmarkStart w:id="101" w:name="_Toc17968"/>
      <w:r>
        <w:rPr>
          <w:rFonts w:hint="eastAsia" w:ascii="宋体" w:hAnsi="宋体" w:cs="宋体"/>
          <w:b/>
          <w:bCs/>
        </w:rPr>
        <w:t>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600700" cy="2997200"/>
            <wp:effectExtent l="0" t="0" r="7620" b="5080"/>
            <wp:docPr id="30" name="图片 6" descr="C:\Users\123\Desktop\银行流水最新版本\中信\1fae9bcd935985d229afd8404c187e0.png1fae9bcd935985d229afd8404c18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C:\Users\123\Desktop\银行流水最新版本\中信\1fae9bcd935985d229afd8404c187e0.png1fae9bcd935985d229afd8404c187e0"/>
                    <pic:cNvPicPr>
                      <a:picLocks noChangeAspect="1"/>
                    </pic:cNvPicPr>
                  </pic:nvPicPr>
                  <pic:blipFill>
                    <a:blip r:embed="rId18"/>
                    <a:srcRect/>
                    <a:stretch>
                      <a:fillRect/>
                    </a:stretch>
                  </pic:blipFill>
                  <pic:spPr>
                    <a:xfrm>
                      <a:off x="0" y="0"/>
                      <a:ext cx="5600700" cy="299720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宜宾骏继中国民生银行     单位：元</w:t>
      </w:r>
      <w:bookmarkEnd w:id="101"/>
    </w:p>
    <w:p>
      <w:pPr>
        <w:jc w:val="center"/>
        <w:rPr>
          <w:rFonts w:ascii="仿宋" w:hAnsi="仿宋" w:eastAsia="仿宋" w:cs="仿宋"/>
          <w:b/>
          <w:bCs/>
        </w:rPr>
      </w:pPr>
      <w:r>
        <w:rPr>
          <w:rFonts w:hint="eastAsia" w:ascii="仿宋" w:hAnsi="仿宋" w:eastAsia="仿宋" w:cs="仿宋"/>
          <w:b/>
          <w:bCs/>
        </w:rPr>
        <w:drawing>
          <wp:inline distT="0" distB="0" distL="114300" distR="114300">
            <wp:extent cx="5412740" cy="3069590"/>
            <wp:effectExtent l="0" t="0" r="12700" b="8890"/>
            <wp:docPr id="31" name="图片 7" descr="C:\Users\123\Desktop\银行流水最新版本\民生\3c6eda30ac97a2d77397e276452ac63.png3c6eda30ac97a2d77397e276452a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C:\Users\123\Desktop\银行流水最新版本\民生\3c6eda30ac97a2d77397e276452ac63.png3c6eda30ac97a2d77397e276452ac63"/>
                    <pic:cNvPicPr>
                      <a:picLocks noChangeAspect="1"/>
                    </pic:cNvPicPr>
                  </pic:nvPicPr>
                  <pic:blipFill>
                    <a:blip r:embed="rId19"/>
                    <a:srcRect/>
                    <a:stretch>
                      <a:fillRect/>
                    </a:stretch>
                  </pic:blipFill>
                  <pic:spPr>
                    <a:xfrm>
                      <a:off x="0" y="0"/>
                      <a:ext cx="5412740" cy="306959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p>
    <w:p>
      <w:pPr>
        <w:jc w:val="center"/>
        <w:rPr>
          <w:rFonts w:ascii="宋体" w:hAnsi="宋体" w:cs="宋体"/>
          <w:b/>
          <w:bCs/>
        </w:rPr>
      </w:pPr>
      <w:r>
        <w:rPr>
          <w:rFonts w:hint="eastAsia" w:ascii="宋体" w:hAnsi="宋体" w:cs="宋体"/>
          <w:b/>
          <w:bCs/>
        </w:rPr>
        <w:t>宜宾骏继招商银行     单位：元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551805" cy="2930525"/>
            <wp:effectExtent l="0" t="0" r="10795" b="10795"/>
            <wp:docPr id="32" name="图片 8" descr="C:\Users\123\Desktop\银行流水最新版本\招商\758f5a6e70bb36d9a6b5771de8aea62.png758f5a6e70bb36d9a6b5771de8ae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C:\Users\123\Desktop\银行流水最新版本\招商\758f5a6e70bb36d9a6b5771de8aea62.png758f5a6e70bb36d9a6b5771de8aea62"/>
                    <pic:cNvPicPr>
                      <a:picLocks noChangeAspect="1"/>
                    </pic:cNvPicPr>
                  </pic:nvPicPr>
                  <pic:blipFill>
                    <a:blip r:embed="rId20"/>
                    <a:srcRect/>
                    <a:stretch>
                      <a:fillRect/>
                    </a:stretch>
                  </pic:blipFill>
                  <pic:spPr>
                    <a:xfrm>
                      <a:off x="0" y="0"/>
                      <a:ext cx="5551805" cy="2930525"/>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p>
    <w:p>
      <w:pPr>
        <w:jc w:val="center"/>
        <w:rPr>
          <w:rFonts w:ascii="仿宋" w:hAnsi="仿宋" w:eastAsia="仿宋" w:cs="仿宋"/>
          <w:b/>
          <w:bCs/>
        </w:rPr>
      </w:pPr>
      <w:r>
        <w:rPr>
          <w:rFonts w:hint="eastAsia" w:ascii="仿宋" w:hAnsi="仿宋" w:eastAsia="仿宋" w:cs="仿宋"/>
          <w:b/>
          <w:bCs/>
        </w:rPr>
        <w:br w:type="page"/>
      </w: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成都信茂涵中国银行     单位：元</w:t>
      </w:r>
    </w:p>
    <w:p>
      <w:pPr>
        <w:jc w:val="center"/>
        <w:rPr>
          <w:rFonts w:ascii="仿宋" w:hAnsi="仿宋" w:eastAsia="仿宋" w:cs="仿宋"/>
        </w:rPr>
      </w:pPr>
      <w:r>
        <w:rPr>
          <w:rFonts w:hint="eastAsia" w:ascii="仿宋" w:hAnsi="仿宋" w:eastAsia="仿宋" w:cs="仿宋"/>
          <w:b/>
          <w:bCs/>
        </w:rPr>
        <w:drawing>
          <wp:inline distT="0" distB="0" distL="114300" distR="114300">
            <wp:extent cx="5336540" cy="3186430"/>
            <wp:effectExtent l="0" t="0" r="12700" b="13970"/>
            <wp:docPr id="33" name="图片 8" descr="C:\Users\123\Desktop\银行流水最新版本\信茂中国银行\e0daee8772b7be1ea7b323f129eed89.pnge0daee8772b7be1ea7b323f129ee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C:\Users\123\Desktop\银行流水最新版本\信茂中国银行\e0daee8772b7be1ea7b323f129eed89.pnge0daee8772b7be1ea7b323f129eed89"/>
                    <pic:cNvPicPr>
                      <a:picLocks noChangeAspect="1"/>
                    </pic:cNvPicPr>
                  </pic:nvPicPr>
                  <pic:blipFill>
                    <a:blip r:embed="rId21"/>
                    <a:srcRect/>
                    <a:stretch>
                      <a:fillRect/>
                    </a:stretch>
                  </pic:blipFill>
                  <pic:spPr>
                    <a:xfrm>
                      <a:off x="0" y="0"/>
                      <a:ext cx="5336540" cy="3186430"/>
                    </a:xfrm>
                    <a:prstGeom prst="rect">
                      <a:avLst/>
                    </a:prstGeom>
                    <a:noFill/>
                    <a:ln>
                      <a:noFill/>
                    </a:ln>
                  </pic:spPr>
                </pic:pic>
              </a:graphicData>
            </a:graphic>
          </wp:inline>
        </w:drawing>
      </w:r>
    </w:p>
    <w:p>
      <w:pPr>
        <w:rPr>
          <w:rFonts w:ascii="宋体" w:hAnsi="宋体" w:cs="宋体"/>
          <w:bCs/>
          <w:sz w:val="21"/>
          <w:szCs w:val="21"/>
        </w:rPr>
      </w:pPr>
      <w:r>
        <w:rPr>
          <w:rFonts w:ascii="宋体" w:hAnsi="宋体" w:cs="宋体"/>
          <w:bCs/>
          <w:sz w:val="21"/>
          <w:szCs w:val="21"/>
        </w:rPr>
        <w:br w:type="page"/>
      </w:r>
    </w:p>
    <w:p>
      <w:pPr>
        <w:widowControl w:val="0"/>
        <w:spacing w:line="480" w:lineRule="auto"/>
        <w:rPr>
          <w:rFonts w:ascii="Arial" w:hAnsi="Arial" w:cs="Arial"/>
          <w:kern w:val="44"/>
          <w:sz w:val="21"/>
          <w:szCs w:val="21"/>
          <w:highlight w:val="none"/>
        </w:rPr>
      </w:pPr>
      <w:bookmarkStart w:id="102" w:name="_Toc22848"/>
      <w:r>
        <w:rPr>
          <w:rFonts w:hint="eastAsia" w:ascii="Arial" w:hAnsi="Arial" w:cs="Arial"/>
          <w:kern w:val="44"/>
          <w:sz w:val="21"/>
          <w:szCs w:val="21"/>
          <w:highlight w:val="none"/>
        </w:rPr>
        <w:t>附件二：本期用印台账</w:t>
      </w:r>
      <w:bookmarkEnd w:id="102"/>
    </w:p>
    <w:tbl>
      <w:tblPr>
        <w:tblStyle w:val="18"/>
        <w:tblW w:w="9640" w:type="dxa"/>
        <w:jc w:val="center"/>
        <w:tblLayout w:type="fixed"/>
        <w:tblCellMar>
          <w:top w:w="15" w:type="dxa"/>
          <w:left w:w="15" w:type="dxa"/>
          <w:bottom w:w="15" w:type="dxa"/>
          <w:right w:w="15" w:type="dxa"/>
        </w:tblCellMar>
      </w:tblPr>
      <w:tblGrid>
        <w:gridCol w:w="1142"/>
        <w:gridCol w:w="1635"/>
        <w:gridCol w:w="4178"/>
        <w:gridCol w:w="1145"/>
        <w:gridCol w:w="926"/>
        <w:gridCol w:w="614"/>
      </w:tblGrid>
      <w:tr>
        <w:tblPrEx>
          <w:tblCellMar>
            <w:top w:w="15" w:type="dxa"/>
            <w:left w:w="15" w:type="dxa"/>
            <w:bottom w:w="15" w:type="dxa"/>
            <w:right w:w="15" w:type="dxa"/>
          </w:tblCellMar>
        </w:tblPrEx>
        <w:trPr>
          <w:trHeight w:val="260" w:hRule="atLeast"/>
          <w:tblHeader/>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日期</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事由</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材料</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印鉴名称</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用印人</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部门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购房合同（90份）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用于按揭贷款合同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按揭贷款合同（8份）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国内快递包裹、国内标准快递寄递服务合同（4份）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涉税鉴证业务约定书（4份）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业主支付担保委托保证合同(4份）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宋旭</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开发部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业主支付担保委托保证合同（4份）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宋旭</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开发部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用于预抵资料</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预抵资料（26份）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备案表（43份）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用于离职证明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夏巧离职证明（2份）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用于情况说明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关于合同滞后及付款时间的情况说明（3份）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用于情况说明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工程形象进度情况说明（4份）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用于情况说明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资金盘活2900万元情况说明（2份）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用于挞定函</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挞定函（1份）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2021-5-12</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购房合同（12份）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2021-5-12</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用于按揭贷款合同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贷款合同（7份）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2021-5-12</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用于预抵资料</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预抵资料（12份）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2021-5-12</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用于挞定函</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挞定函（1份）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2021-5-12</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用于开票说明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开票信息（6份）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西部地区宜宾项目2020年11月常规物料制作事项（月结）（4份）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西部区域宜宾项目2020年11月发现宜宾时刻媒体沙龙活动事项（4份）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西部区域宜宾项目2020年11月奔驰品牌跨界活动事项（4份）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西部区域宜宾项目2020年11月渠道拓客及媒体邀约物料制作事项（4份）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西部区域宜宾项目2020年11月周边区域店招焕新制作事项（4份）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西部区域宜宾项目2020年11月东方广场广告换画事项（4份）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西部区域宜宾项目2020年11月案场礼品及圣诞氛围包装事项（4份）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西部地区宜宾项目2020年12月分销誓师及亲子烘焙活动事项（4份）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西部区域宜宾项目电影院灯箱广告换画制作事项（4份）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西部区域宜宾项目2021年1-3月城区电梯轿厢广告投放事项（4份）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西部区域宜宾项目2021年3月常规物料制作事项（月结）（4份）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西部区域宜宾项目2021年3月常规物料印刷制作事项（月结）（4份）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西部区域宜宾项目2021年3月业主成交礼品采购活动事项（4份）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西部区域宜宾项目2021年3月渠道拓客物料采购事项（4份）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西部区域宜宾项目2021年4月城熟生活节活动事项（4份）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西部区域宜宾项目2021年3月电台广告投放事项（4份）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西部区域宜宾项目2021年4-6月公交站台广告发布事项（5份）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西部区域宜宾项目2021年1月常规制作事项（月结）（4份）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西部区域宜宾项目2021年1月常规印刷事项（月结）（4份）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西部区域宜宾项目2021年1月春节对联印刷事项（4份）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西部区域宜宾项目2021年1月春节案场包装事项（4份）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西部区域宜宾项目2021年2月常规制作事项（月结）（4份）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西部区域宜宾项目情人节全城快闪及元宵暖场活动事项（4份）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购房合同（20份）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按揭贷款合同（22份）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宜宾翠屏项目一期二批次土建总承包 工程项目</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《建设工程施工合同》补充协议（2份）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宋旭</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开发部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用于施工监理管理人员变更申请表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施工监理单位变更投标文件现场管理人员申请表（8份）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用于增加U盾</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招行增加U盾资料（2份）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公章财务章法人章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用于审计业务</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审计业务补充资料（1份）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用于抵押申请表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预抵资料（16份）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备案表（1份）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用于普通发票用印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普通发票（9份）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发票章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用于承诺书</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工程款支付承诺书（3份）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用于收据用印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收据（关萍、周哲）（1份）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财务章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用于4#楼预售许可证申请</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云锦一期4#楼预售许可证申请资料（7份）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宋旭</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开发部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供水安装合同书 （6份）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购房合同（40份）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按揭贷款合同（27份）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债权债务抵消协议书（6份）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备案表（1份）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用于盘活资金申请</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预售监管账户盘活2300万元申请资料（5份）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用于提交宜宾市统计局资料</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提交宜宾市统计局资料（3份）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工程部</w:t>
            </w:r>
          </w:p>
        </w:tc>
      </w:tr>
    </w:tbl>
    <w:p>
      <w:pPr>
        <w:rPr>
          <w:rFonts w:ascii="宋体" w:hAnsi="宋体" w:cs="宋体"/>
          <w:bCs/>
          <w:sz w:val="21"/>
          <w:szCs w:val="21"/>
        </w:rPr>
      </w:pPr>
      <w:r>
        <w:rPr>
          <w:rFonts w:hint="eastAsia" w:ascii="宋体" w:hAnsi="宋体" w:cs="宋体"/>
          <w:bCs/>
          <w:sz w:val="21"/>
          <w:szCs w:val="21"/>
        </w:rPr>
        <w:br w:type="page"/>
      </w:r>
    </w:p>
    <w:p>
      <w:pPr>
        <w:widowControl w:val="0"/>
        <w:spacing w:line="480" w:lineRule="auto"/>
        <w:rPr>
          <w:rFonts w:ascii="宋体" w:hAnsi="宋体" w:cs="宋体"/>
          <w:bCs/>
          <w:sz w:val="21"/>
          <w:szCs w:val="21"/>
          <w:highlight w:val="none"/>
        </w:rPr>
      </w:pPr>
      <w:bookmarkStart w:id="103" w:name="_Toc6121"/>
      <w:r>
        <w:rPr>
          <w:rFonts w:hint="eastAsia" w:ascii="Arial" w:hAnsi="Arial" w:cs="Arial"/>
          <w:kern w:val="44"/>
          <w:sz w:val="21"/>
          <w:szCs w:val="21"/>
          <w:highlight w:val="none"/>
        </w:rPr>
        <w:t>附件三：本期合同签约台账</w:t>
      </w:r>
      <w:bookmarkEnd w:id="103"/>
    </w:p>
    <w:tbl>
      <w:tblPr>
        <w:tblStyle w:val="18"/>
        <w:tblW w:w="9286" w:type="dxa"/>
        <w:tblInd w:w="23" w:type="dxa"/>
        <w:tblLayout w:type="autofit"/>
        <w:tblCellMar>
          <w:top w:w="15" w:type="dxa"/>
          <w:left w:w="15" w:type="dxa"/>
          <w:bottom w:w="15" w:type="dxa"/>
          <w:right w:w="15" w:type="dxa"/>
        </w:tblCellMar>
      </w:tblPr>
      <w:tblGrid>
        <w:gridCol w:w="931"/>
        <w:gridCol w:w="2101"/>
        <w:gridCol w:w="2674"/>
        <w:gridCol w:w="652"/>
        <w:gridCol w:w="1440"/>
        <w:gridCol w:w="1488"/>
      </w:tblGrid>
      <w:tr>
        <w:tblPrEx>
          <w:tblCellMar>
            <w:top w:w="15" w:type="dxa"/>
            <w:left w:w="15" w:type="dxa"/>
            <w:bottom w:w="15" w:type="dxa"/>
            <w:right w:w="15" w:type="dxa"/>
          </w:tblCellMar>
        </w:tblPrEx>
        <w:trPr>
          <w:trHeight w:val="226" w:hRule="atLeast"/>
          <w:tblHeader/>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用印日期</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客户名称</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合同名称</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份数</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经办人</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部门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陈环/刘秀娟</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王光英</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杨迪</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陈均/黄艳</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陈克先</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唐自力/郭占晴</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杨进</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陈娟/卿明勇</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蒲小凤</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李岚坤/许锐</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侯莉</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唐青青</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刘伟/胡文连</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陈婷婷/朱照坤</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赵小丽</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唐青青</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按揭贷款合同（兴业）</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巫秋松</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按揭贷款合同（兴业）</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中国邮政速递物流股份有限公司宜宾市分公司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国内快递包裹、国内标准快递寄递服务合同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谢程宜</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行政人事部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四川新桥信税务师事务所有限公司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涉税鉴证业务约定书</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潘麓西</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四川泽丰非融资性担保有限公司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业主支付担保委托保证合同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宋旭</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开发部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四川泽丰非融资性担保有限公司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业主支付担保委托保证合同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宋旭</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开发部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2021-5-12</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李布西</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2021-5-12</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李聆可</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2021-5-12</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李聆可</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按揭贷款合同（农行）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2021-5-12</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陈婷婷/朱照坤</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按揭贷款合同（公积金）</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宜宾市志兴广告有限公司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西部地区宜宾项目2020年11月常规物料制作事项（月结）</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四川长镜头文化传媒有限公司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西部区域宜宾项目2020年11月发现宜宾时刻媒体沙龙活动事项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四川唯二文化传播有限公司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西部区域宜宾项目2020年11月奔驰品牌跨界活动事项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四川唯二文化传播有限公司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西部区域宜宾项目2020年11月渠道拓客及媒体邀约物料制作事项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 宜宾市志兴广告有限公司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西部区域宜宾项目2020年11月周边区域店招焕新制作事项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 四川嘉利斯广告传媒有限责任公司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西部区域宜宾项目2020年11月东方广场广告换画事项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四川蓝羚文化传播有限公司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西部区域宜宾项目2020年11月案场礼品及圣诞氛围包装事项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宜宾小雨文化传播有限公司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西部地区宜宾项目2020年12月分销誓师及亲子烘焙活动事项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宜宾微客来网络科技有限公司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西部区域宜宾项目电影院灯箱广告换画制作事项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 四川胜光广告传媒有限公司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西部区域宜宾项目2021年1-3月城区电梯轿厢广告投放事项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 宜宾市志兴广告有限公司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西部区域宜宾项目2021年3月常规物料制作事项（月结）</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成都睿帆广告有限公司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西部区域宜宾项目2021年3月常规物料印刷制作事项（月结）</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内江市和邦广告有限公司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西部区域宜宾项目2021年3月业主成交礼品采购活动事项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四川蓝羚文化传播有限公司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西部区域宜宾项目2021年3月渠道拓客物料采购事项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 宜宾小雨文化传播有限公司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西部区域宜宾项目2021年4月城熟生活节活动事项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宜宾合众传媒有限公司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西部区域宜宾项目2021年3月电台广告投放事项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 成都经典视线广告传媒有限公司宜宾分公司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西部区域宜宾项目2021年4-6月公交站台广告发布事项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5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 宜宾市志兴广告有限公司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西部区域宜宾项目2021年1月常规制作事项（月结）</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 成都睿帆广告有限公司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西部区域宜宾项目2021年1月常规印刷事项（月结）</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成都睿帆广告有限公司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西部区域宜宾项目2021年1月春节对联印刷事项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内江市和邦广告有限公司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西部区域宜宾项目2021年1月春节案场包装事项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宜宾市志兴广告有限公司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西部区域宜宾项目2021年2月常规制作事项（月结）</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宜宾小雨文化</w:t>
            </w:r>
          </w:p>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传播有限公司 </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西部区域宜宾项目情人节全城快闪及元宵暖场活动事项</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4 </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曾婷</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刘德容</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吴志强/孙燕</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李布西</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陈克先</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陈娟/卿明勇</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唐自力/郭占晴</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黄佳棚</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韩佳丽</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曾婷</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按揭贷款合同（公积金）</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2021-5-18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宜宾佳鑫建筑</w:t>
            </w:r>
          </w:p>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工程有限责任公司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宜宾翠屏项目一期二批次土建总承包 工程项目</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《建设工程施工合同》补充协议</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宋旭</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开发部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宜宾市清源</w:t>
            </w:r>
          </w:p>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水务集团有限公司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供水安装合同书 </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李金磊</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工程部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汪金科/陈心艺</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魏浠</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夏玉平</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王湘</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罗涵</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邓岳琴</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魏浠</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按揭贷款合同（公积金）</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邓岳琴</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按揭贷款合同（公积金）</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陶天菊</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吴志强/孙燕</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何宣萱</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周贵珍/罗兴恒</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刘德容</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杨进</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按揭贷款合同（兴业）</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r>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2021-5-25</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上海家和信息</w:t>
            </w:r>
          </w:p>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技术有限公司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债权债务抵销协议书</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肖秋月</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营销部</w:t>
            </w:r>
          </w:p>
        </w:tc>
      </w:tr>
    </w:tbl>
    <w:p>
      <w:pPr>
        <w:pStyle w:val="2"/>
        <w:ind w:firstLine="0" w:firstLineChars="0"/>
        <w:sectPr>
          <w:footerReference r:id="rId7"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425" w:num="1"/>
          <w:docGrid w:type="linesAndChars" w:linePitch="326" w:charSpace="0"/>
        </w:sectPr>
      </w:pPr>
    </w:p>
    <w:p>
      <w:pPr>
        <w:widowControl w:val="0"/>
        <w:spacing w:line="480" w:lineRule="auto"/>
        <w:rPr>
          <w:rFonts w:ascii="Arial" w:hAnsi="Arial" w:cs="Arial"/>
          <w:kern w:val="44"/>
          <w:sz w:val="21"/>
          <w:szCs w:val="21"/>
        </w:rPr>
      </w:pPr>
      <w:bookmarkStart w:id="104" w:name="_Toc23122"/>
      <w:r>
        <w:rPr>
          <w:rFonts w:hint="eastAsia" w:ascii="Arial" w:hAnsi="Arial" w:cs="Arial"/>
          <w:kern w:val="44"/>
          <w:sz w:val="21"/>
          <w:szCs w:val="21"/>
        </w:rPr>
        <w:t>附件四：项目销售回款统计表</w:t>
      </w:r>
      <w:bookmarkEnd w:id="104"/>
    </w:p>
    <w:tbl>
      <w:tblPr>
        <w:tblStyle w:val="18"/>
        <w:tblW w:w="9613" w:type="dxa"/>
        <w:tblInd w:w="0" w:type="dxa"/>
        <w:tblLayout w:type="fixed"/>
        <w:tblCellMar>
          <w:top w:w="0" w:type="dxa"/>
          <w:left w:w="0" w:type="dxa"/>
          <w:bottom w:w="0" w:type="dxa"/>
          <w:right w:w="0" w:type="dxa"/>
        </w:tblCellMar>
      </w:tblPr>
      <w:tblGrid>
        <w:gridCol w:w="586"/>
        <w:gridCol w:w="697"/>
        <w:gridCol w:w="652"/>
        <w:gridCol w:w="1011"/>
        <w:gridCol w:w="926"/>
        <w:gridCol w:w="1231"/>
        <w:gridCol w:w="1317"/>
        <w:gridCol w:w="1388"/>
        <w:gridCol w:w="1200"/>
        <w:gridCol w:w="605"/>
      </w:tblGrid>
      <w:tr>
        <w:tblPrEx>
          <w:tblCellMar>
            <w:top w:w="0" w:type="dxa"/>
            <w:left w:w="0" w:type="dxa"/>
            <w:bottom w:w="0" w:type="dxa"/>
            <w:right w:w="0" w:type="dxa"/>
          </w:tblCellMar>
        </w:tblPrEx>
        <w:trPr>
          <w:tblHeader/>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序号</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楼号</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房号</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客户姓名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面积（㎡）</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default" w:ascii="Arial" w:hAnsi="Arial" w:cs="Arial"/>
                <w:b/>
                <w:sz w:val="18"/>
                <w:szCs w:val="18"/>
                <w:lang w:bidi="ar"/>
              </w:rPr>
              <w:t>单价</w:t>
            </w:r>
            <w:r>
              <w:rPr>
                <w:rFonts w:hint="eastAsia" w:ascii="Arial" w:hAnsi="Arial" w:cs="Arial"/>
                <w:b/>
                <w:sz w:val="18"/>
                <w:szCs w:val="18"/>
                <w:lang w:bidi="ar"/>
              </w:rPr>
              <w:t>（元）</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val="en-US" w:eastAsia="zh-CN" w:bidi="ar"/>
              </w:rPr>
              <w:t>总</w:t>
            </w:r>
            <w:r>
              <w:rPr>
                <w:rFonts w:hint="eastAsia" w:ascii="Arial" w:hAnsi="Arial" w:cs="Arial"/>
                <w:b/>
                <w:sz w:val="18"/>
                <w:szCs w:val="18"/>
                <w:lang w:bidi="ar"/>
              </w:rPr>
              <w:t>价（元）</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已收金额(不含定金和溢缴款)（元）</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未收金额（元）</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
                <w:sz w:val="18"/>
                <w:szCs w:val="18"/>
                <w:lang w:bidi="ar"/>
              </w:rPr>
            </w:pPr>
            <w:r>
              <w:rPr>
                <w:rFonts w:hint="eastAsia" w:ascii="Arial" w:hAnsi="Arial" w:cs="Arial"/>
                <w:b/>
                <w:sz w:val="18"/>
                <w:szCs w:val="18"/>
                <w:lang w:bidi="ar"/>
              </w:rPr>
              <w:t>销售</w:t>
            </w:r>
          </w:p>
          <w:p>
            <w:pPr>
              <w:jc w:val="center"/>
              <w:rPr>
                <w:rFonts w:ascii="Arial" w:hAnsi="Arial" w:cs="Arial"/>
                <w:b/>
                <w:sz w:val="18"/>
                <w:szCs w:val="18"/>
                <w:lang w:bidi="ar"/>
              </w:rPr>
            </w:pPr>
            <w:r>
              <w:rPr>
                <w:rFonts w:hint="eastAsia" w:ascii="Arial" w:hAnsi="Arial" w:cs="Arial"/>
                <w:b/>
                <w:sz w:val="18"/>
                <w:szCs w:val="18"/>
                <w:lang w:bidi="ar"/>
              </w:rPr>
              <w:t>状态</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胡亚平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96.14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8,702.13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836,623.00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836,623.00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李鸿斌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8,615.14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923,888.00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923,888.00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陈高辉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95.77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8,575.29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821,256.00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821,256.00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陈环</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95.77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8,585.00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822,185.00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822,185.00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曾启兰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8,823.35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946,393.00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946,393.00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周兴刚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8,588.01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920,978.00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920,978.00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田玉英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8,285.04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797,104.00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797,104.00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蒋武荣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8,390.82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899,999.00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899,999.00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甘俊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8,532.26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275,000.00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640,000.00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王光英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8,192.29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788,180.00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788,180.00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8,288.27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889,000.00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889,000.00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刘原洁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8,644.67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831,704.00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831,704.00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汪金科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8,755.02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938,888.00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508,888.00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430,000.00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黄慧</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8,321.95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800,655.00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800,655.00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古大英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8,378.90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806,134.00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806,134.00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郑凯文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8,230.00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882,750.00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882,750.00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李运宏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8,623.06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825,399.00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825,399.00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曹科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8,628.31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830,130.00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830,130.00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江克慧</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8,711.87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934,261.00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934,261.00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刘治雄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8,521.83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819,885.00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819,885.00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胡甜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8,270.93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795,746.00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795,746.00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王怀仪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8,461.06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907,533.00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907,533.00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8,643.47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827,353.00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827,353.00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8,664.70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833,631.00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833,631.00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刘春霞</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8,732.27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936,449.00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936,449.00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严怀波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8,563.04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823,850.00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823,850.00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宋顺治</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8,801.97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944,099.00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944,099.00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8,663.21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829,242.00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829,242.00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文红萍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8,668.39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833,986.00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833,986.00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李艳红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8,752.69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938,638.00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938,638.00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黄汐</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8,471.68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815,060.00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815,060.00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罗洪远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8,262.07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794,894.00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794,894.00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罗栋文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8,938.08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958,698.00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958,698.00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8,353.53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799,600.00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799,600.00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邓婷婷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8,705.53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837,559.00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837,559.00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陈云琪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8,773.10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940,827.00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940,827.00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王朝西</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8,583.07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825,777.00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825,777.00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曹友钢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8,272.53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795,900.00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795,900.00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8,996.83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汤兴宇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8,704.70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833,214.00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833,214.00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杨滨瑞</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8,730.89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唐小莎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8,793.50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943,015.00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943,015.00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蔡昊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8,459.94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813,931.00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813,931.00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8,314.79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799,966.00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799,966.00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段艾林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8,844.56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948,667.00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948,667.00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张富莲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8,376.70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801,818.00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801,818.00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龙启琼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8,746.35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841,486.00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841,486.00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8,813.91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945,204.00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945,204.00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49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王小玲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8,623.89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829,704.00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829,704.00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张喜军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8,386.71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806,885.00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806,885.00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梁润宇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8,883.62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952,857.00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952,857.00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徐治亮</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8,386.40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802,746.00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162,746.00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640,000.00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李丽玲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8,748.36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841,680.00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841,680.00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曾涛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8,834.32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947,393.00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947,393.00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郑强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8,644.30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831,668.00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831,668.00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王朝容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808,164.00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808,164.00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何岳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8,885.37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953,045.00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953,045.00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8,765.93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839,075.00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839,075.00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李明燕</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8,768.38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843,606.00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843,606.00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曾光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8,854.74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949,582.00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949,582.00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胡云贵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8,656.39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832,831.00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722,831.00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110,000.00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唐龙艳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8,312.07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799,704.00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799,704.00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郭云锋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8,967.82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961,888.00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961,888.00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陈豪龙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8,786.34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841,028.00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841,028.00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9,204.32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987,071.00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987,071.00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黄世强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8,459.49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813,888.00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813,888.00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魏发红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8,388.12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807,021.00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807,021.00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8,465.41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罗帮华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8,827.98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849,340.00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849,340.00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徐庆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8,895.55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953,959.00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953,959.00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李自华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8,614.85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828,835.00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828,835.00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蒲义才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8,362.77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804,582.00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804,582.00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韩金标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8,996.83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黄香敏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8,827.16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844,936.00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844,936.00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瞿文义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8,848.40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851,305.00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851,305.00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杨仕海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8,915.96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956,148.00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956,148.00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甘平芬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8,719.34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838,888.00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838,888.00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8,426.36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810,700.00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810,700.00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郑晓萍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8,967.01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961,802.00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961,802.00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刘雪林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8,847.58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846,890.00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846,890.00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田明建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8,889.59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855,267.00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855,267.00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任家妹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8,933.23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8,730.88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839,998.00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839,998.00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张标元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8,481.81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816,035.00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816,035.00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雷燕琼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8,977.14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8,464.15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810,188.00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510,188.00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马秋红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8,893.79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953,770.00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953,770.00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李定云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779,301.00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779,301.00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汪闵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8,356.72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804,000.00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804,000.00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徐欣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8,980.00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963,195.00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963,195.00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向琴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8,909.62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857,195.00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857,195.00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聂彬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8,977.19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962,714.00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962,714.00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8,491.72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816,988.00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816,988.00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宋丽芳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8,457.54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813,700.00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813,700.00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廖修荣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911,710.00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911,710.00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谢强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8,908.81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852,751.00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852,751.00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8,997.61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964,904.00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964,904.00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程德勇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8,714.85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838,456.00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838,456.00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曹旭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8,512.73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819,010.00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819,010.00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屈雪莲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9,024.80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黄生桃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8,472.38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815,128.00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815,128.00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吴静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8,977.19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962,714.00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962,714.00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曾先翠</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8,531.11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820,778.00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820,778.00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高代荣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8,512.62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818,999.00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818,999.00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文国其</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8,988.44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964,100.00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964,100.00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何军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8,908.81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852,751.00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852,751.00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王成宾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8,515.97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819,321.00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819,321.00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杨丽平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8,956.78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960,525.00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960,525.00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邱维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8,437.79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811,800.00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811,800.00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胡小芬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8,367.11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吴萍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9,026.49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968,181.00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968,181.00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张清容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8,420.39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唐圣力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8,377.51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唐益英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8,936.38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958,337.00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958,337.00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8,746.35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841,486.00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841,486.00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谢廷洪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8,398.29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807,999.00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807,999.00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郭丽红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9,006.08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965,992.00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965,992.00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范绍东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8,452.55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809,078.00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809,078.00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邓岳琴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8,892.08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855,507.00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265,507.00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590,000.00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袁蔚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8,793.50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943,015.00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943,015.00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沈杰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8,416.82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809,782.00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809,782.00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魏继林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8,408.75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809,006.00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809,006.00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付兴正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8,910.85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955,778.00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955,778.00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王银祥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8,827.99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849,341.00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849,341.00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沈才贵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8,895.55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953,959.00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953,959.00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陶智兰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8,476.85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815,558.00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815,558.00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魏发兰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8,491.18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816,936.00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816,936.00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江洪彬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8,950.21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陈克先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8,460.09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809,800.00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809,800.00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刘盛芳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8,330.12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801,441.00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801,441.00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8,875.14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951,770.00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951,770.00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胡国俊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8,685.15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835,598.00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835,598.00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李洪波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8,426.98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810,760.00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810,760.00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周利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8,926.20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957,424.00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957,424.00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陶天菊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8,358.63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800,088.00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800,088.00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李河柳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8,446.13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812,602.00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162,521.00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650,081.00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张应山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8,854.74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949,582.00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949,582.00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吕守操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8,664.70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833,631.00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833,631.00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胡洪高</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7,976.26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767,396.00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767,396.00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陈雪琴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8,921.20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956,888.00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956,888.00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唐自力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8,418.30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805,800.00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805,800.00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8,332.46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801,666.00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801,666.00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8,834.32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947,393.00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947,393.00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熊思渊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8,392.21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807,415.00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807,415.00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巫秋松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8,292.31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797,803.00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247,803.00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刘汉东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8,885.37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953,045.00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953,045.00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8,398.30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曹兴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8,785.94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942,204.00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942,204.00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李文薇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8,511.83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818,923.00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248,923.00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570,000.00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7,957.05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765,548.00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765,548.00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雷建华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8,855.94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949,888.00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949,888.00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卢宏英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8,343.52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798,642.00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348,642.00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8,302.90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798,822.00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548,822.00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明昆友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8,762.89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939,732.00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939,732.00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曾学峰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8,531.25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820,792.00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820,792.00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何泽彬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8,911.06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955,800.00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955,800.00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吴健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8,294.36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398,000.00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罗友香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8,821.89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946,060.00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946,060.00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余春林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8,419.08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李德志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8,948.07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959,770.00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959,770.00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牟英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8,679.49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930,789.00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930,789.00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张启汇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8,430.89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811,136.00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811,136.00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佐永秋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8,368.26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805,110.00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805,110.00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文兴英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8,912.60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955,966.00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955,966.00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8,600.49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922,317.00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922,317.00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罗锦平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8,315.14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程英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8,273.57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8,679.52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930,965.00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930,965.00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周祥珍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8,558.79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917,845.00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917,845.00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周其兰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8,368.77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805,159.00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805,159.00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周雪峰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8,604.21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922,888.00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922,888.00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3406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唐流东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8,490.40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812,701.00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812,701.00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王湘</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8,555.85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818,966.00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288,966.00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530,000.00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陈婷婷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8,367.11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8,428.65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903,888.00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903,888.00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李布西</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9,206.39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987,293.00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987,293.00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郑均伟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8,650.00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927,626.00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927,626.00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890,092.00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270,092.00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620,000.00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吴志强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8,770.98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940,600.00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940,600.00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96.87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8,774.65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8,343.36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901,500.00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901,500.00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赵航昭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85.52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8,341.32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713,350.00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713,350.00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艾书聪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8,590.75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928,230.00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928,230.00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何宣萱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8,384.46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812,790.00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512,790.00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叶江红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8,298.62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896,666.00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896,666.00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周川</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8,323.98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716,778.00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716,778.00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张莹莹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897,064.00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897,064.00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梁运香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8,329.89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807,500.00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807,500.00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冯旭龙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8,412.06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908,923.00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608,923.00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邓代棋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8,362.39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720,085.00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720,085.00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8,290.16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吕世有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8,481.08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8,355.68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8,489.42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917,282.00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467,282.00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罗贵香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7,989.78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刘玉月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8,197.63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陈跃蓉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8,329.37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803,368.00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803,368.00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8,552.10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829,041.00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829,041.00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黄玉平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8,329.48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胡晓波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8,008.84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689,641.00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689,641.00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赵师梅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8,350.00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902,468.00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902,468.00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806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白勋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8,252.98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张祖会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8,237.05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798,500.00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798,500.00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周雨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8,407.76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908,458.00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608,458.00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张继红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7,966.55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赵宇帆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8,533.47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922,298.00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922,298.00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8,334.19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803,833.00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803,833.00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韩立新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8,444.40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818,600.00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818,600.00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卢禹航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8,508.63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919,358.00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419,358.00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叶洪燕</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8,028.22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691,310.00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691,310.00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曾婷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8,375.57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721,220.00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301,220.00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420,000.00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蒋荣云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8,306.00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897,712.00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897,712.00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1006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郑芳才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8,357.90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806,119.00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806,119.00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李琴莉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8,252.53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宋朝清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8,385.01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罗南玉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7,978.16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686,999.00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686,999.00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蒲小凤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8,350.74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719,082.00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719,082.00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宗陈林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8,841.99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955,642.00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655,642.00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8,411.84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811,322.00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811,322.00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方强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8,382.18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812,569.00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812,569.00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于宗珍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8,329.48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吴洁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7,934.09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683,205.00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683,205.00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李世才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8,189.39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705,188.00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145,188.00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560,000.00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尹宁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8,883.05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960,080.00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660,080.00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赵天宏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8,461.46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816,108.00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316,108.00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宋兴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8,537.64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827,639.00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827,639.00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李暾耀</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8,855.44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956,830.00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956,830.00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黄家春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688,880.00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388,880.00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宋凤明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8,396.24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723,000.00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723,000.00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赵渔江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8,882.31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570,000.00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李凤梅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8,346.29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郑纯才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8,698.58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843,240.00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843,240.00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8,422.03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朱华均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8,245.26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709,999.00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709,999.00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张仁莉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8,338.17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718,000.00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359,000.00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359,000.00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刘军鸽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8,419.00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909,926.00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909,926.00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熊光全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8,355.68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陈宇骄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8,896.43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961,259.00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961,259.00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孔颖</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8,455.15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728,073.00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728,073.00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江仕蓉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8,396.24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723,000.00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723,000.00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鲍超雄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8,947.99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967,099.00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967,099.00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8,847.76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853,366.00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853,366.00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李岚坤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8,347.43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809,200.00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249,200.00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560,000.00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8,320.00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898,976.00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898,976.00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罗安洋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7,896.88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唐进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8,477.53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730,000.00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730,000.00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曾艳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8,893.56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961,216.00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961,216.00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刘伟丽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8,460.65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816,030.00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816,030.00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罗涵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8,289.69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803,603.00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243,603.00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560,000.00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罗敏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8,917.04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963,486.00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463,486.00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袁旭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8,476.23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729,888.00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729,888.00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吴明平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8,964.47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968,880.00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968,880.00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涂勇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8,377.40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刘祖秀</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8,842.78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955,462.00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955,462.00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侯莉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8,013.01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480,000.00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唐青青</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8,361.48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720,007.00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300,007.00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420,000.00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8,390.90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906,888.00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906,888.00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陈晓倩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8,391.32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906,682.00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606,682.00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肖长军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8,496.39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731,624.00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731,624.00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刘德容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8,431.08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李从洪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8,391.92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906,999.00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906,999.00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1906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赵小丽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8,368.00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807,094.00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397,094.00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410,000.00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8,340.21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808,500.00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808,500.00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查丽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8,329.48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聂小英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8,196.81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705,827.00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705,827.00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王婧曈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8,116.22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698,888.00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698,888.00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王志钢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8,999.00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972,612.00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972,612.00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韩佳丽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918,425.00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918,425.00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邹定琼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7,962.00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685,608.00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685,608.00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唐永江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8,480.00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916,518.00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916,518.00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8,398.13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江小平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8,320.67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806,606.00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806,606.00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李万军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8,332.25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900,300.00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270,300.00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630,000.00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宋丽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8,105.83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697,993.00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697,993.00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周志强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8,420.81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725,116.00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305,116.00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420,000.00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8,336.42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901,000.00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361,000.00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540,000.00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陈兴仁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8,335.05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黄佳棚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8,240.00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890,332.00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410,332.00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480,000.00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8,096.12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697,157.00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397,157.00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郭小波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8,512.21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王正雨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8,335.67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803,975.00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803,975.00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黄盛艳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8,314.32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898,362.00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898,362.00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张付元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8,366.94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720,477.00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720,477.00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刘亚军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8,438.43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912,026.00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912,026.00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刘一平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8,343.99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808,866.00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808,866.00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何天艮</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8,391.12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906,660.00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906,660.00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徐利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8,013.01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480,000.00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8,441.00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912,303.00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912,303.00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郑德荣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8,292.46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8,013.01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周贵珍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8,380.73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721,665.00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421,665.00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郭平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8,444.68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912,700.00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912,700.00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叶华峰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8,395.85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809,780.00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809,780.00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陈建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8,406.00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908,268.00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458,268.00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王光伦</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7,995.59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688,500.00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688,500.00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王祖琴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8,280.90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895,000.00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罗杰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8,315.27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806,082.00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806,082.00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8,362.80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903,600.00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903,600.00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王立南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8,013.01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张咏琪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8,899.07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961,811.00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961,811.00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张文林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8,529.38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921,600.00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921,600.00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蒋霖</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8,037.92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692,145.00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692,145.00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2905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易波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8,888.77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960,698.00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960,698.00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向显莉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8,329.48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900,000.00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肖林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8,450.74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913,356.00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913,356.00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郭万理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8,210.78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795,953.00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795,953.00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李聆可</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8,350.20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902,239.00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272,239.00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630,000.00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黄永华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7,966.55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686,000.00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686,000.00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309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李强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8,771.28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948,000.00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948,000.00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8,208.72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886,952.00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886,952.00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汤莉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8,152.36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702,000.00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702,000.00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杨桂林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8,262.40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893,000.00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893,000.00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胡邦珍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8,657.24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935,415.00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635,415.00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魏浠</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8,103.05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697,754.00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217,754.00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480,000.00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刘国琼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8,286.45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895,600.00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895,600.00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夏玉平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8,607.73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830,216.00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470,216.00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360,000.00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胡如玉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8,157.02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881,366.00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881,366.00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欧汝林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8,600.00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929,488.00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929,488.00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319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3406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袁万容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8,200.00 </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790,890.00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790,890.00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294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合计</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31,801.95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Arial" w:hAnsi="Arial" w:cs="Arial"/>
                <w:bCs/>
                <w:sz w:val="18"/>
                <w:szCs w:val="18"/>
                <w:lang w:val="en-US" w:eastAsia="zh-CN" w:bidi="ar"/>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271,274,804.00 </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249,785,723.00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Arial" w:hAnsi="Arial" w:cs="Arial"/>
                <w:bCs/>
                <w:sz w:val="18"/>
                <w:szCs w:val="18"/>
                <w:lang w:val="en-US" w:eastAsia="zh-CN" w:bidi="ar"/>
              </w:rPr>
            </w:pPr>
            <w:r>
              <w:rPr>
                <w:rFonts w:hint="eastAsia" w:ascii="Arial" w:hAnsi="Arial" w:cs="Arial"/>
                <w:bCs/>
                <w:sz w:val="18"/>
                <w:szCs w:val="18"/>
                <w:lang w:val="en-US" w:eastAsia="zh-CN" w:bidi="ar"/>
              </w:rPr>
              <w:t xml:space="preserve">21,489,081.00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Arial" w:hAnsi="Arial" w:cs="Arial"/>
                <w:bCs/>
                <w:sz w:val="18"/>
                <w:szCs w:val="18"/>
                <w:lang w:val="en-US" w:eastAsia="zh-CN" w:bidi="ar"/>
              </w:rPr>
            </w:pPr>
          </w:p>
        </w:tc>
      </w:tr>
    </w:tbl>
    <w:p>
      <w:r>
        <w:rPr>
          <w:rFonts w:hint="eastAsia" w:ascii="宋体" w:hAnsi="宋体" w:cs="宋体"/>
          <w:b/>
          <w:bCs/>
        </w:rPr>
        <w:t xml:space="preserve">   </w:t>
      </w:r>
    </w:p>
    <w:p>
      <w:pPr>
        <w:rPr>
          <w:rFonts w:ascii="宋体" w:hAnsi="宋体" w:cs="宋体"/>
          <w:bCs/>
          <w:sz w:val="21"/>
          <w:szCs w:val="21"/>
        </w:rPr>
      </w:pPr>
      <w:r>
        <w:rPr>
          <w:rFonts w:ascii="宋体" w:hAnsi="宋体" w:cs="宋体"/>
          <w:bCs/>
          <w:sz w:val="21"/>
          <w:szCs w:val="21"/>
        </w:rPr>
        <w:br w:type="page"/>
      </w:r>
    </w:p>
    <w:p>
      <w:pPr>
        <w:widowControl w:val="0"/>
        <w:spacing w:line="480" w:lineRule="auto"/>
        <w:rPr>
          <w:rFonts w:hint="eastAsia" w:ascii="Arial" w:hAnsi="Arial" w:cs="Arial"/>
          <w:kern w:val="44"/>
          <w:sz w:val="21"/>
          <w:szCs w:val="21"/>
        </w:rPr>
      </w:pPr>
      <w:bookmarkStart w:id="105" w:name="_Toc32590"/>
      <w:r>
        <w:rPr>
          <w:rFonts w:hint="eastAsia" w:ascii="Arial" w:hAnsi="Arial" w:cs="Arial"/>
          <w:kern w:val="44"/>
          <w:sz w:val="21"/>
          <w:szCs w:val="21"/>
        </w:rPr>
        <w:t>附件</w:t>
      </w:r>
      <w:r>
        <w:rPr>
          <w:rFonts w:hint="eastAsia" w:ascii="Arial" w:hAnsi="Arial" w:cs="Arial"/>
          <w:kern w:val="44"/>
          <w:sz w:val="21"/>
          <w:szCs w:val="21"/>
          <w:lang w:val="en-US" w:eastAsia="zh-CN"/>
        </w:rPr>
        <w:t>五</w:t>
      </w:r>
      <w:r>
        <w:rPr>
          <w:rFonts w:hint="eastAsia" w:ascii="Arial" w:hAnsi="Arial" w:cs="Arial"/>
          <w:kern w:val="44"/>
          <w:sz w:val="21"/>
          <w:szCs w:val="21"/>
        </w:rPr>
        <w:t>：其他融资情况明细表</w:t>
      </w:r>
    </w:p>
    <w:tbl>
      <w:tblPr>
        <w:tblStyle w:val="18"/>
        <w:tblW w:w="9734" w:type="dxa"/>
        <w:tblInd w:w="96" w:type="dxa"/>
        <w:shd w:val="clear" w:color="auto" w:fill="auto"/>
        <w:tblLayout w:type="fixed"/>
        <w:tblCellMar>
          <w:top w:w="0" w:type="dxa"/>
          <w:left w:w="108" w:type="dxa"/>
          <w:bottom w:w="0" w:type="dxa"/>
          <w:right w:w="108" w:type="dxa"/>
        </w:tblCellMar>
      </w:tblPr>
      <w:tblGrid>
        <w:gridCol w:w="511"/>
        <w:gridCol w:w="1509"/>
        <w:gridCol w:w="1868"/>
        <w:gridCol w:w="1560"/>
        <w:gridCol w:w="1132"/>
        <w:gridCol w:w="1337"/>
        <w:gridCol w:w="1200"/>
        <w:gridCol w:w="617"/>
      </w:tblGrid>
      <w:tr>
        <w:tblPrEx>
          <w:shd w:val="clear" w:color="auto" w:fill="auto"/>
          <w:tblCellMar>
            <w:top w:w="0" w:type="dxa"/>
            <w:left w:w="108" w:type="dxa"/>
            <w:bottom w:w="0" w:type="dxa"/>
            <w:right w:w="108" w:type="dxa"/>
          </w:tblCellMar>
        </w:tblPrEx>
        <w:trPr>
          <w:trHeight w:val="420" w:hRule="atLeast"/>
          <w:tblHeader/>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bCs w:val="0"/>
                <w:sz w:val="18"/>
                <w:szCs w:val="18"/>
                <w:lang w:val="en-US" w:eastAsia="zh-CN" w:bidi="ar"/>
              </w:rPr>
            </w:pPr>
            <w:r>
              <w:rPr>
                <w:rFonts w:hint="eastAsia" w:ascii="Arial" w:hAnsi="Arial" w:cs="Arial"/>
                <w:b/>
                <w:bCs w:val="0"/>
                <w:sz w:val="18"/>
                <w:szCs w:val="18"/>
                <w:lang w:val="en-US" w:eastAsia="zh-CN" w:bidi="ar"/>
              </w:rPr>
              <w:t>序号</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bCs w:val="0"/>
                <w:sz w:val="18"/>
                <w:szCs w:val="18"/>
                <w:lang w:val="en-US" w:eastAsia="zh-CN" w:bidi="ar"/>
              </w:rPr>
            </w:pPr>
            <w:r>
              <w:rPr>
                <w:rFonts w:hint="eastAsia" w:ascii="Arial" w:hAnsi="Arial" w:cs="Arial"/>
                <w:b/>
                <w:bCs w:val="0"/>
                <w:sz w:val="18"/>
                <w:szCs w:val="18"/>
                <w:lang w:val="en-US" w:eastAsia="zh-CN" w:bidi="ar"/>
              </w:rPr>
              <w:t>供应商描述</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bCs w:val="0"/>
                <w:sz w:val="18"/>
                <w:szCs w:val="18"/>
                <w:lang w:val="en-US" w:eastAsia="zh-CN" w:bidi="ar"/>
              </w:rPr>
            </w:pPr>
            <w:r>
              <w:rPr>
                <w:rFonts w:hint="eastAsia" w:ascii="Arial" w:hAnsi="Arial" w:cs="Arial"/>
                <w:b/>
                <w:bCs w:val="0"/>
                <w:sz w:val="18"/>
                <w:szCs w:val="18"/>
                <w:lang w:val="en-US" w:eastAsia="zh-CN" w:bidi="ar"/>
              </w:rPr>
              <w:t>合同内容</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bCs w:val="0"/>
                <w:sz w:val="18"/>
                <w:szCs w:val="18"/>
                <w:lang w:val="en-US" w:eastAsia="zh-CN" w:bidi="ar"/>
              </w:rPr>
            </w:pPr>
            <w:r>
              <w:rPr>
                <w:rFonts w:hint="eastAsia" w:ascii="Arial" w:hAnsi="Arial" w:cs="Arial"/>
                <w:b/>
                <w:bCs w:val="0"/>
                <w:sz w:val="18"/>
                <w:szCs w:val="18"/>
                <w:lang w:val="en-US" w:eastAsia="zh-CN" w:bidi="ar"/>
              </w:rPr>
              <w:t>供应链支付金额</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bCs w:val="0"/>
                <w:sz w:val="18"/>
                <w:szCs w:val="18"/>
                <w:lang w:val="en-US" w:eastAsia="zh-CN" w:bidi="ar"/>
              </w:rPr>
            </w:pPr>
            <w:r>
              <w:rPr>
                <w:rFonts w:hint="eastAsia" w:ascii="Arial" w:hAnsi="Arial" w:cs="Arial"/>
                <w:b/>
                <w:bCs w:val="0"/>
                <w:sz w:val="18"/>
                <w:szCs w:val="18"/>
                <w:lang w:val="en-US" w:eastAsia="zh-CN" w:bidi="ar"/>
              </w:rPr>
              <w:t>供应链方式</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bCs w:val="0"/>
                <w:sz w:val="18"/>
                <w:szCs w:val="18"/>
                <w:lang w:val="en-US" w:eastAsia="zh-CN" w:bidi="ar"/>
              </w:rPr>
            </w:pPr>
            <w:r>
              <w:rPr>
                <w:rFonts w:hint="eastAsia" w:ascii="Arial" w:hAnsi="Arial" w:cs="Arial"/>
                <w:b/>
                <w:bCs w:val="0"/>
                <w:sz w:val="18"/>
                <w:szCs w:val="18"/>
                <w:lang w:val="en-US" w:eastAsia="zh-CN" w:bidi="ar"/>
              </w:rPr>
              <w:t>出票日</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bCs w:val="0"/>
                <w:sz w:val="18"/>
                <w:szCs w:val="18"/>
                <w:lang w:val="en-US" w:eastAsia="zh-CN" w:bidi="ar"/>
              </w:rPr>
            </w:pPr>
            <w:r>
              <w:rPr>
                <w:rFonts w:hint="eastAsia" w:ascii="Arial" w:hAnsi="Arial" w:cs="Arial"/>
                <w:b/>
                <w:bCs w:val="0"/>
                <w:sz w:val="18"/>
                <w:szCs w:val="18"/>
                <w:lang w:val="en-US" w:eastAsia="zh-CN" w:bidi="ar"/>
              </w:rPr>
              <w:t>到期日</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
                <w:bCs w:val="0"/>
                <w:sz w:val="18"/>
                <w:szCs w:val="18"/>
                <w:lang w:val="en-US" w:eastAsia="zh-CN" w:bidi="ar"/>
              </w:rPr>
            </w:pPr>
            <w:r>
              <w:rPr>
                <w:rFonts w:hint="eastAsia" w:ascii="Arial" w:hAnsi="Arial" w:cs="Arial"/>
                <w:b/>
                <w:bCs w:val="0"/>
                <w:sz w:val="18"/>
                <w:szCs w:val="18"/>
                <w:lang w:val="en-US" w:eastAsia="zh-CN" w:bidi="ar"/>
              </w:rPr>
              <w:t>备注</w:t>
            </w: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成都市优仕力广告有限公司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宜宾翠屏项目一期围挡工程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138,959.00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商票保贴</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2020-9-7</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2021-3-7</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四川志德岩土工程有限责任公司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宜宾站前广场项目一期地质勘察工程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819,531.80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2020-12-7</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2021-6-7</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5,190,000.00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2020-12-8</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2021-6-8</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500,000.00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500,000.00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500,000.00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7</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500,000.00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500,000.00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9</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500,000.00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10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200,000.00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11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200,000.00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12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200,000.00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13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200,000.00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14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200,000.00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15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200,000.00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16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200,000.00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17</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200,000.00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18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200,000.00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19</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成都建工第八建筑工程有限公司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宜宾翠屏项目一期首开区土建总承包工程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200,000.00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2021-7-12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重庆联盛建设项目管理有限公司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宜宾站前广场项目一期j监理工程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183,878.00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2021-1-27</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2021-7-27</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四川骏业绿建科技有限公司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宜宾翠屏项目一期海绵城市设计咨询合同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60,600.00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2021-8-1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宜宾佳鑫建筑工程有限责任公司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宜宾翠屏项目一期二标段土建总承包工程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500,000.00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2021-2-2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2021-8-2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宜宾佳鑫建筑工程有限责任公司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宜宾翠屏项目一期二标段土建总承包工程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500,000.00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2021-2-2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2021-8-2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宜宾佳鑫建筑工程有限责任公司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宜宾翠屏项目一期二标段土建总承包工程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770,000.00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商票背书后至小贷贴现</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2021-2-2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2021-8-2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北京鱼禾光环境设计有限公司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世茂宜宾售楼处项目泛光设计合同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80,000.00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w:t>
            </w:r>
          </w:p>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持有到期</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2021-2-3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2021-8-3</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上海水石建筑规划设计股份有限公司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世茂宜宾项目建筑方案设计合同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1,014,056.25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w:t>
            </w:r>
          </w:p>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持有到期</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2021-2-5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2021-8-5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27</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上海骏地建筑设计事务所股份有限公司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世茂宜宾项目大区景观设计合同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333,100.00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w:t>
            </w:r>
          </w:p>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持有到期</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2021-2-6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2021-8-6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弗思特建筑科技有限公司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宜宾世茂售楼处外立面工程设计技术咨询服务合同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120,000.00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商票</w:t>
            </w:r>
          </w:p>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持有到期</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2021-2-26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2021-8-26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29</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四川天府辰安建设工程有限公司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宜宾站前广场项目一期基坑支护降水及土石方工程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2,731,086.89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有追保理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2020-9-23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2021-9-23</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四川天府辰安建设工程有限公司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宜宾站前广场项目一期基坑支护降水及土石方工程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1,133,969.00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有追保理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2020-10-21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2021-10-21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四川华西建筑设计院有限公司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世茂宜宾翠屏项目施工图设计服务合同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2,000,000.00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有追保理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2020-10-21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2021-10-21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上海水石建筑规划设计股份有限公司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世茂宜宾项目建筑方案设计合同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1,200,000.00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有追保理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2020-10-21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2021-10-21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四川华西建筑设计院有限公司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世茂宜宾翠屏项目施工图设计服务合同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600,000.00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有追保理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2022-1-13</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四川华西建筑设计院有限公司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世茂宜宾翠屏项目施工图设计服务合同</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120,000.00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有追保理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2022-1-13</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成都传美时代装饰设计有限公司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宜宾翠屏项目售楼部及样板间精装修工程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1,500,000.00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有追保理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2021-2-1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2022-1-15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四川志德岩土工程有限责任公司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宜宾一期二标段桩基工程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1,750,000.00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有追保理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2021-2-9</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2022-2-9</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37</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四川天府辰安建设工程有限公司</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宜宾站前广场项目一期基坑支护降水及土石方工程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515,400.00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有追保理</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2021-2-9</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2022-2-9</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r>
        <w:tblPrEx>
          <w:tblCellMar>
            <w:top w:w="0" w:type="dxa"/>
            <w:left w:w="108" w:type="dxa"/>
            <w:bottom w:w="0" w:type="dxa"/>
            <w:right w:w="108" w:type="dxa"/>
          </w:tblCellMar>
        </w:tblPrEx>
        <w:trPr>
          <w:trHeight w:val="240" w:hRule="atLeast"/>
        </w:trPr>
        <w:tc>
          <w:tcPr>
            <w:tcW w:w="38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合计</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Arial" w:hAnsi="Arial" w:cs="Arial"/>
                <w:bCs/>
                <w:sz w:val="18"/>
                <w:szCs w:val="18"/>
                <w:lang w:val="en-US" w:eastAsia="zh-CN" w:bidi="ar"/>
              </w:rPr>
            </w:pPr>
            <w:r>
              <w:rPr>
                <w:rFonts w:hint="eastAsia" w:ascii="Arial" w:hAnsi="Arial" w:cs="Arial"/>
                <w:bCs/>
                <w:sz w:val="18"/>
                <w:szCs w:val="18"/>
                <w:lang w:val="en-US" w:eastAsia="zh-CN" w:bidi="ar"/>
              </w:rPr>
              <w:t xml:space="preserve">26,260,580.94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cs="Arial"/>
                <w:bCs/>
                <w:sz w:val="18"/>
                <w:szCs w:val="18"/>
                <w:lang w:val="en-US" w:eastAsia="zh-CN" w:bidi="ar"/>
              </w:rPr>
            </w:pPr>
          </w:p>
        </w:tc>
      </w:tr>
    </w:tbl>
    <w:p>
      <w:pPr>
        <w:rPr>
          <w:rFonts w:hint="eastAsia" w:ascii="Arial" w:hAnsi="Arial" w:cs="Arial"/>
          <w:kern w:val="44"/>
          <w:sz w:val="21"/>
          <w:szCs w:val="21"/>
        </w:rPr>
      </w:pPr>
      <w:r>
        <w:rPr>
          <w:rFonts w:hint="eastAsia" w:ascii="Arial" w:hAnsi="Arial" w:cs="Arial"/>
          <w:kern w:val="44"/>
          <w:sz w:val="21"/>
          <w:szCs w:val="21"/>
        </w:rPr>
        <w:br w:type="page"/>
      </w:r>
    </w:p>
    <w:p>
      <w:pPr>
        <w:widowControl w:val="0"/>
        <w:spacing w:line="480" w:lineRule="auto"/>
        <w:rPr>
          <w:rFonts w:ascii="Arial" w:hAnsi="Arial" w:cs="Arial"/>
          <w:kern w:val="44"/>
          <w:sz w:val="21"/>
          <w:szCs w:val="21"/>
        </w:rPr>
      </w:pPr>
      <w:r>
        <w:rPr>
          <w:rFonts w:hint="eastAsia" w:ascii="Arial" w:hAnsi="Arial" w:cs="Arial"/>
          <w:kern w:val="44"/>
          <w:sz w:val="21"/>
          <w:szCs w:val="21"/>
        </w:rPr>
        <w:t>附件</w:t>
      </w:r>
      <w:r>
        <w:rPr>
          <w:rFonts w:hint="eastAsia" w:ascii="Arial" w:hAnsi="Arial" w:cs="Arial"/>
          <w:kern w:val="44"/>
          <w:sz w:val="21"/>
          <w:szCs w:val="21"/>
          <w:lang w:val="en-US" w:eastAsia="zh-CN"/>
        </w:rPr>
        <w:t>六</w:t>
      </w:r>
      <w:r>
        <w:rPr>
          <w:rFonts w:hint="eastAsia" w:ascii="Arial" w:hAnsi="Arial" w:cs="Arial"/>
          <w:kern w:val="44"/>
          <w:sz w:val="21"/>
          <w:szCs w:val="21"/>
        </w:rPr>
        <w:t>：项目形象进度及照片</w:t>
      </w:r>
      <w:bookmarkEnd w:id="105"/>
    </w:p>
    <w:p>
      <w:pPr>
        <w:spacing w:line="480" w:lineRule="auto"/>
        <w:ind w:firstLine="420" w:firstLineChars="200"/>
        <w:rPr>
          <w:rFonts w:hint="eastAsia" w:ascii="Arial" w:hAnsi="Arial" w:cs="Arial"/>
          <w:kern w:val="44"/>
          <w:sz w:val="21"/>
          <w:szCs w:val="21"/>
          <w:highlight w:val="none"/>
        </w:rPr>
      </w:pPr>
      <w:r>
        <w:rPr>
          <w:rFonts w:hint="eastAsia" w:ascii="Arial" w:hAnsi="Arial" w:cs="Arial"/>
          <w:kern w:val="44"/>
          <w:sz w:val="21"/>
          <w:szCs w:val="21"/>
          <w:highlight w:val="none"/>
        </w:rPr>
        <w:t>2021年</w:t>
      </w:r>
      <w:r>
        <w:rPr>
          <w:rFonts w:hint="eastAsia" w:ascii="Arial" w:hAnsi="Arial" w:cs="Arial"/>
          <w:kern w:val="44"/>
          <w:sz w:val="21"/>
          <w:szCs w:val="21"/>
          <w:highlight w:val="none"/>
          <w:lang w:val="en-US" w:eastAsia="zh-CN"/>
        </w:rPr>
        <w:t>5</w:t>
      </w:r>
      <w:r>
        <w:rPr>
          <w:rFonts w:hint="eastAsia" w:ascii="Arial" w:hAnsi="Arial" w:cs="Arial"/>
          <w:kern w:val="44"/>
          <w:sz w:val="21"/>
          <w:szCs w:val="21"/>
          <w:highlight w:val="none"/>
        </w:rPr>
        <w:t>月工程进度：</w:t>
      </w:r>
      <w:r>
        <w:rPr>
          <w:rFonts w:hint="eastAsia" w:ascii="Arial" w:hAnsi="Arial" w:cs="Arial"/>
          <w:kern w:val="44"/>
          <w:sz w:val="21"/>
          <w:szCs w:val="21"/>
          <w:highlight w:val="none"/>
          <w:lang w:eastAsia="zh-CN"/>
        </w:rPr>
        <w:t>云锦一期：1#楼13层结构施工、2#楼13层墙柱结构浇筑、3#楼9层梁板施工、4#楼8层墙柱结构施工、5#楼10层墙柱施工、6#楼6层墙柱结构施工、7#楼1层结构施工、地下室整体底板钢筋施工完成50%，负一层结构施工20%。云锦二期和云锦三期暂无进度。</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4445" t="4445" r="18415" b="19050"/>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pPr>
                              <w:jc w:val="center"/>
                            </w:pPr>
                            <w:r>
                              <w:drawing>
                                <wp:inline distT="0" distB="0" distL="0" distR="0">
                                  <wp:extent cx="2129155" cy="1596390"/>
                                  <wp:effectExtent l="0" t="0" r="4445" b="3810"/>
                                  <wp:docPr id="2" name="图片 2" descr="C:\Users\123\Desktop\一期\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23\Desktop\一期\1.jpg1"/>
                                          <pic:cNvPicPr>
                                            <a:picLocks noChangeAspect="1"/>
                                          </pic:cNvPicPr>
                                        </pic:nvPicPr>
                                        <pic:blipFill>
                                          <a:blip r:embed="rId22"/>
                                          <a:srcRect/>
                                          <a:stretch>
                                            <a:fillRect/>
                                          </a:stretch>
                                        </pic:blipFill>
                                        <pic:spPr>
                                          <a:xfrm>
                                            <a:off x="0" y="0"/>
                                            <a:ext cx="2129155" cy="15963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0HBV/EICAACK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&#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0HBV/EICAACKBAAADgAAAAAAAAABACAAAAAk&#10;AQAAZHJzL2Uyb0RvYy54bWxQSwUGAAAAAAYABgBZAQAA2AUAAAAA&#10;">
                <v:fill on="t" focussize="0,0"/>
                <v:stroke color="#000000" miterlimit="8" joinstyle="miter"/>
                <v:imagedata o:title=""/>
                <o:lock v:ext="edit" aspectratio="f"/>
                <v:textbox>
                  <w:txbxContent>
                    <w:p>
                      <w:pPr>
                        <w:jc w:val="center"/>
                      </w:pPr>
                      <w:r>
                        <w:drawing>
                          <wp:inline distT="0" distB="0" distL="0" distR="0">
                            <wp:extent cx="2129155" cy="1596390"/>
                            <wp:effectExtent l="0" t="0" r="4445" b="3810"/>
                            <wp:docPr id="2" name="图片 2" descr="C:\Users\123\Desktop\一期\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23\Desktop\一期\1.jpg1"/>
                                    <pic:cNvPicPr>
                                      <a:picLocks noChangeAspect="1"/>
                                    </pic:cNvPicPr>
                                  </pic:nvPicPr>
                                  <pic:blipFill>
                                    <a:blip r:embed="rId22"/>
                                    <a:srcRect/>
                                    <a:stretch>
                                      <a:fillRect/>
                                    </a:stretch>
                                  </pic:blipFill>
                                  <pic:spPr>
                                    <a:xfrm>
                                      <a:off x="0" y="0"/>
                                      <a:ext cx="2129155" cy="1596390"/>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4445" t="4445" r="18415" b="19050"/>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15" name="图片 15" descr="C:\Users\123\Desktop\一期\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23\Desktop\一期\2.jpg2"/>
                                          <pic:cNvPicPr>
                                            <a:picLocks noChangeAspect="1"/>
                                          </pic:cNvPicPr>
                                        </pic:nvPicPr>
                                        <pic:blipFill>
                                          <a:blip r:embed="rId23"/>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cpb5PVAAAABQEAAA8AAAAAAAAAAQAgAAAAIgAAAGRy&#10;cy9kb3ducmV2LnhtbFBLAQIUABQAAAAIAIdO4kAGbHzlQQIAAIgEAAAOAAAAAAAAAAEAIAAAACQB&#10;AABkcnMvZTJvRG9jLnhtbFBLBQYAAAAABgAGAFkBAADXBQAAAAA=&#10;">
                <v:fill on="t" focussize="0,0"/>
                <v:stroke color="#000000" miterlimit="8" joinstyle="miter"/>
                <v:imagedata o:title=""/>
                <o:lock v:ext="edit" aspectratio="f"/>
                <v:textbox>
                  <w:txbxContent>
                    <w:p>
                      <w:r>
                        <w:drawing>
                          <wp:inline distT="0" distB="0" distL="0" distR="0">
                            <wp:extent cx="2131060" cy="1598295"/>
                            <wp:effectExtent l="0" t="0" r="2540" b="1905"/>
                            <wp:docPr id="15" name="图片 15" descr="C:\Users\123\Desktop\一期\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23\Desktop\一期\2.jpg2"/>
                                    <pic:cNvPicPr>
                                      <a:picLocks noChangeAspect="1"/>
                                    </pic:cNvPicPr>
                                  </pic:nvPicPr>
                                  <pic:blipFill>
                                    <a:blip r:embed="rId23"/>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hint="eastAsia" w:ascii="Arial" w:hAnsi="Arial" w:cs="Arial"/>
        </w:rPr>
      </w:pPr>
      <w:r>
        <w:rPr>
          <w:rFonts w:ascii="Arial" w:hAnsi="Arial" w:cs="Arial"/>
          <w:sz w:val="21"/>
          <w:szCs w:val="21"/>
        </w:rPr>
        <w:t>1</w:t>
      </w:r>
      <w:r>
        <w:rPr>
          <w:rFonts w:hint="eastAsia" w:ascii="Arial" w:hAnsi="Arial" w:cs="Arial"/>
          <w:sz w:val="21"/>
          <w:szCs w:val="21"/>
        </w:rPr>
        <w:t>.云锦一期1#楼13层结构施工</w:t>
      </w:r>
      <w:r>
        <w:rPr>
          <w:rFonts w:hint="eastAsia" w:ascii="Arial" w:hAnsi="Arial" w:cs="Arial"/>
        </w:rPr>
        <w:t xml:space="preserve"> </w:t>
      </w:r>
      <w:r>
        <w:rPr>
          <w:rFonts w:ascii="Arial" w:hAnsi="Arial" w:cs="Arial"/>
        </w:rPr>
        <w:t xml:space="preserve"> </w:t>
      </w:r>
      <w:r>
        <w:rPr>
          <w:rFonts w:hint="eastAsia" w:ascii="Arial" w:hAnsi="Arial" w:cs="Arial"/>
        </w:rPr>
        <w:t xml:space="preserve">              </w:t>
      </w:r>
      <w:r>
        <w:rPr>
          <w:rFonts w:hint="eastAsia" w:ascii="Arial" w:hAnsi="Arial" w:cs="Arial"/>
          <w:sz w:val="21"/>
          <w:szCs w:val="21"/>
        </w:rPr>
        <w:t xml:space="preserve">2.云锦一期2#楼13层墙柱结构浇筑  </w:t>
      </w:r>
      <w:r>
        <w:rPr>
          <w:rFonts w:hint="eastAsia" w:ascii="Arial" w:hAnsi="Arial" w:cs="Arial"/>
        </w:rPr>
        <w:t xml:space="preserve">                </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4445" t="4445" r="18415" b="19050"/>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29155" cy="1596390"/>
                                  <wp:effectExtent l="0" t="0" r="4445" b="3810"/>
                                  <wp:docPr id="17" name="图片 17" descr="C:\Users\123\Desktop\一期\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Desktop\一期\3.jpg3"/>
                                          <pic:cNvPicPr>
                                            <a:picLocks noChangeAspect="1"/>
                                          </pic:cNvPicPr>
                                        </pic:nvPicPr>
                                        <pic:blipFill>
                                          <a:blip r:embed="rId24"/>
                                          <a:srcRect/>
                                          <a:stretch>
                                            <a:fillRect/>
                                          </a:stretch>
                                        </pic:blipFill>
                                        <pic:spPr>
                                          <a:xfrm>
                                            <a:off x="0" y="0"/>
                                            <a:ext cx="2129155" cy="15963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LGaxIF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29155" cy="1596390"/>
                            <wp:effectExtent l="0" t="0" r="4445" b="3810"/>
                            <wp:docPr id="17" name="图片 17" descr="C:\Users\123\Desktop\一期\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Desktop\一期\3.jpg3"/>
                                    <pic:cNvPicPr>
                                      <a:picLocks noChangeAspect="1"/>
                                    </pic:cNvPicPr>
                                  </pic:nvPicPr>
                                  <pic:blipFill>
                                    <a:blip r:embed="rId24"/>
                                    <a:srcRect/>
                                    <a:stretch>
                                      <a:fillRect/>
                                    </a:stretch>
                                  </pic:blipFill>
                                  <pic:spPr>
                                    <a:xfrm>
                                      <a:off x="0" y="0"/>
                                      <a:ext cx="2129155" cy="1596390"/>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4445" t="4445" r="18415" b="19050"/>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19" name="图片 19" descr="C:\Users\123\Desktop\一期\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23\Desktop\一期\4.jpg4"/>
                                          <pic:cNvPicPr>
                                            <a:picLocks noChangeAspect="1"/>
                                          </pic:cNvPicPr>
                                        </pic:nvPicPr>
                                        <pic:blipFill>
                                          <a:blip r:embed="rId25"/>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AtIG1EICAACK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1060" cy="1598295"/>
                            <wp:effectExtent l="0" t="0" r="2540" b="1905"/>
                            <wp:docPr id="19" name="图片 19" descr="C:\Users\123\Desktop\一期\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23\Desktop\一期\4.jpg4"/>
                                    <pic:cNvPicPr>
                                      <a:picLocks noChangeAspect="1"/>
                                    </pic:cNvPicPr>
                                  </pic:nvPicPr>
                                  <pic:blipFill>
                                    <a:blip r:embed="rId25"/>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hint="eastAsia" w:ascii="Arial" w:hAnsi="Arial" w:cs="Arial"/>
          <w:sz w:val="21"/>
          <w:szCs w:val="21"/>
        </w:rPr>
      </w:pPr>
      <w:r>
        <w:rPr>
          <w:rFonts w:hint="eastAsia" w:ascii="Arial" w:hAnsi="Arial" w:cs="Arial"/>
          <w:sz w:val="21"/>
          <w:szCs w:val="21"/>
          <w:lang w:val="en-US" w:eastAsia="zh-CN"/>
        </w:rPr>
        <w:t>3.</w:t>
      </w:r>
      <w:r>
        <w:rPr>
          <w:rFonts w:hint="eastAsia" w:ascii="Arial" w:hAnsi="Arial" w:cs="Arial"/>
          <w:sz w:val="21"/>
          <w:szCs w:val="21"/>
        </w:rPr>
        <w:t xml:space="preserve">云锦一期3#楼9层梁板施工             </w:t>
      </w:r>
      <w:r>
        <w:rPr>
          <w:rFonts w:hint="eastAsia" w:ascii="Arial" w:hAnsi="Arial" w:cs="Arial"/>
          <w:sz w:val="21"/>
          <w:szCs w:val="21"/>
          <w:lang w:val="en-US" w:eastAsia="zh-CN"/>
        </w:rPr>
        <w:t xml:space="preserve"> </w:t>
      </w:r>
      <w:r>
        <w:rPr>
          <w:rFonts w:hint="eastAsia" w:ascii="Arial" w:hAnsi="Arial" w:cs="Arial"/>
          <w:sz w:val="21"/>
          <w:szCs w:val="21"/>
        </w:rPr>
        <w:t xml:space="preserve"> </w:t>
      </w:r>
      <w:r>
        <w:rPr>
          <w:rFonts w:hint="eastAsia" w:ascii="Arial" w:hAnsi="Arial" w:cs="Arial"/>
          <w:sz w:val="21"/>
          <w:szCs w:val="21"/>
          <w:lang w:val="en-US" w:eastAsia="zh-CN"/>
        </w:rPr>
        <w:t xml:space="preserve">  </w:t>
      </w:r>
      <w:r>
        <w:rPr>
          <w:rFonts w:hint="eastAsia" w:ascii="Arial" w:hAnsi="Arial" w:cs="Arial"/>
          <w:sz w:val="21"/>
          <w:szCs w:val="21"/>
        </w:rPr>
        <w:t xml:space="preserve"> 4.云锦一期4#楼8层墙柱结构施工</w:t>
      </w:r>
    </w:p>
    <w:p>
      <w:pPr>
        <w:pStyle w:val="17"/>
        <w:tabs>
          <w:tab w:val="right" w:pos="7676"/>
        </w:tabs>
        <w:spacing w:line="360" w:lineRule="auto"/>
        <w:ind w:firstLineChars="200"/>
        <w:rPr>
          <w:rFonts w:ascii="Arial" w:hAnsi="Arial" w:cs="Arial"/>
          <w:bCs/>
          <w:szCs w:val="21"/>
        </w:rPr>
      </w:pPr>
      <w:r>
        <w:rPr>
          <w:rFonts w:ascii="Arial" w:hAnsi="Arial" w:cs="Arial"/>
        </w:rPr>
        <mc:AlternateContent>
          <mc:Choice Requires="wps">
            <w:drawing>
              <wp:inline distT="0" distB="0" distL="0" distR="0">
                <wp:extent cx="2324100" cy="1713865"/>
                <wp:effectExtent l="4445" t="4445" r="18415" b="19050"/>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21" name="图片 21" descr="C:\Users\123\Desktop\一期\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123\Desktop\一期\5.jpg5"/>
                                          <pic:cNvPicPr>
                                            <a:picLocks noChangeAspect="1"/>
                                          </pic:cNvPicPr>
                                        </pic:nvPicPr>
                                        <pic:blipFill>
                                          <a:blip r:embed="rId26"/>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NtW8zx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31060" cy="1598295"/>
                            <wp:effectExtent l="0" t="0" r="2540" b="1905"/>
                            <wp:docPr id="21" name="图片 21" descr="C:\Users\123\Desktop\一期\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123\Desktop\一期\5.jpg5"/>
                                    <pic:cNvPicPr>
                                      <a:picLocks noChangeAspect="1"/>
                                    </pic:cNvPicPr>
                                  </pic:nvPicPr>
                                  <pic:blipFill>
                                    <a:blip r:embed="rId26"/>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hint="eastAsia" w:ascii="Arial" w:hAnsi="Arial" w:cs="Arial"/>
          <w:bCs/>
          <w:szCs w:val="21"/>
          <w:lang w:val="en-US" w:eastAsia="zh-CN"/>
        </w:rPr>
        <w:t xml:space="preserve">  </w:t>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4445" t="4445" r="18415" b="19050"/>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23" name="图片 23" descr="C:\Users\123\Desktop\一期\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23\Desktop\一期\6.jpg6"/>
                                          <pic:cNvPicPr>
                                            <a:picLocks noChangeAspect="1"/>
                                          </pic:cNvPicPr>
                                        </pic:nvPicPr>
                                        <pic:blipFill>
                                          <a:blip r:embed="rId27"/>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yyCD70MCAACK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Msgg+9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31060" cy="1598295"/>
                            <wp:effectExtent l="0" t="0" r="2540" b="1905"/>
                            <wp:docPr id="23" name="图片 23" descr="C:\Users\123\Desktop\一期\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23\Desktop\一期\6.jpg6"/>
                                    <pic:cNvPicPr>
                                      <a:picLocks noChangeAspect="1"/>
                                    </pic:cNvPicPr>
                                  </pic:nvPicPr>
                                  <pic:blipFill>
                                    <a:blip r:embed="rId27"/>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p>
    <w:p>
      <w:pPr>
        <w:ind w:firstLine="420" w:firstLineChars="200"/>
        <w:rPr>
          <w:rFonts w:ascii="Arial" w:hAnsi="Arial" w:cs="Arial"/>
          <w:bCs/>
          <w:szCs w:val="21"/>
        </w:rPr>
      </w:pPr>
      <w:r>
        <w:rPr>
          <w:rFonts w:hint="eastAsia" w:ascii="Arial" w:hAnsi="Arial" w:cs="Arial"/>
          <w:sz w:val="21"/>
          <w:szCs w:val="21"/>
        </w:rPr>
        <w:t xml:space="preserve">5.云锦一期5#楼10层墙柱施工 </w:t>
      </w:r>
      <w:r>
        <w:rPr>
          <w:rFonts w:hint="eastAsia" w:ascii="Arial" w:hAnsi="Arial" w:cs="Arial"/>
        </w:rPr>
        <w:t xml:space="preserve"> </w:t>
      </w:r>
      <w:r>
        <w:rPr>
          <w:rFonts w:ascii="Arial" w:hAnsi="Arial" w:cs="Arial"/>
        </w:rPr>
        <w:t xml:space="preserve">            </w:t>
      </w:r>
      <w:r>
        <w:rPr>
          <w:rFonts w:ascii="Arial" w:hAnsi="Arial" w:cs="Arial"/>
          <w:sz w:val="21"/>
          <w:szCs w:val="21"/>
        </w:rPr>
        <w:t xml:space="preserve">  </w:t>
      </w:r>
      <w:r>
        <w:rPr>
          <w:rFonts w:hint="eastAsia" w:ascii="Arial" w:hAnsi="Arial" w:cs="Arial"/>
          <w:sz w:val="21"/>
          <w:szCs w:val="21"/>
        </w:rPr>
        <w:t>6.云锦一期6#楼6层墙柱结构施工</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4445" t="4445" r="18415" b="19050"/>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34" name="图片 34" descr="C:\Users\123\Desktop\一期\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123\Desktop\一期\7.jpg7"/>
                                          <pic:cNvPicPr>
                                            <a:picLocks noChangeAspect="1"/>
                                          </pic:cNvPicPr>
                                        </pic:nvPicPr>
                                        <pic:blipFill>
                                          <a:blip r:embed="rId28"/>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urxiQUMCAACK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Lq8YkF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31060" cy="1598295"/>
                            <wp:effectExtent l="0" t="0" r="2540" b="1905"/>
                            <wp:docPr id="34" name="图片 34" descr="C:\Users\123\Desktop\一期\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123\Desktop\一期\7.jpg7"/>
                                    <pic:cNvPicPr>
                                      <a:picLocks noChangeAspect="1"/>
                                    </pic:cNvPicPr>
                                  </pic:nvPicPr>
                                  <pic:blipFill>
                                    <a:blip r:embed="rId28"/>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4445" t="4445" r="18415" b="19050"/>
                <wp:docPr id="35"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37" name="图片 37" descr="C:\Users\123\Desktop\一期\二.jpg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123\Desktop\一期\二.jpg二"/>
                                          <pic:cNvPicPr>
                                            <a:picLocks noChangeAspect="1"/>
                                          </pic:cNvPicPr>
                                        </pic:nvPicPr>
                                        <pic:blipFill>
                                          <a:blip r:embed="rId29"/>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Lu3aCZ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31060" cy="1598295"/>
                            <wp:effectExtent l="0" t="0" r="2540" b="1905"/>
                            <wp:docPr id="37" name="图片 37" descr="C:\Users\123\Desktop\一期\二.jpg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123\Desktop\一期\二.jpg二"/>
                                    <pic:cNvPicPr>
                                      <a:picLocks noChangeAspect="1"/>
                                    </pic:cNvPicPr>
                                  </pic:nvPicPr>
                                  <pic:blipFill>
                                    <a:blip r:embed="rId29"/>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rPr>
      </w:pPr>
      <w:r>
        <w:rPr>
          <w:rFonts w:hint="eastAsia" w:ascii="Arial" w:hAnsi="Arial" w:cs="Arial"/>
          <w:sz w:val="21"/>
          <w:szCs w:val="21"/>
        </w:rPr>
        <w:t xml:space="preserve">7.云锦一期7#楼1层结构施工 </w:t>
      </w:r>
      <w:r>
        <w:rPr>
          <w:rFonts w:ascii="Arial" w:hAnsi="Arial" w:cs="Arial"/>
          <w:sz w:val="21"/>
          <w:szCs w:val="21"/>
        </w:rPr>
        <w:t xml:space="preserve"> </w:t>
      </w:r>
      <w:r>
        <w:rPr>
          <w:rFonts w:ascii="Arial" w:hAnsi="Arial" w:cs="Arial"/>
        </w:rPr>
        <w:t xml:space="preserve">         </w:t>
      </w:r>
      <w:r>
        <w:rPr>
          <w:rFonts w:hint="eastAsia" w:ascii="Arial" w:hAnsi="Arial" w:cs="Arial"/>
        </w:rPr>
        <w:t xml:space="preserve"> </w:t>
      </w:r>
      <w:r>
        <w:rPr>
          <w:rFonts w:hint="eastAsia" w:ascii="Arial" w:hAnsi="Arial" w:cs="Arial"/>
          <w:lang w:val="en-US" w:eastAsia="zh-CN"/>
        </w:rPr>
        <w:t xml:space="preserve">  </w:t>
      </w:r>
      <w:r>
        <w:rPr>
          <w:rFonts w:hint="eastAsia" w:ascii="Arial" w:hAnsi="Arial" w:cs="Arial"/>
        </w:rPr>
        <w:t xml:space="preserve"> </w:t>
      </w:r>
      <w:r>
        <w:rPr>
          <w:rFonts w:hint="eastAsia" w:ascii="Arial" w:hAnsi="Arial" w:cs="Arial"/>
          <w:lang w:val="en-US" w:eastAsia="zh-CN"/>
        </w:rPr>
        <w:t xml:space="preserve"> </w:t>
      </w:r>
      <w:r>
        <w:rPr>
          <w:rFonts w:hint="eastAsia" w:ascii="Arial" w:hAnsi="Arial" w:cs="Arial"/>
        </w:rPr>
        <w:t xml:space="preserve"> </w:t>
      </w:r>
      <w:r>
        <w:rPr>
          <w:rFonts w:hint="eastAsia" w:ascii="Arial" w:hAnsi="Arial" w:cs="Arial"/>
          <w:sz w:val="21"/>
          <w:szCs w:val="21"/>
        </w:rPr>
        <w:t>8.云锦二期</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4445" t="4445" r="18415" b="19050"/>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39" name="图片 39" descr="C:\Users\123\Desktop\一期\三.jpg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123\Desktop\一期\三.jpg三"/>
                                          <pic:cNvPicPr>
                                            <a:picLocks noChangeAspect="1"/>
                                          </pic:cNvPicPr>
                                        </pic:nvPicPr>
                                        <pic:blipFill>
                                          <a:blip r:embed="rId30"/>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BCyYsl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31060" cy="1598295"/>
                            <wp:effectExtent l="0" t="0" r="2540" b="1905"/>
                            <wp:docPr id="39" name="图片 39" descr="C:\Users\123\Desktop\一期\三.jpg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123\Desktop\一期\三.jpg三"/>
                                    <pic:cNvPicPr>
                                      <a:picLocks noChangeAspect="1"/>
                                    </pic:cNvPicPr>
                                  </pic:nvPicPr>
                                  <pic:blipFill>
                                    <a:blip r:embed="rId30"/>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4445" t="4445" r="18415" b="19050"/>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41" name="图片 41" descr="C:\Users\123\Desktop\一期\微信图片_202105291646463.jpg微信图片_20210529164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123\Desktop\一期\微信图片_202105291646463.jpg微信图片_202105291646463"/>
                                          <pic:cNvPicPr>
                                            <a:picLocks noChangeAspect="1"/>
                                          </pic:cNvPicPr>
                                        </pic:nvPicPr>
                                        <pic:blipFill>
                                          <a:blip r:embed="rId31"/>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&#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7fZfG0ICAACK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1060" cy="1598295"/>
                            <wp:effectExtent l="0" t="0" r="2540" b="1905"/>
                            <wp:docPr id="41" name="图片 41" descr="C:\Users\123\Desktop\一期\微信图片_202105291646463.jpg微信图片_20210529164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123\Desktop\一期\微信图片_202105291646463.jpg微信图片_202105291646463"/>
                                    <pic:cNvPicPr>
                                      <a:picLocks noChangeAspect="1"/>
                                    </pic:cNvPicPr>
                                  </pic:nvPicPr>
                                  <pic:blipFill>
                                    <a:blip r:embed="rId31"/>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rPr>
      </w:pPr>
      <w:r>
        <w:rPr>
          <w:rFonts w:hint="eastAsia" w:ascii="Arial" w:hAnsi="Arial" w:cs="Arial"/>
          <w:sz w:val="21"/>
          <w:szCs w:val="21"/>
        </w:rPr>
        <w:t xml:space="preserve">9.云锦三期     </w:t>
      </w:r>
      <w:r>
        <w:rPr>
          <w:rFonts w:ascii="Arial" w:hAnsi="Arial" w:cs="Arial"/>
        </w:rPr>
        <w:t xml:space="preserve">                       </w:t>
      </w:r>
      <w:r>
        <w:rPr>
          <w:rFonts w:hint="eastAsia" w:ascii="Arial" w:hAnsi="Arial" w:cs="Arial"/>
        </w:rPr>
        <w:t xml:space="preserve">    </w:t>
      </w:r>
      <w:r>
        <w:rPr>
          <w:rFonts w:hint="eastAsia" w:ascii="Arial" w:hAnsi="Arial" w:cs="Arial"/>
          <w:sz w:val="21"/>
          <w:szCs w:val="21"/>
        </w:rPr>
        <w:t>10.售楼部</w:t>
      </w:r>
    </w:p>
    <w:p>
      <w:pPr>
        <w:spacing w:line="360" w:lineRule="auto"/>
        <w:ind w:firstLine="480" w:firstLineChars="200"/>
        <w:jc w:val="both"/>
        <w:rPr>
          <w:rFonts w:ascii="宋体" w:hAnsi="宋体"/>
          <w:sz w:val="21"/>
          <w:szCs w:val="21"/>
        </w:rPr>
      </w:pPr>
      <w:r>
        <w:rPr>
          <w:rFonts w:ascii="Arial" w:hAnsi="Arial" w:cs="Arial"/>
        </w:rPr>
        <mc:AlternateContent>
          <mc:Choice Requires="wps">
            <w:drawing>
              <wp:inline distT="0" distB="0" distL="0" distR="0">
                <wp:extent cx="2324100" cy="1713865"/>
                <wp:effectExtent l="4445" t="4445" r="18415" b="19050"/>
                <wp:docPr id="42"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43" name="图片 43" descr="C:\Users\123\Desktop\一期\微信图片_202105291646462.jpg微信图片_20210529164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123\Desktop\一期\微信图片_202105291646462.jpg微信图片_202105291646462"/>
                                          <pic:cNvPicPr>
                                            <a:picLocks noChangeAspect="1"/>
                                          </pic:cNvPicPr>
                                        </pic:nvPicPr>
                                        <pic:blipFill>
                                          <a:blip r:embed="rId32"/>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YAvyEMCAACK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P2AL8h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31060" cy="1598295"/>
                            <wp:effectExtent l="0" t="0" r="2540" b="1905"/>
                            <wp:docPr id="43" name="图片 43" descr="C:\Users\123\Desktop\一期\微信图片_202105291646462.jpg微信图片_20210529164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123\Desktop\一期\微信图片_202105291646462.jpg微信图片_202105291646462"/>
                                    <pic:cNvPicPr>
                                      <a:picLocks noChangeAspect="1"/>
                                    </pic:cNvPicPr>
                                  </pic:nvPicPr>
                                  <pic:blipFill>
                                    <a:blip r:embed="rId32"/>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p>
    <w:p>
      <w:pPr>
        <w:spacing w:line="360" w:lineRule="auto"/>
        <w:ind w:firstLine="420" w:firstLineChars="200"/>
        <w:jc w:val="both"/>
        <w:rPr>
          <w:rFonts w:ascii="宋体" w:hAnsi="宋体"/>
          <w:sz w:val="21"/>
          <w:szCs w:val="21"/>
        </w:rPr>
      </w:pPr>
      <w:r>
        <w:rPr>
          <w:rFonts w:hint="eastAsia" w:ascii="Arial" w:hAnsi="Arial" w:cs="Arial"/>
          <w:sz w:val="21"/>
          <w:szCs w:val="21"/>
        </w:rPr>
        <w:t xml:space="preserve">11.样板房 </w:t>
      </w:r>
    </w:p>
    <w:p>
      <w:pPr>
        <w:sectPr>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val="0"/>
        <w:spacing w:line="480" w:lineRule="auto"/>
        <w:rPr>
          <w:rFonts w:ascii="Arial" w:hAnsi="Arial" w:cs="Arial"/>
          <w:kern w:val="44"/>
          <w:sz w:val="21"/>
          <w:szCs w:val="21"/>
        </w:rPr>
      </w:pPr>
      <w:r>
        <w:rPr>
          <w:rFonts w:hint="eastAsia" w:ascii="Arial" w:hAnsi="Arial" w:cs="Arial"/>
          <w:kern w:val="44"/>
          <w:sz w:val="21"/>
          <w:szCs w:val="21"/>
        </w:rPr>
        <w:t>附件</w:t>
      </w:r>
      <w:r>
        <w:rPr>
          <w:rFonts w:hint="eastAsia" w:ascii="Arial" w:hAnsi="Arial" w:cs="Arial"/>
          <w:kern w:val="44"/>
          <w:sz w:val="21"/>
          <w:szCs w:val="21"/>
          <w:lang w:val="en-US" w:eastAsia="zh-CN"/>
        </w:rPr>
        <w:t>七</w:t>
      </w:r>
      <w:r>
        <w:rPr>
          <w:rFonts w:hint="eastAsia" w:ascii="Arial" w:hAnsi="Arial" w:cs="Arial"/>
          <w:kern w:val="44"/>
          <w:sz w:val="21"/>
          <w:szCs w:val="21"/>
        </w:rPr>
        <w:t>：信茂涵法人章交接单</w:t>
      </w: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115685" cy="7092950"/>
            <wp:effectExtent l="0" t="0" r="10795" b="8890"/>
            <wp:docPr id="1" name="图片 1" descr="162270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2705633"/>
                    <pic:cNvPicPr>
                      <a:picLocks noChangeAspect="1"/>
                    </pic:cNvPicPr>
                  </pic:nvPicPr>
                  <pic:blipFill>
                    <a:blip r:embed="rId33"/>
                    <a:stretch>
                      <a:fillRect/>
                    </a:stretch>
                  </pic:blipFill>
                  <pic:spPr>
                    <a:xfrm>
                      <a:off x="0" y="0"/>
                      <a:ext cx="6115685" cy="7092950"/>
                    </a:xfrm>
                    <a:prstGeom prst="rect">
                      <a:avLst/>
                    </a:prstGeom>
                  </pic:spPr>
                </pic:pic>
              </a:graphicData>
            </a:graphic>
          </wp:inline>
        </w:drawing>
      </w:r>
    </w:p>
    <w:sectPr>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DC"/>
    <w:rsid w:val="00003367"/>
    <w:rsid w:val="000252A7"/>
    <w:rsid w:val="0003235F"/>
    <w:rsid w:val="00052759"/>
    <w:rsid w:val="00090B71"/>
    <w:rsid w:val="000A629C"/>
    <w:rsid w:val="000C3169"/>
    <w:rsid w:val="00102B4E"/>
    <w:rsid w:val="0011094E"/>
    <w:rsid w:val="00114E49"/>
    <w:rsid w:val="001237D3"/>
    <w:rsid w:val="00152CCA"/>
    <w:rsid w:val="00183D43"/>
    <w:rsid w:val="001C71AD"/>
    <w:rsid w:val="001D1B16"/>
    <w:rsid w:val="001E748E"/>
    <w:rsid w:val="00222026"/>
    <w:rsid w:val="0026001F"/>
    <w:rsid w:val="00282FD2"/>
    <w:rsid w:val="002856DE"/>
    <w:rsid w:val="00291EFD"/>
    <w:rsid w:val="002B7F0C"/>
    <w:rsid w:val="002C403A"/>
    <w:rsid w:val="002F1D7D"/>
    <w:rsid w:val="002F3803"/>
    <w:rsid w:val="00313538"/>
    <w:rsid w:val="00317802"/>
    <w:rsid w:val="003308FF"/>
    <w:rsid w:val="0033333F"/>
    <w:rsid w:val="00334F24"/>
    <w:rsid w:val="00342ED6"/>
    <w:rsid w:val="0035478D"/>
    <w:rsid w:val="00381641"/>
    <w:rsid w:val="00387637"/>
    <w:rsid w:val="00397771"/>
    <w:rsid w:val="003B1A47"/>
    <w:rsid w:val="003B600D"/>
    <w:rsid w:val="003E4059"/>
    <w:rsid w:val="004014B4"/>
    <w:rsid w:val="0041177E"/>
    <w:rsid w:val="00441481"/>
    <w:rsid w:val="0046130C"/>
    <w:rsid w:val="00473296"/>
    <w:rsid w:val="00473ED2"/>
    <w:rsid w:val="00475AD3"/>
    <w:rsid w:val="00476B31"/>
    <w:rsid w:val="00477DA1"/>
    <w:rsid w:val="004853B4"/>
    <w:rsid w:val="004B1192"/>
    <w:rsid w:val="004C5192"/>
    <w:rsid w:val="004E1353"/>
    <w:rsid w:val="00511ADB"/>
    <w:rsid w:val="00522788"/>
    <w:rsid w:val="00543C4D"/>
    <w:rsid w:val="005657BD"/>
    <w:rsid w:val="0056688A"/>
    <w:rsid w:val="005A3B1B"/>
    <w:rsid w:val="005A4DA3"/>
    <w:rsid w:val="005C42DD"/>
    <w:rsid w:val="005E650E"/>
    <w:rsid w:val="00601672"/>
    <w:rsid w:val="00603042"/>
    <w:rsid w:val="00606EA7"/>
    <w:rsid w:val="00607BEB"/>
    <w:rsid w:val="00610720"/>
    <w:rsid w:val="006164B1"/>
    <w:rsid w:val="00616C0A"/>
    <w:rsid w:val="006229BF"/>
    <w:rsid w:val="00637ECB"/>
    <w:rsid w:val="0064598C"/>
    <w:rsid w:val="0065281F"/>
    <w:rsid w:val="00652BC8"/>
    <w:rsid w:val="00660BF5"/>
    <w:rsid w:val="00662F07"/>
    <w:rsid w:val="006704F1"/>
    <w:rsid w:val="00674542"/>
    <w:rsid w:val="006963E3"/>
    <w:rsid w:val="006A2323"/>
    <w:rsid w:val="006C5E9B"/>
    <w:rsid w:val="006C613B"/>
    <w:rsid w:val="00713F47"/>
    <w:rsid w:val="00761FE0"/>
    <w:rsid w:val="00766504"/>
    <w:rsid w:val="00794EC9"/>
    <w:rsid w:val="007C4BA4"/>
    <w:rsid w:val="007F6FBE"/>
    <w:rsid w:val="0080739F"/>
    <w:rsid w:val="008079BC"/>
    <w:rsid w:val="008401A8"/>
    <w:rsid w:val="00844B5B"/>
    <w:rsid w:val="00846A9E"/>
    <w:rsid w:val="00860CC9"/>
    <w:rsid w:val="00864D4E"/>
    <w:rsid w:val="00866C73"/>
    <w:rsid w:val="008672A6"/>
    <w:rsid w:val="0087446D"/>
    <w:rsid w:val="00891370"/>
    <w:rsid w:val="008B3700"/>
    <w:rsid w:val="008B41E2"/>
    <w:rsid w:val="008B6EB0"/>
    <w:rsid w:val="008C70CF"/>
    <w:rsid w:val="008E0555"/>
    <w:rsid w:val="008E0A62"/>
    <w:rsid w:val="008E20FE"/>
    <w:rsid w:val="008E6DB1"/>
    <w:rsid w:val="008F2025"/>
    <w:rsid w:val="00905E63"/>
    <w:rsid w:val="0090612A"/>
    <w:rsid w:val="00907466"/>
    <w:rsid w:val="00914F40"/>
    <w:rsid w:val="00915AED"/>
    <w:rsid w:val="00921108"/>
    <w:rsid w:val="00926D88"/>
    <w:rsid w:val="00947EA5"/>
    <w:rsid w:val="00956A89"/>
    <w:rsid w:val="00990D31"/>
    <w:rsid w:val="00994BB8"/>
    <w:rsid w:val="009B685B"/>
    <w:rsid w:val="009C13D1"/>
    <w:rsid w:val="009D458D"/>
    <w:rsid w:val="009E0FDC"/>
    <w:rsid w:val="009F078E"/>
    <w:rsid w:val="00A054C0"/>
    <w:rsid w:val="00A55650"/>
    <w:rsid w:val="00A6162F"/>
    <w:rsid w:val="00A6705E"/>
    <w:rsid w:val="00A73F59"/>
    <w:rsid w:val="00AB5C68"/>
    <w:rsid w:val="00AD1878"/>
    <w:rsid w:val="00AD6343"/>
    <w:rsid w:val="00AE195E"/>
    <w:rsid w:val="00AE3135"/>
    <w:rsid w:val="00AE646B"/>
    <w:rsid w:val="00AF3DF8"/>
    <w:rsid w:val="00AF4593"/>
    <w:rsid w:val="00AF58A2"/>
    <w:rsid w:val="00B54A71"/>
    <w:rsid w:val="00B6416F"/>
    <w:rsid w:val="00B72278"/>
    <w:rsid w:val="00B74200"/>
    <w:rsid w:val="00BA1137"/>
    <w:rsid w:val="00BA5A03"/>
    <w:rsid w:val="00BA72BE"/>
    <w:rsid w:val="00BC0026"/>
    <w:rsid w:val="00BD0FCB"/>
    <w:rsid w:val="00BE6C21"/>
    <w:rsid w:val="00BF61A2"/>
    <w:rsid w:val="00C10911"/>
    <w:rsid w:val="00C15C6D"/>
    <w:rsid w:val="00C2430B"/>
    <w:rsid w:val="00C305B6"/>
    <w:rsid w:val="00C96D6C"/>
    <w:rsid w:val="00CA242F"/>
    <w:rsid w:val="00CB5CA5"/>
    <w:rsid w:val="00CF3408"/>
    <w:rsid w:val="00D02696"/>
    <w:rsid w:val="00D07237"/>
    <w:rsid w:val="00D25075"/>
    <w:rsid w:val="00D45062"/>
    <w:rsid w:val="00D50902"/>
    <w:rsid w:val="00D63D1F"/>
    <w:rsid w:val="00D65551"/>
    <w:rsid w:val="00D9478F"/>
    <w:rsid w:val="00DB58EE"/>
    <w:rsid w:val="00DC1F2D"/>
    <w:rsid w:val="00DD59F6"/>
    <w:rsid w:val="00DD5DE4"/>
    <w:rsid w:val="00DE3673"/>
    <w:rsid w:val="00DF223A"/>
    <w:rsid w:val="00DF49B8"/>
    <w:rsid w:val="00E01F83"/>
    <w:rsid w:val="00E1167D"/>
    <w:rsid w:val="00E310A3"/>
    <w:rsid w:val="00E34CBC"/>
    <w:rsid w:val="00E371AE"/>
    <w:rsid w:val="00E46E8F"/>
    <w:rsid w:val="00E66DAB"/>
    <w:rsid w:val="00EA385C"/>
    <w:rsid w:val="00EA590D"/>
    <w:rsid w:val="00EC425F"/>
    <w:rsid w:val="00ED660A"/>
    <w:rsid w:val="00EE53AB"/>
    <w:rsid w:val="00EE6FE3"/>
    <w:rsid w:val="00EF4E53"/>
    <w:rsid w:val="00F22F01"/>
    <w:rsid w:val="00F370D6"/>
    <w:rsid w:val="00F725DF"/>
    <w:rsid w:val="00F82E5D"/>
    <w:rsid w:val="00F9148E"/>
    <w:rsid w:val="00F92BCA"/>
    <w:rsid w:val="00FB3090"/>
    <w:rsid w:val="00FC4CF2"/>
    <w:rsid w:val="00FF0CEE"/>
    <w:rsid w:val="01794CBF"/>
    <w:rsid w:val="01CD5EB0"/>
    <w:rsid w:val="02544E31"/>
    <w:rsid w:val="03A43BE7"/>
    <w:rsid w:val="04246904"/>
    <w:rsid w:val="09711A95"/>
    <w:rsid w:val="0AED5468"/>
    <w:rsid w:val="0B817789"/>
    <w:rsid w:val="10F13578"/>
    <w:rsid w:val="1445110B"/>
    <w:rsid w:val="146C2230"/>
    <w:rsid w:val="14937B51"/>
    <w:rsid w:val="15331E2D"/>
    <w:rsid w:val="186D7107"/>
    <w:rsid w:val="186E3846"/>
    <w:rsid w:val="199D0344"/>
    <w:rsid w:val="1A6C1544"/>
    <w:rsid w:val="1C9A4B26"/>
    <w:rsid w:val="1D90567F"/>
    <w:rsid w:val="1D994F77"/>
    <w:rsid w:val="1FA013DB"/>
    <w:rsid w:val="2037110C"/>
    <w:rsid w:val="21106D4B"/>
    <w:rsid w:val="21B31B6F"/>
    <w:rsid w:val="21B47281"/>
    <w:rsid w:val="21FD7568"/>
    <w:rsid w:val="22912F6F"/>
    <w:rsid w:val="24554721"/>
    <w:rsid w:val="26E2151A"/>
    <w:rsid w:val="29330A7B"/>
    <w:rsid w:val="29A57DAA"/>
    <w:rsid w:val="29FD0EA6"/>
    <w:rsid w:val="2A90787B"/>
    <w:rsid w:val="2BE7671B"/>
    <w:rsid w:val="2DD564DE"/>
    <w:rsid w:val="2E395A2C"/>
    <w:rsid w:val="2E657D61"/>
    <w:rsid w:val="2E6F7A18"/>
    <w:rsid w:val="2FEA4E5D"/>
    <w:rsid w:val="2FED4241"/>
    <w:rsid w:val="30D835D7"/>
    <w:rsid w:val="30E5141C"/>
    <w:rsid w:val="31825893"/>
    <w:rsid w:val="32344CB9"/>
    <w:rsid w:val="34853794"/>
    <w:rsid w:val="34E10EC2"/>
    <w:rsid w:val="360B1944"/>
    <w:rsid w:val="373C3228"/>
    <w:rsid w:val="37C05C1A"/>
    <w:rsid w:val="38F974E6"/>
    <w:rsid w:val="39022662"/>
    <w:rsid w:val="3AC30F12"/>
    <w:rsid w:val="3BD96BA6"/>
    <w:rsid w:val="3CAB1D89"/>
    <w:rsid w:val="3DD42A99"/>
    <w:rsid w:val="3E4732C8"/>
    <w:rsid w:val="3ED4635E"/>
    <w:rsid w:val="3F127554"/>
    <w:rsid w:val="406A1E55"/>
    <w:rsid w:val="42B62850"/>
    <w:rsid w:val="430730EC"/>
    <w:rsid w:val="436F3681"/>
    <w:rsid w:val="43F227A4"/>
    <w:rsid w:val="442E0877"/>
    <w:rsid w:val="44443F2C"/>
    <w:rsid w:val="45AB1ED6"/>
    <w:rsid w:val="45E03038"/>
    <w:rsid w:val="49995931"/>
    <w:rsid w:val="49C451DE"/>
    <w:rsid w:val="49DD014A"/>
    <w:rsid w:val="4A8A3C08"/>
    <w:rsid w:val="4AAC1603"/>
    <w:rsid w:val="4AB01D56"/>
    <w:rsid w:val="4BD5469E"/>
    <w:rsid w:val="4CAE76CE"/>
    <w:rsid w:val="4D067E98"/>
    <w:rsid w:val="4DCA631D"/>
    <w:rsid w:val="501D6138"/>
    <w:rsid w:val="51314E0C"/>
    <w:rsid w:val="52155A85"/>
    <w:rsid w:val="52983056"/>
    <w:rsid w:val="52DD7419"/>
    <w:rsid w:val="53413BEB"/>
    <w:rsid w:val="542C6852"/>
    <w:rsid w:val="54955FB0"/>
    <w:rsid w:val="56E734F8"/>
    <w:rsid w:val="578076EA"/>
    <w:rsid w:val="58465B4C"/>
    <w:rsid w:val="596553E0"/>
    <w:rsid w:val="5A462277"/>
    <w:rsid w:val="5AFC1B66"/>
    <w:rsid w:val="5E472CE8"/>
    <w:rsid w:val="5EF46020"/>
    <w:rsid w:val="5FCD4A48"/>
    <w:rsid w:val="605358F1"/>
    <w:rsid w:val="60EE7F22"/>
    <w:rsid w:val="635A4CFE"/>
    <w:rsid w:val="63B94CBF"/>
    <w:rsid w:val="63E90A11"/>
    <w:rsid w:val="63FA13FB"/>
    <w:rsid w:val="641A3EFE"/>
    <w:rsid w:val="65FB69D0"/>
    <w:rsid w:val="660B064A"/>
    <w:rsid w:val="662B478A"/>
    <w:rsid w:val="66452A99"/>
    <w:rsid w:val="681F7DF0"/>
    <w:rsid w:val="6C3400CA"/>
    <w:rsid w:val="6C8A5BAB"/>
    <w:rsid w:val="6CF87B97"/>
    <w:rsid w:val="70630DC2"/>
    <w:rsid w:val="70FB01C7"/>
    <w:rsid w:val="72C26D62"/>
    <w:rsid w:val="72F94B30"/>
    <w:rsid w:val="776E0407"/>
    <w:rsid w:val="784334A1"/>
    <w:rsid w:val="7D8F0E68"/>
    <w:rsid w:val="7F0C4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4"/>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25"/>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26"/>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7">
    <w:name w:val="annotation text"/>
    <w:basedOn w:val="1"/>
    <w:link w:val="27"/>
    <w:unhideWhenUsed/>
    <w:qFormat/>
    <w:uiPriority w:val="0"/>
  </w:style>
  <w:style w:type="paragraph" w:styleId="8">
    <w:name w:val="Body Text"/>
    <w:basedOn w:val="1"/>
    <w:link w:val="88"/>
    <w:semiHidden/>
    <w:unhideWhenUsed/>
    <w:qFormat/>
    <w:uiPriority w:val="99"/>
    <w:pPr>
      <w:spacing w:after="120"/>
    </w:pPr>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28"/>
    <w:unhideWhenUsed/>
    <w:qFormat/>
    <w:uiPriority w:val="99"/>
    <w:pPr>
      <w:widowControl w:val="0"/>
      <w:jc w:val="both"/>
    </w:pPr>
    <w:rPr>
      <w:rFonts w:ascii="宋体" w:hAnsiTheme="minorHAnsi"/>
      <w:sz w:val="18"/>
      <w:szCs w:val="18"/>
    </w:rPr>
  </w:style>
  <w:style w:type="paragraph" w:styleId="11">
    <w:name w:val="footer"/>
    <w:basedOn w:val="1"/>
    <w:link w:val="29"/>
    <w:unhideWhenUsed/>
    <w:qFormat/>
    <w:uiPriority w:val="99"/>
    <w:pPr>
      <w:widowControl w:val="0"/>
      <w:tabs>
        <w:tab w:val="center" w:pos="4153"/>
        <w:tab w:val="right" w:pos="8306"/>
      </w:tabs>
      <w:snapToGrid w:val="0"/>
    </w:pPr>
    <w:rPr>
      <w:rFonts w:ascii="宋体" w:hAnsiTheme="minorHAnsi"/>
      <w:sz w:val="18"/>
      <w:szCs w:val="18"/>
    </w:rPr>
  </w:style>
  <w:style w:type="paragraph" w:styleId="12">
    <w:name w:val="header"/>
    <w:basedOn w:val="1"/>
    <w:link w:val="30"/>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3">
    <w:name w:val="toc 1"/>
    <w:basedOn w:val="1"/>
    <w:next w:val="1"/>
    <w:unhideWhenUsed/>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spacing w:after="100" w:line="276" w:lineRule="auto"/>
      <w:ind w:left="220"/>
    </w:pPr>
    <w:rPr>
      <w:rFonts w:ascii="Calibri" w:hAnsi="Calibri"/>
      <w:sz w:val="22"/>
      <w:szCs w:val="22"/>
    </w:rPr>
  </w:style>
  <w:style w:type="paragraph" w:styleId="15">
    <w:name w:val="Normal (Web)"/>
    <w:basedOn w:val="1"/>
    <w:unhideWhenUsed/>
    <w:qFormat/>
    <w:uiPriority w:val="99"/>
    <w:pPr>
      <w:spacing w:before="100" w:beforeAutospacing="1" w:after="100" w:afterAutospacing="1"/>
    </w:pPr>
    <w:rPr>
      <w:rFonts w:ascii="宋体" w:hAnsi="宋体" w:cs="宋体"/>
    </w:rPr>
  </w:style>
  <w:style w:type="paragraph" w:styleId="16">
    <w:name w:val="annotation subject"/>
    <w:basedOn w:val="7"/>
    <w:next w:val="7"/>
    <w:link w:val="31"/>
    <w:semiHidden/>
    <w:unhideWhenUsed/>
    <w:qFormat/>
    <w:uiPriority w:val="99"/>
    <w:rPr>
      <w:b/>
      <w:bCs/>
    </w:rPr>
  </w:style>
  <w:style w:type="paragraph" w:styleId="17">
    <w:name w:val="Body Text First Indent"/>
    <w:basedOn w:val="8"/>
    <w:link w:val="89"/>
    <w:qFormat/>
    <w:uiPriority w:val="0"/>
    <w:pPr>
      <w:widowControl w:val="0"/>
      <w:ind w:firstLine="420" w:firstLineChars="100"/>
      <w:jc w:val="both"/>
    </w:pPr>
    <w:rPr>
      <w:kern w:val="2"/>
      <w:sz w:val="21"/>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Hyperlink"/>
    <w:unhideWhenUsed/>
    <w:qFormat/>
    <w:uiPriority w:val="99"/>
    <w:rPr>
      <w:color w:val="0000FF"/>
      <w:u w:val="single"/>
    </w:rPr>
  </w:style>
  <w:style w:type="character" w:styleId="23">
    <w:name w:val="annotation reference"/>
    <w:basedOn w:val="20"/>
    <w:unhideWhenUsed/>
    <w:qFormat/>
    <w:uiPriority w:val="0"/>
    <w:rPr>
      <w:sz w:val="21"/>
      <w:szCs w:val="21"/>
    </w:rPr>
  </w:style>
  <w:style w:type="character" w:customStyle="1" w:styleId="24">
    <w:name w:val="标题 1 字符1"/>
    <w:link w:val="3"/>
    <w:qFormat/>
    <w:uiPriority w:val="9"/>
    <w:rPr>
      <w:rFonts w:ascii="Times New Roman" w:hAnsi="Times New Roman" w:eastAsia="仿宋_GB2312"/>
      <w:b/>
      <w:kern w:val="44"/>
      <w:sz w:val="32"/>
      <w:szCs w:val="22"/>
    </w:rPr>
  </w:style>
  <w:style w:type="character" w:customStyle="1" w:styleId="25">
    <w:name w:val="标题 2 字符"/>
    <w:basedOn w:val="20"/>
    <w:link w:val="4"/>
    <w:qFormat/>
    <w:uiPriority w:val="9"/>
    <w:rPr>
      <w:rFonts w:ascii="Arial" w:hAnsi="Arial" w:eastAsia="仿宋_GB2312"/>
      <w:b/>
      <w:kern w:val="2"/>
      <w:sz w:val="30"/>
      <w:szCs w:val="22"/>
    </w:rPr>
  </w:style>
  <w:style w:type="character" w:customStyle="1" w:styleId="26">
    <w:name w:val="标题 3 字符"/>
    <w:basedOn w:val="20"/>
    <w:link w:val="5"/>
    <w:qFormat/>
    <w:uiPriority w:val="9"/>
    <w:rPr>
      <w:rFonts w:ascii="Times New Roman" w:hAnsi="Times New Roman" w:eastAsia="仿宋_GB2312"/>
      <w:b/>
      <w:bCs/>
      <w:kern w:val="2"/>
      <w:sz w:val="28"/>
      <w:szCs w:val="32"/>
    </w:rPr>
  </w:style>
  <w:style w:type="character" w:customStyle="1" w:styleId="27">
    <w:name w:val="批注文字 字符"/>
    <w:basedOn w:val="20"/>
    <w:link w:val="7"/>
    <w:qFormat/>
    <w:uiPriority w:val="0"/>
    <w:rPr>
      <w:rFonts w:ascii="Times New Roman" w:hAnsi="Times New Roman"/>
      <w:szCs w:val="24"/>
    </w:rPr>
  </w:style>
  <w:style w:type="character" w:customStyle="1" w:styleId="28">
    <w:name w:val="批注框文本 字符"/>
    <w:basedOn w:val="20"/>
    <w:link w:val="10"/>
    <w:semiHidden/>
    <w:qFormat/>
    <w:uiPriority w:val="99"/>
    <w:rPr>
      <w:sz w:val="18"/>
      <w:szCs w:val="18"/>
    </w:rPr>
  </w:style>
  <w:style w:type="character" w:customStyle="1" w:styleId="29">
    <w:name w:val="页脚 字符"/>
    <w:basedOn w:val="20"/>
    <w:link w:val="11"/>
    <w:qFormat/>
    <w:uiPriority w:val="99"/>
    <w:rPr>
      <w:sz w:val="18"/>
      <w:szCs w:val="18"/>
    </w:rPr>
  </w:style>
  <w:style w:type="character" w:customStyle="1" w:styleId="30">
    <w:name w:val="页眉 字符"/>
    <w:basedOn w:val="20"/>
    <w:link w:val="12"/>
    <w:qFormat/>
    <w:uiPriority w:val="99"/>
    <w:rPr>
      <w:sz w:val="18"/>
      <w:szCs w:val="18"/>
    </w:rPr>
  </w:style>
  <w:style w:type="character" w:customStyle="1" w:styleId="31">
    <w:name w:val="批注主题 字符"/>
    <w:basedOn w:val="27"/>
    <w:link w:val="16"/>
    <w:semiHidden/>
    <w:qFormat/>
    <w:uiPriority w:val="99"/>
    <w:rPr>
      <w:rFonts w:ascii="Times New Roman" w:hAnsi="Times New Roman"/>
      <w:b/>
      <w:bCs/>
      <w:szCs w:val="24"/>
    </w:rPr>
  </w:style>
  <w:style w:type="paragraph" w:styleId="32">
    <w:name w:val="List Paragraph"/>
    <w:basedOn w:val="1"/>
    <w:qFormat/>
    <w:uiPriority w:val="34"/>
    <w:pPr>
      <w:ind w:firstLine="420" w:firstLineChars="200"/>
    </w:pPr>
  </w:style>
  <w:style w:type="character" w:customStyle="1" w:styleId="33">
    <w:name w:val="标题 1 字符"/>
    <w:basedOn w:val="20"/>
    <w:qFormat/>
    <w:uiPriority w:val="9"/>
    <w:rPr>
      <w:rFonts w:ascii="Times New Roman" w:hAnsi="Times New Roman"/>
      <w:b/>
      <w:bCs/>
      <w:kern w:val="44"/>
      <w:sz w:val="44"/>
      <w:szCs w:val="44"/>
    </w:rPr>
  </w:style>
  <w:style w:type="character" w:customStyle="1" w:styleId="34">
    <w:name w:val="font21"/>
    <w:qFormat/>
    <w:uiPriority w:val="0"/>
    <w:rPr>
      <w:rFonts w:hint="eastAsia" w:ascii="仿宋" w:hAnsi="仿宋" w:eastAsia="仿宋" w:cs="仿宋"/>
      <w:color w:val="000000"/>
      <w:sz w:val="30"/>
      <w:szCs w:val="30"/>
      <w:u w:val="none"/>
    </w:rPr>
  </w:style>
  <w:style w:type="character" w:customStyle="1" w:styleId="35">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6">
    <w:name w:val="font71"/>
    <w:qFormat/>
    <w:uiPriority w:val="0"/>
    <w:rPr>
      <w:rFonts w:hint="eastAsia" w:ascii="仿宋" w:hAnsi="仿宋" w:eastAsia="仿宋" w:cs="仿宋"/>
      <w:b/>
      <w:color w:val="000000"/>
      <w:sz w:val="12"/>
      <w:szCs w:val="12"/>
      <w:u w:val="none"/>
    </w:rPr>
  </w:style>
  <w:style w:type="character" w:customStyle="1" w:styleId="37">
    <w:name w:val="font61"/>
    <w:qFormat/>
    <w:uiPriority w:val="0"/>
    <w:rPr>
      <w:rFonts w:hint="eastAsia" w:ascii="仿宋" w:hAnsi="仿宋" w:eastAsia="仿宋" w:cs="仿宋"/>
      <w:color w:val="000000"/>
      <w:sz w:val="21"/>
      <w:szCs w:val="21"/>
      <w:u w:val="none"/>
    </w:rPr>
  </w:style>
  <w:style w:type="character" w:customStyle="1" w:styleId="38">
    <w:name w:val="font01"/>
    <w:qFormat/>
    <w:uiPriority w:val="0"/>
    <w:rPr>
      <w:rFonts w:hint="eastAsia" w:ascii="仿宋" w:hAnsi="仿宋" w:eastAsia="仿宋" w:cs="仿宋"/>
      <w:b/>
      <w:color w:val="000000"/>
      <w:sz w:val="12"/>
      <w:szCs w:val="12"/>
      <w:u w:val="none"/>
    </w:rPr>
  </w:style>
  <w:style w:type="character" w:customStyle="1" w:styleId="39">
    <w:name w:val="font31"/>
    <w:qFormat/>
    <w:uiPriority w:val="0"/>
    <w:rPr>
      <w:rFonts w:hint="eastAsia" w:ascii="微软雅黑" w:hAnsi="微软雅黑" w:eastAsia="微软雅黑" w:cs="微软雅黑"/>
      <w:color w:val="000000"/>
      <w:sz w:val="20"/>
      <w:szCs w:val="20"/>
      <w:u w:val="none"/>
    </w:rPr>
  </w:style>
  <w:style w:type="character" w:customStyle="1" w:styleId="40">
    <w:name w:val="font41"/>
    <w:qFormat/>
    <w:uiPriority w:val="0"/>
    <w:rPr>
      <w:rFonts w:hint="eastAsia" w:ascii="仿宋" w:hAnsi="仿宋" w:eastAsia="仿宋" w:cs="仿宋"/>
      <w:color w:val="000000"/>
      <w:sz w:val="32"/>
      <w:szCs w:val="32"/>
      <w:u w:val="none"/>
    </w:rPr>
  </w:style>
  <w:style w:type="character" w:customStyle="1" w:styleId="41">
    <w:name w:val="font91"/>
    <w:qFormat/>
    <w:uiPriority w:val="0"/>
    <w:rPr>
      <w:rFonts w:hint="eastAsia" w:ascii="仿宋" w:hAnsi="仿宋" w:eastAsia="仿宋" w:cs="仿宋"/>
      <w:b/>
      <w:color w:val="000000"/>
      <w:sz w:val="12"/>
      <w:szCs w:val="12"/>
      <w:u w:val="none"/>
    </w:rPr>
  </w:style>
  <w:style w:type="character" w:customStyle="1" w:styleId="42">
    <w:name w:val="font51"/>
    <w:qFormat/>
    <w:uiPriority w:val="0"/>
    <w:rPr>
      <w:rFonts w:hint="eastAsia" w:ascii="仿宋" w:hAnsi="仿宋" w:eastAsia="仿宋" w:cs="仿宋"/>
      <w:color w:val="000000"/>
      <w:sz w:val="32"/>
      <w:szCs w:val="32"/>
      <w:u w:val="none"/>
    </w:rPr>
  </w:style>
  <w:style w:type="character" w:customStyle="1" w:styleId="43">
    <w:name w:val="font101"/>
    <w:qFormat/>
    <w:uiPriority w:val="0"/>
    <w:rPr>
      <w:rFonts w:hint="eastAsia" w:ascii="仿宋" w:hAnsi="仿宋" w:eastAsia="仿宋" w:cs="仿宋"/>
      <w:b/>
      <w:color w:val="000000"/>
      <w:sz w:val="12"/>
      <w:szCs w:val="12"/>
      <w:u w:val="none"/>
    </w:rPr>
  </w:style>
  <w:style w:type="paragraph" w:customStyle="1" w:styleId="44">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5">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6">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7">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8">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9">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0">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1">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2">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3">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4">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5">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8">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9">
    <w:name w:val="font5"/>
    <w:basedOn w:val="1"/>
    <w:qFormat/>
    <w:uiPriority w:val="0"/>
    <w:pPr>
      <w:spacing w:before="100" w:beforeAutospacing="1" w:after="100" w:afterAutospacing="1"/>
    </w:pPr>
    <w:rPr>
      <w:rFonts w:ascii="宋体" w:hAnsi="宋体" w:cs="宋体"/>
      <w:sz w:val="18"/>
      <w:szCs w:val="18"/>
    </w:rPr>
  </w:style>
  <w:style w:type="paragraph" w:customStyle="1" w:styleId="60">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1">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2">
    <w:name w:val="font8"/>
    <w:basedOn w:val="1"/>
    <w:qFormat/>
    <w:uiPriority w:val="0"/>
    <w:pPr>
      <w:spacing w:before="100" w:beforeAutospacing="1" w:after="100" w:afterAutospacing="1"/>
    </w:pPr>
    <w:rPr>
      <w:rFonts w:ascii="宋体" w:hAnsi="宋体" w:cs="宋体"/>
      <w:sz w:val="18"/>
      <w:szCs w:val="18"/>
    </w:rPr>
  </w:style>
  <w:style w:type="paragraph" w:customStyle="1" w:styleId="63">
    <w:name w:val="font7"/>
    <w:basedOn w:val="1"/>
    <w:qFormat/>
    <w:uiPriority w:val="0"/>
    <w:pPr>
      <w:spacing w:before="100" w:beforeAutospacing="1" w:after="100" w:afterAutospacing="1"/>
    </w:pPr>
    <w:rPr>
      <w:rFonts w:ascii="宋体" w:hAnsi="宋体" w:cs="宋体"/>
      <w:sz w:val="20"/>
      <w:szCs w:val="20"/>
    </w:rPr>
  </w:style>
  <w:style w:type="paragraph" w:customStyle="1" w:styleId="64">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5">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6">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7">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8">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9">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0">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1">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2">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3">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4">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6">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7">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8">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9">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0">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1">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2">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3">
    <w:name w:val="标题 1 Char"/>
    <w:qFormat/>
    <w:uiPriority w:val="9"/>
    <w:rPr>
      <w:rFonts w:eastAsia="仿宋_GB2312"/>
      <w:b/>
      <w:kern w:val="44"/>
      <w:sz w:val="32"/>
      <w:szCs w:val="22"/>
    </w:rPr>
  </w:style>
  <w:style w:type="character" w:customStyle="1" w:styleId="84">
    <w:name w:val="页脚 Char"/>
    <w:qFormat/>
    <w:uiPriority w:val="99"/>
    <w:rPr>
      <w:sz w:val="18"/>
      <w:szCs w:val="18"/>
    </w:rPr>
  </w:style>
  <w:style w:type="character" w:customStyle="1" w:styleId="85">
    <w:name w:val="批注框文本 Char"/>
    <w:qFormat/>
    <w:uiPriority w:val="99"/>
    <w:rPr>
      <w:sz w:val="18"/>
      <w:szCs w:val="18"/>
    </w:rPr>
  </w:style>
  <w:style w:type="character" w:customStyle="1" w:styleId="86">
    <w:name w:val="页眉 Char"/>
    <w:qFormat/>
    <w:uiPriority w:val="99"/>
    <w:rPr>
      <w:sz w:val="18"/>
      <w:szCs w:val="18"/>
    </w:rPr>
  </w:style>
  <w:style w:type="paragraph" w:customStyle="1" w:styleId="87">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8">
    <w:name w:val="正文文本 字符"/>
    <w:basedOn w:val="20"/>
    <w:link w:val="8"/>
    <w:semiHidden/>
    <w:qFormat/>
    <w:uiPriority w:val="99"/>
    <w:rPr>
      <w:rFonts w:ascii="Times New Roman" w:hAnsi="Times New Roman"/>
      <w:sz w:val="24"/>
      <w:szCs w:val="24"/>
    </w:rPr>
  </w:style>
  <w:style w:type="character" w:customStyle="1" w:styleId="89">
    <w:name w:val="正文文本首行缩进 字符"/>
    <w:basedOn w:val="88"/>
    <w:link w:val="17"/>
    <w:qFormat/>
    <w:uiPriority w:val="0"/>
    <w:rPr>
      <w:rFonts w:ascii="Times New Roman" w:hAnsi="Times New Roman"/>
      <w:kern w:val="2"/>
      <w:sz w:val="21"/>
      <w:szCs w:val="24"/>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table" w:customStyle="1" w:styleId="91">
    <w:name w:val="网格型1"/>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FC7273-8EBA-42D1-AC3B-D00A5D4A4939}">
  <ds:schemaRefs/>
</ds:datastoreItem>
</file>

<file path=docProps/app.xml><?xml version="1.0" encoding="utf-8"?>
<Properties xmlns="http://schemas.openxmlformats.org/officeDocument/2006/extended-properties" xmlns:vt="http://schemas.openxmlformats.org/officeDocument/2006/docPropsVTypes">
  <Template>Normal</Template>
  <Pages>71</Pages>
  <Words>8058</Words>
  <Characters>45936</Characters>
  <Lines>382</Lines>
  <Paragraphs>107</Paragraphs>
  <TotalTime>6</TotalTime>
  <ScaleCrop>false</ScaleCrop>
  <LinksUpToDate>false</LinksUpToDate>
  <CharactersWithSpaces>53887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2021-04-11T13:23:00Z</dcterms:created>
  <dc:creator>zhsh</dc:creator>
  <cp:lastModifiedBy>郭胜霖</cp:lastModifiedBy>
  <dcterms:modified xsi:type="dcterms:W3CDTF">2021-06-09T02:12:04Z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696CDF6A8DEC4385A8C0B81314C5AD4C</vt:lpwstr>
  </property>
</Properties>
</file>