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中航信托•天垣3号恒大嘉兴海盐项目</w:t>
      </w:r>
    </w:p>
    <w:p>
      <w:pPr>
        <w:spacing w:line="480" w:lineRule="auto"/>
        <w:jc w:val="center"/>
        <w:rPr>
          <w:rFonts w:ascii="Arial" w:hAnsi="Arial" w:cs="Arial"/>
          <w:b/>
          <w:sz w:val="36"/>
        </w:rPr>
      </w:pPr>
      <w:r>
        <w:rPr>
          <w:rFonts w:ascii="Arial" w:hAnsi="Arial" w:cs="Arial"/>
          <w:b/>
          <w:sz w:val="36"/>
        </w:rPr>
        <w:t>投资集合资金信托计划</w:t>
      </w:r>
    </w:p>
    <w:p>
      <w:pPr>
        <w:spacing w:line="480" w:lineRule="auto"/>
        <w:jc w:val="center"/>
        <w:rPr>
          <w:rFonts w:ascii="Arial" w:hAnsi="Arial" w:cs="Arial"/>
          <w:b/>
          <w:sz w:val="36"/>
        </w:rPr>
      </w:pPr>
      <w:r>
        <w:rPr>
          <w:rFonts w:ascii="Arial" w:hAnsi="Arial" w:cs="Arial"/>
          <w:b/>
          <w:sz w:val="36"/>
        </w:rPr>
        <w:t>202</w:t>
      </w:r>
      <w:r>
        <w:rPr>
          <w:rFonts w:hint="eastAsia" w:ascii="Arial" w:hAnsi="Arial" w:cs="Arial"/>
          <w:b/>
          <w:sz w:val="36"/>
          <w:lang w:val="en-US" w:eastAsia="zh-CN"/>
        </w:rPr>
        <w:t>1</w:t>
      </w:r>
      <w:r>
        <w:rPr>
          <w:rFonts w:ascii="Arial" w:hAnsi="Arial" w:cs="Arial"/>
          <w:b/>
          <w:sz w:val="36"/>
        </w:rPr>
        <w:t>年</w:t>
      </w:r>
      <w:r>
        <w:rPr>
          <w:rFonts w:hint="eastAsia" w:ascii="Arial" w:hAnsi="Arial" w:cs="Arial"/>
          <w:b/>
          <w:sz w:val="36"/>
          <w:lang w:val="en-US" w:eastAsia="zh-CN"/>
        </w:rPr>
        <w:t>1</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项目名称：中航信托•天垣3号恒大嘉兴海盐项目投资集合资金信托计划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委托方：青岛航明投资合伙企业（有限合伙）</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监管人员：张智辉日期：202</w:t>
      </w:r>
      <w:r>
        <w:rPr>
          <w:rFonts w:hint="eastAsia" w:ascii="Arial" w:hAnsi="Arial" w:cs="Arial"/>
          <w:b/>
          <w:color w:val="000000"/>
          <w:szCs w:val="28"/>
          <w:lang w:val="en-US" w:eastAsia="zh-CN"/>
        </w:rPr>
        <w:t>1</w:t>
      </w:r>
      <w:r>
        <w:rPr>
          <w:rFonts w:ascii="Arial" w:hAnsi="Arial" w:cs="Arial"/>
          <w:b/>
          <w:color w:val="000000"/>
          <w:szCs w:val="28"/>
        </w:rPr>
        <w:t>年</w:t>
      </w:r>
      <w:r>
        <w:rPr>
          <w:rFonts w:hint="eastAsia" w:ascii="Arial" w:hAnsi="Arial" w:cs="Arial"/>
          <w:b/>
          <w:color w:val="000000"/>
          <w:szCs w:val="28"/>
          <w:lang w:val="en-US" w:eastAsia="zh-CN"/>
        </w:rPr>
        <w:t>2</w:t>
      </w:r>
      <w:r>
        <w:rPr>
          <w:rFonts w:ascii="Arial" w:hAnsi="Arial" w:cs="Arial"/>
          <w:b/>
          <w:color w:val="000000"/>
          <w:szCs w:val="28"/>
        </w:rPr>
        <w:t>月</w:t>
      </w:r>
      <w:r>
        <w:rPr>
          <w:rFonts w:hint="eastAsia" w:ascii="Arial" w:hAnsi="Arial" w:cs="Arial"/>
          <w:b/>
          <w:color w:val="000000"/>
          <w:szCs w:val="28"/>
          <w:lang w:val="en-US" w:eastAsia="zh-CN"/>
        </w:rPr>
        <w:t>6</w:t>
      </w:r>
      <w:r>
        <w:rPr>
          <w:rFonts w:ascii="Arial" w:hAnsi="Arial" w:cs="Arial"/>
          <w:b/>
          <w:color w:val="000000"/>
          <w:szCs w:val="28"/>
        </w:rPr>
        <w:t>日</w:t>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sz w:val="22"/>
          <w:szCs w:val="22"/>
        </w:rPr>
        <w:fldChar w:fldCharType="begin"/>
      </w:r>
      <w:r>
        <w:rPr>
          <w:rStyle w:val="25"/>
          <w:rFonts w:hint="default" w:ascii="Arial" w:hAnsi="Arial" w:eastAsia="宋体" w:cs="Arial"/>
          <w:sz w:val="22"/>
          <w:szCs w:val="22"/>
        </w:rPr>
        <w:instrText xml:space="preserve"> TOC \o "1-3" \h \z \u </w:instrText>
      </w:r>
      <w:r>
        <w:rPr>
          <w:rFonts w:hint="default" w:ascii="Arial" w:hAnsi="Arial" w:eastAsia="宋体" w:cs="Arial"/>
          <w:sz w:val="22"/>
          <w:szCs w:val="22"/>
        </w:rPr>
        <w:fldChar w:fldCharType="separate"/>
      </w:r>
      <w:r>
        <w:rPr>
          <w:rFonts w:hint="default" w:ascii="Arial" w:hAnsi="Arial" w:eastAsia="宋体" w:cs="Arial"/>
          <w:szCs w:val="22"/>
        </w:rPr>
        <w:fldChar w:fldCharType="begin"/>
      </w:r>
      <w:r>
        <w:rPr>
          <w:rFonts w:hint="default" w:ascii="Arial" w:hAnsi="Arial" w:eastAsia="宋体" w:cs="Arial"/>
          <w:szCs w:val="22"/>
        </w:rPr>
        <w:instrText xml:space="preserve"> HYPERLINK \l _Toc12963 </w:instrText>
      </w:r>
      <w:r>
        <w:rPr>
          <w:rFonts w:hint="default" w:ascii="Arial" w:hAnsi="Arial" w:eastAsia="宋体" w:cs="Arial"/>
          <w:szCs w:val="22"/>
        </w:rPr>
        <w:fldChar w:fldCharType="separate"/>
      </w:r>
      <w:r>
        <w:rPr>
          <w:rFonts w:hint="default" w:ascii="Arial" w:hAnsi="Arial" w:eastAsia="宋体" w:cs="Arial"/>
          <w:szCs w:val="24"/>
        </w:rPr>
        <w:t>1项目基本情况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_Toc12963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_Toc8240 </w:instrText>
      </w:r>
      <w:r>
        <w:rPr>
          <w:rFonts w:hint="default" w:ascii="Arial" w:hAnsi="Arial" w:eastAsia="宋体" w:cs="Arial"/>
          <w:szCs w:val="22"/>
        </w:rPr>
        <w:fldChar w:fldCharType="separate"/>
      </w:r>
      <w:r>
        <w:rPr>
          <w:rFonts w:hint="default" w:ascii="Arial" w:hAnsi="Arial" w:eastAsia="宋体" w:cs="Arial"/>
          <w:szCs w:val="24"/>
        </w:rPr>
        <w:t>1.1项目公司基本情况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_Toc8240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_Toc25512 </w:instrText>
      </w:r>
      <w:r>
        <w:rPr>
          <w:rFonts w:hint="default" w:ascii="Arial" w:hAnsi="Arial" w:eastAsia="宋体" w:cs="Arial"/>
          <w:szCs w:val="22"/>
        </w:rPr>
        <w:fldChar w:fldCharType="separate"/>
      </w:r>
      <w:r>
        <w:rPr>
          <w:rFonts w:hint="default" w:ascii="Arial" w:hAnsi="Arial" w:eastAsia="宋体" w:cs="Arial"/>
          <w:szCs w:val="24"/>
        </w:rPr>
        <w:t>1.2项目概况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_Toc25512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_Toc10514 </w:instrText>
      </w:r>
      <w:r>
        <w:rPr>
          <w:rFonts w:hint="default" w:ascii="Arial" w:hAnsi="Arial" w:eastAsia="宋体" w:cs="Arial"/>
          <w:szCs w:val="22"/>
        </w:rPr>
        <w:fldChar w:fldCharType="separate"/>
      </w:r>
      <w:r>
        <w:rPr>
          <w:rFonts w:hint="default" w:ascii="Arial" w:hAnsi="Arial" w:eastAsia="宋体" w:cs="Arial"/>
          <w:szCs w:val="24"/>
        </w:rPr>
        <w:t>2重大事件披露</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_Toc10514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_Toc19663 </w:instrText>
      </w:r>
      <w:r>
        <w:rPr>
          <w:rFonts w:hint="default" w:ascii="Arial" w:hAnsi="Arial" w:eastAsia="宋体" w:cs="Arial"/>
          <w:szCs w:val="22"/>
        </w:rPr>
        <w:fldChar w:fldCharType="separate"/>
      </w:r>
      <w:r>
        <w:rPr>
          <w:rFonts w:hint="default" w:ascii="Arial" w:hAnsi="Arial" w:eastAsia="宋体" w:cs="Arial"/>
          <w:szCs w:val="24"/>
        </w:rPr>
        <w:t>3项目五证办理及施工进度情况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_Toc19663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_Toc23386 </w:instrText>
      </w:r>
      <w:r>
        <w:rPr>
          <w:rFonts w:hint="default" w:ascii="Arial" w:hAnsi="Arial" w:eastAsia="宋体" w:cs="Arial"/>
          <w:szCs w:val="22"/>
        </w:rPr>
        <w:fldChar w:fldCharType="separate"/>
      </w:r>
      <w:r>
        <w:rPr>
          <w:rFonts w:hint="default" w:ascii="Arial" w:hAnsi="Arial" w:eastAsia="宋体" w:cs="Arial"/>
        </w:rPr>
        <w:t>3.1项目五证办理情况说明</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_Toc23386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_Toc352 </w:instrText>
      </w:r>
      <w:r>
        <w:rPr>
          <w:rFonts w:hint="default" w:ascii="Arial" w:hAnsi="Arial" w:eastAsia="宋体" w:cs="Arial"/>
          <w:szCs w:val="22"/>
        </w:rPr>
        <w:fldChar w:fldCharType="separate"/>
      </w:r>
      <w:r>
        <w:rPr>
          <w:rFonts w:hint="default" w:ascii="Arial" w:hAnsi="Arial" w:eastAsia="宋体" w:cs="Arial"/>
        </w:rPr>
        <w:t>3.2项目施工情况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_Toc352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_Toc7563 </w:instrText>
      </w:r>
      <w:r>
        <w:rPr>
          <w:rFonts w:hint="default" w:ascii="Arial" w:hAnsi="Arial" w:eastAsia="宋体" w:cs="Arial"/>
          <w:szCs w:val="22"/>
        </w:rPr>
        <w:fldChar w:fldCharType="separate"/>
      </w:r>
      <w:r>
        <w:rPr>
          <w:rFonts w:hint="default" w:ascii="Arial" w:hAnsi="Arial" w:eastAsia="宋体" w:cs="Arial"/>
        </w:rPr>
        <w:t>3.2.1项目202</w:t>
      </w:r>
      <w:r>
        <w:rPr>
          <w:rFonts w:hint="default" w:ascii="Arial" w:hAnsi="Arial" w:eastAsia="宋体" w:cs="Arial"/>
          <w:lang w:val="en-US" w:eastAsia="zh-CN"/>
        </w:rPr>
        <w:t>1</w:t>
      </w:r>
      <w:r>
        <w:rPr>
          <w:rFonts w:hint="default" w:ascii="Arial" w:hAnsi="Arial" w:eastAsia="宋体" w:cs="Arial"/>
        </w:rPr>
        <w:t>年</w:t>
      </w:r>
      <w:r>
        <w:rPr>
          <w:rFonts w:hint="default" w:ascii="Arial" w:hAnsi="Arial" w:eastAsia="宋体" w:cs="Arial"/>
          <w:lang w:val="en-US" w:eastAsia="zh-CN"/>
        </w:rPr>
        <w:t>1</w:t>
      </w:r>
      <w:r>
        <w:rPr>
          <w:rFonts w:hint="default" w:ascii="Arial" w:hAnsi="Arial" w:eastAsia="宋体" w:cs="Arial"/>
        </w:rPr>
        <w:t>月施工进度情况及</w:t>
      </w:r>
      <w:r>
        <w:rPr>
          <w:rFonts w:hint="default" w:ascii="Arial" w:hAnsi="Arial" w:eastAsia="宋体" w:cs="Arial"/>
          <w:lang w:val="en-US" w:eastAsia="zh-CN"/>
        </w:rPr>
        <w:t>2021年2</w:t>
      </w:r>
      <w:r>
        <w:rPr>
          <w:rFonts w:hint="default" w:ascii="Arial" w:hAnsi="Arial" w:eastAsia="宋体" w:cs="Arial"/>
        </w:rPr>
        <w:t>月施工计划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_Toc7563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_Toc21705 </w:instrText>
      </w:r>
      <w:r>
        <w:rPr>
          <w:rFonts w:hint="default" w:ascii="Arial" w:hAnsi="Arial" w:eastAsia="宋体" w:cs="Arial"/>
          <w:szCs w:val="22"/>
        </w:rPr>
        <w:fldChar w:fldCharType="separate"/>
      </w:r>
      <w:r>
        <w:rPr>
          <w:rFonts w:hint="default" w:ascii="Arial" w:hAnsi="Arial" w:eastAsia="宋体" w:cs="Arial"/>
        </w:rPr>
        <w:t>3.2.2项目施工进度分析</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_Toc21705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_Toc10369 </w:instrText>
      </w:r>
      <w:r>
        <w:rPr>
          <w:rFonts w:hint="default" w:ascii="Arial" w:hAnsi="Arial" w:eastAsia="宋体" w:cs="Arial"/>
          <w:szCs w:val="22"/>
        </w:rPr>
        <w:fldChar w:fldCharType="separate"/>
      </w:r>
      <w:r>
        <w:rPr>
          <w:rFonts w:hint="default" w:ascii="Arial" w:hAnsi="Arial" w:eastAsia="宋体" w:cs="Arial"/>
          <w:szCs w:val="24"/>
        </w:rPr>
        <w:t>4印鉴使用情况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_Toc10369 </w:instrText>
      </w:r>
      <w:r>
        <w:rPr>
          <w:rFonts w:hint="default" w:ascii="Arial" w:hAnsi="Arial" w:eastAsia="宋体" w:cs="Arial"/>
        </w:rPr>
        <w:fldChar w:fldCharType="separate"/>
      </w:r>
      <w:r>
        <w:rPr>
          <w:rFonts w:hint="default" w:ascii="Arial" w:hAnsi="Arial" w:eastAsia="宋体" w:cs="Arial"/>
        </w:rPr>
        <w:t>6</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_Toc10995 </w:instrText>
      </w:r>
      <w:r>
        <w:rPr>
          <w:rFonts w:hint="default" w:ascii="Arial" w:hAnsi="Arial" w:eastAsia="宋体" w:cs="Arial"/>
          <w:szCs w:val="22"/>
        </w:rPr>
        <w:fldChar w:fldCharType="separate"/>
      </w:r>
      <w:r>
        <w:rPr>
          <w:rFonts w:hint="default" w:ascii="Arial" w:hAnsi="Arial" w:eastAsia="宋体" w:cs="Arial"/>
          <w:szCs w:val="24"/>
        </w:rPr>
        <w:t>5合同签订情况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_Toc10995 </w:instrText>
      </w:r>
      <w:r>
        <w:rPr>
          <w:rFonts w:hint="default" w:ascii="Arial" w:hAnsi="Arial" w:eastAsia="宋体" w:cs="Arial"/>
        </w:rPr>
        <w:fldChar w:fldCharType="separate"/>
      </w:r>
      <w:r>
        <w:rPr>
          <w:rFonts w:hint="default" w:ascii="Arial" w:hAnsi="Arial" w:eastAsia="宋体" w:cs="Arial"/>
        </w:rPr>
        <w:t>8</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_Toc11516 </w:instrText>
      </w:r>
      <w:r>
        <w:rPr>
          <w:rFonts w:hint="default" w:ascii="Arial" w:hAnsi="Arial" w:eastAsia="宋体" w:cs="Arial"/>
          <w:szCs w:val="22"/>
        </w:rPr>
        <w:fldChar w:fldCharType="separate"/>
      </w:r>
      <w:r>
        <w:rPr>
          <w:rFonts w:hint="default" w:ascii="Arial" w:hAnsi="Arial" w:eastAsia="宋体" w:cs="Arial"/>
        </w:rPr>
        <w:t>5.1</w:t>
      </w:r>
      <w:r>
        <w:rPr>
          <w:rFonts w:hint="default" w:ascii="Arial" w:hAnsi="Arial" w:eastAsia="宋体" w:cs="Arial"/>
          <w:kern w:val="44"/>
          <w:szCs w:val="24"/>
        </w:rPr>
        <w:t>新签订合同情况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_Toc11516 </w:instrText>
      </w:r>
      <w:r>
        <w:rPr>
          <w:rFonts w:hint="default" w:ascii="Arial" w:hAnsi="Arial" w:eastAsia="宋体" w:cs="Arial"/>
        </w:rPr>
        <w:fldChar w:fldCharType="separate"/>
      </w:r>
      <w:r>
        <w:rPr>
          <w:rFonts w:hint="default" w:ascii="Arial" w:hAnsi="Arial" w:eastAsia="宋体" w:cs="Arial"/>
        </w:rPr>
        <w:t>8</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_Toc17458 </w:instrText>
      </w:r>
      <w:r>
        <w:rPr>
          <w:rFonts w:hint="default" w:ascii="Arial" w:hAnsi="Arial" w:eastAsia="宋体" w:cs="Arial"/>
          <w:szCs w:val="22"/>
        </w:rPr>
        <w:fldChar w:fldCharType="separate"/>
      </w:r>
      <w:r>
        <w:rPr>
          <w:rFonts w:hint="default" w:ascii="Arial" w:hAnsi="Arial" w:eastAsia="宋体" w:cs="Arial"/>
        </w:rPr>
        <w:t>5.2项目合同支付情况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_Toc17458 </w:instrText>
      </w:r>
      <w:r>
        <w:rPr>
          <w:rFonts w:hint="default" w:ascii="Arial" w:hAnsi="Arial" w:eastAsia="宋体" w:cs="Arial"/>
        </w:rPr>
        <w:fldChar w:fldCharType="separate"/>
      </w:r>
      <w:r>
        <w:rPr>
          <w:rFonts w:hint="default" w:ascii="Arial" w:hAnsi="Arial" w:eastAsia="宋体" w:cs="Arial"/>
        </w:rPr>
        <w:t>9</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_Toc14924 </w:instrText>
      </w:r>
      <w:r>
        <w:rPr>
          <w:rFonts w:hint="default" w:ascii="Arial" w:hAnsi="Arial" w:eastAsia="宋体" w:cs="Arial"/>
          <w:szCs w:val="22"/>
        </w:rPr>
        <w:fldChar w:fldCharType="separate"/>
      </w:r>
      <w:r>
        <w:rPr>
          <w:rFonts w:hint="default" w:ascii="Arial" w:hAnsi="Arial" w:eastAsia="宋体" w:cs="Arial"/>
          <w:szCs w:val="24"/>
        </w:rPr>
        <w:t>6资金情况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_Toc14924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_Toc10683 </w:instrText>
      </w:r>
      <w:r>
        <w:rPr>
          <w:rFonts w:hint="default" w:ascii="Arial" w:hAnsi="Arial" w:eastAsia="宋体" w:cs="Arial"/>
          <w:szCs w:val="22"/>
        </w:rPr>
        <w:fldChar w:fldCharType="separate"/>
      </w:r>
      <w:r>
        <w:rPr>
          <w:rFonts w:hint="default" w:ascii="Arial" w:hAnsi="Arial" w:eastAsia="宋体" w:cs="Arial"/>
        </w:rPr>
        <w:t>6.1资金流出情况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_Toc10683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_Toc5998 </w:instrText>
      </w:r>
      <w:r>
        <w:rPr>
          <w:rFonts w:hint="default" w:ascii="Arial" w:hAnsi="Arial" w:eastAsia="宋体" w:cs="Arial"/>
          <w:szCs w:val="22"/>
        </w:rPr>
        <w:fldChar w:fldCharType="separate"/>
      </w:r>
      <w:r>
        <w:rPr>
          <w:rFonts w:hint="default" w:ascii="Arial" w:hAnsi="Arial" w:eastAsia="宋体" w:cs="Arial"/>
        </w:rPr>
        <w:t>6.2资金流入情况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_Toc5998 </w:instrText>
      </w:r>
      <w:r>
        <w:rPr>
          <w:rFonts w:hint="default" w:ascii="Arial" w:hAnsi="Arial" w:eastAsia="宋体" w:cs="Arial"/>
        </w:rPr>
        <w:fldChar w:fldCharType="separate"/>
      </w:r>
      <w:r>
        <w:rPr>
          <w:rFonts w:hint="default" w:ascii="Arial" w:hAnsi="Arial" w:eastAsia="宋体" w:cs="Arial"/>
        </w:rPr>
        <w:t>24</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_Toc18114 </w:instrText>
      </w:r>
      <w:r>
        <w:rPr>
          <w:rFonts w:hint="default" w:ascii="Arial" w:hAnsi="Arial" w:eastAsia="宋体" w:cs="Arial"/>
          <w:szCs w:val="22"/>
        </w:rPr>
        <w:fldChar w:fldCharType="separate"/>
      </w:r>
      <w:r>
        <w:rPr>
          <w:rFonts w:hint="default" w:ascii="Arial" w:hAnsi="Arial" w:eastAsia="宋体" w:cs="Arial"/>
          <w:szCs w:val="24"/>
        </w:rPr>
        <w:t>6.2.1销售回款流入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_Toc18114 </w:instrText>
      </w:r>
      <w:r>
        <w:rPr>
          <w:rFonts w:hint="default" w:ascii="Arial" w:hAnsi="Arial" w:eastAsia="宋体" w:cs="Arial"/>
        </w:rPr>
        <w:fldChar w:fldCharType="separate"/>
      </w:r>
      <w:r>
        <w:rPr>
          <w:rFonts w:hint="default" w:ascii="Arial" w:hAnsi="Arial" w:eastAsia="宋体" w:cs="Arial"/>
        </w:rPr>
        <w:t>24</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_Toc2601 </w:instrText>
      </w:r>
      <w:r>
        <w:rPr>
          <w:rFonts w:hint="default" w:ascii="Arial" w:hAnsi="Arial" w:eastAsia="宋体" w:cs="Arial"/>
          <w:szCs w:val="22"/>
        </w:rPr>
        <w:fldChar w:fldCharType="separate"/>
      </w:r>
      <w:r>
        <w:rPr>
          <w:rFonts w:hint="default" w:ascii="Arial" w:hAnsi="Arial" w:eastAsia="宋体" w:cs="Arial"/>
          <w:szCs w:val="24"/>
        </w:rPr>
        <w:t>6.2.2其他资金流入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_Toc2601 </w:instrText>
      </w:r>
      <w:r>
        <w:rPr>
          <w:rFonts w:hint="default" w:ascii="Arial" w:hAnsi="Arial" w:eastAsia="宋体" w:cs="Arial"/>
        </w:rPr>
        <w:fldChar w:fldCharType="separate"/>
      </w:r>
      <w:r>
        <w:rPr>
          <w:rFonts w:hint="default" w:ascii="Arial" w:hAnsi="Arial" w:eastAsia="宋体" w:cs="Arial"/>
        </w:rPr>
        <w:t>26</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_Toc23483 </w:instrText>
      </w:r>
      <w:r>
        <w:rPr>
          <w:rFonts w:hint="default" w:ascii="Arial" w:hAnsi="Arial" w:eastAsia="宋体" w:cs="Arial"/>
          <w:szCs w:val="22"/>
        </w:rPr>
        <w:fldChar w:fldCharType="separate"/>
      </w:r>
      <w:r>
        <w:rPr>
          <w:rFonts w:hint="default" w:ascii="Arial" w:hAnsi="Arial" w:eastAsia="宋体" w:cs="Arial"/>
        </w:rPr>
        <w:t>6.3各类保证金情况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_Toc23483 </w:instrText>
      </w:r>
      <w:r>
        <w:rPr>
          <w:rFonts w:hint="default" w:ascii="Arial" w:hAnsi="Arial" w:eastAsia="宋体" w:cs="Arial"/>
        </w:rPr>
        <w:fldChar w:fldCharType="separate"/>
      </w:r>
      <w:r>
        <w:rPr>
          <w:rFonts w:hint="default" w:ascii="Arial" w:hAnsi="Arial" w:eastAsia="宋体" w:cs="Arial"/>
        </w:rPr>
        <w:t>26</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_Toc9186 </w:instrText>
      </w:r>
      <w:r>
        <w:rPr>
          <w:rFonts w:hint="default" w:ascii="Arial" w:hAnsi="Arial" w:eastAsia="宋体" w:cs="Arial"/>
          <w:szCs w:val="22"/>
        </w:rPr>
        <w:fldChar w:fldCharType="separate"/>
      </w:r>
      <w:r>
        <w:rPr>
          <w:rFonts w:hint="default" w:ascii="Arial" w:hAnsi="Arial" w:eastAsia="宋体" w:cs="Arial"/>
        </w:rPr>
        <w:t>6.4各银行账户余额</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_Toc9186 </w:instrText>
      </w:r>
      <w:r>
        <w:rPr>
          <w:rFonts w:hint="default" w:ascii="Arial" w:hAnsi="Arial" w:eastAsia="宋体" w:cs="Arial"/>
        </w:rPr>
        <w:fldChar w:fldCharType="separate"/>
      </w:r>
      <w:r>
        <w:rPr>
          <w:rFonts w:hint="default" w:ascii="Arial" w:hAnsi="Arial" w:eastAsia="宋体" w:cs="Arial"/>
        </w:rPr>
        <w:t>27</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_Toc9285 </w:instrText>
      </w:r>
      <w:r>
        <w:rPr>
          <w:rFonts w:hint="default" w:ascii="Arial" w:hAnsi="Arial" w:eastAsia="宋体" w:cs="Arial"/>
          <w:szCs w:val="22"/>
        </w:rPr>
        <w:fldChar w:fldCharType="separate"/>
      </w:r>
      <w:r>
        <w:rPr>
          <w:rFonts w:hint="default" w:ascii="Arial" w:hAnsi="Arial" w:eastAsia="宋体" w:cs="Arial"/>
          <w:szCs w:val="24"/>
        </w:rPr>
        <w:t>7项目成本统计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_Toc9285 </w:instrText>
      </w:r>
      <w:r>
        <w:rPr>
          <w:rFonts w:hint="default" w:ascii="Arial" w:hAnsi="Arial" w:eastAsia="宋体" w:cs="Arial"/>
        </w:rPr>
        <w:fldChar w:fldCharType="separate"/>
      </w:r>
      <w:r>
        <w:rPr>
          <w:rFonts w:hint="default" w:ascii="Arial" w:hAnsi="Arial" w:eastAsia="宋体" w:cs="Arial"/>
        </w:rPr>
        <w:t>27</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_Toc10818 </w:instrText>
      </w:r>
      <w:r>
        <w:rPr>
          <w:rFonts w:hint="default" w:ascii="Arial" w:hAnsi="Arial" w:eastAsia="宋体" w:cs="Arial"/>
          <w:szCs w:val="22"/>
        </w:rPr>
        <w:fldChar w:fldCharType="separate"/>
      </w:r>
      <w:r>
        <w:rPr>
          <w:rFonts w:hint="default" w:ascii="Arial" w:hAnsi="Arial" w:eastAsia="宋体" w:cs="Arial"/>
          <w:szCs w:val="24"/>
        </w:rPr>
        <w:t>7.1</w:t>
      </w:r>
      <w:r>
        <w:rPr>
          <w:rFonts w:hint="default" w:ascii="Arial" w:hAnsi="Arial" w:eastAsia="宋体" w:cs="Arial"/>
        </w:rPr>
        <w:t>资金使用情况统计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_Toc10818 </w:instrText>
      </w:r>
      <w:r>
        <w:rPr>
          <w:rFonts w:hint="default" w:ascii="Arial" w:hAnsi="Arial" w:eastAsia="宋体" w:cs="Arial"/>
        </w:rPr>
        <w:fldChar w:fldCharType="separate"/>
      </w:r>
      <w:r>
        <w:rPr>
          <w:rFonts w:hint="default" w:ascii="Arial" w:hAnsi="Arial" w:eastAsia="宋体" w:cs="Arial"/>
        </w:rPr>
        <w:t>27</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_Toc3531 </w:instrText>
      </w:r>
      <w:r>
        <w:rPr>
          <w:rFonts w:hint="default" w:ascii="Arial" w:hAnsi="Arial" w:eastAsia="宋体" w:cs="Arial"/>
          <w:szCs w:val="22"/>
        </w:rPr>
        <w:fldChar w:fldCharType="separate"/>
      </w:r>
      <w:r>
        <w:rPr>
          <w:rFonts w:hint="default" w:ascii="Arial" w:hAnsi="Arial" w:eastAsia="宋体" w:cs="Arial"/>
          <w:szCs w:val="24"/>
        </w:rPr>
        <w:t>7.2合约成本统计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_Toc3531 </w:instrText>
      </w:r>
      <w:r>
        <w:rPr>
          <w:rFonts w:hint="default" w:ascii="Arial" w:hAnsi="Arial" w:eastAsia="宋体" w:cs="Arial"/>
        </w:rPr>
        <w:fldChar w:fldCharType="separate"/>
      </w:r>
      <w:r>
        <w:rPr>
          <w:rFonts w:hint="default" w:ascii="Arial" w:hAnsi="Arial" w:eastAsia="宋体" w:cs="Arial"/>
        </w:rPr>
        <w:t>28</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_Toc8677 </w:instrText>
      </w:r>
      <w:r>
        <w:rPr>
          <w:rFonts w:hint="default" w:ascii="Arial" w:hAnsi="Arial" w:eastAsia="宋体" w:cs="Arial"/>
          <w:szCs w:val="22"/>
        </w:rPr>
        <w:fldChar w:fldCharType="separate"/>
      </w:r>
      <w:r>
        <w:rPr>
          <w:rFonts w:hint="default" w:ascii="Arial" w:hAnsi="Arial" w:eastAsia="宋体" w:cs="Arial"/>
          <w:szCs w:val="24"/>
        </w:rPr>
        <w:t>8项目销售情况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_Toc8677 </w:instrText>
      </w:r>
      <w:r>
        <w:rPr>
          <w:rFonts w:hint="default" w:ascii="Arial" w:hAnsi="Arial" w:eastAsia="宋体" w:cs="Arial"/>
        </w:rPr>
        <w:fldChar w:fldCharType="separate"/>
      </w:r>
      <w:r>
        <w:rPr>
          <w:rFonts w:hint="default" w:ascii="Arial" w:hAnsi="Arial" w:eastAsia="宋体" w:cs="Arial"/>
        </w:rPr>
        <w:t>29</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_Toc3044 </w:instrText>
      </w:r>
      <w:r>
        <w:rPr>
          <w:rFonts w:hint="default" w:ascii="Arial" w:hAnsi="Arial" w:eastAsia="宋体" w:cs="Arial"/>
          <w:szCs w:val="22"/>
        </w:rPr>
        <w:fldChar w:fldCharType="separate"/>
      </w:r>
      <w:r>
        <w:rPr>
          <w:rFonts w:hint="default" w:ascii="Arial" w:hAnsi="Arial" w:eastAsia="宋体" w:cs="Arial"/>
          <w:szCs w:val="24"/>
        </w:rPr>
        <w:t>8.1当地销售政策（预售政策、限购限售、限价政策描述）</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_Toc3044 </w:instrText>
      </w:r>
      <w:r>
        <w:rPr>
          <w:rFonts w:hint="default" w:ascii="Arial" w:hAnsi="Arial" w:eastAsia="宋体" w:cs="Arial"/>
        </w:rPr>
        <w:fldChar w:fldCharType="separate"/>
      </w:r>
      <w:r>
        <w:rPr>
          <w:rFonts w:hint="default" w:ascii="Arial" w:hAnsi="Arial" w:eastAsia="宋体" w:cs="Arial"/>
        </w:rPr>
        <w:t>29</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_Toc16630 </w:instrText>
      </w:r>
      <w:r>
        <w:rPr>
          <w:rFonts w:hint="default" w:ascii="Arial" w:hAnsi="Arial" w:eastAsia="宋体" w:cs="Arial"/>
          <w:szCs w:val="22"/>
        </w:rPr>
        <w:fldChar w:fldCharType="separate"/>
      </w:r>
      <w:r>
        <w:rPr>
          <w:rFonts w:hint="default" w:ascii="Arial" w:hAnsi="Arial" w:eastAsia="宋体" w:cs="Arial"/>
        </w:rPr>
        <w:t>8.2项目销售及营销推广计划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_Toc16630 </w:instrText>
      </w:r>
      <w:r>
        <w:rPr>
          <w:rFonts w:hint="default" w:ascii="Arial" w:hAnsi="Arial" w:eastAsia="宋体" w:cs="Arial"/>
        </w:rPr>
        <w:fldChar w:fldCharType="separate"/>
      </w:r>
      <w:r>
        <w:rPr>
          <w:rFonts w:hint="default" w:ascii="Arial" w:hAnsi="Arial" w:eastAsia="宋体" w:cs="Arial"/>
        </w:rPr>
        <w:t>30</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_Toc10597 </w:instrText>
      </w:r>
      <w:r>
        <w:rPr>
          <w:rFonts w:hint="default" w:ascii="Arial" w:hAnsi="Arial" w:eastAsia="宋体" w:cs="Arial"/>
          <w:szCs w:val="22"/>
        </w:rPr>
        <w:fldChar w:fldCharType="separate"/>
      </w:r>
      <w:r>
        <w:rPr>
          <w:rFonts w:hint="default" w:ascii="Arial" w:hAnsi="Arial" w:eastAsia="宋体" w:cs="Arial"/>
        </w:rPr>
        <w:t>8.3项目销售情况统计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_Toc10597 </w:instrText>
      </w:r>
      <w:r>
        <w:rPr>
          <w:rFonts w:hint="default" w:ascii="Arial" w:hAnsi="Arial" w:eastAsia="宋体" w:cs="Arial"/>
        </w:rPr>
        <w:fldChar w:fldCharType="separate"/>
      </w:r>
      <w:r>
        <w:rPr>
          <w:rFonts w:hint="default" w:ascii="Arial" w:hAnsi="Arial" w:eastAsia="宋体" w:cs="Arial"/>
        </w:rPr>
        <w:t>30</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_Toc9382 </w:instrText>
      </w:r>
      <w:r>
        <w:rPr>
          <w:rFonts w:hint="default" w:ascii="Arial" w:hAnsi="Arial" w:eastAsia="宋体" w:cs="Arial"/>
          <w:szCs w:val="22"/>
        </w:rPr>
        <w:fldChar w:fldCharType="separate"/>
      </w:r>
      <w:r>
        <w:rPr>
          <w:rFonts w:hint="default" w:ascii="Arial" w:hAnsi="Arial" w:eastAsia="宋体" w:cs="Arial"/>
        </w:rPr>
        <w:t>9下期关注重点</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_Toc9382 </w:instrText>
      </w:r>
      <w:r>
        <w:rPr>
          <w:rFonts w:hint="default" w:ascii="Arial" w:hAnsi="Arial" w:eastAsia="宋体" w:cs="Arial"/>
        </w:rPr>
        <w:fldChar w:fldCharType="separate"/>
      </w:r>
      <w:r>
        <w:rPr>
          <w:rFonts w:hint="default" w:ascii="Arial" w:hAnsi="Arial" w:eastAsia="宋体" w:cs="Arial"/>
        </w:rPr>
        <w:t>30</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_Toc25826 </w:instrText>
      </w:r>
      <w:r>
        <w:rPr>
          <w:rFonts w:hint="default" w:ascii="Arial" w:hAnsi="Arial" w:eastAsia="宋体" w:cs="Arial"/>
          <w:szCs w:val="22"/>
        </w:rPr>
        <w:fldChar w:fldCharType="separate"/>
      </w:r>
      <w:r>
        <w:rPr>
          <w:rFonts w:hint="default" w:ascii="Arial" w:hAnsi="Arial" w:eastAsia="宋体" w:cs="Arial"/>
          <w:szCs w:val="24"/>
        </w:rPr>
        <w:t>附件</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_Toc25826 </w:instrText>
      </w:r>
      <w:r>
        <w:rPr>
          <w:rFonts w:hint="default" w:ascii="Arial" w:hAnsi="Arial" w:eastAsia="宋体" w:cs="Arial"/>
        </w:rPr>
        <w:fldChar w:fldCharType="separate"/>
      </w:r>
      <w:r>
        <w:rPr>
          <w:rFonts w:hint="default" w:ascii="Arial" w:hAnsi="Arial" w:eastAsia="宋体" w:cs="Arial"/>
        </w:rPr>
        <w:t>32</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_Toc3267 </w:instrText>
      </w:r>
      <w:r>
        <w:rPr>
          <w:rFonts w:hint="default" w:ascii="Arial" w:hAnsi="Arial" w:eastAsia="宋体" w:cs="Arial"/>
          <w:szCs w:val="22"/>
        </w:rPr>
        <w:fldChar w:fldCharType="separate"/>
      </w:r>
      <w:r>
        <w:rPr>
          <w:rFonts w:hint="default" w:ascii="Arial" w:hAnsi="Arial" w:eastAsia="宋体" w:cs="Arial"/>
        </w:rPr>
        <w:t>附件一 项目公司对账单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_Toc3267 </w:instrText>
      </w:r>
      <w:r>
        <w:rPr>
          <w:rFonts w:hint="default" w:ascii="Arial" w:hAnsi="Arial" w:eastAsia="宋体" w:cs="Arial"/>
        </w:rPr>
        <w:fldChar w:fldCharType="separate"/>
      </w:r>
      <w:r>
        <w:rPr>
          <w:rFonts w:hint="default" w:ascii="Arial" w:hAnsi="Arial" w:eastAsia="宋体" w:cs="Arial"/>
        </w:rPr>
        <w:t>32</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240" w:lineRule="auto"/>
        <w:ind w:firstLine="220" w:firstLineChars="100"/>
        <w:jc w:val="left"/>
        <w:textAlignment w:val="auto"/>
        <w:outlineLvl w:val="1"/>
        <w:rPr>
          <w:rFonts w:hint="default" w:ascii="Arial" w:hAnsi="Arial" w:eastAsia="宋体" w:cs="Arial"/>
        </w:rPr>
      </w:pPr>
      <w:r>
        <w:rPr>
          <w:rFonts w:hint="default" w:ascii="Arial" w:hAnsi="Arial" w:eastAsia="宋体" w:cs="Arial"/>
          <w:color w:val="000000"/>
          <w:szCs w:val="22"/>
        </w:rPr>
        <w:fldChar w:fldCharType="begin"/>
      </w:r>
      <w:r>
        <w:rPr>
          <w:rFonts w:hint="default" w:ascii="Arial" w:hAnsi="Arial" w:eastAsia="宋体" w:cs="Arial"/>
          <w:szCs w:val="22"/>
        </w:rPr>
        <w:instrText xml:space="preserve"> HYPERLINK \l _Toc1847 </w:instrText>
      </w:r>
      <w:r>
        <w:rPr>
          <w:rFonts w:hint="default" w:ascii="Arial" w:hAnsi="Arial" w:eastAsia="宋体" w:cs="Arial"/>
          <w:szCs w:val="22"/>
        </w:rPr>
        <w:fldChar w:fldCharType="separate"/>
      </w:r>
      <w:r>
        <w:rPr>
          <w:rFonts w:hint="default" w:ascii="Arial" w:hAnsi="Arial" w:eastAsia="宋体" w:cs="Arial"/>
          <w:bCs/>
          <w:szCs w:val="32"/>
        </w:rPr>
        <w:t>附件二 用印登记薄</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_Toc1847 </w:instrText>
      </w:r>
      <w:r>
        <w:rPr>
          <w:rFonts w:hint="default" w:ascii="Arial" w:hAnsi="Arial" w:eastAsia="宋体" w:cs="Arial"/>
        </w:rPr>
        <w:fldChar w:fldCharType="separate"/>
      </w:r>
      <w:r>
        <w:rPr>
          <w:rFonts w:hint="default" w:ascii="Arial" w:hAnsi="Arial" w:eastAsia="宋体" w:cs="Arial"/>
        </w:rPr>
        <w:t>44</w:t>
      </w:r>
      <w:r>
        <w:rPr>
          <w:rFonts w:hint="default" w:ascii="Arial" w:hAnsi="Arial" w:eastAsia="宋体" w:cs="Arial"/>
        </w:rPr>
        <w:fldChar w:fldCharType="end"/>
      </w:r>
      <w:r>
        <w:rPr>
          <w:rFonts w:hint="default" w:ascii="Arial" w:hAnsi="Arial" w:eastAsia="宋体" w:cs="Arial"/>
          <w:color w:val="000000"/>
          <w:szCs w:val="22"/>
        </w:rPr>
        <w:fldChar w:fldCharType="end"/>
      </w:r>
    </w:p>
    <w:p>
      <w:pPr>
        <w:pStyle w:val="1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left"/>
        <w:textAlignment w:val="auto"/>
        <w:outlineLvl w:val="1"/>
        <w:rPr>
          <w:rFonts w:hint="default" w:ascii="Arial" w:hAnsi="Arial" w:eastAsia="宋体" w:cs="Arial"/>
          <w:bCs/>
          <w:kern w:val="44"/>
          <w:sz w:val="22"/>
          <w:szCs w:val="22"/>
        </w:rPr>
        <w:sectPr>
          <w:headerReference r:id="rId3" w:type="default"/>
          <w:footerReference r:id="rId4" w:type="default"/>
          <w:pgSz w:w="11906" w:h="16838"/>
          <w:pgMar w:top="1843" w:right="1134" w:bottom="1134" w:left="1134" w:header="851" w:footer="992" w:gutter="340"/>
          <w:cols w:space="0" w:num="1"/>
          <w:docGrid w:linePitch="312" w:charSpace="0"/>
        </w:sectPr>
      </w:pPr>
      <w:r>
        <w:rPr>
          <w:rFonts w:hint="default" w:ascii="Arial" w:hAnsi="Arial" w:eastAsia="宋体" w:cs="Arial"/>
          <w:color w:val="000000"/>
          <w:szCs w:val="22"/>
        </w:rPr>
        <w:fldChar w:fldCharType="end"/>
      </w:r>
      <w:bookmarkStart w:id="0" w:name="_Toc535580086"/>
      <w:bookmarkStart w:id="1" w:name="_Toc532281654"/>
      <w:bookmarkStart w:id="2" w:name="_Toc45217873"/>
      <w:bookmarkStart w:id="3" w:name="_Toc535570745"/>
      <w:bookmarkStart w:id="4" w:name="_Toc535580018"/>
      <w:bookmarkStart w:id="5" w:name="_Toc535508633"/>
      <w:bookmarkStart w:id="6" w:name="_Toc373309848"/>
      <w:r>
        <w:rPr>
          <w:rFonts w:hint="default" w:ascii="Arial" w:hAnsi="Arial" w:eastAsia="宋体" w:cs="Arial"/>
          <w:color w:val="000000"/>
          <w:sz w:val="22"/>
          <w:szCs w:val="22"/>
          <w:lang w:val="en-US" w:eastAsia="zh-CN"/>
        </w:rPr>
        <w:t xml:space="preserve">  </w:t>
      </w:r>
    </w:p>
    <w:p>
      <w:pPr>
        <w:pStyle w:val="13"/>
        <w:jc w:val="both"/>
        <w:rPr>
          <w:rFonts w:ascii="Arial" w:hAnsi="Arial" w:cs="Arial"/>
          <w:bCs/>
          <w:kern w:val="44"/>
          <w:sz w:val="21"/>
          <w:szCs w:val="21"/>
        </w:rPr>
      </w:pPr>
      <w:r>
        <w:rPr>
          <w:rFonts w:ascii="Arial" w:hAnsi="Arial" w:cs="Arial"/>
          <w:bCs/>
          <w:kern w:val="44"/>
          <w:sz w:val="21"/>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·项目公司：海盐丰涛置业有限公司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7" w:name="_Toc15496"/>
      <w:bookmarkStart w:id="8" w:name="_Toc14395"/>
      <w:bookmarkStart w:id="9" w:name="_Toc27525"/>
      <w:bookmarkStart w:id="10" w:name="_Toc2029"/>
      <w:bookmarkStart w:id="11" w:name="_Toc14889"/>
      <w:bookmarkStart w:id="12" w:name="_Toc4224"/>
      <w:bookmarkStart w:id="13" w:name="_Toc30168"/>
      <w:bookmarkStart w:id="14" w:name="_Toc12963"/>
      <w:bookmarkStart w:id="15" w:name="_Toc25771"/>
      <w:bookmarkStart w:id="16" w:name="_Toc12540"/>
      <w:bookmarkStart w:id="17" w:name="_Toc25226"/>
      <w:bookmarkStart w:id="18" w:name="_Toc6331"/>
      <w:bookmarkStart w:id="19" w:name="_Toc2847"/>
      <w:bookmarkStart w:id="20" w:name="_Toc16082"/>
      <w:bookmarkStart w:id="21" w:name="_Toc29765"/>
      <w:bookmarkStart w:id="22" w:name="_Toc2385"/>
      <w:bookmarkStart w:id="23" w:name="_Toc4304"/>
      <w:bookmarkStart w:id="24" w:name="_Toc239"/>
      <w:bookmarkStart w:id="25" w:name="_Toc29335"/>
      <w:bookmarkStart w:id="26" w:name="_Toc4250"/>
      <w:bookmarkStart w:id="27" w:name="_Toc23945"/>
      <w:bookmarkStart w:id="28" w:name="_Toc21237"/>
      <w:bookmarkStart w:id="29" w:name="_Toc10225"/>
      <w:bookmarkStart w:id="30" w:name="_Toc688"/>
      <w:bookmarkStart w:id="31" w:name="_Toc30922"/>
      <w:bookmarkStart w:id="32" w:name="_Toc32746"/>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color w:val="000000"/>
          <w:sz w:val="24"/>
          <w:szCs w:val="24"/>
        </w:rPr>
      </w:pPr>
      <w:bookmarkStart w:id="33" w:name="_Toc11021"/>
      <w:bookmarkStart w:id="34" w:name="_Toc8240"/>
      <w:bookmarkStart w:id="35" w:name="_Toc23886"/>
      <w:bookmarkStart w:id="36" w:name="_Toc8657"/>
      <w:bookmarkStart w:id="37" w:name="_Toc15339"/>
      <w:bookmarkStart w:id="38" w:name="_Toc24356"/>
      <w:bookmarkStart w:id="39" w:name="_Toc15897"/>
      <w:bookmarkStart w:id="40" w:name="_Toc14539"/>
      <w:bookmarkStart w:id="41" w:name="_Toc12981"/>
      <w:bookmarkStart w:id="42" w:name="_Toc21337"/>
      <w:bookmarkStart w:id="43" w:name="_Toc27553"/>
      <w:bookmarkStart w:id="44" w:name="_Toc4110"/>
      <w:bookmarkStart w:id="45" w:name="_Toc13203"/>
      <w:bookmarkStart w:id="46" w:name="_Toc13384"/>
      <w:bookmarkStart w:id="47" w:name="_Toc32113"/>
      <w:bookmarkStart w:id="48" w:name="_Toc7349"/>
      <w:bookmarkStart w:id="49" w:name="_Toc24275"/>
      <w:r>
        <w:rPr>
          <w:rFonts w:eastAsia="宋体" w:cs="Arial"/>
          <w:color w:val="000000"/>
          <w:sz w:val="24"/>
          <w:szCs w:val="24"/>
        </w:rPr>
        <w:t>1.1</w:t>
      </w:r>
      <w:bookmarkEnd w:id="33"/>
      <w:bookmarkStart w:id="50" w:name="_Toc1132"/>
      <w:r>
        <w:rPr>
          <w:rFonts w:eastAsia="宋体" w:cs="Arial"/>
          <w:color w:val="000000"/>
          <w:sz w:val="24"/>
          <w:szCs w:val="24"/>
        </w:rPr>
        <w:t>项目公司基本情况</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480" w:lineRule="auto"/>
        <w:ind w:firstLine="420" w:firstLineChars="200"/>
        <w:rPr>
          <w:rFonts w:ascii="Arial" w:hAnsi="Arial" w:cs="Arial"/>
          <w:szCs w:val="21"/>
        </w:rPr>
      </w:pPr>
      <w:bookmarkStart w:id="51" w:name="_Toc535508634"/>
      <w:bookmarkStart w:id="52" w:name="_Toc535570748"/>
      <w:bookmarkStart w:id="53" w:name="_Toc532281655"/>
      <w:bookmarkStart w:id="54" w:name="_Toc535580021"/>
      <w:bookmarkStart w:id="55" w:name="_Toc45217874"/>
      <w:bookmarkStart w:id="56" w:name="_Toc535580089"/>
      <w:r>
        <w:rPr>
          <w:rFonts w:ascii="Arial" w:hAnsi="Arial" w:cs="Arial"/>
          <w:szCs w:val="21"/>
        </w:rPr>
        <w:t>中航信托成立《中航信托•天垣3号恒大嘉兴海盐项目投资集合资金信托计划》（以下简称“信托计划”），规模共计4.25亿分期发行，分笔成立。500万元用于缴纳信保基金及其他相关费用，4.20亿元用于认缴青岛航明投资合伙企业（有限合伙）的有限合伙份额。青岛航明投资合伙企业收到资金后，以股（注册资本）+资本公积形式投资于项目公司，持项目公司70%股份。具体情况如下图所示：</w:t>
      </w:r>
    </w:p>
    <w:p>
      <w:pPr>
        <w:spacing w:line="480" w:lineRule="auto"/>
        <w:ind w:firstLine="420" w:firstLineChars="200"/>
        <w:jc w:val="center"/>
        <w:rPr>
          <w:rFonts w:ascii="Arial" w:hAnsi="Arial" w:cs="Arial"/>
          <w:szCs w:val="21"/>
        </w:rPr>
      </w:pPr>
      <w:r>
        <w:rPr>
          <w:rFonts w:ascii="Arial" w:hAnsi="Arial" w:cs="Arial"/>
        </w:rPr>
        <w:drawing>
          <wp:inline distT="0" distB="0" distL="114300" distR="114300">
            <wp:extent cx="5269230" cy="2986405"/>
            <wp:effectExtent l="0" t="0" r="3810" b="635"/>
            <wp:docPr id="10" name="图片 10" descr="7535ec3c8321b810a68b63ada5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35ec3c8321b810a68b63ada546970"/>
                    <pic:cNvPicPr>
                      <a:picLocks noChangeAspect="1"/>
                    </pic:cNvPicPr>
                  </pic:nvPicPr>
                  <pic:blipFill>
                    <a:blip r:embed="rId8"/>
                    <a:stretch>
                      <a:fillRect/>
                    </a:stretch>
                  </pic:blipFill>
                  <pic:spPr>
                    <a:xfrm>
                      <a:off x="0" y="0"/>
                      <a:ext cx="5269230" cy="2986405"/>
                    </a:xfrm>
                    <a:prstGeom prst="rect">
                      <a:avLst/>
                    </a:prstGeom>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图1 海盐丰涛置业有限公司股权穿透图</w:t>
      </w:r>
    </w:p>
    <w:p>
      <w:pPr>
        <w:spacing w:line="480" w:lineRule="auto"/>
        <w:ind w:firstLine="360" w:firstLineChars="200"/>
        <w:jc w:val="center"/>
        <w:rPr>
          <w:rFonts w:ascii="Arial" w:hAnsi="Arial" w:cs="Arial"/>
          <w:sz w:val="18"/>
          <w:szCs w:val="18"/>
        </w:rPr>
      </w:pP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color w:val="000000"/>
          <w:sz w:val="24"/>
          <w:szCs w:val="24"/>
        </w:rPr>
      </w:pPr>
      <w:bookmarkStart w:id="57" w:name="_Toc11851"/>
      <w:bookmarkStart w:id="58" w:name="_Toc3212"/>
      <w:bookmarkStart w:id="59" w:name="_Toc7466"/>
      <w:bookmarkStart w:id="60" w:name="_Toc3152"/>
      <w:bookmarkStart w:id="61" w:name="_Toc25070"/>
      <w:bookmarkStart w:id="62" w:name="_Toc4782"/>
      <w:bookmarkStart w:id="63" w:name="_Toc740"/>
      <w:bookmarkStart w:id="64" w:name="_Toc3568"/>
      <w:bookmarkStart w:id="65" w:name="_Toc16918"/>
      <w:bookmarkStart w:id="66" w:name="_Toc6102"/>
      <w:bookmarkStart w:id="67" w:name="_Toc23373"/>
      <w:bookmarkStart w:id="68" w:name="_Toc14160"/>
      <w:bookmarkStart w:id="69" w:name="_Toc15915"/>
      <w:bookmarkStart w:id="70" w:name="_Toc15419"/>
      <w:bookmarkStart w:id="71" w:name="_Toc3400"/>
      <w:bookmarkStart w:id="72" w:name="_Toc4573"/>
      <w:bookmarkStart w:id="73" w:name="_Toc25512"/>
      <w:r>
        <w:rPr>
          <w:rFonts w:eastAsia="宋体" w:cs="Arial"/>
          <w:color w:val="000000"/>
          <w:sz w:val="24"/>
          <w:szCs w:val="24"/>
        </w:rPr>
        <w:t>1.2项目概况</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spacing w:line="360" w:lineRule="auto"/>
        <w:ind w:firstLine="420" w:firstLineChars="200"/>
        <w:jc w:val="left"/>
        <w:rPr>
          <w:rFonts w:ascii="Arial" w:hAnsi="Arial" w:cs="Arial"/>
          <w:szCs w:val="21"/>
        </w:rPr>
      </w:pPr>
      <w:r>
        <w:rPr>
          <w:rFonts w:ascii="Arial" w:hAnsi="Arial" w:cs="Arial"/>
          <w:szCs w:val="21"/>
        </w:rPr>
        <w:t>2020年4月30日，海盐县自然资源和规划局发布盐自然规告字（2020）023号公告，挂出海盐县20-033地块，地块位于浙江省嘉兴市海盐县武原街道，东至新桥路、南至规划住宅用地、西至长宁路、北至海兴路；地块总面积43,263㎡,总起报价50,553.00万元。2020年5月21日，恒大地产集团上海盛建置业有限公司竞得该地块，成交总价50617.71万元，楼面价6,500.00元/㎡。用途为居住用地兼容部分商业，容积率上限为1.8，绿地率30%，其中商业商务建筑面积852.21㎡。该地块周边分布临近嘉凯城、绮园商业街、大润发超市等配套设施。</w:t>
      </w:r>
    </w:p>
    <w:p>
      <w:pPr>
        <w:spacing w:line="360" w:lineRule="auto"/>
        <w:ind w:firstLine="420" w:firstLineChars="200"/>
        <w:jc w:val="left"/>
        <w:rPr>
          <w:rFonts w:ascii="Arial" w:hAnsi="Arial" w:cs="Arial"/>
          <w:szCs w:val="21"/>
        </w:rPr>
      </w:pPr>
      <w:r>
        <w:rPr>
          <w:rFonts w:ascii="Arial" w:hAnsi="Arial" w:cs="Arial"/>
        </w:rPr>
        <w:drawing>
          <wp:anchor distT="0" distB="0" distL="114300" distR="114300" simplePos="0" relativeHeight="252010496" behindDoc="0" locked="0" layoutInCell="1" allowOverlap="1">
            <wp:simplePos x="0" y="0"/>
            <wp:positionH relativeFrom="column">
              <wp:posOffset>-1238250</wp:posOffset>
            </wp:positionH>
            <wp:positionV relativeFrom="paragraph">
              <wp:posOffset>1663700</wp:posOffset>
            </wp:positionV>
            <wp:extent cx="8213090" cy="5043170"/>
            <wp:effectExtent l="0" t="0" r="5080" b="1651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rot="5400000">
                      <a:off x="0" y="0"/>
                      <a:ext cx="8213090" cy="5043170"/>
                    </a:xfrm>
                    <a:prstGeom prst="rect">
                      <a:avLst/>
                    </a:prstGeom>
                    <a:noFill/>
                    <a:ln>
                      <a:noFill/>
                    </a:ln>
                  </pic:spPr>
                </pic:pic>
              </a:graphicData>
            </a:graphic>
          </wp:anchor>
        </w:drawing>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480" w:lineRule="auto"/>
        <w:ind w:firstLine="3060" w:firstLineChars="1700"/>
        <w:rPr>
          <w:rFonts w:ascii="Arial" w:hAnsi="Arial" w:cs="Arial"/>
          <w:sz w:val="18"/>
          <w:szCs w:val="18"/>
        </w:rPr>
      </w:pPr>
      <w:r>
        <w:rPr>
          <w:rFonts w:ascii="Arial" w:hAnsi="Arial" w:cs="Arial"/>
          <w:sz w:val="18"/>
          <w:szCs w:val="18"/>
        </w:rPr>
        <w:t>图2 项目总规划图</w:t>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r>
        <w:rPr>
          <w:rFonts w:ascii="Arial" w:hAnsi="Arial" w:cs="Arial"/>
        </w:rPr>
        <mc:AlternateContent>
          <mc:Choice Requires="wps">
            <w:drawing>
              <wp:anchor distT="0" distB="0" distL="114300" distR="114300" simplePos="0" relativeHeight="252194816" behindDoc="0" locked="0" layoutInCell="1" allowOverlap="1">
                <wp:simplePos x="0" y="0"/>
                <wp:positionH relativeFrom="column">
                  <wp:posOffset>1687195</wp:posOffset>
                </wp:positionH>
                <wp:positionV relativeFrom="paragraph">
                  <wp:posOffset>62865</wp:posOffset>
                </wp:positionV>
                <wp:extent cx="856615" cy="266700"/>
                <wp:effectExtent l="0" t="0" r="635" b="0"/>
                <wp:wrapNone/>
                <wp:docPr id="8" name="文本框 8"/>
                <wp:cNvGraphicFramePr/>
                <a:graphic xmlns:a="http://schemas.openxmlformats.org/drawingml/2006/main">
                  <a:graphicData uri="http://schemas.microsoft.com/office/word/2010/wordprocessingShape">
                    <wps:wsp>
                      <wps:cNvSpPr txBox="1"/>
                      <wps:spPr>
                        <a:xfrm>
                          <a:off x="2623185" y="4817745"/>
                          <a:ext cx="85661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项目地块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85pt;margin-top:4.95pt;height:21pt;width:67.45pt;z-index:252194816;mso-width-relative:page;mso-height-relative:page;" fillcolor="#FFFFFF [3201]" filled="t" stroked="f" coordsize="21600,21600" o:gfxdata="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mGHWC&#10;1AAAAAgBAAAPAAAAAAAAAAEAIAAAACIAAABkcnMvZG93bnJldi54bWxQSwECFAAUAAAACACHTuJA&#10;Jdlk4V4CAACaBAAADgAAAAAAAAABACAAAAAjAQAAZHJzL2Uyb0RvYy54bWxQSwUGAAAAAAYABgBZ&#10;AQAA8wUAAAAA&#10;">
                <v:fill on="t" focussize="0,0"/>
                <v:stroke on="f" weight="0.5pt"/>
                <v:imagedata o:title=""/>
                <o:lock v:ext="edit" aspectratio="f"/>
                <v:textbox>
                  <w:txbxContent>
                    <w:p>
                      <w:r>
                        <w:rPr>
                          <w:rFonts w:hint="eastAsia"/>
                        </w:rPr>
                        <w:t>项目地块</w:t>
                      </w:r>
                    </w:p>
                  </w:txbxContent>
                </v:textbox>
              </v:shape>
            </w:pict>
          </mc:Fallback>
        </mc:AlternateContent>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jc w:val="left"/>
        <w:rPr>
          <w:rFonts w:ascii="Arial" w:hAnsi="Arial" w:cs="Arial"/>
          <w:szCs w:val="21"/>
        </w:rPr>
      </w:pPr>
    </w:p>
    <w:p>
      <w:pPr>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9"/>
        <w:rPr>
          <w:rFonts w:hint="eastAsia" w:ascii="宋体" w:hAnsi="宋体" w:eastAsia="宋体" w:cs="宋体"/>
          <w:b w:val="0"/>
          <w:bCs w:val="0"/>
          <w:color w:val="FF0000"/>
          <w:sz w:val="21"/>
          <w:szCs w:val="21"/>
        </w:rPr>
      </w:pPr>
      <w:r>
        <w:rPr>
          <w:rFonts w:hint="eastAsia" w:ascii="宋体" w:hAnsi="宋体" w:eastAsia="宋体" w:cs="宋体"/>
          <w:b w:val="0"/>
          <w:bCs w:val="0"/>
          <w:sz w:val="21"/>
          <w:szCs w:val="21"/>
        </w:rPr>
        <w:t>根据项目公司提供，项目详细经济指标见下表：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792"/>
        <w:gridCol w:w="2039"/>
        <w:gridCol w:w="3106"/>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项目</w:t>
            </w:r>
          </w:p>
        </w:tc>
        <w:tc>
          <w:tcPr>
            <w:tcW w:w="3106"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都汇华庭</w:t>
            </w:r>
          </w:p>
        </w:tc>
        <w:tc>
          <w:tcPr>
            <w:tcW w:w="1766"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总用地面积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43,263.00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总建筑面积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112,260.40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地上计容建筑面积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77,530.40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可售建筑面积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74,019.27</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widowControl/>
              <w:jc w:val="center"/>
              <w:textAlignment w:val="center"/>
              <w:rPr>
                <w:rFonts w:ascii="Arial" w:hAnsi="Arial" w:cs="Arial"/>
                <w:b/>
                <w:bCs/>
                <w:kern w:val="24"/>
                <w:sz w:val="18"/>
                <w:szCs w:val="18"/>
              </w:rPr>
            </w:pPr>
          </w:p>
        </w:tc>
        <w:tc>
          <w:tcPr>
            <w:tcW w:w="792"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高层建筑（精装）</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73,167.06</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97" w:type="dxa"/>
            <w:vMerge w:val="continue"/>
            <w:vAlign w:val="center"/>
          </w:tcPr>
          <w:p>
            <w:pPr>
              <w:jc w:val="center"/>
              <w:rPr>
                <w:rFonts w:ascii="Arial" w:hAnsi="Arial" w:cs="Arial"/>
              </w:rPr>
            </w:pPr>
          </w:p>
        </w:tc>
        <w:tc>
          <w:tcPr>
            <w:tcW w:w="792" w:type="dxa"/>
            <w:vMerge w:val="continue"/>
            <w:vAlign w:val="center"/>
          </w:tcPr>
          <w:p>
            <w:pPr>
              <w:jc w:val="center"/>
              <w:rPr>
                <w:rFonts w:ascii="Arial" w:hAnsi="Arial" w:cs="Arial"/>
              </w:rPr>
            </w:pP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SOHO（精装）</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jc w:val="center"/>
              <w:rPr>
                <w:rFonts w:ascii="Arial" w:hAnsi="Arial" w:cs="Arial"/>
              </w:rPr>
            </w:pPr>
          </w:p>
        </w:tc>
        <w:tc>
          <w:tcPr>
            <w:tcW w:w="792" w:type="dxa"/>
            <w:vMerge w:val="continue"/>
            <w:vAlign w:val="center"/>
          </w:tcPr>
          <w:p>
            <w:pPr>
              <w:jc w:val="center"/>
              <w:rPr>
                <w:rFonts w:ascii="Arial" w:hAnsi="Arial" w:cs="Arial"/>
              </w:rPr>
            </w:pP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商业（毛坯）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852.21</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jc w:val="center"/>
              <w:rPr>
                <w:rFonts w:ascii="Arial" w:hAnsi="Arial" w:cs="Arial"/>
              </w:rPr>
            </w:pPr>
          </w:p>
        </w:tc>
        <w:tc>
          <w:tcPr>
            <w:tcW w:w="2831" w:type="dxa"/>
            <w:gridSpan w:val="2"/>
            <w:vAlign w:val="center"/>
          </w:tcPr>
          <w:p>
            <w:pPr>
              <w:widowControl/>
              <w:jc w:val="center"/>
              <w:textAlignment w:val="center"/>
              <w:rPr>
                <w:rFonts w:ascii="Arial" w:hAnsi="Arial" w:cs="Arial"/>
              </w:rPr>
            </w:pPr>
            <w:r>
              <w:rPr>
                <w:rFonts w:ascii="Arial" w:hAnsi="Arial" w:cs="Arial"/>
                <w:b/>
                <w:bCs/>
                <w:kern w:val="24"/>
                <w:sz w:val="18"/>
                <w:szCs w:val="18"/>
              </w:rPr>
              <w:t>持有建筑面积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jc w:val="center"/>
              <w:rPr>
                <w:rFonts w:ascii="Arial" w:hAnsi="Arial" w:cs="Arial"/>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计容配套用房面积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3,511.13</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地上不计容建筑面积（赠送）</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34,387.00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地下商业面积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地下人防车库面积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地下非人防车库面积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34,387</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地下配套用房面积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总户数</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642.00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容积率</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1.8</w:t>
            </w:r>
          </w:p>
        </w:tc>
        <w:tc>
          <w:tcPr>
            <w:tcW w:w="1766" w:type="dxa"/>
            <w:vAlign w:val="center"/>
          </w:tcPr>
          <w:p>
            <w:pPr>
              <w:widowControl/>
              <w:spacing w:line="237" w:lineRule="atLeast"/>
              <w:jc w:val="center"/>
              <w:textAlignment w:val="center"/>
              <w:rPr>
                <w:rFonts w:ascii="Arial" w:hAnsi="Arial" w:cs="Arial"/>
                <w:kern w:val="24"/>
                <w:sz w:val="18"/>
                <w:szCs w:val="18"/>
              </w:rPr>
            </w:pPr>
            <w:r>
              <w:rPr>
                <w:rFonts w:hint="eastAsia" w:ascii="Arial" w:hAnsi="Arial" w:cs="Arial"/>
                <w:kern w:val="24"/>
                <w:sz w:val="18"/>
                <w:szCs w:val="18"/>
              </w:rPr>
              <w:t xml:space="preserve">6,240,000.00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机动车停车位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912.00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97" w:type="dxa"/>
            <w:vMerge w:val="restart"/>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地下停车位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912</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bl>
    <w:p>
      <w:pPr>
        <w:pStyle w:val="2"/>
        <w:keepNext w:val="0"/>
        <w:keepLines w:val="0"/>
        <w:spacing w:before="300" w:after="300" w:line="360" w:lineRule="exact"/>
        <w:jc w:val="left"/>
        <w:rPr>
          <w:rFonts w:ascii="Arial" w:hAnsi="Arial" w:cs="Arial"/>
          <w:szCs w:val="21"/>
        </w:rPr>
      </w:pPr>
      <w:bookmarkStart w:id="74" w:name="_Toc7203"/>
      <w:bookmarkStart w:id="75" w:name="_Toc29264"/>
      <w:bookmarkStart w:id="76" w:name="_Toc7734"/>
      <w:bookmarkStart w:id="77" w:name="_Toc11933"/>
      <w:bookmarkStart w:id="78" w:name="_Toc20465"/>
      <w:bookmarkStart w:id="79" w:name="_Toc7811"/>
      <w:bookmarkStart w:id="80" w:name="_Toc4585"/>
      <w:bookmarkStart w:id="81" w:name="_Toc5072"/>
      <w:bookmarkStart w:id="82" w:name="_Toc11151"/>
      <w:bookmarkStart w:id="83" w:name="_Toc979"/>
      <w:bookmarkStart w:id="84" w:name="_Toc24078"/>
      <w:bookmarkStart w:id="85" w:name="_Toc18822"/>
      <w:bookmarkStart w:id="86" w:name="_Toc6245"/>
      <w:bookmarkStart w:id="87" w:name="_Toc2018"/>
      <w:bookmarkStart w:id="88" w:name="_Toc1532"/>
      <w:bookmarkStart w:id="89" w:name="_Toc6921"/>
      <w:bookmarkStart w:id="90" w:name="_Toc29239"/>
      <w:bookmarkStart w:id="91" w:name="_Toc9789"/>
      <w:bookmarkStart w:id="92" w:name="_Toc4721"/>
      <w:bookmarkStart w:id="93" w:name="_Toc25418"/>
      <w:bookmarkStart w:id="94" w:name="_Toc3398"/>
      <w:bookmarkStart w:id="95" w:name="_Toc23582"/>
      <w:bookmarkStart w:id="96" w:name="_Toc32706"/>
      <w:bookmarkStart w:id="97" w:name="_Toc4962"/>
      <w:bookmarkStart w:id="98" w:name="_Toc10972"/>
      <w:bookmarkStart w:id="99" w:name="_Toc10514"/>
      <w:r>
        <w:rPr>
          <w:rFonts w:ascii="Arial" w:hAnsi="Arial" w:cs="Arial"/>
          <w:sz w:val="24"/>
          <w:szCs w:val="24"/>
        </w:rPr>
        <w:t>2重大事件披露</w:t>
      </w:r>
      <w:bookmarkEnd w:id="6"/>
      <w:bookmarkEnd w:id="51"/>
      <w:bookmarkEnd w:id="52"/>
      <w:bookmarkEnd w:id="53"/>
      <w:bookmarkEnd w:id="54"/>
      <w:bookmarkEnd w:id="55"/>
      <w:bookmarkEnd w:id="5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Start w:id="100" w:name="_Toc11536"/>
      <w:bookmarkStart w:id="101" w:name="_Toc535570749"/>
      <w:bookmarkStart w:id="102" w:name="_Toc45217875"/>
      <w:bookmarkStart w:id="103" w:name="_Toc535508635"/>
      <w:bookmarkStart w:id="104" w:name="_Toc535580022"/>
      <w:bookmarkStart w:id="105" w:name="_Toc532281656"/>
      <w:bookmarkStart w:id="106" w:name="_Toc535580090"/>
    </w:p>
    <w:p>
      <w:pPr>
        <w:numPr>
          <w:ilvl w:val="0"/>
          <w:numId w:val="1"/>
        </w:numPr>
        <w:spacing w:line="480" w:lineRule="auto"/>
        <w:ind w:left="426" w:firstLine="0"/>
        <w:rPr>
          <w:rFonts w:ascii="Arial" w:hAnsi="Arial" w:cs="Arial"/>
          <w:szCs w:val="21"/>
        </w:rPr>
      </w:pPr>
      <w:r>
        <w:rPr>
          <w:rFonts w:ascii="Arial" w:hAnsi="Arial" w:cs="Arial"/>
          <w:szCs w:val="21"/>
        </w:rPr>
        <w:t>根据与</w:t>
      </w:r>
      <w:r>
        <w:rPr>
          <w:rFonts w:ascii="Arial" w:hAnsi="Arial" w:cs="Arial"/>
          <w:szCs w:val="21"/>
          <w:lang w:bidi="ar"/>
        </w:rPr>
        <w:t>上海颖骏投资管理有限公司的借款协议，项目公司于</w:t>
      </w:r>
      <w:r>
        <w:rPr>
          <w:rFonts w:ascii="Arial" w:hAnsi="Arial" w:cs="Arial"/>
          <w:szCs w:val="21"/>
        </w:rPr>
        <w:t>202</w:t>
      </w:r>
      <w:r>
        <w:rPr>
          <w:rFonts w:hint="eastAsia" w:ascii="Arial" w:hAnsi="Arial" w:cs="Arial"/>
          <w:szCs w:val="21"/>
          <w:lang w:val="en-US" w:eastAsia="zh-CN"/>
        </w:rPr>
        <w:t>1</w:t>
      </w:r>
      <w:r>
        <w:rPr>
          <w:rFonts w:ascii="Arial" w:hAnsi="Arial" w:cs="Arial"/>
          <w:szCs w:val="21"/>
        </w:rPr>
        <w:t>年1月</w:t>
      </w:r>
      <w:r>
        <w:rPr>
          <w:rFonts w:hint="eastAsia" w:ascii="Arial" w:hAnsi="Arial" w:cs="Arial"/>
          <w:szCs w:val="21"/>
          <w:lang w:val="en-US" w:eastAsia="zh-CN"/>
        </w:rPr>
        <w:t>8</w:t>
      </w:r>
      <w:r>
        <w:rPr>
          <w:rFonts w:ascii="Arial" w:hAnsi="Arial" w:cs="Arial"/>
          <w:szCs w:val="21"/>
        </w:rPr>
        <w:t>日向</w:t>
      </w:r>
      <w:r>
        <w:rPr>
          <w:rFonts w:ascii="Arial" w:hAnsi="Arial" w:cs="Arial"/>
          <w:szCs w:val="21"/>
          <w:lang w:bidi="ar"/>
        </w:rPr>
        <w:t>上海颖骏投资管理有限公司偿还借款</w:t>
      </w:r>
      <w:r>
        <w:rPr>
          <w:rFonts w:hint="eastAsia" w:ascii="Arial" w:hAnsi="Arial" w:cs="Arial"/>
          <w:szCs w:val="21"/>
          <w:lang w:bidi="ar"/>
        </w:rPr>
        <w:t>6,930,000.00</w:t>
      </w:r>
      <w:r>
        <w:rPr>
          <w:rFonts w:ascii="Arial" w:hAnsi="Arial" w:cs="Arial"/>
          <w:szCs w:val="21"/>
          <w:lang w:bidi="ar"/>
        </w:rPr>
        <w:t>元</w:t>
      </w:r>
      <w:bookmarkEnd w:id="100"/>
      <w:r>
        <w:rPr>
          <w:rFonts w:ascii="Arial" w:hAnsi="Arial" w:cs="Arial"/>
          <w:szCs w:val="21"/>
          <w:lang w:bidi="ar"/>
        </w:rPr>
        <w:t>。（详见项目公司往来款明细表）</w:t>
      </w:r>
    </w:p>
    <w:p>
      <w:pPr>
        <w:numPr>
          <w:ilvl w:val="0"/>
          <w:numId w:val="1"/>
        </w:numPr>
        <w:spacing w:line="480" w:lineRule="auto"/>
        <w:ind w:left="426" w:firstLine="0"/>
        <w:rPr>
          <w:rFonts w:ascii="Arial" w:hAnsi="Arial" w:cs="Arial"/>
          <w:szCs w:val="21"/>
        </w:rPr>
      </w:pPr>
      <w:r>
        <w:rPr>
          <w:rFonts w:ascii="Arial" w:hAnsi="Arial" w:cs="Arial"/>
          <w:szCs w:val="21"/>
        </w:rPr>
        <w:t>项目公司于202</w:t>
      </w:r>
      <w:r>
        <w:rPr>
          <w:rFonts w:hint="eastAsia" w:ascii="Arial" w:hAnsi="Arial" w:cs="Arial"/>
          <w:szCs w:val="21"/>
          <w:lang w:val="en-US" w:eastAsia="zh-CN"/>
        </w:rPr>
        <w:t>1</w:t>
      </w:r>
      <w:r>
        <w:rPr>
          <w:rFonts w:ascii="Arial" w:hAnsi="Arial" w:cs="Arial"/>
          <w:szCs w:val="21"/>
        </w:rPr>
        <w:t>年1月</w:t>
      </w:r>
      <w:r>
        <w:rPr>
          <w:rFonts w:hint="eastAsia" w:ascii="Arial" w:hAnsi="Arial" w:cs="Arial"/>
          <w:szCs w:val="21"/>
          <w:lang w:val="en-US" w:eastAsia="zh-CN"/>
        </w:rPr>
        <w:t>8</w:t>
      </w:r>
      <w:r>
        <w:rPr>
          <w:rFonts w:ascii="Arial" w:hAnsi="Arial" w:cs="Arial"/>
          <w:szCs w:val="21"/>
        </w:rPr>
        <w:t>日收到中航信托资本公积</w:t>
      </w:r>
      <w:r>
        <w:rPr>
          <w:rFonts w:hint="eastAsia" w:ascii="Arial" w:hAnsi="Arial" w:cs="Arial"/>
          <w:szCs w:val="21"/>
          <w:lang w:bidi="ar"/>
        </w:rPr>
        <w:t>6,930,000.00</w:t>
      </w:r>
      <w:r>
        <w:rPr>
          <w:rFonts w:ascii="Arial" w:hAnsi="Arial" w:cs="Arial"/>
          <w:szCs w:val="21"/>
        </w:rPr>
        <w:t>元；202</w:t>
      </w:r>
      <w:r>
        <w:rPr>
          <w:rFonts w:hint="eastAsia" w:ascii="Arial" w:hAnsi="Arial" w:cs="Arial"/>
          <w:szCs w:val="21"/>
          <w:lang w:val="en-US" w:eastAsia="zh-CN"/>
        </w:rPr>
        <w:t>1</w:t>
      </w:r>
      <w:r>
        <w:rPr>
          <w:rFonts w:ascii="Arial" w:hAnsi="Arial" w:cs="Arial"/>
          <w:szCs w:val="21"/>
        </w:rPr>
        <w:t>年1月</w:t>
      </w:r>
      <w:r>
        <w:rPr>
          <w:rFonts w:hint="eastAsia" w:ascii="Arial" w:hAnsi="Arial" w:cs="Arial"/>
          <w:szCs w:val="21"/>
          <w:lang w:val="en-US" w:eastAsia="zh-CN"/>
        </w:rPr>
        <w:t>15</w:t>
      </w:r>
      <w:r>
        <w:rPr>
          <w:rFonts w:ascii="Arial" w:hAnsi="Arial" w:cs="Arial"/>
          <w:szCs w:val="21"/>
        </w:rPr>
        <w:t>日收到中航信托资本公积</w:t>
      </w:r>
      <w:r>
        <w:rPr>
          <w:rFonts w:hint="eastAsia" w:ascii="Arial" w:hAnsi="Arial" w:cs="Arial"/>
          <w:szCs w:val="21"/>
          <w:lang w:bidi="ar"/>
        </w:rPr>
        <w:t xml:space="preserve">4,250,000.00 </w:t>
      </w:r>
      <w:r>
        <w:rPr>
          <w:rFonts w:ascii="Arial" w:hAnsi="Arial" w:cs="Arial"/>
          <w:szCs w:val="21"/>
        </w:rPr>
        <w:t>元</w:t>
      </w:r>
      <w:r>
        <w:rPr>
          <w:rFonts w:hint="eastAsia" w:ascii="Arial" w:hAnsi="Arial" w:cs="Arial"/>
          <w:szCs w:val="21"/>
          <w:lang w:eastAsia="zh-CN"/>
        </w:rPr>
        <w:t>；</w:t>
      </w:r>
      <w:r>
        <w:rPr>
          <w:rFonts w:ascii="Arial" w:hAnsi="Arial" w:cs="Arial"/>
          <w:szCs w:val="21"/>
        </w:rPr>
        <w:t>202</w:t>
      </w:r>
      <w:r>
        <w:rPr>
          <w:rFonts w:hint="eastAsia" w:ascii="Arial" w:hAnsi="Arial" w:cs="Arial"/>
          <w:szCs w:val="21"/>
          <w:lang w:val="en-US" w:eastAsia="zh-CN"/>
        </w:rPr>
        <w:t>1</w:t>
      </w:r>
      <w:r>
        <w:rPr>
          <w:rFonts w:ascii="Arial" w:hAnsi="Arial" w:cs="Arial"/>
          <w:szCs w:val="21"/>
        </w:rPr>
        <w:t>年1月</w:t>
      </w:r>
      <w:r>
        <w:rPr>
          <w:rFonts w:hint="eastAsia" w:ascii="Arial" w:hAnsi="Arial" w:cs="Arial"/>
          <w:szCs w:val="21"/>
          <w:lang w:val="en-US" w:eastAsia="zh-CN"/>
        </w:rPr>
        <w:t>21</w:t>
      </w:r>
      <w:r>
        <w:rPr>
          <w:rFonts w:ascii="Arial" w:hAnsi="Arial" w:cs="Arial"/>
          <w:szCs w:val="21"/>
        </w:rPr>
        <w:t>日收到中航信托资本公积</w:t>
      </w:r>
      <w:r>
        <w:rPr>
          <w:rFonts w:hint="eastAsia" w:ascii="Arial" w:hAnsi="Arial" w:cs="Arial"/>
          <w:szCs w:val="21"/>
          <w:lang w:bidi="ar"/>
        </w:rPr>
        <w:t xml:space="preserve">14,360,000.00  </w:t>
      </w:r>
      <w:r>
        <w:rPr>
          <w:rFonts w:ascii="Arial" w:hAnsi="Arial" w:cs="Arial"/>
          <w:szCs w:val="21"/>
        </w:rPr>
        <w:t>元（详见项目公司资金流入情况表）</w:t>
      </w:r>
    </w:p>
    <w:p>
      <w:pPr>
        <w:numPr>
          <w:ilvl w:val="0"/>
          <w:numId w:val="1"/>
        </w:numPr>
        <w:spacing w:line="480" w:lineRule="auto"/>
        <w:ind w:left="426" w:leftChars="0" w:firstLine="0" w:firstLineChars="0"/>
        <w:rPr>
          <w:rFonts w:hint="default" w:ascii="Arial" w:hAnsi="Arial" w:eastAsia="宋体"/>
          <w:szCs w:val="21"/>
          <w:highlight w:val="none"/>
          <w:lang w:val="en-US" w:eastAsia="zh-CN"/>
        </w:rPr>
      </w:pPr>
      <w:r>
        <w:rPr>
          <w:rFonts w:hint="eastAsia" w:ascii="Arial" w:hAnsi="Arial" w:cs="Times New Roman"/>
          <w:szCs w:val="21"/>
          <w:lang w:val="en-US" w:eastAsia="zh-CN"/>
        </w:rPr>
        <w:t>2021年1月10日项目开盘</w:t>
      </w:r>
      <w:r>
        <w:rPr>
          <w:rFonts w:hint="eastAsia" w:ascii="Arial" w:hAnsi="Arial"/>
          <w:szCs w:val="21"/>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107" w:name="_Toc27206"/>
      <w:bookmarkStart w:id="108" w:name="_Toc2846"/>
      <w:bookmarkStart w:id="109" w:name="_Toc10835"/>
      <w:bookmarkStart w:id="110" w:name="_Toc29796"/>
      <w:bookmarkStart w:id="111" w:name="_Toc27344"/>
      <w:bookmarkStart w:id="112" w:name="_Toc17407"/>
      <w:bookmarkStart w:id="113" w:name="_Toc10540"/>
      <w:bookmarkStart w:id="114" w:name="_Toc19663"/>
      <w:bookmarkStart w:id="115" w:name="_Toc12527"/>
      <w:bookmarkStart w:id="116" w:name="_Toc9691"/>
      <w:bookmarkStart w:id="117" w:name="_Toc2544"/>
      <w:bookmarkStart w:id="118" w:name="_Toc23455"/>
      <w:bookmarkStart w:id="119" w:name="_Toc6615"/>
      <w:bookmarkStart w:id="120" w:name="_Toc12977"/>
      <w:bookmarkStart w:id="121" w:name="_Toc25504"/>
      <w:bookmarkStart w:id="122" w:name="_Toc31624"/>
      <w:bookmarkStart w:id="123" w:name="_Toc15531"/>
      <w:bookmarkStart w:id="124" w:name="_Toc13618"/>
      <w:bookmarkStart w:id="125" w:name="_Toc5634"/>
      <w:bookmarkStart w:id="126" w:name="_Toc3093"/>
      <w:bookmarkStart w:id="127" w:name="_Toc13787"/>
      <w:bookmarkStart w:id="128" w:name="_Toc27120"/>
      <w:bookmarkStart w:id="129" w:name="_Toc22916"/>
      <w:bookmarkStart w:id="130" w:name="_Toc20290"/>
      <w:bookmarkStart w:id="131" w:name="_Toc22188"/>
      <w:bookmarkStart w:id="132" w:name="_Toc7713"/>
      <w:r>
        <w:rPr>
          <w:rFonts w:ascii="Arial" w:hAnsi="Arial" w:cs="Arial"/>
          <w:color w:val="000000"/>
          <w:sz w:val="24"/>
          <w:szCs w:val="24"/>
        </w:rPr>
        <w:t>3项目五证办理及施工进度情况</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eastAsia="宋体" w:cs="Arial"/>
          <w:sz w:val="24"/>
        </w:rPr>
      </w:pPr>
      <w:bookmarkStart w:id="133" w:name="_Toc31196"/>
      <w:bookmarkStart w:id="134" w:name="_Toc26816"/>
      <w:bookmarkStart w:id="135" w:name="_Toc14609"/>
      <w:bookmarkStart w:id="136" w:name="_Toc25865"/>
      <w:bookmarkStart w:id="137" w:name="_Toc10109"/>
      <w:bookmarkStart w:id="138" w:name="_Toc10147"/>
      <w:bookmarkStart w:id="139" w:name="_Toc535580023"/>
      <w:bookmarkStart w:id="140" w:name="_Toc30238"/>
      <w:bookmarkStart w:id="141" w:name="_Toc23092"/>
      <w:bookmarkStart w:id="142" w:name="_Toc535508636"/>
      <w:bookmarkStart w:id="143" w:name="_Toc2173"/>
      <w:bookmarkStart w:id="144" w:name="_Toc45217876"/>
      <w:bookmarkStart w:id="145" w:name="_Toc2085"/>
      <w:bookmarkStart w:id="146" w:name="_Toc4361"/>
      <w:bookmarkStart w:id="147" w:name="_Toc535580091"/>
      <w:bookmarkStart w:id="148" w:name="_Toc19011"/>
      <w:bookmarkStart w:id="149" w:name="_Toc7484"/>
      <w:bookmarkStart w:id="150" w:name="_Toc5601"/>
      <w:bookmarkStart w:id="151" w:name="_Toc15959"/>
      <w:bookmarkStart w:id="152" w:name="_Toc532281657"/>
      <w:bookmarkStart w:id="153" w:name="_Toc32146"/>
      <w:bookmarkStart w:id="154" w:name="_Toc5455"/>
      <w:bookmarkStart w:id="155" w:name="_Toc8286"/>
      <w:bookmarkStart w:id="156" w:name="_Toc17332"/>
      <w:bookmarkStart w:id="157" w:name="_Toc21233"/>
      <w:bookmarkStart w:id="158" w:name="_Toc8591"/>
      <w:bookmarkStart w:id="159" w:name="_Toc9785"/>
      <w:bookmarkStart w:id="160" w:name="_Toc16110"/>
      <w:bookmarkStart w:id="161" w:name="_Toc23386"/>
      <w:bookmarkStart w:id="162" w:name="_Toc535570750"/>
      <w:bookmarkStart w:id="163" w:name="_Toc26557"/>
      <w:bookmarkStart w:id="164" w:name="_Toc22692"/>
      <w:r>
        <w:rPr>
          <w:rFonts w:eastAsia="宋体" w:cs="Arial"/>
          <w:sz w:val="24"/>
        </w:rPr>
        <w:t>3.1项目五证办理情况说明</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pPr>
        <w:spacing w:line="480" w:lineRule="auto"/>
        <w:ind w:firstLine="420" w:firstLineChars="200"/>
        <w:rPr>
          <w:rFonts w:ascii="Arial" w:hAnsi="Arial" w:cs="Arial"/>
          <w:b/>
          <w:bCs/>
          <w:kern w:val="44"/>
          <w:sz w:val="24"/>
          <w:szCs w:val="44"/>
        </w:rPr>
      </w:pPr>
      <w:r>
        <w:rPr>
          <w:rFonts w:ascii="Arial" w:hAnsi="Arial" w:cs="Arial"/>
          <w:szCs w:val="21"/>
        </w:rPr>
        <w:t>截止到202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31</w:t>
      </w:r>
      <w:r>
        <w:rPr>
          <w:rFonts w:ascii="Arial" w:hAnsi="Arial" w:cs="Arial"/>
          <w:szCs w:val="21"/>
        </w:rPr>
        <w:t>日项目已经取得了国有土地使用证、建设用地规划许可证</w:t>
      </w:r>
      <w:r>
        <w:rPr>
          <w:rFonts w:hint="eastAsia" w:ascii="Arial" w:hAnsi="Arial" w:cs="Arial"/>
          <w:szCs w:val="21"/>
          <w:lang w:eastAsia="zh-CN"/>
        </w:rPr>
        <w:t>、</w:t>
      </w:r>
      <w:r>
        <w:rPr>
          <w:rFonts w:hint="eastAsia" w:ascii="Arial" w:hAnsi="Arial"/>
          <w:szCs w:val="21"/>
          <w:highlight w:val="none"/>
          <w:lang w:val="en-US" w:eastAsia="zh-CN"/>
        </w:rPr>
        <w:t>建设工程规划许可证、建筑工程施工许可证，预售许可证。</w:t>
      </w:r>
      <w:r>
        <w:rPr>
          <w:rFonts w:ascii="Arial" w:hAnsi="Arial" w:cs="Arial"/>
          <w:szCs w:val="21"/>
        </w:rPr>
        <w:t>具体证照办理进度情况如下表：</w:t>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491" w:type="dxa"/>
        <w:jc w:val="center"/>
        <w:tblLayout w:type="fixed"/>
        <w:tblCellMar>
          <w:top w:w="0" w:type="dxa"/>
          <w:left w:w="0" w:type="dxa"/>
          <w:bottom w:w="0" w:type="dxa"/>
          <w:right w:w="0" w:type="dxa"/>
        </w:tblCellMar>
      </w:tblPr>
      <w:tblGrid>
        <w:gridCol w:w="439"/>
        <w:gridCol w:w="1121"/>
        <w:gridCol w:w="3591"/>
        <w:gridCol w:w="1325"/>
        <w:gridCol w:w="1150"/>
        <w:gridCol w:w="1865"/>
      </w:tblGrid>
      <w:tr>
        <w:tblPrEx>
          <w:tblCellMar>
            <w:top w:w="0" w:type="dxa"/>
            <w:left w:w="0" w:type="dxa"/>
            <w:bottom w:w="0" w:type="dxa"/>
            <w:right w:w="0" w:type="dxa"/>
          </w:tblCellMar>
        </w:tblPrEx>
        <w:trPr>
          <w:cantSplit/>
          <w:trHeight w:val="562" w:hRule="atLeast"/>
          <w:tblHeader/>
          <w:jc w:val="center"/>
        </w:trPr>
        <w:tc>
          <w:tcPr>
            <w:tcW w:w="4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5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预计取证日期</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86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318" w:hRule="atLeast"/>
          <w:jc w:val="center"/>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kern w:val="0"/>
                <w:sz w:val="18"/>
                <w:szCs w:val="18"/>
                <w:lang w:bidi="ar"/>
              </w:rPr>
              <w:t>2020/</w:t>
            </w:r>
            <w:r>
              <w:rPr>
                <w:rFonts w:hint="eastAsia" w:ascii="Arial" w:hAnsi="Arial" w:cs="Arial"/>
                <w:color w:val="000000"/>
                <w:kern w:val="0"/>
                <w:sz w:val="18"/>
                <w:szCs w:val="18"/>
                <w:lang w:val="en-US" w:eastAsia="zh-CN" w:bidi="ar"/>
              </w:rPr>
              <w:t>10</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9</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已纳入共管</w:t>
            </w:r>
          </w:p>
        </w:tc>
      </w:tr>
      <w:tr>
        <w:tblPrEx>
          <w:tblCellMar>
            <w:top w:w="0" w:type="dxa"/>
            <w:left w:w="0" w:type="dxa"/>
            <w:bottom w:w="0" w:type="dxa"/>
            <w:right w:w="0" w:type="dxa"/>
          </w:tblCellMar>
        </w:tblPrEx>
        <w:trPr>
          <w:cantSplit/>
          <w:trHeight w:val="480" w:hRule="atLeast"/>
          <w:jc w:val="center"/>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ascii="Arial" w:hAnsi="Arial" w:cs="Arial"/>
                <w:color w:val="000000"/>
                <w:kern w:val="0"/>
                <w:sz w:val="18"/>
                <w:szCs w:val="18"/>
                <w:lang w:bidi="ar"/>
              </w:rPr>
              <w:t>2020/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30</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已纳入共管</w:t>
            </w:r>
          </w:p>
        </w:tc>
      </w:tr>
      <w:tr>
        <w:tblPrEx>
          <w:tblCellMar>
            <w:top w:w="0" w:type="dxa"/>
            <w:left w:w="0" w:type="dxa"/>
            <w:bottom w:w="0" w:type="dxa"/>
            <w:right w:w="0" w:type="dxa"/>
          </w:tblCellMar>
        </w:tblPrEx>
        <w:trPr>
          <w:cantSplit/>
          <w:trHeight w:val="853" w:hRule="atLeast"/>
          <w:jc w:val="center"/>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w:hAnsi="Arial" w:cs="Arial"/>
                <w:sz w:val="18"/>
                <w:szCs w:val="18"/>
              </w:rPr>
            </w:pPr>
            <w:r>
              <w:rPr>
                <w:rFonts w:ascii="Arial" w:hAnsi="Arial" w:cs="Arial"/>
                <w:sz w:val="18"/>
                <w:szCs w:val="18"/>
              </w:rPr>
              <w:t>已经立项、有批准、核准、备案等文件</w:t>
            </w:r>
          </w:p>
          <w:p>
            <w:pPr>
              <w:widowControl/>
              <w:numPr>
                <w:ilvl w:val="0"/>
                <w:numId w:val="2"/>
              </w:numPr>
              <w:jc w:val="center"/>
              <w:textAlignment w:val="center"/>
              <w:rPr>
                <w:rFonts w:ascii="Arial" w:hAnsi="Arial" w:cs="Arial"/>
                <w:sz w:val="18"/>
                <w:szCs w:val="18"/>
              </w:rPr>
            </w:pPr>
            <w:r>
              <w:rPr>
                <w:rFonts w:ascii="Arial" w:hAnsi="Arial" w:cs="Arial"/>
                <w:sz w:val="18"/>
                <w:szCs w:val="18"/>
              </w:rPr>
              <w:t>取得土地证</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kern w:val="0"/>
                <w:sz w:val="18"/>
                <w:szCs w:val="18"/>
                <w:lang w:val="en-US" w:eastAsia="zh-CN" w:bidi="ar"/>
              </w:rPr>
              <w:t>2020/12/11</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ascii="Arial" w:hAnsi="Arial" w:cs="Arial"/>
                <w:color w:val="000000"/>
                <w:kern w:val="0"/>
                <w:sz w:val="18"/>
                <w:szCs w:val="18"/>
                <w:lang w:bidi="ar"/>
              </w:rPr>
              <w:t>已纳入共管</w:t>
            </w:r>
          </w:p>
        </w:tc>
      </w:tr>
      <w:tr>
        <w:tblPrEx>
          <w:tblCellMar>
            <w:top w:w="0" w:type="dxa"/>
            <w:left w:w="0" w:type="dxa"/>
            <w:bottom w:w="0" w:type="dxa"/>
            <w:right w:w="0" w:type="dxa"/>
          </w:tblCellMar>
        </w:tblPrEx>
        <w:trPr>
          <w:cantSplit/>
          <w:trHeight w:val="270" w:hRule="atLeast"/>
          <w:jc w:val="center"/>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sz w:val="18"/>
                <w:szCs w:val="18"/>
              </w:rPr>
              <w:t xml:space="preserve">1、已经办理该建筑工程用地批准手续。 </w:t>
            </w:r>
          </w:p>
          <w:p>
            <w:pPr>
              <w:widowControl/>
              <w:jc w:val="center"/>
              <w:textAlignment w:val="center"/>
              <w:rPr>
                <w:rFonts w:ascii="Arial" w:hAnsi="Arial" w:cs="Arial"/>
                <w:sz w:val="18"/>
                <w:szCs w:val="18"/>
              </w:rPr>
            </w:pPr>
            <w:r>
              <w:rPr>
                <w:rFonts w:ascii="Arial" w:hAnsi="Arial" w:cs="Arial"/>
                <w:sz w:val="18"/>
                <w:szCs w:val="18"/>
              </w:rPr>
              <w:t>2、已经取得建设工程规划许可证。</w:t>
            </w:r>
          </w:p>
          <w:p>
            <w:pPr>
              <w:widowControl/>
              <w:jc w:val="center"/>
              <w:textAlignment w:val="center"/>
              <w:rPr>
                <w:rFonts w:ascii="Arial" w:hAnsi="Arial" w:cs="Arial"/>
                <w:sz w:val="18"/>
                <w:szCs w:val="18"/>
              </w:rPr>
            </w:pPr>
            <w:r>
              <w:rPr>
                <w:rFonts w:ascii="Arial" w:hAnsi="Arial" w:cs="Arial"/>
                <w:sz w:val="18"/>
                <w:szCs w:val="18"/>
              </w:rPr>
              <w:t>3、施工场地已经基本具备施工条件，需要拆迁的，其拆迁进度符合施工要求。</w:t>
            </w:r>
          </w:p>
          <w:p>
            <w:pPr>
              <w:widowControl/>
              <w:jc w:val="center"/>
              <w:textAlignment w:val="center"/>
              <w:rPr>
                <w:rFonts w:ascii="Arial" w:hAnsi="Arial" w:cs="Arial"/>
                <w:sz w:val="18"/>
                <w:szCs w:val="18"/>
              </w:rPr>
            </w:pPr>
            <w:r>
              <w:rPr>
                <w:rFonts w:ascii="Arial" w:hAnsi="Arial" w:cs="Arial"/>
                <w:sz w:val="18"/>
                <w:szCs w:val="18"/>
              </w:rPr>
              <w:t>4、已经确定施工企业。</w:t>
            </w:r>
          </w:p>
          <w:p>
            <w:pPr>
              <w:widowControl/>
              <w:jc w:val="center"/>
              <w:textAlignment w:val="center"/>
              <w:rPr>
                <w:rFonts w:ascii="Arial" w:hAnsi="Arial" w:cs="Arial"/>
                <w:sz w:val="18"/>
                <w:szCs w:val="18"/>
              </w:rPr>
            </w:pPr>
            <w:r>
              <w:rPr>
                <w:rFonts w:ascii="Arial" w:hAnsi="Arial" w:cs="Arial"/>
                <w:sz w:val="18"/>
                <w:szCs w:val="18"/>
              </w:rPr>
              <w:t xml:space="preserve">5、已满足施工需要的施工图纸及技术资料，施工图设计文件已按规定进行了审查。 </w:t>
            </w:r>
          </w:p>
          <w:p>
            <w:pPr>
              <w:widowControl/>
              <w:jc w:val="center"/>
              <w:textAlignment w:val="center"/>
              <w:rPr>
                <w:rFonts w:ascii="Arial" w:hAnsi="Arial" w:cs="Arial"/>
                <w:sz w:val="18"/>
                <w:szCs w:val="18"/>
              </w:rPr>
            </w:pPr>
            <w:r>
              <w:rPr>
                <w:rFonts w:ascii="Arial" w:hAnsi="Arial" w:cs="Arial"/>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sz w:val="18"/>
                <w:szCs w:val="18"/>
              </w:rPr>
            </w:pPr>
            <w:r>
              <w:rPr>
                <w:rFonts w:ascii="Arial" w:hAnsi="Arial" w:cs="Arial"/>
                <w:sz w:val="18"/>
                <w:szCs w:val="18"/>
              </w:rPr>
              <w:t>7、按照规定应该委托监理的工程已委托监理。</w:t>
            </w:r>
          </w:p>
          <w:p>
            <w:pPr>
              <w:widowControl/>
              <w:jc w:val="center"/>
              <w:textAlignment w:val="center"/>
              <w:rPr>
                <w:rFonts w:ascii="Arial" w:hAnsi="Arial" w:cs="Arial"/>
                <w:sz w:val="18"/>
                <w:szCs w:val="18"/>
              </w:rPr>
            </w:pPr>
            <w:r>
              <w:rPr>
                <w:rFonts w:ascii="Arial" w:hAnsi="Arial" w:cs="Arial"/>
                <w:sz w:val="18"/>
                <w:szCs w:val="18"/>
              </w:rPr>
              <w:t>8、建设资金已经落实。</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val="en-US" w:eastAsia="zh-CN" w:bidi="ar"/>
              </w:rPr>
              <w:t>2020/12/11</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已纳入共管</w:t>
            </w:r>
          </w:p>
        </w:tc>
      </w:tr>
      <w:tr>
        <w:tblPrEx>
          <w:tblCellMar>
            <w:top w:w="0" w:type="dxa"/>
            <w:left w:w="0" w:type="dxa"/>
            <w:bottom w:w="0" w:type="dxa"/>
            <w:right w:w="0" w:type="dxa"/>
          </w:tblCellMar>
        </w:tblPrEx>
        <w:trPr>
          <w:cantSplit/>
          <w:trHeight w:val="1758" w:hRule="atLeast"/>
          <w:jc w:val="center"/>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59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办理商品房预售许可证时，无需解除在先的土地抵押与在建工程抵押，但需要抵押权人出具同意预售的函;2、预售证可分批次办理，预售面积不得小于2万m²，单个预售证办理开发建设的资金占工程建设总投资的25%以上且已出正负零;3、办理预售证需要现场查勘。</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sz w:val="18"/>
                <w:szCs w:val="18"/>
                <w:lang w:val="en-US"/>
              </w:rPr>
            </w:pPr>
            <w:r>
              <w:rPr>
                <w:rFonts w:hint="eastAsia" w:ascii="Arial" w:hAnsi="Arial" w:cs="Arial"/>
                <w:color w:val="000000"/>
                <w:kern w:val="0"/>
                <w:sz w:val="18"/>
                <w:szCs w:val="18"/>
                <w:lang w:val="en-US" w:eastAsia="zh-CN" w:bidi="ar"/>
              </w:rPr>
              <w:t>2020/12/22</w:t>
            </w:r>
          </w:p>
        </w:tc>
        <w:tc>
          <w:tcPr>
            <w:tcW w:w="18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ascii="Arial" w:hAnsi="Arial" w:cs="Arial"/>
                <w:color w:val="000000"/>
                <w:kern w:val="0"/>
                <w:sz w:val="18"/>
                <w:szCs w:val="18"/>
                <w:lang w:bidi="ar"/>
              </w:rPr>
              <w:t>已纳入共管</w:t>
            </w:r>
          </w:p>
        </w:tc>
      </w:tr>
    </w:tbl>
    <w:p>
      <w:pPr>
        <w:ind w:firstLine="360" w:firstLineChars="200"/>
        <w:rPr>
          <w:rFonts w:ascii="Arial" w:hAnsi="Arial" w:cs="Arial"/>
          <w:bCs/>
          <w:kern w:val="44"/>
          <w:sz w:val="18"/>
          <w:szCs w:val="18"/>
        </w:rPr>
      </w:pPr>
      <w:r>
        <w:rPr>
          <w:rFonts w:ascii="Arial" w:hAnsi="Arial" w:cs="Arial"/>
          <w:bCs/>
          <w:kern w:val="44"/>
          <w:sz w:val="18"/>
          <w:szCs w:val="18"/>
        </w:rPr>
        <w:t>注：以上表格中的五证计划取得时间数据依据信托尽调报告所填列，实际取得时间以实际情况为准。</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eastAsia="宋体" w:cs="Arial"/>
          <w:sz w:val="24"/>
        </w:rPr>
      </w:pPr>
      <w:bookmarkStart w:id="165" w:name="_Toc11834"/>
      <w:bookmarkStart w:id="166" w:name="_Toc18163"/>
      <w:bookmarkStart w:id="167" w:name="_Toc32420"/>
      <w:bookmarkStart w:id="168" w:name="_Toc5783"/>
      <w:bookmarkStart w:id="169" w:name="_Toc9840"/>
      <w:bookmarkStart w:id="170" w:name="_Toc29257"/>
      <w:bookmarkStart w:id="171" w:name="_Toc16295"/>
      <w:bookmarkStart w:id="172" w:name="_Toc24063"/>
      <w:bookmarkStart w:id="173" w:name="_Toc21296"/>
      <w:bookmarkStart w:id="174" w:name="_Toc22979"/>
      <w:bookmarkStart w:id="175" w:name="_Toc19540"/>
      <w:bookmarkStart w:id="176" w:name="_Toc11581"/>
      <w:bookmarkStart w:id="177" w:name="_Toc352"/>
      <w:bookmarkStart w:id="178" w:name="_Toc8552"/>
      <w:bookmarkStart w:id="179" w:name="_Toc7898"/>
      <w:bookmarkStart w:id="180" w:name="_Toc13206"/>
      <w:bookmarkStart w:id="181" w:name="_Toc7111"/>
      <w:bookmarkStart w:id="182" w:name="_Toc45217877"/>
      <w:bookmarkStart w:id="183" w:name="_Toc14867"/>
      <w:bookmarkStart w:id="184" w:name="_Toc26908"/>
      <w:bookmarkStart w:id="185" w:name="_Toc25561"/>
      <w:bookmarkStart w:id="186" w:name="_Toc532281658"/>
      <w:bookmarkStart w:id="187" w:name="_Toc20083"/>
      <w:bookmarkStart w:id="188" w:name="_Toc1778"/>
      <w:bookmarkStart w:id="189" w:name="_Toc535580092"/>
      <w:bookmarkStart w:id="190" w:name="_Toc535570751"/>
      <w:bookmarkStart w:id="191" w:name="_Toc535508637"/>
      <w:bookmarkStart w:id="192" w:name="_Toc8131"/>
      <w:bookmarkStart w:id="193" w:name="_Toc3081"/>
      <w:bookmarkStart w:id="194" w:name="_Toc535580024"/>
      <w:bookmarkStart w:id="195" w:name="_Toc32321"/>
      <w:bookmarkStart w:id="196" w:name="_Toc10110"/>
      <w:r>
        <w:rPr>
          <w:rFonts w:eastAsia="宋体" w:cs="Arial"/>
          <w:sz w:val="24"/>
        </w:rPr>
        <w:t>3.2项目施工情况</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b/>
          <w:sz w:val="24"/>
        </w:rPr>
      </w:pPr>
      <w:bookmarkStart w:id="197" w:name="_Toc24708"/>
      <w:bookmarkStart w:id="198" w:name="_Toc8027"/>
      <w:bookmarkStart w:id="199" w:name="_Toc16700"/>
      <w:bookmarkStart w:id="200" w:name="_Toc8524"/>
      <w:bookmarkStart w:id="201" w:name="_Toc15612"/>
      <w:bookmarkStart w:id="202" w:name="_Toc15119"/>
      <w:bookmarkStart w:id="203" w:name="_Toc7563"/>
      <w:bookmarkStart w:id="204" w:name="_Toc31522"/>
      <w:bookmarkStart w:id="205" w:name="_Toc18918"/>
      <w:bookmarkStart w:id="206" w:name="_Toc1368"/>
      <w:bookmarkStart w:id="207" w:name="_Toc15389"/>
      <w:bookmarkStart w:id="208" w:name="_Toc11543"/>
      <w:bookmarkStart w:id="209" w:name="_Toc17539"/>
      <w:bookmarkStart w:id="210" w:name="_Toc30283"/>
      <w:bookmarkStart w:id="211" w:name="_Toc2250"/>
      <w:r>
        <w:rPr>
          <w:rFonts w:hint="default" w:ascii="Arial" w:hAnsi="Arial" w:eastAsia="宋体" w:cs="Arial"/>
          <w:b/>
          <w:sz w:val="24"/>
        </w:rPr>
        <w:t>3.2.1项目202</w:t>
      </w:r>
      <w:r>
        <w:rPr>
          <w:rFonts w:hint="default" w:ascii="Arial" w:hAnsi="Arial" w:eastAsia="宋体" w:cs="Arial"/>
          <w:b/>
          <w:sz w:val="24"/>
          <w:lang w:val="en-US" w:eastAsia="zh-CN"/>
        </w:rPr>
        <w:t>1</w:t>
      </w:r>
      <w:r>
        <w:rPr>
          <w:rFonts w:hint="default" w:ascii="Arial" w:hAnsi="Arial" w:eastAsia="宋体" w:cs="Arial"/>
          <w:b/>
          <w:sz w:val="24"/>
        </w:rPr>
        <w:t>年</w:t>
      </w:r>
      <w:r>
        <w:rPr>
          <w:rFonts w:hint="default" w:ascii="Arial" w:hAnsi="Arial" w:eastAsia="宋体" w:cs="Arial"/>
          <w:b/>
          <w:sz w:val="24"/>
          <w:lang w:val="en-US" w:eastAsia="zh-CN"/>
        </w:rPr>
        <w:t>1</w:t>
      </w:r>
      <w:r>
        <w:rPr>
          <w:rFonts w:hint="default" w:ascii="Arial" w:hAnsi="Arial" w:eastAsia="宋体" w:cs="Arial"/>
          <w:b/>
          <w:sz w:val="24"/>
        </w:rPr>
        <w:t>月施工进度情况</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Fonts w:hint="default" w:ascii="Arial" w:hAnsi="Arial" w:eastAsia="宋体" w:cs="Arial"/>
          <w:b/>
          <w:sz w:val="24"/>
        </w:rPr>
        <w:t>及</w:t>
      </w:r>
      <w:r>
        <w:rPr>
          <w:rFonts w:hint="default" w:ascii="Arial" w:hAnsi="Arial" w:eastAsia="宋体" w:cs="Arial"/>
          <w:b/>
          <w:sz w:val="24"/>
          <w:lang w:val="en-US" w:eastAsia="zh-CN"/>
        </w:rPr>
        <w:t>2021年2</w:t>
      </w:r>
      <w:r>
        <w:rPr>
          <w:rFonts w:hint="default" w:ascii="Arial" w:hAnsi="Arial" w:eastAsia="宋体" w:cs="Arial"/>
          <w:b/>
          <w:sz w:val="24"/>
        </w:rPr>
        <w:t>月施工计划</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pPr>
        <w:spacing w:line="480" w:lineRule="auto"/>
        <w:ind w:firstLine="420" w:firstLineChars="200"/>
        <w:rPr>
          <w:rFonts w:ascii="Arial" w:hAnsi="Arial" w:cs="Arial"/>
          <w:szCs w:val="21"/>
        </w:rPr>
      </w:pPr>
    </w:p>
    <w:p>
      <w:pPr>
        <w:spacing w:line="480" w:lineRule="auto"/>
        <w:ind w:firstLine="420" w:firstLineChars="200"/>
        <w:rPr>
          <w:rFonts w:ascii="Arial" w:hAnsi="Arial" w:cs="Arial"/>
          <w:szCs w:val="21"/>
        </w:rPr>
      </w:pPr>
      <w:r>
        <w:rPr>
          <w:rFonts w:ascii="Arial" w:hAnsi="Arial" w:cs="Arial"/>
          <w:szCs w:val="21"/>
        </w:rPr>
        <w:t>截至202</w:t>
      </w:r>
      <w:r>
        <w:rPr>
          <w:rFonts w:hint="eastAsia" w:ascii="Arial" w:hAnsi="Arial" w:cs="Arial"/>
          <w:szCs w:val="21"/>
          <w:lang w:val="en-US" w:eastAsia="zh-CN"/>
        </w:rPr>
        <w:t>1</w:t>
      </w:r>
      <w:r>
        <w:rPr>
          <w:rFonts w:ascii="Arial" w:hAnsi="Arial" w:cs="Arial"/>
          <w:szCs w:val="21"/>
        </w:rPr>
        <w:t>年1月</w:t>
      </w:r>
      <w:r>
        <w:rPr>
          <w:rFonts w:hint="eastAsia" w:ascii="Arial" w:hAnsi="Arial" w:cs="Arial"/>
          <w:szCs w:val="21"/>
          <w:lang w:val="en-US" w:eastAsia="zh-CN"/>
        </w:rPr>
        <w:t>31</w:t>
      </w:r>
      <w:r>
        <w:rPr>
          <w:rFonts w:ascii="Arial" w:hAnsi="Arial" w:cs="Arial"/>
          <w:szCs w:val="21"/>
        </w:rPr>
        <w:t xml:space="preserve">日，项目现场施工情况如下： </w:t>
      </w:r>
    </w:p>
    <w:p>
      <w:pPr>
        <w:numPr>
          <w:ilvl w:val="0"/>
          <w:numId w:val="0"/>
        </w:numPr>
        <w:spacing w:line="480" w:lineRule="auto"/>
        <w:ind w:firstLine="420" w:firstLineChars="200"/>
        <w:rPr>
          <w:rFonts w:hint="eastAsia" w:ascii="Arial" w:hAnsi="Arial" w:cs="Arial"/>
          <w:bCs/>
          <w:kern w:val="44"/>
          <w:szCs w:val="21"/>
          <w:lang w:eastAsia="zh-CN"/>
        </w:rPr>
      </w:pPr>
      <w:r>
        <w:rPr>
          <w:rFonts w:hint="eastAsia" w:ascii="Arial" w:hAnsi="Arial" w:eastAsia="宋体" w:cs="Arial"/>
          <w:bCs/>
          <w:kern w:val="44"/>
          <w:szCs w:val="21"/>
        </w:rPr>
        <w:t>展示区：开放展示中</w:t>
      </w:r>
      <w:r>
        <w:rPr>
          <w:rFonts w:hint="eastAsia" w:ascii="Arial" w:hAnsi="Arial" w:cs="Arial"/>
          <w:bCs/>
          <w:kern w:val="44"/>
          <w:szCs w:val="21"/>
          <w:lang w:eastAsia="zh-CN"/>
        </w:rPr>
        <w:t>；</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1、1#楼一层结构完成；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2、2#楼负一层顶板混凝土完成；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3、3#楼一层结构完成；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4、4#楼筏板完成；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5、5#楼2层结构完成；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6、6#楼3层结构完成；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7、7#楼1单元墙柱钢筋绑扎，2单元垫层完成；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8、8#楼负一层顶板混凝土完成；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9、9#楼7层结构完成；</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eastAsia="zh-CN"/>
        </w:rPr>
        <w:t>10、10#楼11层结构完成；</w:t>
      </w:r>
    </w:p>
    <w:p>
      <w:pPr>
        <w:spacing w:line="480" w:lineRule="auto"/>
        <w:rPr>
          <w:rFonts w:ascii="Arial" w:hAnsi="Arial" w:cs="Arial"/>
          <w:bCs/>
          <w:kern w:val="44"/>
          <w:szCs w:val="21"/>
        </w:rPr>
      </w:pPr>
    </w:p>
    <w:p>
      <w:pPr>
        <w:spacing w:line="480" w:lineRule="auto"/>
        <w:ind w:firstLine="420" w:firstLineChars="200"/>
        <w:rPr>
          <w:rFonts w:ascii="Arial" w:hAnsi="Arial" w:cs="Arial"/>
          <w:szCs w:val="21"/>
        </w:rPr>
      </w:pPr>
      <w:r>
        <w:rPr>
          <w:rFonts w:ascii="Arial" w:hAnsi="Arial" w:cs="Arial"/>
          <w:szCs w:val="21"/>
        </w:rPr>
        <w:t>项目</w:t>
      </w:r>
      <w:r>
        <w:rPr>
          <w:rFonts w:hint="eastAsia" w:ascii="Arial" w:hAnsi="Arial" w:cs="Arial"/>
          <w:szCs w:val="21"/>
          <w:lang w:val="en-US" w:eastAsia="zh-CN"/>
        </w:rPr>
        <w:t>2</w:t>
      </w:r>
      <w:r>
        <w:rPr>
          <w:rFonts w:ascii="Arial" w:hAnsi="Arial" w:cs="Arial"/>
          <w:szCs w:val="21"/>
        </w:rPr>
        <w:t>月施工计划如下：</w:t>
      </w:r>
    </w:p>
    <w:p>
      <w:pPr>
        <w:spacing w:line="480" w:lineRule="auto"/>
        <w:ind w:firstLine="420" w:firstLineChars="200"/>
        <w:rPr>
          <w:rFonts w:hint="default" w:ascii="Arial" w:hAnsi="Arial" w:cs="Arial"/>
          <w:color w:val="auto"/>
          <w:lang w:val="en-US"/>
        </w:rPr>
      </w:pPr>
      <w:r>
        <w:rPr>
          <w:rFonts w:hint="eastAsia" w:ascii="Arial" w:hAnsi="Arial" w:cs="Arial"/>
          <w:color w:val="auto"/>
          <w:szCs w:val="21"/>
          <w:lang w:val="en-US" w:eastAsia="zh-CN"/>
        </w:rPr>
        <w:t>2#楼、4#楼、7#楼、8#楼达正负零，1#楼、3#楼、5#楼、6#楼、9#楼、10#楼正负零达售。</w:t>
      </w: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ascii="Arial" w:hAnsi="Arial" w:cs="Arial"/>
          <w:b/>
          <w:sz w:val="24"/>
        </w:rPr>
      </w:pPr>
      <w:bookmarkStart w:id="212" w:name="_Toc9226"/>
      <w:bookmarkStart w:id="213" w:name="_Toc21705"/>
      <w:bookmarkStart w:id="214" w:name="_Toc26131"/>
      <w:bookmarkStart w:id="215" w:name="_Toc13096"/>
      <w:bookmarkStart w:id="216" w:name="_Toc16642"/>
      <w:bookmarkStart w:id="217" w:name="_Toc32281"/>
      <w:bookmarkStart w:id="218" w:name="_Toc30796"/>
      <w:bookmarkStart w:id="219" w:name="_Toc13880"/>
      <w:bookmarkStart w:id="220" w:name="_Toc21318"/>
      <w:bookmarkStart w:id="221" w:name="_Toc22717"/>
      <w:bookmarkStart w:id="222" w:name="_Toc4098"/>
      <w:bookmarkStart w:id="223" w:name="_Toc24281"/>
      <w:bookmarkStart w:id="224" w:name="_Toc26538"/>
      <w:bookmarkStart w:id="225" w:name="_Toc9097"/>
      <w:bookmarkStart w:id="226" w:name="_Toc971"/>
      <w:r>
        <w:rPr>
          <w:rFonts w:ascii="Arial" w:hAnsi="Arial" w:cs="Arial"/>
          <w:b/>
          <w:sz w:val="24"/>
        </w:rPr>
        <w:t>3.2.2项目施工进度分析</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tbl>
      <w:tblPr>
        <w:tblStyle w:val="18"/>
        <w:tblW w:w="7124" w:type="dxa"/>
        <w:jc w:val="center"/>
        <w:tblLayout w:type="autofit"/>
        <w:tblCellMar>
          <w:top w:w="0" w:type="dxa"/>
          <w:left w:w="0" w:type="dxa"/>
          <w:bottom w:w="0" w:type="dxa"/>
          <w:right w:w="0" w:type="dxa"/>
        </w:tblCellMar>
      </w:tblPr>
      <w:tblGrid>
        <w:gridCol w:w="1940"/>
        <w:gridCol w:w="2499"/>
        <w:gridCol w:w="2685"/>
      </w:tblGrid>
      <w:tr>
        <w:trPr>
          <w:cantSplit/>
          <w:trHeight w:val="90" w:hRule="atLeast"/>
          <w:tblHeader/>
          <w:jc w:val="center"/>
        </w:trPr>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实际形象进度</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展示区</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2020年10月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已对外展示</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售楼部</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2020年10月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已对外展示</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color="auto" w:sz="4" w:space="0"/>
              <w:right w:val="single" w:color="auto" w:sz="4" w:space="0"/>
            </w:tcBorders>
            <w:shd w:val="clear" w:color="auto" w:fill="auto"/>
            <w:vAlign w:val="center"/>
          </w:tcPr>
          <w:p>
            <w:pPr>
              <w:widowControl/>
              <w:ind w:firstLine="720" w:firstLineChars="400"/>
              <w:textAlignment w:val="top"/>
              <w:rPr>
                <w:rFonts w:ascii="Arial" w:hAnsi="Arial" w:cs="Arial"/>
                <w:color w:val="000000"/>
                <w:sz w:val="18"/>
                <w:szCs w:val="18"/>
              </w:rPr>
            </w:pPr>
            <w:r>
              <w:rPr>
                <w:rFonts w:ascii="Arial" w:hAnsi="Arial" w:cs="Arial"/>
                <w:color w:val="000000"/>
                <w:kern w:val="0"/>
                <w:sz w:val="18"/>
                <w:szCs w:val="18"/>
                <w:lang w:bidi="ar"/>
              </w:rPr>
              <w:t>2020年11月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3#楼、5#楼、6#楼、9#楼、10#楼、11#楼达到预售条件，取得预售证</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2023年6月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注：以上表格中的工程进度计划完成时间数据依据项目公司提供数据填列，实际形象进度以工程现场为准。</w:t>
      </w:r>
    </w:p>
    <w:p>
      <w:pPr>
        <w:ind w:firstLine="320" w:firstLineChars="200"/>
        <w:jc w:val="center"/>
        <w:rPr>
          <w:rFonts w:ascii="Arial" w:hAnsi="Arial" w:cs="Arial"/>
          <w:bCs/>
          <w:kern w:val="44"/>
          <w:sz w:val="16"/>
          <w:szCs w:val="16"/>
        </w:rPr>
      </w:pPr>
    </w:p>
    <w:p>
      <w:pPr>
        <w:spacing w:line="480" w:lineRule="auto"/>
        <w:ind w:firstLine="420" w:firstLineChars="200"/>
        <w:rPr>
          <w:rFonts w:ascii="Arial" w:hAnsi="Arial" w:cs="Arial"/>
          <w:szCs w:val="21"/>
        </w:rPr>
      </w:pPr>
      <w:r>
        <w:rPr>
          <w:rFonts w:ascii="Arial" w:hAnsi="Arial" w:cs="Arial"/>
          <w:szCs w:val="21"/>
        </w:rPr>
        <w:t>根据康信资管驻场人员对现场的勘查，工地现场形象进度与项目公司提交施工进度一致。工地现场情况详见现场照片。</w:t>
      </w:r>
    </w:p>
    <w:p>
      <w:pPr>
        <w:ind w:right="-506" w:rightChars="-241" w:firstLine="420" w:firstLineChars="200"/>
        <w:rPr>
          <w:rFonts w:ascii="Arial" w:hAnsi="Arial" w:cs="Arial"/>
          <w:color w:val="000000"/>
          <w:szCs w:val="21"/>
        </w:rPr>
      </w:pPr>
    </w:p>
    <w:p>
      <w:pPr>
        <w:spacing w:line="480" w:lineRule="auto"/>
        <w:jc w:val="left"/>
        <w:rPr>
          <w:rFonts w:ascii="Arial" w:hAnsi="Arial" w:cs="Arial"/>
          <w:b w:val="0"/>
          <w:bCs w:val="0"/>
          <w:kern w:val="44"/>
          <w:szCs w:val="21"/>
        </w:rPr>
      </w:pPr>
    </w:p>
    <w:p>
      <w:pPr>
        <w:spacing w:line="480" w:lineRule="auto"/>
        <w:jc w:val="left"/>
        <w:rPr>
          <w:rFonts w:ascii="Arial" w:hAnsi="Arial" w:cs="Arial"/>
          <w:b/>
          <w:bCs/>
          <w:kern w:val="44"/>
          <w:szCs w:val="21"/>
        </w:rPr>
      </w:pPr>
      <w:r>
        <w:rPr>
          <w:rFonts w:hint="eastAsia" w:ascii="Arial" w:hAnsi="Arial" w:cs="Arial"/>
          <w:b w:val="0"/>
          <w:bCs w:val="0"/>
          <w:kern w:val="44"/>
          <w:szCs w:val="21"/>
          <w:lang w:val="en-US" w:eastAsia="zh-CN"/>
        </w:rPr>
        <w:t>（转下页）</w:t>
      </w:r>
    </w:p>
    <w:p>
      <w:pPr>
        <w:spacing w:line="480" w:lineRule="auto"/>
        <w:jc w:val="left"/>
        <w:rPr>
          <w:rFonts w:ascii="Arial" w:hAnsi="Arial" w:cs="Arial"/>
          <w:b/>
          <w:bCs/>
          <w:kern w:val="44"/>
          <w:szCs w:val="21"/>
        </w:rPr>
      </w:pPr>
    </w:p>
    <w:p>
      <w:pPr>
        <w:spacing w:line="480" w:lineRule="auto"/>
        <w:jc w:val="left"/>
        <w:rPr>
          <w:rFonts w:ascii="Arial" w:hAnsi="Arial" w:cs="Arial"/>
          <w:b/>
          <w:bCs/>
          <w:kern w:val="44"/>
          <w:szCs w:val="21"/>
        </w:rPr>
      </w:pPr>
    </w:p>
    <w:p>
      <w:pPr>
        <w:spacing w:line="480" w:lineRule="auto"/>
        <w:jc w:val="left"/>
        <w:rPr>
          <w:rFonts w:ascii="Arial" w:hAnsi="Arial" w:cs="Arial"/>
          <w:b/>
          <w:bCs/>
          <w:kern w:val="44"/>
          <w:szCs w:val="21"/>
        </w:rPr>
      </w:pPr>
    </w:p>
    <w:p>
      <w:pPr>
        <w:spacing w:line="480" w:lineRule="auto"/>
        <w:jc w:val="left"/>
        <w:rPr>
          <w:rFonts w:ascii="Arial" w:hAnsi="Arial" w:cs="Arial"/>
          <w:b/>
          <w:bCs/>
          <w:kern w:val="44"/>
          <w:szCs w:val="21"/>
        </w:rPr>
      </w:pPr>
    </w:p>
    <w:p>
      <w:pPr>
        <w:spacing w:line="480" w:lineRule="auto"/>
        <w:jc w:val="left"/>
        <w:rPr>
          <w:rFonts w:ascii="Arial" w:hAnsi="Arial" w:cs="Arial"/>
          <w:b/>
          <w:bCs/>
          <w:kern w:val="44"/>
          <w:szCs w:val="21"/>
        </w:rPr>
      </w:pPr>
    </w:p>
    <w:p>
      <w:pPr>
        <w:spacing w:line="480" w:lineRule="auto"/>
        <w:jc w:val="left"/>
        <w:rPr>
          <w:rFonts w:ascii="Arial" w:hAnsi="Arial" w:cs="Arial"/>
          <w:b/>
          <w:bCs/>
          <w:kern w:val="44"/>
          <w:szCs w:val="21"/>
        </w:rPr>
      </w:pPr>
    </w:p>
    <w:p>
      <w:pPr>
        <w:keepNext w:val="0"/>
        <w:keepLines w:val="0"/>
        <w:pageBreakBefore w:val="0"/>
        <w:widowControl w:val="0"/>
        <w:kinsoku/>
        <w:wordWrap/>
        <w:overflowPunct/>
        <w:topLinePunct w:val="0"/>
        <w:autoSpaceDE/>
        <w:autoSpaceDN/>
        <w:bidi w:val="0"/>
        <w:adjustRightInd/>
        <w:snapToGrid/>
        <w:spacing w:before="313" w:beforeLines="100" w:line="480" w:lineRule="auto"/>
        <w:jc w:val="left"/>
        <w:textAlignment w:val="auto"/>
        <w:rPr>
          <w:rFonts w:ascii="Arial" w:hAnsi="Arial" w:cs="Arial"/>
          <w:b/>
          <w:bCs/>
          <w:kern w:val="44"/>
          <w:szCs w:val="21"/>
        </w:rPr>
      </w:pPr>
    </w:p>
    <w:p>
      <w:pPr>
        <w:keepNext w:val="0"/>
        <w:keepLines w:val="0"/>
        <w:pageBreakBefore w:val="0"/>
        <w:widowControl w:val="0"/>
        <w:kinsoku/>
        <w:wordWrap/>
        <w:overflowPunct/>
        <w:topLinePunct w:val="0"/>
        <w:autoSpaceDE/>
        <w:autoSpaceDN/>
        <w:bidi w:val="0"/>
        <w:adjustRightInd/>
        <w:snapToGrid/>
        <w:spacing w:before="313" w:beforeLines="100" w:line="480" w:lineRule="auto"/>
        <w:jc w:val="left"/>
        <w:textAlignment w:val="auto"/>
        <w:rPr>
          <w:rFonts w:ascii="Arial" w:hAnsi="Arial" w:cs="Arial"/>
          <w:color w:val="000000"/>
          <w:szCs w:val="21"/>
        </w:rPr>
      </w:pPr>
      <w:r>
        <w:rPr>
          <w:rFonts w:ascii="Arial" w:hAnsi="Arial" w:cs="Arial"/>
          <w:b/>
          <w:bCs/>
          <w:kern w:val="44"/>
          <w:szCs w:val="21"/>
        </w:rPr>
        <w:t>标的项目现场照片（202</w:t>
      </w:r>
      <w:r>
        <w:rPr>
          <w:rFonts w:hint="eastAsia" w:ascii="Arial" w:hAnsi="Arial" w:cs="Arial"/>
          <w:b/>
          <w:bCs/>
          <w:kern w:val="44"/>
          <w:szCs w:val="21"/>
          <w:lang w:val="en-US" w:eastAsia="zh-CN"/>
        </w:rPr>
        <w:t>1</w:t>
      </w:r>
      <w:r>
        <w:rPr>
          <w:rFonts w:ascii="Arial" w:hAnsi="Arial" w:cs="Arial"/>
          <w:b/>
          <w:bCs/>
          <w:kern w:val="44"/>
          <w:szCs w:val="21"/>
        </w:rPr>
        <w:t>年</w:t>
      </w:r>
      <w:r>
        <w:rPr>
          <w:rFonts w:hint="eastAsia" w:ascii="Arial" w:hAnsi="Arial" w:cs="Arial"/>
          <w:b/>
          <w:bCs/>
          <w:kern w:val="44"/>
          <w:szCs w:val="21"/>
          <w:lang w:val="en-US" w:eastAsia="zh-CN"/>
        </w:rPr>
        <w:t>1</w:t>
      </w:r>
      <w:r>
        <w:rPr>
          <w:rFonts w:ascii="Arial" w:hAnsi="Arial" w:cs="Arial"/>
          <w:b/>
          <w:bCs/>
          <w:kern w:val="44"/>
          <w:szCs w:val="21"/>
        </w:rPr>
        <w:t>月）</w:t>
      </w:r>
    </w:p>
    <w:p>
      <w:pPr>
        <w:ind w:right="-506" w:rightChars="-241" w:firstLine="480" w:firstLineChars="200"/>
        <w:rPr>
          <w:rFonts w:ascii="Arial" w:hAnsi="Arial" w:cs="Arial"/>
          <w:color w:val="000000"/>
          <w:szCs w:val="21"/>
        </w:rPr>
      </w:pPr>
      <w:r>
        <w:rPr>
          <w:rFonts w:hint="eastAsia" w:ascii="Arial" w:hAnsi="Arial" w:eastAsia="宋体"/>
          <w:color w:val="000000"/>
          <w:sz w:val="24"/>
          <w:szCs w:val="24"/>
          <w:lang w:val="en-US" w:eastAsia="zh-CN"/>
        </w:rPr>
        <w:drawing>
          <wp:anchor distT="0" distB="0" distL="114300" distR="114300" simplePos="0" relativeHeight="252835840" behindDoc="0" locked="0" layoutInCell="1" allowOverlap="1">
            <wp:simplePos x="0" y="0"/>
            <wp:positionH relativeFrom="column">
              <wp:posOffset>-82550</wp:posOffset>
            </wp:positionH>
            <wp:positionV relativeFrom="paragraph">
              <wp:posOffset>142240</wp:posOffset>
            </wp:positionV>
            <wp:extent cx="2683510" cy="2121535"/>
            <wp:effectExtent l="0" t="0" r="2540" b="12065"/>
            <wp:wrapNone/>
            <wp:docPr id="16" name="图片 16" descr="d6f0a4f3b64eed0efea82b526a1b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6f0a4f3b64eed0efea82b526a1bbef"/>
                    <pic:cNvPicPr>
                      <a:picLocks noChangeAspect="1"/>
                    </pic:cNvPicPr>
                  </pic:nvPicPr>
                  <pic:blipFill>
                    <a:blip r:embed="rId10"/>
                    <a:stretch>
                      <a:fillRect/>
                    </a:stretch>
                  </pic:blipFill>
                  <pic:spPr>
                    <a:xfrm>
                      <a:off x="0" y="0"/>
                      <a:ext cx="2683510" cy="2121535"/>
                    </a:xfrm>
                    <a:prstGeom prst="rect">
                      <a:avLst/>
                    </a:prstGeom>
                  </pic:spPr>
                </pic:pic>
              </a:graphicData>
            </a:graphic>
          </wp:anchor>
        </w:drawing>
      </w:r>
    </w:p>
    <w:p>
      <w:pPr>
        <w:ind w:right="-506" w:rightChars="-241" w:firstLine="480" w:firstLineChars="200"/>
        <w:rPr>
          <w:rFonts w:ascii="Arial" w:hAnsi="Arial" w:cs="Arial"/>
          <w:color w:val="000000"/>
          <w:szCs w:val="21"/>
        </w:rPr>
      </w:pPr>
      <w:r>
        <w:rPr>
          <w:rFonts w:hint="eastAsia" w:ascii="Arial" w:hAnsi="Arial" w:eastAsia="宋体"/>
          <w:color w:val="000000"/>
          <w:sz w:val="24"/>
          <w:szCs w:val="24"/>
          <w:lang w:val="en-US" w:eastAsia="zh-CN"/>
        </w:rPr>
        <w:drawing>
          <wp:anchor distT="0" distB="0" distL="114300" distR="114300" simplePos="0" relativeHeight="252841984" behindDoc="0" locked="0" layoutInCell="1" allowOverlap="1">
            <wp:simplePos x="0" y="0"/>
            <wp:positionH relativeFrom="column">
              <wp:posOffset>3038475</wp:posOffset>
            </wp:positionH>
            <wp:positionV relativeFrom="paragraph">
              <wp:posOffset>17145</wp:posOffset>
            </wp:positionV>
            <wp:extent cx="2683510" cy="2117725"/>
            <wp:effectExtent l="0" t="0" r="2540" b="15875"/>
            <wp:wrapNone/>
            <wp:docPr id="12" name="图片 12" descr="2c31a68d957dd44a7828c3f120ed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c31a68d957dd44a7828c3f120ed1ea"/>
                    <pic:cNvPicPr>
                      <a:picLocks noChangeAspect="1"/>
                    </pic:cNvPicPr>
                  </pic:nvPicPr>
                  <pic:blipFill>
                    <a:blip r:embed="rId11"/>
                    <a:stretch>
                      <a:fillRect/>
                    </a:stretch>
                  </pic:blipFill>
                  <pic:spPr>
                    <a:xfrm>
                      <a:off x="0" y="0"/>
                      <a:ext cx="2683510" cy="2117725"/>
                    </a:xfrm>
                    <a:prstGeom prst="rect">
                      <a:avLst/>
                    </a:prstGeom>
                  </pic:spPr>
                </pic:pic>
              </a:graphicData>
            </a:graphic>
          </wp:anchor>
        </w:drawing>
      </w: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r>
        <w:rPr>
          <w:rFonts w:hint="eastAsia" w:ascii="Arial" w:hAnsi="Arial" w:eastAsia="宋体"/>
          <w:color w:val="000000"/>
          <w:sz w:val="24"/>
          <w:szCs w:val="24"/>
          <w:lang w:val="en-US" w:eastAsia="zh-CN"/>
        </w:rPr>
        <w:drawing>
          <wp:anchor distT="0" distB="0" distL="114300" distR="114300" simplePos="0" relativeHeight="252845056" behindDoc="0" locked="0" layoutInCell="1" allowOverlap="1">
            <wp:simplePos x="0" y="0"/>
            <wp:positionH relativeFrom="column">
              <wp:posOffset>-99695</wp:posOffset>
            </wp:positionH>
            <wp:positionV relativeFrom="paragraph">
              <wp:posOffset>126365</wp:posOffset>
            </wp:positionV>
            <wp:extent cx="2678430" cy="2113915"/>
            <wp:effectExtent l="0" t="0" r="7620" b="635"/>
            <wp:wrapNone/>
            <wp:docPr id="17" name="图片 17" descr="c8559e43989a325bc95b1fbb4652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8559e43989a325bc95b1fbb4652ce7"/>
                    <pic:cNvPicPr>
                      <a:picLocks noChangeAspect="1"/>
                    </pic:cNvPicPr>
                  </pic:nvPicPr>
                  <pic:blipFill>
                    <a:blip r:embed="rId12"/>
                    <a:stretch>
                      <a:fillRect/>
                    </a:stretch>
                  </pic:blipFill>
                  <pic:spPr>
                    <a:xfrm>
                      <a:off x="0" y="0"/>
                      <a:ext cx="2678430" cy="2113915"/>
                    </a:xfrm>
                    <a:prstGeom prst="rect">
                      <a:avLst/>
                    </a:prstGeom>
                  </pic:spPr>
                </pic:pic>
              </a:graphicData>
            </a:graphic>
          </wp:anchor>
        </w:drawing>
      </w:r>
      <w:r>
        <w:rPr>
          <w:rFonts w:hint="eastAsia" w:ascii="Arial" w:hAnsi="Arial" w:eastAsia="宋体"/>
          <w:color w:val="000000"/>
          <w:sz w:val="24"/>
          <w:szCs w:val="24"/>
          <w:lang w:val="en-US" w:eastAsia="zh-CN"/>
        </w:rPr>
        <w:drawing>
          <wp:anchor distT="0" distB="0" distL="114300" distR="114300" simplePos="0" relativeHeight="252850176" behindDoc="0" locked="0" layoutInCell="1" allowOverlap="1">
            <wp:simplePos x="0" y="0"/>
            <wp:positionH relativeFrom="column">
              <wp:posOffset>3098165</wp:posOffset>
            </wp:positionH>
            <wp:positionV relativeFrom="paragraph">
              <wp:posOffset>150495</wp:posOffset>
            </wp:positionV>
            <wp:extent cx="2683510" cy="2111375"/>
            <wp:effectExtent l="0" t="0" r="2540" b="3175"/>
            <wp:wrapNone/>
            <wp:docPr id="18" name="图片 18" descr="5c9a6b3ef89d8d8ff9eca34cfd4f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c9a6b3ef89d8d8ff9eca34cfd4fa99"/>
                    <pic:cNvPicPr>
                      <a:picLocks noChangeAspect="1"/>
                    </pic:cNvPicPr>
                  </pic:nvPicPr>
                  <pic:blipFill>
                    <a:blip r:embed="rId13"/>
                    <a:stretch>
                      <a:fillRect/>
                    </a:stretch>
                  </pic:blipFill>
                  <pic:spPr>
                    <a:xfrm>
                      <a:off x="0" y="0"/>
                      <a:ext cx="2683510" cy="2111375"/>
                    </a:xfrm>
                    <a:prstGeom prst="rect">
                      <a:avLst/>
                    </a:prstGeom>
                  </pic:spPr>
                </pic:pic>
              </a:graphicData>
            </a:graphic>
          </wp:anchor>
        </w:drawing>
      </w: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jc w:val="center"/>
        <w:rPr>
          <w:rFonts w:hint="eastAsia" w:ascii="Arial" w:hAnsi="Arial" w:eastAsia="宋体" w:cs="Arial"/>
          <w:color w:val="000000"/>
          <w:szCs w:val="21"/>
          <w:lang w:val="en-US" w:eastAsia="zh-CN"/>
        </w:rPr>
      </w:pPr>
      <w:r>
        <w:rPr>
          <w:rFonts w:hint="eastAsia" w:ascii="Arial" w:hAnsi="Arial" w:cs="Arial"/>
          <w:color w:val="000000"/>
          <w:szCs w:val="21"/>
          <w:lang w:val="en-US" w:eastAsia="zh-CN"/>
        </w:rPr>
        <w:t xml:space="preserve"> </w:t>
      </w:r>
    </w:p>
    <w:p>
      <w:pPr>
        <w:rPr>
          <w:rFonts w:ascii="Arial" w:hAnsi="Arial" w:cs="Arial"/>
          <w:color w:val="000000"/>
          <w:sz w:val="24"/>
        </w:rPr>
      </w:pPr>
      <w:bookmarkStart w:id="227" w:name="_Toc535580094"/>
      <w:bookmarkStart w:id="228" w:name="_Toc45217878"/>
      <w:bookmarkStart w:id="229" w:name="_Toc535570753"/>
      <w:bookmarkStart w:id="230" w:name="_Toc535580026"/>
      <w:bookmarkStart w:id="231" w:name="_Toc535508639"/>
      <w:bookmarkStart w:id="232" w:name="_Toc532281660"/>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r>
        <w:rPr>
          <w:rFonts w:hint="eastAsia" w:ascii="Arial" w:hAnsi="Arial" w:eastAsia="宋体"/>
          <w:color w:val="000000"/>
          <w:sz w:val="24"/>
          <w:szCs w:val="24"/>
          <w:lang w:val="en-US" w:eastAsia="zh-CN"/>
        </w:rPr>
        <w:drawing>
          <wp:anchor distT="0" distB="0" distL="114300" distR="114300" simplePos="0" relativeHeight="252856320" behindDoc="0" locked="0" layoutInCell="1" allowOverlap="1">
            <wp:simplePos x="0" y="0"/>
            <wp:positionH relativeFrom="column">
              <wp:posOffset>3091815</wp:posOffset>
            </wp:positionH>
            <wp:positionV relativeFrom="paragraph">
              <wp:posOffset>38100</wp:posOffset>
            </wp:positionV>
            <wp:extent cx="2687320" cy="2120900"/>
            <wp:effectExtent l="0" t="0" r="17780" b="12700"/>
            <wp:wrapNone/>
            <wp:docPr id="43" name="图片 43" descr="3473db089d9c6c5559913934679a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473db089d9c6c5559913934679a036"/>
                    <pic:cNvPicPr>
                      <a:picLocks noChangeAspect="1"/>
                    </pic:cNvPicPr>
                  </pic:nvPicPr>
                  <pic:blipFill>
                    <a:blip r:embed="rId14"/>
                    <a:stretch>
                      <a:fillRect/>
                    </a:stretch>
                  </pic:blipFill>
                  <pic:spPr>
                    <a:xfrm>
                      <a:off x="0" y="0"/>
                      <a:ext cx="2687320" cy="2120900"/>
                    </a:xfrm>
                    <a:prstGeom prst="rect">
                      <a:avLst/>
                    </a:prstGeom>
                  </pic:spPr>
                </pic:pic>
              </a:graphicData>
            </a:graphic>
          </wp:anchor>
        </w:drawing>
      </w:r>
      <w:r>
        <w:rPr>
          <w:rFonts w:hint="eastAsia" w:ascii="Arial" w:hAnsi="Arial" w:eastAsia="宋体"/>
          <w:color w:val="000000"/>
          <w:sz w:val="24"/>
          <w:szCs w:val="24"/>
          <w:lang w:val="en-US" w:eastAsia="zh-CN"/>
        </w:rPr>
        <w:drawing>
          <wp:anchor distT="0" distB="0" distL="114300" distR="114300" simplePos="0" relativeHeight="252852224" behindDoc="0" locked="0" layoutInCell="1" allowOverlap="1">
            <wp:simplePos x="0" y="0"/>
            <wp:positionH relativeFrom="column">
              <wp:posOffset>-146050</wp:posOffset>
            </wp:positionH>
            <wp:positionV relativeFrom="paragraph">
              <wp:posOffset>11430</wp:posOffset>
            </wp:positionV>
            <wp:extent cx="2680335" cy="2118995"/>
            <wp:effectExtent l="0" t="0" r="5715" b="14605"/>
            <wp:wrapNone/>
            <wp:docPr id="6" name="图片 6" descr="db929b2f970f27cd1c3a15b9762e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b929b2f970f27cd1c3a15b9762e500"/>
                    <pic:cNvPicPr>
                      <a:picLocks noChangeAspect="1"/>
                    </pic:cNvPicPr>
                  </pic:nvPicPr>
                  <pic:blipFill>
                    <a:blip r:embed="rId15"/>
                    <a:stretch>
                      <a:fillRect/>
                    </a:stretch>
                  </pic:blipFill>
                  <pic:spPr>
                    <a:xfrm>
                      <a:off x="0" y="0"/>
                      <a:ext cx="2680335" cy="2118995"/>
                    </a:xfrm>
                    <a:prstGeom prst="rect">
                      <a:avLst/>
                    </a:prstGeom>
                  </pic:spPr>
                </pic:pic>
              </a:graphicData>
            </a:graphic>
          </wp:anchor>
        </w:drawing>
      </w: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Cs w:val="21"/>
        </w:rPr>
      </w:pPr>
    </w:p>
    <w:p>
      <w:pPr>
        <w:rPr>
          <w:rFonts w:ascii="Arial" w:hAnsi="Arial" w:cs="Arial"/>
          <w:color w:val="000000"/>
          <w:szCs w:val="21"/>
        </w:rPr>
      </w:pPr>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9"/>
        <w:rPr>
          <w:rFonts w:ascii="Arial" w:hAnsi="Arial" w:cs="Arial"/>
          <w:color w:val="000000"/>
          <w:sz w:val="24"/>
          <w:szCs w:val="24"/>
        </w:rPr>
      </w:pPr>
      <w:bookmarkStart w:id="233" w:name="_Toc10395"/>
      <w:bookmarkStart w:id="234" w:name="_Toc19814"/>
      <w:bookmarkStart w:id="235" w:name="_Toc21756"/>
      <w:bookmarkStart w:id="236" w:name="_Toc12319"/>
      <w:bookmarkStart w:id="237" w:name="_Toc570"/>
      <w:bookmarkStart w:id="238" w:name="_Toc3178"/>
      <w:bookmarkStart w:id="239" w:name="_Toc10183"/>
      <w:bookmarkStart w:id="240" w:name="_Toc14941"/>
      <w:bookmarkStart w:id="241" w:name="_Toc29435"/>
      <w:bookmarkStart w:id="242" w:name="_Toc24581"/>
      <w:bookmarkStart w:id="243" w:name="_Toc21728"/>
      <w:bookmarkStart w:id="244" w:name="_Toc3744"/>
      <w:bookmarkStart w:id="245" w:name="_Toc31324"/>
      <w:bookmarkStart w:id="246" w:name="_Toc29074"/>
      <w:bookmarkStart w:id="247" w:name="_Toc28272"/>
      <w:bookmarkStart w:id="248" w:name="_Toc10003"/>
      <w:bookmarkStart w:id="249" w:name="_Toc14446"/>
      <w:bookmarkStart w:id="250" w:name="_Toc4252"/>
      <w:bookmarkStart w:id="251" w:name="_Toc506"/>
      <w:bookmarkStart w:id="252" w:name="_Toc25625"/>
      <w:bookmarkStart w:id="253" w:name="_Toc2209"/>
      <w:bookmarkStart w:id="254" w:name="_Toc22998"/>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255" w:name="_Toc24128"/>
      <w:bookmarkStart w:id="256" w:name="_Toc24656"/>
      <w:bookmarkStart w:id="257" w:name="_Toc10369"/>
      <w:r>
        <w:rPr>
          <w:rFonts w:ascii="Arial" w:hAnsi="Arial" w:cs="Arial"/>
          <w:color w:val="000000"/>
          <w:sz w:val="24"/>
          <w:szCs w:val="24"/>
        </w:rPr>
        <w:t>4印鉴使用情况</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r>
        <w:rPr>
          <w:rFonts w:ascii="Arial" w:hAnsi="Arial" w:cs="Arial"/>
          <w:bCs/>
          <w:kern w:val="44"/>
          <w:szCs w:val="21"/>
        </w:rPr>
        <w:t>根据根据监管协议的约定，康信资管人员与海盐丰涛置业有限公司共管的印鉴为：公章、法定代表人人名章、合同专用章、财务专用章、发票专用章、法人章，经办人章。对于印章的使用，项目公司人员按照中航信托的要求，履行印章使用流程，康信资管监管人员了解用印事由，通过微信书面和发送邮件的方式向中航信托领导提交用印申请，待中航信托领导批复后方给予盖章。项目公司印鉴使用情况详见下表：</w:t>
      </w:r>
    </w:p>
    <w:tbl>
      <w:tblPr>
        <w:tblStyle w:val="18"/>
        <w:tblW w:w="9529" w:type="dxa"/>
        <w:jc w:val="center"/>
        <w:tblLayout w:type="fixed"/>
        <w:tblCellMar>
          <w:top w:w="15" w:type="dxa"/>
          <w:left w:w="15" w:type="dxa"/>
          <w:bottom w:w="15" w:type="dxa"/>
          <w:right w:w="15" w:type="dxa"/>
        </w:tblCellMar>
      </w:tblPr>
      <w:tblGrid>
        <w:gridCol w:w="1979"/>
        <w:gridCol w:w="887"/>
        <w:gridCol w:w="1500"/>
        <w:gridCol w:w="1480"/>
        <w:gridCol w:w="1570"/>
        <w:gridCol w:w="1338"/>
        <w:gridCol w:w="775"/>
      </w:tblGrid>
      <w:tr>
        <w:trPr>
          <w:trHeight w:val="533"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88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法人人名章（份）</w:t>
            </w:r>
          </w:p>
        </w:tc>
        <w:tc>
          <w:tcPr>
            <w:tcW w:w="148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财务专用章（份）</w:t>
            </w:r>
          </w:p>
        </w:tc>
        <w:tc>
          <w:tcPr>
            <w:tcW w:w="15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合同专用章（份）</w:t>
            </w:r>
          </w:p>
        </w:tc>
        <w:tc>
          <w:tcPr>
            <w:tcW w:w="133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发票专用章（份）</w:t>
            </w:r>
          </w:p>
        </w:tc>
        <w:tc>
          <w:tcPr>
            <w:tcW w:w="7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海盐丰涛置业有限公司</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888</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19</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w:t>
            </w:r>
          </w:p>
        </w:tc>
        <w:tc>
          <w:tcPr>
            <w:tcW w:w="157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27</w:t>
            </w:r>
          </w:p>
        </w:tc>
        <w:tc>
          <w:tcPr>
            <w:tcW w:w="133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p>
        </w:tc>
        <w:tc>
          <w:tcPr>
            <w:tcW w:w="775"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bl>
    <w:p>
      <w:pPr>
        <w:spacing w:before="240" w:beforeLines="100"/>
        <w:jc w:val="center"/>
        <w:outlineLvl w:val="9"/>
        <w:rPr>
          <w:rFonts w:ascii="Arial" w:hAnsi="Arial" w:cs="Arial"/>
          <w:b/>
          <w:color w:val="000000"/>
          <w:sz w:val="24"/>
          <w:szCs w:val="28"/>
        </w:rPr>
      </w:pPr>
      <w:bookmarkStart w:id="258" w:name="_Toc13681"/>
      <w:r>
        <w:rPr>
          <w:rFonts w:ascii="Arial" w:hAnsi="Arial" w:cs="Arial"/>
          <w:b/>
          <w:color w:val="000000"/>
          <w:sz w:val="24"/>
          <w:szCs w:val="28"/>
        </w:rPr>
        <w:t>项目公司202</w:t>
      </w:r>
      <w:r>
        <w:rPr>
          <w:rFonts w:hint="eastAsia" w:ascii="Arial" w:hAnsi="Arial" w:cs="Arial"/>
          <w:b/>
          <w:color w:val="000000"/>
          <w:sz w:val="24"/>
          <w:szCs w:val="28"/>
          <w:lang w:val="en-US" w:eastAsia="zh-CN"/>
        </w:rPr>
        <w:t>1</w:t>
      </w:r>
      <w:r>
        <w:rPr>
          <w:rFonts w:ascii="Arial" w:hAnsi="Arial" w:cs="Arial"/>
          <w:b/>
          <w:color w:val="000000"/>
          <w:sz w:val="24"/>
          <w:szCs w:val="28"/>
        </w:rPr>
        <w:t>年1月印章使用明细表</w:t>
      </w:r>
      <w:bookmarkEnd w:id="258"/>
    </w:p>
    <w:tbl>
      <w:tblPr>
        <w:tblStyle w:val="18"/>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0"/>
        <w:gridCol w:w="1016"/>
        <w:gridCol w:w="2267"/>
        <w:gridCol w:w="3203"/>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jc w:val="center"/>
        </w:trPr>
        <w:tc>
          <w:tcPr>
            <w:tcW w:w="100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16"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67"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203"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8"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2021/1/4</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公章（1份）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报告书材料</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建筑工程设计技术方案审批成果报告书材料 1份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开发部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莫云飞</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4"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2021/1/5</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公章</w:t>
            </w:r>
            <w:r>
              <w:rPr>
                <w:rFonts w:hint="eastAsia" w:ascii="Arial" w:hAnsi="Arial" w:cs="Arial"/>
                <w:b w:val="0"/>
                <w:bCs w:val="0"/>
                <w:i w:val="0"/>
                <w:color w:val="000000"/>
                <w:kern w:val="0"/>
                <w:sz w:val="18"/>
                <w:szCs w:val="18"/>
                <w:u w:val="none"/>
                <w:lang w:val="en-US" w:eastAsia="zh-CN" w:bidi="ar"/>
              </w:rPr>
              <w:t>（4份）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海盐恒大都汇华庭项目周边区域园林工程设计费用支付协议 </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4"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2021/1/5</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w:t>
            </w:r>
            <w:r>
              <w:rPr>
                <w:rFonts w:hint="eastAsia" w:ascii="Arial" w:hAnsi="Arial" w:cs="Arial"/>
                <w:b w:val="0"/>
                <w:bCs w:val="0"/>
                <w:i w:val="0"/>
                <w:color w:val="000000"/>
                <w:kern w:val="0"/>
                <w:sz w:val="18"/>
                <w:szCs w:val="18"/>
                <w:u w:val="none"/>
                <w:lang w:val="en-US" w:eastAsia="zh-CN" w:bidi="ar"/>
              </w:rPr>
              <w:t>（4份）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海盐恒大都汇华庭项目前期介入物业服务协议 </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5"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2021/1/6</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cs="Arial"/>
                <w:b w:val="0"/>
                <w:bCs w:val="0"/>
                <w:i w:val="0"/>
                <w:color w:val="000000"/>
                <w:kern w:val="0"/>
                <w:sz w:val="18"/>
                <w:szCs w:val="18"/>
                <w:u w:val="none"/>
                <w:lang w:val="en-US" w:eastAsia="zh-CN" w:bidi="ar"/>
              </w:rPr>
              <w:t>公章（700份）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开盘准备资料</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无条件退房协议书 </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郑浩峰</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55"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2021/1/8</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公章</w:t>
            </w:r>
            <w:r>
              <w:rPr>
                <w:rFonts w:hint="eastAsia" w:ascii="Arial" w:hAnsi="Arial" w:cs="Arial"/>
                <w:b w:val="0"/>
                <w:bCs w:val="0"/>
                <w:i w:val="0"/>
                <w:color w:val="000000"/>
                <w:kern w:val="0"/>
                <w:sz w:val="18"/>
                <w:szCs w:val="18"/>
                <w:u w:val="none"/>
                <w:lang w:val="en-US" w:eastAsia="zh-CN" w:bidi="ar"/>
              </w:rPr>
              <w:t>（50）</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银行按揭准入</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海盐丰涛置业有限公司章程、海盐丰涛置业有限公司营业执照；建行征信查询授权书（法人）；建行股东会决议、建行企业信息查询授权书、建行准入申请表；农行准入申请表、海盐丰涛置业有限公司营业执照副本、农行企业征信授权书；中行股东会决议、中行企业信誉查询授权书；浦发银行股东会决议；浙商核签书、股东会决议；按揭贷款项目申请表、合作准入机构申请表；恒大地产集团有限公司章程、恒大地产集团有限公司营业执照</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陈科</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1"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2021/1/11</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w:t>
            </w:r>
            <w:r>
              <w:rPr>
                <w:rFonts w:hint="eastAsia" w:ascii="Arial" w:hAnsi="Arial" w:cs="Arial"/>
                <w:b w:val="0"/>
                <w:bCs w:val="0"/>
                <w:i w:val="0"/>
                <w:color w:val="000000"/>
                <w:kern w:val="0"/>
                <w:sz w:val="18"/>
                <w:szCs w:val="18"/>
                <w:u w:val="none"/>
                <w:lang w:val="en-US" w:eastAsia="zh-CN" w:bidi="ar"/>
              </w:rPr>
              <w:t>（4份）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海盐恒大都汇华庭项目营销物资购销合同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4"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2021/1/11</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w:t>
            </w:r>
            <w:r>
              <w:rPr>
                <w:rFonts w:hint="eastAsia" w:ascii="Arial" w:hAnsi="Arial" w:cs="Arial"/>
                <w:b w:val="0"/>
                <w:bCs w:val="0"/>
                <w:i w:val="0"/>
                <w:color w:val="000000"/>
                <w:kern w:val="0"/>
                <w:sz w:val="18"/>
                <w:szCs w:val="18"/>
                <w:u w:val="none"/>
                <w:lang w:val="en-US" w:eastAsia="zh-CN" w:bidi="ar"/>
              </w:rPr>
              <w:t>（4份）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海盐恒大都汇华庭项目电梯框架广告发布合同 </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8"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2021/1/11</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公章</w:t>
            </w:r>
            <w:r>
              <w:rPr>
                <w:rFonts w:hint="eastAsia" w:ascii="Arial" w:hAnsi="Arial" w:cs="Arial"/>
                <w:b w:val="0"/>
                <w:bCs w:val="0"/>
                <w:i w:val="0"/>
                <w:color w:val="000000"/>
                <w:kern w:val="0"/>
                <w:sz w:val="18"/>
                <w:szCs w:val="18"/>
                <w:u w:val="none"/>
                <w:lang w:val="en-US" w:eastAsia="zh-CN" w:bidi="ar"/>
              </w:rPr>
              <w:t>（10份）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放款材料用印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中航放款资料-出资通知书</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资金部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应云炜</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8"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2021/1/11</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财务专用章</w:t>
            </w:r>
            <w:r>
              <w:rPr>
                <w:rFonts w:hint="eastAsia" w:ascii="Arial" w:hAnsi="Arial" w:cs="Arial"/>
                <w:b w:val="0"/>
                <w:bCs w:val="0"/>
                <w:i w:val="0"/>
                <w:color w:val="000000"/>
                <w:kern w:val="0"/>
                <w:sz w:val="18"/>
                <w:szCs w:val="18"/>
                <w:u w:val="none"/>
                <w:lang w:val="en-US" w:eastAsia="zh-CN" w:bidi="ar"/>
              </w:rPr>
              <w:t>（20份）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售楼处收据</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收据</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彭帧</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7"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2021/1/13</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w:t>
            </w:r>
            <w:r>
              <w:rPr>
                <w:rFonts w:hint="eastAsia" w:ascii="Arial" w:hAnsi="Arial" w:cs="Arial"/>
                <w:b w:val="0"/>
                <w:bCs w:val="0"/>
                <w:i w:val="0"/>
                <w:color w:val="000000"/>
                <w:kern w:val="0"/>
                <w:sz w:val="18"/>
                <w:szCs w:val="18"/>
                <w:u w:val="none"/>
                <w:lang w:val="en-US" w:eastAsia="zh-CN" w:bidi="ar"/>
              </w:rPr>
              <w:t>（6份）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图审咨询合同 </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5"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2021/1/14</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公章、法人章</w:t>
            </w:r>
            <w:r>
              <w:rPr>
                <w:rFonts w:hint="eastAsia" w:ascii="Arial" w:hAnsi="Arial" w:cs="Arial"/>
                <w:b w:val="0"/>
                <w:bCs w:val="0"/>
                <w:i w:val="0"/>
                <w:color w:val="000000"/>
                <w:kern w:val="0"/>
                <w:sz w:val="18"/>
                <w:szCs w:val="18"/>
                <w:u w:val="none"/>
                <w:lang w:val="en-US" w:eastAsia="zh-CN" w:bidi="ar"/>
              </w:rPr>
              <w:t>（7份）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银行按揭准入</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企业信息查询、股东会决议 </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陈科</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4"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2021/1/15</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w:t>
            </w:r>
            <w:r>
              <w:rPr>
                <w:rFonts w:hint="eastAsia" w:ascii="Arial" w:hAnsi="Arial" w:cs="Arial"/>
                <w:b w:val="0"/>
                <w:bCs w:val="0"/>
                <w:i w:val="0"/>
                <w:color w:val="000000"/>
                <w:kern w:val="0"/>
                <w:sz w:val="18"/>
                <w:szCs w:val="18"/>
                <w:u w:val="none"/>
                <w:lang w:val="en-US" w:eastAsia="zh-CN" w:bidi="ar"/>
              </w:rPr>
              <w:t>（8份）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宽带资料</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宽带接入服务协议、宽带业务受理单、号码明细</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行政部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徐迅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7"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2021/1/21</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w:t>
            </w:r>
            <w:r>
              <w:rPr>
                <w:rFonts w:hint="eastAsia" w:ascii="Arial" w:hAnsi="Arial" w:cs="Arial"/>
                <w:b w:val="0"/>
                <w:bCs w:val="0"/>
                <w:i w:val="0"/>
                <w:color w:val="000000"/>
                <w:kern w:val="0"/>
                <w:sz w:val="18"/>
                <w:szCs w:val="18"/>
                <w:u w:val="none"/>
                <w:lang w:val="en-US" w:eastAsia="zh-CN" w:bidi="ar"/>
              </w:rPr>
              <w:t>（4份）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房车宝营销服务合作协议</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王松</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7"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2021/1/21</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w:t>
            </w:r>
            <w:r>
              <w:rPr>
                <w:rFonts w:hint="eastAsia" w:ascii="Arial" w:hAnsi="Arial" w:cs="Arial"/>
                <w:b w:val="0"/>
                <w:bCs w:val="0"/>
                <w:i w:val="0"/>
                <w:color w:val="000000"/>
                <w:kern w:val="0"/>
                <w:sz w:val="18"/>
                <w:szCs w:val="18"/>
                <w:u w:val="none"/>
                <w:lang w:val="en-US" w:eastAsia="zh-CN" w:bidi="ar"/>
              </w:rPr>
              <w:t>（20份）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交房管局资料</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监管月报</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监管月报模板</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李帅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6" w:hRule="atLeas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2021/1/22</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公章、法人章</w:t>
            </w:r>
            <w:r>
              <w:rPr>
                <w:rFonts w:hint="eastAsia" w:ascii="Arial" w:hAnsi="Arial" w:cs="Arial"/>
                <w:b w:val="0"/>
                <w:bCs w:val="0"/>
                <w:i w:val="0"/>
                <w:color w:val="000000"/>
                <w:kern w:val="0"/>
                <w:sz w:val="18"/>
                <w:szCs w:val="18"/>
                <w:u w:val="none"/>
                <w:lang w:val="en-US" w:eastAsia="zh-CN" w:bidi="ar"/>
              </w:rPr>
              <w:t>（12份）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办理预售相关资料</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预售申请表、都汇华庭地名核准书、浙江省投资项目备案信息表、都汇华庭销售纠纷与突发事情的应急预案、销售规章制度、商品房销售计划及销售方式、商品房买卖合同（预售）、备案价价表、工规证复印件、施工证复印件、资质证书复印件、营业执照副本复印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开发部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牛畅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2021/1/25</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w:t>
            </w:r>
            <w:r>
              <w:rPr>
                <w:rFonts w:hint="eastAsia" w:ascii="Arial" w:hAnsi="Arial" w:cs="Arial"/>
                <w:b w:val="0"/>
                <w:bCs w:val="0"/>
                <w:i w:val="0"/>
                <w:color w:val="000000"/>
                <w:kern w:val="0"/>
                <w:sz w:val="18"/>
                <w:szCs w:val="18"/>
                <w:u w:val="none"/>
                <w:lang w:val="en-US" w:eastAsia="zh-CN" w:bidi="ar"/>
              </w:rPr>
              <w:t>（1份）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用于政府要求对售楼处整改之后的反馈</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海盐恒大都汇华庭整改落实表</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李帅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2021/1/26</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w:t>
            </w:r>
            <w:r>
              <w:rPr>
                <w:rFonts w:hint="eastAsia" w:ascii="Arial" w:hAnsi="Arial" w:cs="Arial"/>
                <w:b w:val="0"/>
                <w:bCs w:val="0"/>
                <w:i w:val="0"/>
                <w:color w:val="000000"/>
                <w:kern w:val="0"/>
                <w:sz w:val="18"/>
                <w:szCs w:val="18"/>
                <w:u w:val="none"/>
                <w:lang w:val="en-US" w:eastAsia="zh-CN" w:bidi="ar"/>
              </w:rPr>
              <w:t>（23份）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银行准入材料</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土地款发票</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预售证</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陈科</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2021/1/27</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合同专用章</w:t>
            </w:r>
            <w:r>
              <w:rPr>
                <w:rFonts w:hint="eastAsia" w:ascii="Arial" w:hAnsi="Arial" w:cs="Arial"/>
                <w:b w:val="0"/>
                <w:bCs w:val="0"/>
                <w:i w:val="0"/>
                <w:color w:val="000000"/>
                <w:kern w:val="0"/>
                <w:sz w:val="18"/>
                <w:szCs w:val="18"/>
                <w:u w:val="none"/>
                <w:lang w:val="en-US" w:eastAsia="zh-CN" w:bidi="ar"/>
              </w:rPr>
              <w:t>（5份）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建筑外立面方案设计合同（海盐恒大都汇华庭项目小地块户型设计）</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2021/1/27</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w:t>
            </w:r>
            <w:r>
              <w:rPr>
                <w:rFonts w:hint="eastAsia" w:ascii="Arial" w:hAnsi="Arial" w:cs="Arial"/>
                <w:b w:val="0"/>
                <w:bCs w:val="0"/>
                <w:i w:val="0"/>
                <w:color w:val="000000"/>
                <w:kern w:val="0"/>
                <w:sz w:val="18"/>
                <w:szCs w:val="18"/>
                <w:u w:val="none"/>
                <w:lang w:val="en-US" w:eastAsia="zh-CN" w:bidi="ar"/>
              </w:rPr>
              <w:t>（50份）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催款函件</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首付款催款函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李帅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0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2021/1/28</w:t>
            </w:r>
          </w:p>
        </w:tc>
        <w:tc>
          <w:tcPr>
            <w:tcW w:w="10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w:t>
            </w:r>
            <w:r>
              <w:rPr>
                <w:rFonts w:hint="eastAsia" w:ascii="Arial" w:hAnsi="Arial" w:cs="Arial"/>
                <w:b w:val="0"/>
                <w:bCs w:val="0"/>
                <w:i w:val="0"/>
                <w:color w:val="000000"/>
                <w:kern w:val="0"/>
                <w:sz w:val="18"/>
                <w:szCs w:val="18"/>
                <w:u w:val="none"/>
                <w:lang w:val="en-US" w:eastAsia="zh-CN" w:bidi="ar"/>
              </w:rPr>
              <w:t>（2份）</w:t>
            </w:r>
          </w:p>
        </w:tc>
        <w:tc>
          <w:tcPr>
            <w:tcW w:w="2267"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验收单</w:t>
            </w:r>
          </w:p>
        </w:tc>
        <w:tc>
          <w:tcPr>
            <w:tcW w:w="320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3D宣传片验收单</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李帅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bl>
    <w:p>
      <w:pPr>
        <w:spacing w:before="312" w:beforeLines="100"/>
        <w:jc w:val="center"/>
        <w:outlineLvl w:val="9"/>
        <w:rPr>
          <w:rFonts w:hint="eastAsia" w:ascii="Arial" w:hAnsi="Arial" w:eastAsia="宋体"/>
          <w:b/>
          <w:color w:val="000000"/>
          <w:sz w:val="24"/>
          <w:szCs w:val="28"/>
        </w:rPr>
      </w:pPr>
      <w:bookmarkStart w:id="259" w:name="_Toc7514"/>
      <w:bookmarkStart w:id="260" w:name="_Toc27308"/>
      <w:bookmarkStart w:id="261" w:name="_Toc4419"/>
      <w:bookmarkStart w:id="262" w:name="_Toc11273"/>
      <w:bookmarkStart w:id="263" w:name="_Toc24099"/>
      <w:bookmarkStart w:id="264" w:name="_Toc18025"/>
      <w:bookmarkStart w:id="265" w:name="_Toc14939"/>
      <w:bookmarkStart w:id="266" w:name="_Toc16476"/>
      <w:bookmarkStart w:id="267" w:name="_Toc2357"/>
      <w:bookmarkStart w:id="268" w:name="_Toc31469"/>
      <w:bookmarkStart w:id="269" w:name="_Toc19745"/>
      <w:bookmarkStart w:id="270" w:name="_Toc24908"/>
      <w:bookmarkStart w:id="271" w:name="_Toc21772"/>
      <w:bookmarkStart w:id="272" w:name="_Toc4509"/>
      <w:bookmarkStart w:id="273" w:name="_Toc31393"/>
      <w:bookmarkStart w:id="274" w:name="_Toc27585"/>
      <w:r>
        <w:rPr>
          <w:rFonts w:hint="eastAsia" w:ascii="Arial" w:hAnsi="Arial" w:eastAsia="宋体"/>
          <w:b/>
          <w:color w:val="000000"/>
          <w:sz w:val="24"/>
          <w:szCs w:val="28"/>
        </w:rPr>
        <w:t>印章</w:t>
      </w:r>
      <w:r>
        <w:rPr>
          <w:rFonts w:hint="eastAsia" w:ascii="Arial" w:hAnsi="Arial"/>
          <w:b/>
          <w:color w:val="000000"/>
          <w:sz w:val="24"/>
          <w:szCs w:val="28"/>
          <w:lang w:val="en-US" w:eastAsia="zh-CN"/>
        </w:rPr>
        <w:t>外带</w:t>
      </w:r>
      <w:r>
        <w:rPr>
          <w:rFonts w:hint="eastAsia" w:ascii="Arial" w:hAnsi="Arial" w:eastAsia="宋体"/>
          <w:b/>
          <w:color w:val="000000"/>
          <w:sz w:val="24"/>
          <w:szCs w:val="28"/>
        </w:rPr>
        <w:t>使用情况表</w:t>
      </w:r>
      <w:bookmarkEnd w:id="259"/>
    </w:p>
    <w:tbl>
      <w:tblPr>
        <w:tblStyle w:val="18"/>
        <w:tblW w:w="9456" w:type="dxa"/>
        <w:tblInd w:w="0" w:type="dxa"/>
        <w:tblLayout w:type="fixed"/>
        <w:tblCellMar>
          <w:top w:w="0" w:type="dxa"/>
          <w:left w:w="0" w:type="dxa"/>
          <w:bottom w:w="0" w:type="dxa"/>
          <w:right w:w="0" w:type="dxa"/>
        </w:tblCellMar>
      </w:tblPr>
      <w:tblGrid>
        <w:gridCol w:w="1035"/>
        <w:gridCol w:w="1809"/>
        <w:gridCol w:w="3180"/>
        <w:gridCol w:w="1536"/>
        <w:gridCol w:w="948"/>
        <w:gridCol w:w="948"/>
      </w:tblGrid>
      <w:tr>
        <w:trPr>
          <w:trHeight w:val="442" w:hRule="atLeast"/>
          <w:tblHeader/>
        </w:trPr>
        <w:tc>
          <w:tcPr>
            <w:tcW w:w="1035"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widowControl/>
              <w:jc w:val="center"/>
              <w:rPr>
                <w:rFonts w:hint="eastAsia" w:ascii="Arial" w:hAnsi="Arial" w:eastAsia="宋体" w:cs="宋体"/>
                <w:b/>
                <w:color w:val="000000"/>
                <w:kern w:val="0"/>
                <w:sz w:val="18"/>
                <w:szCs w:val="22"/>
              </w:rPr>
            </w:pPr>
            <w:r>
              <w:rPr>
                <w:rFonts w:hint="eastAsia" w:ascii="Arial" w:hAnsi="Arial" w:cs="宋体"/>
                <w:b/>
                <w:color w:val="000000"/>
                <w:kern w:val="0"/>
                <w:sz w:val="18"/>
                <w:szCs w:val="22"/>
                <w:lang w:val="en-US" w:eastAsia="zh-CN"/>
              </w:rPr>
              <w:t>外出</w:t>
            </w:r>
            <w:r>
              <w:rPr>
                <w:rFonts w:hint="eastAsia" w:ascii="Arial" w:hAnsi="Arial" w:eastAsia="宋体" w:cs="宋体"/>
                <w:b/>
                <w:color w:val="000000"/>
                <w:kern w:val="0"/>
                <w:sz w:val="18"/>
                <w:szCs w:val="22"/>
                <w:lang w:val="en-US" w:eastAsia="zh-CN"/>
              </w:rPr>
              <w:t>日期</w:t>
            </w:r>
          </w:p>
        </w:tc>
        <w:tc>
          <w:tcPr>
            <w:tcW w:w="1809"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widowControl/>
              <w:jc w:val="center"/>
              <w:rPr>
                <w:rFonts w:hint="default" w:ascii="Arial" w:hAnsi="Arial" w:eastAsia="宋体" w:cs="宋体"/>
                <w:b/>
                <w:color w:val="000000"/>
                <w:kern w:val="0"/>
                <w:sz w:val="18"/>
                <w:szCs w:val="22"/>
                <w:lang w:val="en-US"/>
              </w:rPr>
            </w:pPr>
            <w:r>
              <w:rPr>
                <w:rFonts w:hint="eastAsia" w:ascii="Arial" w:hAnsi="Arial" w:eastAsia="宋体" w:cs="宋体"/>
                <w:b/>
                <w:color w:val="000000"/>
                <w:kern w:val="0"/>
                <w:sz w:val="18"/>
                <w:szCs w:val="22"/>
                <w:lang w:val="en-US" w:eastAsia="zh-CN"/>
              </w:rPr>
              <w:t>印鉴</w:t>
            </w:r>
            <w:r>
              <w:rPr>
                <w:rFonts w:hint="eastAsia" w:ascii="Arial" w:hAnsi="Arial" w:cs="宋体"/>
                <w:b/>
                <w:color w:val="000000"/>
                <w:kern w:val="0"/>
                <w:sz w:val="18"/>
                <w:szCs w:val="22"/>
                <w:lang w:val="en-US" w:eastAsia="zh-CN"/>
              </w:rPr>
              <w:t>证章名称</w:t>
            </w:r>
          </w:p>
        </w:tc>
        <w:tc>
          <w:tcPr>
            <w:tcW w:w="318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widowControl/>
              <w:jc w:val="center"/>
              <w:rPr>
                <w:rFonts w:hint="eastAsia" w:ascii="Arial" w:hAnsi="Arial" w:eastAsia="宋体" w:cs="宋体"/>
                <w:b/>
                <w:color w:val="000000"/>
                <w:kern w:val="0"/>
                <w:sz w:val="18"/>
                <w:szCs w:val="22"/>
              </w:rPr>
            </w:pPr>
            <w:r>
              <w:rPr>
                <w:rFonts w:hint="eastAsia" w:ascii="Arial" w:hAnsi="Arial" w:eastAsia="宋体" w:cs="宋体"/>
                <w:b/>
                <w:color w:val="000000"/>
                <w:kern w:val="0"/>
                <w:sz w:val="18"/>
                <w:szCs w:val="22"/>
                <w:lang w:val="en-US" w:eastAsia="zh-CN"/>
              </w:rPr>
              <w:t>用印事由</w:t>
            </w:r>
          </w:p>
        </w:tc>
        <w:tc>
          <w:tcPr>
            <w:tcW w:w="1536"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widowControl/>
              <w:jc w:val="center"/>
              <w:rPr>
                <w:rFonts w:hint="default" w:ascii="Arial" w:hAnsi="Arial" w:eastAsia="宋体" w:cs="宋体"/>
                <w:b/>
                <w:color w:val="000000"/>
                <w:kern w:val="0"/>
                <w:sz w:val="18"/>
                <w:szCs w:val="22"/>
                <w:lang w:val="en-US"/>
              </w:rPr>
            </w:pPr>
            <w:r>
              <w:rPr>
                <w:rFonts w:hint="eastAsia" w:ascii="Arial" w:hAnsi="Arial" w:cs="宋体"/>
                <w:b/>
                <w:color w:val="000000"/>
                <w:kern w:val="0"/>
                <w:sz w:val="18"/>
                <w:szCs w:val="22"/>
                <w:lang w:val="en-US" w:eastAsia="zh-CN"/>
              </w:rPr>
              <w:t>办事机构</w:t>
            </w:r>
          </w:p>
        </w:tc>
        <w:tc>
          <w:tcPr>
            <w:tcW w:w="948"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widowControl/>
              <w:jc w:val="center"/>
              <w:rPr>
                <w:rFonts w:hint="eastAsia" w:ascii="Arial" w:hAnsi="Arial" w:eastAsia="宋体" w:cs="宋体"/>
                <w:b/>
                <w:color w:val="000000"/>
                <w:kern w:val="0"/>
                <w:sz w:val="18"/>
                <w:szCs w:val="22"/>
              </w:rPr>
            </w:pPr>
            <w:r>
              <w:rPr>
                <w:rFonts w:hint="eastAsia" w:ascii="Arial" w:hAnsi="Arial" w:eastAsia="宋体" w:cs="宋体"/>
                <w:b/>
                <w:color w:val="000000"/>
                <w:kern w:val="0"/>
                <w:sz w:val="18"/>
                <w:szCs w:val="22"/>
                <w:lang w:val="en-US" w:eastAsia="zh-CN"/>
              </w:rPr>
              <w:t>经办人</w:t>
            </w:r>
          </w:p>
        </w:tc>
        <w:tc>
          <w:tcPr>
            <w:tcW w:w="948"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widowControl/>
              <w:jc w:val="center"/>
              <w:rPr>
                <w:rFonts w:hint="eastAsia" w:ascii="Arial" w:hAnsi="Arial" w:eastAsia="宋体" w:cs="宋体"/>
                <w:b/>
                <w:color w:val="000000"/>
                <w:kern w:val="0"/>
                <w:sz w:val="18"/>
                <w:szCs w:val="22"/>
              </w:rPr>
            </w:pPr>
            <w:r>
              <w:rPr>
                <w:rFonts w:hint="eastAsia" w:ascii="Arial" w:hAnsi="Arial" w:eastAsia="宋体" w:cs="宋体"/>
                <w:b/>
                <w:color w:val="000000"/>
                <w:kern w:val="0"/>
                <w:sz w:val="18"/>
                <w:szCs w:val="22"/>
                <w:lang w:val="en-US" w:eastAsia="zh-CN"/>
              </w:rPr>
              <w:t>监印人</w:t>
            </w:r>
          </w:p>
        </w:tc>
      </w:tr>
      <w:tr>
        <w:tblPrEx>
          <w:tblCellMar>
            <w:top w:w="0" w:type="dxa"/>
            <w:left w:w="0" w:type="dxa"/>
            <w:bottom w:w="0" w:type="dxa"/>
            <w:right w:w="0" w:type="dxa"/>
          </w:tblCellMar>
        </w:tblPrEx>
        <w:trPr>
          <w:cantSplit/>
          <w:trHeight w:val="0" w:hRule="atLeast"/>
        </w:trPr>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w:t>
            </w:r>
            <w:r>
              <w:rPr>
                <w:rFonts w:hint="eastAsia" w:ascii="Arial" w:hAnsi="Arial" w:cs="Arial"/>
                <w:b w:val="0"/>
                <w:bCs w:val="0"/>
                <w:i w:val="0"/>
                <w:color w:val="000000"/>
                <w:kern w:val="0"/>
                <w:sz w:val="18"/>
                <w:szCs w:val="18"/>
                <w:u w:val="none"/>
                <w:lang w:val="en-US" w:eastAsia="zh-CN" w:bidi="ar"/>
              </w:rPr>
              <w:t>1</w:t>
            </w:r>
            <w:r>
              <w:rPr>
                <w:rFonts w:hint="eastAsia" w:ascii="Arial" w:hAnsi="Arial" w:eastAsia="宋体" w:cs="Arial"/>
                <w:b w:val="0"/>
                <w:bCs w:val="0"/>
                <w:i w:val="0"/>
                <w:color w:val="000000"/>
                <w:kern w:val="0"/>
                <w:sz w:val="18"/>
                <w:szCs w:val="18"/>
                <w:u w:val="none"/>
                <w:lang w:val="en-US" w:eastAsia="zh-CN" w:bidi="ar"/>
              </w:rPr>
              <w:t>/</w:t>
            </w:r>
            <w:r>
              <w:rPr>
                <w:rFonts w:hint="eastAsia" w:ascii="Arial" w:hAnsi="Arial" w:cs="Arial"/>
                <w:b w:val="0"/>
                <w:bCs w:val="0"/>
                <w:i w:val="0"/>
                <w:color w:val="000000"/>
                <w:kern w:val="0"/>
                <w:sz w:val="18"/>
                <w:szCs w:val="18"/>
                <w:u w:val="none"/>
                <w:lang w:val="en-US" w:eastAsia="zh-CN" w:bidi="ar"/>
              </w:rPr>
              <w:t>1</w:t>
            </w:r>
            <w:r>
              <w:rPr>
                <w:rFonts w:hint="eastAsia" w:ascii="Arial" w:hAnsi="Arial" w:eastAsia="宋体" w:cs="Arial"/>
                <w:b w:val="0"/>
                <w:bCs w:val="0"/>
                <w:i w:val="0"/>
                <w:color w:val="000000"/>
                <w:kern w:val="0"/>
                <w:sz w:val="18"/>
                <w:szCs w:val="18"/>
                <w:u w:val="none"/>
                <w:lang w:val="en-US" w:eastAsia="zh-CN" w:bidi="ar"/>
              </w:rPr>
              <w:t>/</w:t>
            </w:r>
            <w:r>
              <w:rPr>
                <w:rFonts w:hint="eastAsia" w:ascii="Arial" w:hAnsi="Arial" w:cs="Arial"/>
                <w:b w:val="0"/>
                <w:bCs w:val="0"/>
                <w:i w:val="0"/>
                <w:color w:val="000000"/>
                <w:kern w:val="0"/>
                <w:sz w:val="18"/>
                <w:szCs w:val="18"/>
                <w:u w:val="none"/>
                <w:lang w:val="en-US" w:eastAsia="zh-CN" w:bidi="ar"/>
              </w:rPr>
              <w:t>22</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不动产权证</w:t>
            </w:r>
          </w:p>
        </w:tc>
        <w:tc>
          <w:tcPr>
            <w:tcW w:w="31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不动产权证书借用15天用于办理预售证</w:t>
            </w:r>
          </w:p>
        </w:tc>
        <w:tc>
          <w:tcPr>
            <w:tcW w:w="1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海盐县住建局</w:t>
            </w:r>
          </w:p>
        </w:tc>
        <w:tc>
          <w:tcPr>
            <w:tcW w:w="9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牛畅</w:t>
            </w:r>
          </w:p>
        </w:tc>
        <w:tc>
          <w:tcPr>
            <w:tcW w:w="9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张智辉/监察室</w:t>
            </w:r>
          </w:p>
        </w:tc>
      </w:tr>
    </w:tbl>
    <w:p>
      <w:pPr>
        <w:pStyle w:val="2"/>
        <w:spacing w:before="300" w:after="300" w:line="360" w:lineRule="exact"/>
        <w:jc w:val="left"/>
        <w:outlineLvl w:val="9"/>
        <w:rPr>
          <w:rFonts w:ascii="Arial" w:hAnsi="Arial" w:cs="Arial"/>
          <w:color w:val="000000"/>
          <w:sz w:val="24"/>
          <w:szCs w:val="24"/>
        </w:rPr>
      </w:pPr>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275" w:name="_Toc10995"/>
      <w:bookmarkStart w:id="276" w:name="_Toc21164"/>
      <w:bookmarkStart w:id="277" w:name="_Toc28277"/>
      <w:r>
        <w:rPr>
          <w:rFonts w:ascii="Arial" w:hAnsi="Arial" w:cs="Arial"/>
          <w:color w:val="000000"/>
          <w:sz w:val="24"/>
          <w:szCs w:val="24"/>
        </w:rPr>
        <w:t>5合同签订情况</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278" w:name="_Toc29375"/>
      <w:bookmarkStart w:id="279" w:name="_Toc7987"/>
      <w:bookmarkStart w:id="280" w:name="_Toc30558"/>
      <w:bookmarkStart w:id="281" w:name="_Toc14284"/>
      <w:bookmarkStart w:id="282" w:name="_Toc14182"/>
      <w:bookmarkStart w:id="283" w:name="_Toc8355"/>
      <w:bookmarkStart w:id="284" w:name="_Toc3599"/>
      <w:bookmarkStart w:id="285" w:name="_Toc3075"/>
      <w:bookmarkStart w:id="286" w:name="_Toc24352"/>
      <w:bookmarkStart w:id="287" w:name="_Toc18964"/>
      <w:bookmarkStart w:id="288" w:name="_Toc29466"/>
      <w:bookmarkStart w:id="289" w:name="_Toc29354"/>
      <w:bookmarkStart w:id="290" w:name="_Toc30757"/>
      <w:bookmarkStart w:id="291" w:name="_Toc11516"/>
      <w:bookmarkStart w:id="292" w:name="_Toc4193"/>
      <w:bookmarkStart w:id="293" w:name="_Toc17091"/>
      <w:r>
        <w:rPr>
          <w:rFonts w:hint="default" w:ascii="Arial" w:hAnsi="Arial" w:eastAsia="宋体" w:cs="Arial"/>
          <w:sz w:val="24"/>
        </w:rPr>
        <w:t>5.1</w:t>
      </w:r>
      <w:r>
        <w:rPr>
          <w:rFonts w:hint="default" w:ascii="Arial" w:hAnsi="Arial" w:eastAsia="宋体" w:cs="Arial"/>
          <w:color w:val="000000"/>
          <w:kern w:val="44"/>
          <w:sz w:val="24"/>
          <w:szCs w:val="24"/>
        </w:rPr>
        <w:t>新签订合同情况</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pPr>
        <w:spacing w:line="360" w:lineRule="auto"/>
        <w:ind w:firstLine="420" w:firstLineChars="200"/>
        <w:rPr>
          <w:rFonts w:ascii="Arial" w:hAnsi="Arial" w:cs="Arial"/>
        </w:rPr>
      </w:pPr>
      <w:r>
        <w:rPr>
          <w:rFonts w:hint="eastAsia" w:ascii="Arial" w:hAnsi="Arial" w:cs="Arial"/>
          <w:bCs/>
          <w:kern w:val="44"/>
          <w:szCs w:val="21"/>
          <w:lang w:eastAsia="zh-CN"/>
        </w:rPr>
        <w:t>截</w:t>
      </w:r>
      <w:r>
        <w:rPr>
          <w:rFonts w:ascii="Arial" w:hAnsi="Arial" w:cs="Arial"/>
          <w:bCs/>
          <w:kern w:val="44"/>
          <w:szCs w:val="21"/>
        </w:rPr>
        <w:t>至202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1</w:t>
      </w:r>
      <w:r>
        <w:rPr>
          <w:rFonts w:ascii="Arial" w:hAnsi="Arial" w:cs="Arial"/>
          <w:bCs/>
          <w:kern w:val="44"/>
          <w:szCs w:val="21"/>
        </w:rPr>
        <w:t>月</w:t>
      </w:r>
      <w:r>
        <w:rPr>
          <w:rFonts w:hint="eastAsia" w:ascii="Arial" w:hAnsi="Arial" w:cs="Arial"/>
          <w:bCs/>
          <w:kern w:val="44"/>
          <w:szCs w:val="21"/>
          <w:lang w:val="en-US" w:eastAsia="zh-CN"/>
        </w:rPr>
        <w:t>31</w:t>
      </w:r>
      <w:r>
        <w:rPr>
          <w:rFonts w:ascii="Arial" w:hAnsi="Arial" w:cs="Arial"/>
          <w:bCs/>
          <w:kern w:val="44"/>
          <w:szCs w:val="21"/>
        </w:rPr>
        <w:t>日，项目公司共计签订合同</w:t>
      </w:r>
      <w:r>
        <w:rPr>
          <w:rFonts w:hint="eastAsia" w:ascii="Arial" w:hAnsi="Arial" w:cs="Arial"/>
          <w:bCs/>
          <w:kern w:val="44"/>
          <w:szCs w:val="21"/>
          <w:lang w:val="en-US" w:eastAsia="zh-CN"/>
        </w:rPr>
        <w:t>88</w:t>
      </w:r>
      <w:r>
        <w:rPr>
          <w:rFonts w:ascii="Arial" w:hAnsi="Arial" w:cs="Arial"/>
          <w:bCs/>
          <w:kern w:val="44"/>
          <w:szCs w:val="21"/>
        </w:rPr>
        <w:t>份，合同总价</w:t>
      </w:r>
      <w:r>
        <w:rPr>
          <w:rFonts w:hint="eastAsia" w:ascii="Arial" w:hAnsi="Arial" w:cs="Arial"/>
          <w:szCs w:val="21"/>
        </w:rPr>
        <w:t>900,370,082.35</w:t>
      </w:r>
      <w:r>
        <w:rPr>
          <w:rFonts w:ascii="Arial" w:hAnsi="Arial" w:cs="Arial"/>
          <w:bCs/>
          <w:kern w:val="44"/>
          <w:szCs w:val="21"/>
        </w:rPr>
        <w:t>元。本月新签订合同</w:t>
      </w:r>
      <w:r>
        <w:rPr>
          <w:rFonts w:hint="eastAsia" w:ascii="Arial" w:hAnsi="Arial" w:cs="Arial"/>
          <w:bCs/>
          <w:kern w:val="44"/>
          <w:szCs w:val="21"/>
          <w:lang w:val="en-US" w:eastAsia="zh-CN"/>
        </w:rPr>
        <w:t>7份，</w:t>
      </w:r>
      <w:r>
        <w:rPr>
          <w:rFonts w:ascii="Arial" w:hAnsi="Arial" w:cs="Arial"/>
          <w:bCs/>
          <w:kern w:val="44"/>
          <w:szCs w:val="21"/>
        </w:rPr>
        <w:t>金额</w:t>
      </w:r>
      <w:r>
        <w:rPr>
          <w:rFonts w:hint="eastAsia" w:ascii="Arial" w:hAnsi="Arial" w:cs="Arial"/>
          <w:bCs/>
          <w:kern w:val="44"/>
          <w:szCs w:val="21"/>
        </w:rPr>
        <w:t>3,139,037.97</w:t>
      </w:r>
      <w:r>
        <w:rPr>
          <w:rFonts w:ascii="Arial" w:hAnsi="Arial" w:cs="Arial"/>
          <w:bCs/>
          <w:kern w:val="44"/>
          <w:szCs w:val="21"/>
        </w:rPr>
        <w:t>元</w:t>
      </w:r>
      <w:r>
        <w:rPr>
          <w:rFonts w:hint="eastAsia" w:ascii="Arial" w:hAnsi="Arial" w:cs="Arial"/>
          <w:bCs/>
          <w:kern w:val="44"/>
          <w:szCs w:val="21"/>
          <w:lang w:eastAsia="zh-CN"/>
        </w:rPr>
        <w:t>。</w:t>
      </w:r>
      <w:r>
        <w:rPr>
          <w:rFonts w:ascii="Arial" w:hAnsi="Arial" w:cs="Arial"/>
          <w:bCs/>
          <w:kern w:val="44"/>
          <w:szCs w:val="21"/>
        </w:rPr>
        <w:t>本月无合同结算</w:t>
      </w:r>
      <w:r>
        <w:rPr>
          <w:rFonts w:ascii="Arial" w:hAnsi="Arial" w:cs="Arial"/>
          <w:szCs w:val="21"/>
        </w:rPr>
        <w:t>，</w:t>
      </w:r>
      <w:r>
        <w:rPr>
          <w:rFonts w:ascii="Arial" w:hAnsi="Arial" w:cs="Arial"/>
          <w:bCs/>
          <w:kern w:val="44"/>
          <w:szCs w:val="21"/>
        </w:rPr>
        <w:t>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1</w:t>
      </w:r>
      <w:r>
        <w:rPr>
          <w:rFonts w:ascii="Arial" w:hAnsi="Arial" w:cs="Arial"/>
          <w:bCs/>
          <w:kern w:val="44"/>
          <w:szCs w:val="21"/>
        </w:rPr>
        <w:t>月新签订合同情况如下表：</w:t>
      </w:r>
    </w:p>
    <w:p>
      <w:pPr>
        <w:spacing w:before="240" w:beforeLines="100"/>
        <w:jc w:val="center"/>
        <w:rPr>
          <w:rFonts w:ascii="Arial" w:hAnsi="Arial" w:cs="Arial"/>
          <w:b/>
          <w:color w:val="000000"/>
          <w:sz w:val="24"/>
          <w:szCs w:val="28"/>
        </w:rPr>
      </w:pPr>
      <w:r>
        <w:rPr>
          <w:rFonts w:ascii="Arial" w:hAnsi="Arial" w:cs="Arial"/>
          <w:b/>
          <w:color w:val="000000"/>
          <w:sz w:val="24"/>
          <w:szCs w:val="28"/>
        </w:rPr>
        <w:t>202</w:t>
      </w:r>
      <w:r>
        <w:rPr>
          <w:rFonts w:hint="eastAsia" w:ascii="Arial" w:hAnsi="Arial" w:cs="Arial"/>
          <w:b/>
          <w:color w:val="000000"/>
          <w:sz w:val="24"/>
          <w:szCs w:val="28"/>
          <w:lang w:val="en-US" w:eastAsia="zh-CN"/>
        </w:rPr>
        <w:t>1</w:t>
      </w:r>
      <w:r>
        <w:rPr>
          <w:rFonts w:ascii="Arial" w:hAnsi="Arial" w:cs="Arial"/>
          <w:b/>
          <w:color w:val="000000"/>
          <w:sz w:val="24"/>
          <w:szCs w:val="28"/>
        </w:rPr>
        <w:t>年</w:t>
      </w:r>
      <w:r>
        <w:rPr>
          <w:rFonts w:hint="eastAsia" w:ascii="Arial" w:hAnsi="Arial" w:cs="Arial"/>
          <w:b/>
          <w:color w:val="000000"/>
          <w:sz w:val="24"/>
          <w:szCs w:val="28"/>
          <w:lang w:val="en-US" w:eastAsia="zh-CN"/>
        </w:rPr>
        <w:t>1</w:t>
      </w:r>
      <w:r>
        <w:rPr>
          <w:rFonts w:ascii="Arial" w:hAnsi="Arial" w:cs="Arial"/>
          <w:b/>
          <w:color w:val="000000"/>
          <w:sz w:val="24"/>
          <w:szCs w:val="28"/>
        </w:rPr>
        <w:t>月合同签订情况表</w:t>
      </w:r>
    </w:p>
    <w:tbl>
      <w:tblPr>
        <w:tblStyle w:val="18"/>
        <w:tblW w:w="9737" w:type="dxa"/>
        <w:tblInd w:w="0" w:type="dxa"/>
        <w:tblLayout w:type="fixed"/>
        <w:tblCellMar>
          <w:top w:w="0" w:type="dxa"/>
          <w:left w:w="0" w:type="dxa"/>
          <w:bottom w:w="0" w:type="dxa"/>
          <w:right w:w="0" w:type="dxa"/>
        </w:tblCellMar>
      </w:tblPr>
      <w:tblGrid>
        <w:gridCol w:w="524"/>
        <w:gridCol w:w="1308"/>
        <w:gridCol w:w="1668"/>
        <w:gridCol w:w="3531"/>
        <w:gridCol w:w="1442"/>
        <w:gridCol w:w="1264"/>
      </w:tblGrid>
      <w:tr>
        <w:tblPrEx>
          <w:tblCellMar>
            <w:top w:w="0" w:type="dxa"/>
            <w:left w:w="0" w:type="dxa"/>
            <w:bottom w:w="0" w:type="dxa"/>
            <w:right w:w="0" w:type="dxa"/>
          </w:tblCellMar>
        </w:tblPrEx>
        <w:trPr>
          <w:trHeight w:val="401" w:hRule="atLeast"/>
          <w:tblHead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序号</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对方单位</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合同文件名称</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合同内容</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合同金额（元）</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签约日期</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深圳市希尔景观设计有限公司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海盐恒大都汇华庭项目周边区域园林工程设计费支付协议</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鉴于乙方根据甲方需求，承接海盐恒大都汇华庭项目周边区域园林工程设计</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31,800.00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2021/1/5</w:t>
            </w:r>
          </w:p>
        </w:tc>
      </w:tr>
      <w:tr>
        <w:tblPrEx>
          <w:tblCellMar>
            <w:top w:w="0" w:type="dxa"/>
            <w:left w:w="0" w:type="dxa"/>
            <w:bottom w:w="0" w:type="dxa"/>
            <w:right w:w="0" w:type="dxa"/>
          </w:tblCellMar>
        </w:tblPrEx>
        <w:trPr>
          <w:cantSplit/>
          <w:trHeight w:val="978"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金碧物业有限公司海盐分公司（物业公司）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海盐恒大都汇华庭项目前期介入物业服务协议</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乙方负责甲方的案场物业</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2,699,856.00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2021/1/5</w:t>
            </w:r>
          </w:p>
        </w:tc>
      </w:tr>
      <w:tr>
        <w:tblPrEx>
          <w:tblCellMar>
            <w:top w:w="0" w:type="dxa"/>
            <w:left w:w="0" w:type="dxa"/>
            <w:bottom w:w="0" w:type="dxa"/>
            <w:right w:w="0" w:type="dxa"/>
          </w:tblCellMar>
        </w:tblPrEx>
        <w:trPr>
          <w:cantSplit/>
          <w:trHeight w:val="762"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杭州润滨礼品有限公司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（海盐恒大都汇华庭项目营销物资购销合同）</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甲方向乙方购买营销物资</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kern w:val="0"/>
                <w:sz w:val="18"/>
                <w:szCs w:val="18"/>
                <w:lang w:val="en-US" w:eastAsia="zh-CN"/>
              </w:rPr>
              <w:t xml:space="preserve">151,400.00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2021/1/11</w:t>
            </w:r>
          </w:p>
        </w:tc>
      </w:tr>
      <w:tr>
        <w:tblPrEx>
          <w:tblCellMar>
            <w:top w:w="0" w:type="dxa"/>
            <w:left w:w="0" w:type="dxa"/>
            <w:bottom w:w="0" w:type="dxa"/>
            <w:right w:w="0" w:type="dxa"/>
          </w:tblCellMar>
        </w:tblPrEx>
        <w:trPr>
          <w:cantSplit/>
          <w:trHeight w:val="626"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嘉兴市艾可广告传媒有限公司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（海盐恒大都汇华庭项目电梯框架广告发布合同）</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甲方委托乙方发布电梯框架广告</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kern w:val="0"/>
                <w:sz w:val="18"/>
                <w:szCs w:val="18"/>
                <w:lang w:val="en-US" w:eastAsia="zh-CN"/>
              </w:rPr>
              <w:t xml:space="preserve">100,000.00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2021/1/11</w:t>
            </w:r>
          </w:p>
        </w:tc>
      </w:tr>
      <w:tr>
        <w:tblPrEx>
          <w:tblCellMar>
            <w:top w:w="0" w:type="dxa"/>
            <w:left w:w="0" w:type="dxa"/>
            <w:bottom w:w="0" w:type="dxa"/>
            <w:right w:w="0" w:type="dxa"/>
          </w:tblCellMar>
        </w:tblPrEx>
        <w:trPr>
          <w:cantSplit/>
          <w:trHeight w:val="654"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嘉兴市天华城建设计院有限公司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（图审咨询合同）</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甲方委托乙方就项目进行技术咨询，并支付技术咨询酬劳</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kern w:val="0"/>
                <w:sz w:val="18"/>
                <w:szCs w:val="18"/>
                <w:lang w:val="en-US" w:eastAsia="zh-CN"/>
              </w:rPr>
              <w:t xml:space="preserve">135,978.67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2021/1/13</w:t>
            </w:r>
          </w:p>
        </w:tc>
      </w:tr>
      <w:tr>
        <w:tblPrEx>
          <w:tblCellMar>
            <w:top w:w="0" w:type="dxa"/>
            <w:left w:w="0" w:type="dxa"/>
            <w:bottom w:w="0" w:type="dxa"/>
            <w:right w:w="0" w:type="dxa"/>
          </w:tblCellMar>
        </w:tblPrEx>
        <w:trPr>
          <w:cantSplit/>
          <w:trHeight w:val="478"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深圳市房车宝销售有限公司上海分公司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房车宝营销服务合作协议</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甲方针对目前正在开发建设的 都汇华庭项目指定乙方作为其营销服务提供方</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kern w:val="0"/>
                <w:sz w:val="18"/>
                <w:szCs w:val="18"/>
                <w:lang w:val="en-US" w:eastAsia="zh-CN"/>
              </w:rPr>
              <w:t xml:space="preserve">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w:t>
            </w:r>
            <w:r>
              <w:rPr>
                <w:rFonts w:hint="eastAsia" w:ascii="Arial" w:hAnsi="Arial" w:cs="Arial"/>
                <w:b w:val="0"/>
                <w:bCs w:val="0"/>
                <w:i w:val="0"/>
                <w:color w:val="000000"/>
                <w:kern w:val="0"/>
                <w:sz w:val="18"/>
                <w:szCs w:val="18"/>
                <w:u w:val="none"/>
                <w:lang w:val="en-US" w:eastAsia="zh-CN" w:bidi="ar"/>
              </w:rPr>
              <w:t>21</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上海柏涛工程设计顾问有限公司</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建筑外立面方案设计合同（海盐恒大都汇华庭项目小地块户型设计）</w:t>
            </w:r>
          </w:p>
        </w:tc>
        <w:tc>
          <w:tcPr>
            <w:tcW w:w="3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甲方委托乙方承担海盐恒大都汇华庭项目小地块户型设计</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kern w:val="0"/>
                <w:sz w:val="18"/>
                <w:szCs w:val="18"/>
                <w:lang w:val="en-US" w:eastAsia="zh-CN"/>
              </w:rPr>
              <w:t xml:space="preserve">20,003.30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kern w:val="0"/>
                <w:sz w:val="18"/>
                <w:szCs w:val="18"/>
                <w:lang w:val="en-US" w:eastAsia="zh-CN" w:bidi="ar"/>
              </w:rPr>
            </w:pPr>
            <w:r>
              <w:rPr>
                <w:rFonts w:hint="eastAsia" w:ascii="Arial" w:hAnsi="Arial" w:eastAsia="宋体" w:cs="Arial"/>
                <w:b w:val="0"/>
                <w:bCs w:val="0"/>
                <w:i w:val="0"/>
                <w:color w:val="000000"/>
                <w:kern w:val="0"/>
                <w:sz w:val="18"/>
                <w:szCs w:val="18"/>
                <w:u w:val="none"/>
                <w:lang w:val="en-US" w:eastAsia="zh-CN" w:bidi="ar"/>
              </w:rPr>
              <w:t>2021/1/</w:t>
            </w:r>
            <w:r>
              <w:rPr>
                <w:rFonts w:hint="eastAsia" w:ascii="Arial" w:hAnsi="Arial" w:cs="Arial"/>
                <w:b w:val="0"/>
                <w:bCs w:val="0"/>
                <w:i w:val="0"/>
                <w:color w:val="000000"/>
                <w:kern w:val="0"/>
                <w:sz w:val="18"/>
                <w:szCs w:val="18"/>
                <w:u w:val="none"/>
                <w:lang w:val="en-US" w:eastAsia="zh-CN" w:bidi="ar"/>
              </w:rPr>
              <w:t>27</w:t>
            </w:r>
          </w:p>
        </w:tc>
      </w:tr>
    </w:tbl>
    <w:p>
      <w:pPr>
        <w:rPr>
          <w:rFonts w:ascii="Arial" w:hAnsi="Arial" w:cs="Arial"/>
        </w:rPr>
      </w:pPr>
      <w:bookmarkStart w:id="294" w:name="_Toc10219"/>
      <w:bookmarkStart w:id="295" w:name="_Toc26465"/>
      <w:bookmarkStart w:id="296" w:name="_Toc3819"/>
      <w:bookmarkStart w:id="297" w:name="_Toc9630"/>
      <w:bookmarkStart w:id="298" w:name="_Toc4738"/>
      <w:bookmarkStart w:id="299" w:name="_Toc10873"/>
      <w:bookmarkStart w:id="300" w:name="_Toc28483"/>
      <w:bookmarkStart w:id="301" w:name="_Toc7756"/>
      <w:bookmarkStart w:id="302" w:name="_Toc799"/>
      <w:bookmarkStart w:id="303" w:name="_Toc4356"/>
      <w:bookmarkStart w:id="304" w:name="_Toc1582"/>
      <w:bookmarkStart w:id="305" w:name="_Toc7407"/>
      <w:bookmarkStart w:id="306" w:name="_Toc4141"/>
      <w:bookmarkStart w:id="307" w:name="_Toc32286"/>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308" w:name="_Toc5594"/>
      <w:bookmarkStart w:id="309" w:name="_Toc31945"/>
      <w:bookmarkStart w:id="310" w:name="_Toc17458"/>
      <w:bookmarkStart w:id="311" w:name="_Toc22963"/>
      <w:r>
        <w:rPr>
          <w:rFonts w:hint="default" w:ascii="Arial" w:hAnsi="Arial" w:eastAsia="宋体" w:cs="Arial"/>
          <w:sz w:val="24"/>
        </w:rPr>
        <w:t>5.2项目合同支付情况</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spacing w:line="360" w:lineRule="auto"/>
        <w:ind w:firstLine="420" w:firstLineChars="200"/>
        <w:rPr>
          <w:rFonts w:ascii="Arial" w:hAnsi="Arial" w:cs="Arial"/>
          <w:szCs w:val="21"/>
        </w:rPr>
        <w:sectPr>
          <w:headerReference r:id="rId5" w:type="default"/>
          <w:footerReference r:id="rId6" w:type="default"/>
          <w:pgSz w:w="11905" w:h="16838"/>
          <w:pgMar w:top="1134" w:right="1134" w:bottom="1134" w:left="1134" w:header="851" w:footer="1077" w:gutter="340"/>
          <w:pgNumType w:start="1"/>
          <w:cols w:space="0" w:num="1"/>
          <w:docGrid w:linePitch="312" w:charSpace="0"/>
        </w:sectPr>
      </w:pPr>
      <w:r>
        <w:rPr>
          <w:rFonts w:ascii="Arial" w:hAnsi="Arial" w:cs="Arial"/>
          <w:szCs w:val="21"/>
        </w:rPr>
        <w:t>依据项目公司提供的合同台账，截至202</w:t>
      </w:r>
      <w:r>
        <w:rPr>
          <w:rFonts w:hint="eastAsia" w:ascii="Arial" w:hAnsi="Arial" w:cs="Arial"/>
          <w:szCs w:val="21"/>
          <w:lang w:val="en-US" w:eastAsia="zh-CN"/>
        </w:rPr>
        <w:t>1</w:t>
      </w:r>
      <w:r>
        <w:rPr>
          <w:rFonts w:ascii="Arial" w:hAnsi="Arial" w:cs="Arial"/>
          <w:szCs w:val="21"/>
        </w:rPr>
        <w:t>年1月</w:t>
      </w:r>
      <w:r>
        <w:rPr>
          <w:rFonts w:hint="eastAsia" w:ascii="Arial" w:hAnsi="Arial" w:cs="Arial"/>
          <w:szCs w:val="21"/>
          <w:lang w:val="en-US" w:eastAsia="zh-CN"/>
        </w:rPr>
        <w:t>31</w:t>
      </w:r>
      <w:r>
        <w:rPr>
          <w:rFonts w:ascii="Arial" w:hAnsi="Arial" w:cs="Arial"/>
          <w:szCs w:val="21"/>
        </w:rPr>
        <w:t>日，项目公司共签订合同</w:t>
      </w:r>
      <w:r>
        <w:rPr>
          <w:rFonts w:hint="eastAsia" w:ascii="Arial" w:hAnsi="Arial" w:cs="Arial"/>
          <w:szCs w:val="21"/>
          <w:lang w:eastAsia="zh-CN"/>
        </w:rPr>
        <w:t>、补充协议</w:t>
      </w:r>
      <w:r>
        <w:rPr>
          <w:rFonts w:ascii="Arial" w:hAnsi="Arial" w:cs="Arial"/>
          <w:szCs w:val="21"/>
        </w:rPr>
        <w:t>（含土地使用权出让合同变更协议）</w:t>
      </w:r>
      <w:r>
        <w:rPr>
          <w:rFonts w:hint="eastAsia" w:ascii="Arial" w:hAnsi="Arial" w:cs="Arial"/>
          <w:szCs w:val="21"/>
          <w:lang w:val="en-US" w:eastAsia="zh-CN"/>
        </w:rPr>
        <w:t>88</w:t>
      </w:r>
      <w:r>
        <w:rPr>
          <w:rFonts w:ascii="Arial" w:hAnsi="Arial" w:cs="Arial"/>
          <w:szCs w:val="21"/>
        </w:rPr>
        <w:t>份，合同金额共计</w:t>
      </w:r>
      <w:r>
        <w:rPr>
          <w:rFonts w:hint="eastAsia" w:ascii="Arial" w:hAnsi="Arial" w:cs="Arial"/>
          <w:szCs w:val="21"/>
        </w:rPr>
        <w:t>900,370,082.35</w:t>
      </w:r>
      <w:r>
        <w:rPr>
          <w:rFonts w:ascii="Arial" w:hAnsi="Arial" w:cs="Arial"/>
          <w:szCs w:val="21"/>
        </w:rPr>
        <w:t>元，依据合同支付</w:t>
      </w:r>
      <w:r>
        <w:rPr>
          <w:rFonts w:hint="eastAsia" w:ascii="Arial" w:hAnsi="Arial" w:cs="Arial"/>
          <w:color w:val="auto"/>
          <w:szCs w:val="21"/>
        </w:rPr>
        <w:t>621,848,469.78</w:t>
      </w:r>
      <w:r>
        <w:rPr>
          <w:rFonts w:ascii="Arial" w:hAnsi="Arial" w:cs="Arial"/>
          <w:szCs w:val="21"/>
        </w:rPr>
        <w:t>元，其中</w:t>
      </w:r>
      <w:r>
        <w:rPr>
          <w:rFonts w:hint="eastAsia" w:ascii="Arial" w:hAnsi="Arial" w:cs="Arial"/>
          <w:szCs w:val="21"/>
          <w:lang w:val="en-US" w:eastAsia="zh-CN"/>
        </w:rPr>
        <w:t>1</w:t>
      </w:r>
      <w:r>
        <w:rPr>
          <w:rFonts w:ascii="Arial" w:hAnsi="Arial" w:cs="Arial"/>
          <w:szCs w:val="21"/>
        </w:rPr>
        <w:t>月支付</w:t>
      </w:r>
      <w:r>
        <w:rPr>
          <w:rFonts w:hint="eastAsia" w:ascii="Arial" w:hAnsi="Arial" w:cs="Arial"/>
          <w:color w:val="auto"/>
          <w:szCs w:val="21"/>
        </w:rPr>
        <w:t>52,384,369.49</w:t>
      </w:r>
      <w:r>
        <w:rPr>
          <w:rFonts w:ascii="Arial" w:hAnsi="Arial" w:cs="Arial"/>
          <w:szCs w:val="21"/>
        </w:rPr>
        <w:t>元，待支付合同金额</w:t>
      </w:r>
      <w:r>
        <w:rPr>
          <w:rFonts w:hint="eastAsia" w:ascii="Arial" w:hAnsi="Arial" w:cs="Arial"/>
          <w:color w:val="auto"/>
          <w:szCs w:val="21"/>
        </w:rPr>
        <w:t>278,521,612.57</w:t>
      </w:r>
      <w:r>
        <w:rPr>
          <w:rFonts w:hint="eastAsia" w:ascii="Arial" w:hAnsi="Arial" w:cs="Arial"/>
          <w:szCs w:val="21"/>
        </w:rPr>
        <w:t>元</w:t>
      </w:r>
      <w:r>
        <w:rPr>
          <w:rFonts w:ascii="Arial" w:hAnsi="Arial" w:cs="Arial"/>
          <w:szCs w:val="21"/>
        </w:rPr>
        <w:t>，合同支付情况详见下表：</w:t>
      </w:r>
    </w:p>
    <w:p>
      <w:pPr>
        <w:rPr>
          <w:rFonts w:ascii="Arial" w:hAnsi="Arial" w:cs="Arial"/>
          <w:szCs w:val="21"/>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Arial" w:hAnsi="Arial" w:cs="Arial"/>
          <w:b/>
          <w:color w:val="000000"/>
          <w:sz w:val="24"/>
          <w:szCs w:val="28"/>
        </w:rPr>
      </w:pPr>
      <w:r>
        <w:rPr>
          <w:rFonts w:ascii="Arial" w:hAnsi="Arial" w:cs="Arial"/>
          <w:b/>
          <w:color w:val="000000"/>
          <w:sz w:val="24"/>
          <w:szCs w:val="28"/>
        </w:rPr>
        <w:t>合同付款情况统计表</w:t>
      </w:r>
    </w:p>
    <w:tbl>
      <w:tblPr>
        <w:tblStyle w:val="18"/>
        <w:tblW w:w="14484" w:type="dxa"/>
        <w:jc w:val="center"/>
        <w:tblLayout w:type="fixed"/>
        <w:tblCellMar>
          <w:top w:w="0" w:type="dxa"/>
          <w:left w:w="0" w:type="dxa"/>
          <w:bottom w:w="0" w:type="dxa"/>
          <w:right w:w="0" w:type="dxa"/>
        </w:tblCellMar>
      </w:tblPr>
      <w:tblGrid>
        <w:gridCol w:w="982"/>
        <w:gridCol w:w="1421"/>
        <w:gridCol w:w="1014"/>
        <w:gridCol w:w="2677"/>
        <w:gridCol w:w="3140"/>
        <w:gridCol w:w="1634"/>
        <w:gridCol w:w="1316"/>
        <w:gridCol w:w="1517"/>
        <w:gridCol w:w="783"/>
      </w:tblGrid>
      <w:tr>
        <w:tblPrEx>
          <w:tblCellMar>
            <w:top w:w="0" w:type="dxa"/>
            <w:left w:w="0" w:type="dxa"/>
            <w:bottom w:w="0" w:type="dxa"/>
            <w:right w:w="0" w:type="dxa"/>
          </w:tblCellMar>
        </w:tblPrEx>
        <w:trPr>
          <w:cantSplit/>
          <w:trHeight w:val="306" w:hRule="atLeast"/>
          <w:tblHeader/>
          <w:jc w:val="center"/>
        </w:trPr>
        <w:tc>
          <w:tcPr>
            <w:tcW w:w="98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42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101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67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314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63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616"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tblPrEx>
          <w:tblCellMar>
            <w:top w:w="0" w:type="dxa"/>
            <w:left w:w="0" w:type="dxa"/>
            <w:bottom w:w="0" w:type="dxa"/>
            <w:right w:w="0" w:type="dxa"/>
          </w:tblCellMar>
        </w:tblPrEx>
        <w:trPr>
          <w:cantSplit/>
          <w:trHeight w:val="643" w:hRule="atLeast"/>
          <w:tblHeader/>
          <w:jc w:val="center"/>
        </w:trPr>
        <w:tc>
          <w:tcPr>
            <w:tcW w:w="9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01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67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314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3304242020A21025 号《国有建设用地使用权出让合同》变更协议</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恒大地产集团上海盛建置业有限公司、海盐县自然资源和规划局</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国有建设用地使用权出让合同变更协议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20"/>
                <w:szCs w:val="20"/>
              </w:rPr>
            </w:pPr>
            <w:r>
              <w:rPr>
                <w:rFonts w:hint="default" w:ascii="Arial" w:hAnsi="Arial" w:eastAsia="宋体" w:cs="Arial"/>
                <w:i w:val="0"/>
                <w:color w:val="000000"/>
                <w:kern w:val="0"/>
                <w:sz w:val="18"/>
                <w:szCs w:val="18"/>
                <w:u w:val="none"/>
                <w:lang w:val="en-US" w:eastAsia="zh-CN" w:bidi="ar"/>
              </w:rPr>
              <w:t>506,177,100.00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20"/>
                <w:szCs w:val="20"/>
                <w:lang w:val="en-US"/>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506,177,100.00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土地合同合计</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506,177,100.00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506,177,100.00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37"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2020/6/22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上海煜铂广告有限公司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海盐恒大都汇华庭项目围蔽工程施工合同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1,825,012.46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601,757.49</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1,111,757.49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w:t>
            </w:r>
          </w:p>
        </w:tc>
      </w:tr>
      <w:tr>
        <w:tblPrEx>
          <w:tblCellMar>
            <w:top w:w="0" w:type="dxa"/>
            <w:left w:w="0" w:type="dxa"/>
            <w:bottom w:w="0" w:type="dxa"/>
            <w:right w:w="0" w:type="dxa"/>
          </w:tblCellMar>
        </w:tblPrEx>
        <w:trPr>
          <w:cantSplit/>
          <w:trHeight w:val="337"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恒沪工合字20[0.37-97]001-1、001-2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上海煜铂广告有限公司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海盐恒大都汇华庭项目围蔽工程施工合同补充协议（1-赶工奖框架协议）及补充协议（2-赶工奖）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5,184.34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2020/6/28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广州市恒合工程监理有限公司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建设工程监理合同（海盐恒大都汇华庭项目监理工程（非人防））</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3,476,202.00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浙江华坤建设有限公司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海盐恒大都汇华庭项目临时道路工程施工合同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1,000,445.60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85,857.99</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85,857.99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浙江华坤建设有限公司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海盐恒大都汇华庭临时围墙工程施工合同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383,997.41</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浙江省地球物理技术应用研究所</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海盐恒大都汇华庭项目桩基检测工程承包合同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593,795.00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浙江东南建设管理有限公司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海盐恒大都汇华庭项目人防监理合同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94,679.20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浙江中材工程勘测设计有限公司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海盐恒大都汇华庭项目勘察工程施工合同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607,483.48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128,891.29</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485,986.78</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上海电气承广电力工程有限公司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电力安装工程设计施工承包合同(海盐恒大都汇华庭项目临时用电工程)</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565,257.28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565,257.28</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浙江中材工程勘测设计有限公司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海盐恒大都汇华庭基坑监测工程监测合同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213,484.00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江苏博森建筑设计有限公司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海盐恒大都汇华庭项目人防工程施工图设计合同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147,830.14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1"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江苏博森建筑设计有限公司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海盐恒大都汇华庭项目施工图设计合同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4,315,677.76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895,791.64</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21%</w:t>
            </w:r>
          </w:p>
        </w:tc>
      </w:tr>
      <w:tr>
        <w:tblPrEx>
          <w:tblCellMar>
            <w:top w:w="0" w:type="dxa"/>
            <w:left w:w="0" w:type="dxa"/>
            <w:bottom w:w="0" w:type="dxa"/>
            <w:right w:w="0" w:type="dxa"/>
          </w:tblCellMar>
        </w:tblPrEx>
        <w:trPr>
          <w:cantSplit/>
          <w:trHeight w:val="57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杭州市勘测设</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计研究院</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海盐恒大都汇华庭项目基坑支护设计合同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268,000.00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上海柏涛工程设计顾问有限公司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建筑外立面方案设计合同（海盐恒大都汇华庭项目非标立面方案设计）</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1,150,000.00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575,000.00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575,000.00 </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2020/8/18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深圳市希尔景观设计有限公司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海盐恒大都汇华庭项目园林工程设计合同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595,186.10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73,686.93</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 xml:space="preserve">73,686.93 </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广州市白云建筑设计院有限公司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嘉兴海盐县新桥路西项目（海盐恒大都会华庭项目）规划方案设计费支付协议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70,000.00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70,000.00 </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临时使用土地合同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526,120.00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526,120.00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临时用地复垦方案</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临时用地复垦协议书</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桐乡市恒诚节能技术咨询有限公司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技术咨询合同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153,000.00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恒沪它合字20[0.37-97]009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嘉兴市环泰工程技术有限公司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开发建设项目水土保持方案技术咨询合同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145,000.00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恒沪它合字20[0.37-97]011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嘉兴中诚工程检测有限公司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结构实体检测合同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285,523.00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恒沪它合字20[0.37-97]013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2020/12/9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浙江省建设工程质量检验站有限公司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技 术 服 务 合 同 书</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恒沪工合字20[0.37-97]029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2020/12/14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浙江中材工程勘测设计有限公司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海盐恒大都汇华庭项目沉降观测工程检测合同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106,252.00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恒沪设合字20[0.37-97]007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2020/12/16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浙江施朗龙山工程设计有限公司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海盐恒大都汇华庭项目住宅及公建报建、施工图前置审图合同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451,941.60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393,189.19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恒沪设合字20[0.37-97]008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2020/12/16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深圳市建装业集团股份有限公司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海盐恒大都汇华庭项目幕墙设计工程施工图深化套图框、配合消防报审设计合同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661,139.00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恒沪设合字20[0.37-97]009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深圳市希尔景观设计有限公司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Arial" w:hAnsi="Arial" w:cs="Arial"/>
                <w:color w:val="000000"/>
                <w:kern w:val="0"/>
                <w:sz w:val="18"/>
                <w:szCs w:val="18"/>
                <w:lang w:val="en-US" w:eastAsia="zh-CN" w:bidi="ar"/>
              </w:rPr>
              <w:t>海盐恒大都汇华庭项目周边区域园林工程设计费支付协议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31,800.00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恒沪物合字20[0.37-97]002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金碧物业有限公司海盐分公司（物业公司）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海盐恒大都汇华庭项目前期介入物业服务协议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2,699,856.00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恒沪它合字21[0.37-97]001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嘉兴市天华城建设计院有限公司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图审咨询合同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135,978.67</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恒沪设合字21[0.37-97]001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2021/1/27</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上海柏涛工程设计顾问 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建筑外立面方案设计合同（海盐恒大都汇华庭项目小地块户型设计）</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20,003.30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前期类合同合计</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20,760,848.34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1,535,193.70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5,050,647.30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24%</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浙江尚都建设有限公司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海盐恒大都汇华庭项目土石方工程施工合同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10,607,008.00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810,007.14</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2,067,654.37</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江苏骏兴建设工程有限公司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海盐恒大都汇华庭项目桩基工程施工合同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75,962,717.16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16,055,712.61</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51,804,414.05</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68%</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江苏骏兴建设工程有限公司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海盐恒大都汇华庭项目基坑支护及降排水工程施工合同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40,551,285.55</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11,751,247.83</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23,622,549.89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w:t>
            </w:r>
          </w:p>
        </w:tc>
      </w:tr>
      <w:tr>
        <w:tblPrEx>
          <w:tblCellMar>
            <w:top w:w="0" w:type="dxa"/>
            <w:left w:w="0" w:type="dxa"/>
            <w:bottom w:w="0" w:type="dxa"/>
            <w:right w:w="0" w:type="dxa"/>
          </w:tblCellMar>
        </w:tblPrEx>
        <w:trPr>
          <w:cantSplit/>
          <w:trHeight w:val="584"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2020/8/11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江苏省苏中建设集团股份有限公司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海盐恒大都汇华庭项目主体及配套建设工程施工合同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215,000,000.00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18,318,309.24</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23,119,783.20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w:t>
            </w:r>
          </w:p>
        </w:tc>
      </w:tr>
      <w:tr>
        <w:tblPrEx>
          <w:tblCellMar>
            <w:top w:w="0" w:type="dxa"/>
            <w:left w:w="0" w:type="dxa"/>
            <w:bottom w:w="0" w:type="dxa"/>
            <w:right w:w="0" w:type="dxa"/>
          </w:tblCellMar>
        </w:tblPrEx>
        <w:trPr>
          <w:cantSplit/>
          <w:trHeight w:val="684"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上海继昱建设工程有限公司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海盐恒大都汇华庭售楼处临时样板房、商业消防工程施工合同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289,164.50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163,997.71</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西安高科幕墙门窗有限公司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海盐恒大都汇华庭售楼处、商业外立面幕墙工程施工合同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1,969,524.40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1,575,619.52</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嘉兴巨匠防护设备有限公司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海盐都汇华庭项目人防门供货及安装工程施工合同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720,292.65</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工程</w:t>
            </w:r>
            <w:r>
              <w:rPr>
                <w:rFonts w:ascii="Arial" w:hAnsi="Arial" w:cs="Arial"/>
                <w:color w:val="000000"/>
                <w:kern w:val="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恒沪购合字20[0.37-97]001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广州恒大材料设备有限公司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海盐恒大都汇华庭材料物资供货合同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1,361.74</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90,358.19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工程</w:t>
            </w:r>
            <w:r>
              <w:rPr>
                <w:rFonts w:ascii="Arial" w:hAnsi="Arial" w:cs="Arial"/>
                <w:color w:val="000000"/>
                <w:kern w:val="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恒沪购合字20[0.37-97]002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深圳恒大材料设备有限公司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海盐恒大都汇华庭材料物资供货合同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1,948,237.91</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3,114,979.60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工程</w:t>
            </w:r>
            <w:r>
              <w:rPr>
                <w:rFonts w:ascii="Arial" w:hAnsi="Arial" w:cs="Arial"/>
                <w:color w:val="00000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恒沪工合字20[0.37-97]004-1、004-2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江苏骏兴建设工程有限公司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海盐恒大都汇华庭项目桩基工程施工合同补充协议（1-赶工奖框架协议）及补充协议（2-赶工奖）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1,215,443.75</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工程</w:t>
            </w:r>
            <w:r>
              <w:rPr>
                <w:rFonts w:ascii="Arial" w:hAnsi="Arial" w:cs="Arial"/>
                <w:color w:val="00000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恒沪工合字20[0.37-97]007-1、007-2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江苏骏兴建设工程有限公司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海盐恒大都汇华庭项目基坑支护及降排水工程施工合同补充协议（1-赶工奖框架协议）及补充协议（2-赶工奖）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1,424,556.25</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恒沪工合字20[0.37-97]007-3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2020/12/14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Arial" w:hAnsi="Arial" w:cs="Arial"/>
                <w:color w:val="000000"/>
                <w:sz w:val="18"/>
                <w:szCs w:val="18"/>
                <w:lang w:val="en-US" w:eastAsia="zh-CN" w:bidi="ar"/>
              </w:rPr>
              <w:t>江苏骏兴建设工程有限公司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Arial" w:hAnsi="Arial" w:cs="Arial"/>
                <w:color w:val="000000"/>
                <w:sz w:val="18"/>
                <w:szCs w:val="18"/>
                <w:lang w:val="en-US" w:eastAsia="zh-CN" w:bidi="ar"/>
              </w:rPr>
              <w:t>海盐恒大都汇华庭项目基坑支护及降排水工程施工合同补充协议 3</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1,748,258.93</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234"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工程类合同合计</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349,488,251.19</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48,884,876.47</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105,559,356.53</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sz w:val="18"/>
                <w:szCs w:val="18"/>
              </w:rPr>
            </w:pPr>
            <w:r>
              <w:rPr>
                <w:rFonts w:hint="default" w:ascii="Arial" w:hAnsi="Arial" w:eastAsia="宋体" w:cs="Arial"/>
                <w:b/>
                <w:i w:val="0"/>
                <w:color w:val="000000"/>
                <w:kern w:val="0"/>
                <w:sz w:val="18"/>
                <w:szCs w:val="18"/>
                <w:u w:val="none"/>
                <w:lang w:val="en-US" w:eastAsia="zh-CN" w:bidi="ar"/>
              </w:rPr>
              <w:t>30%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上海鹤琢广告有限公司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海盐恒大都汇华庭项目全案广告代理合同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235,680.19</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26%</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广东天广联会展有限公司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海盐恒大都汇华庭智慧社区展示区物料包装合同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430,000.00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408,500.00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95%</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2020/8/20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深圳钛铂新媒体营销股份有限公司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海盐恒大都汇华庭项目3D宣传片制作合同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135,000.00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108,000.00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南京长岛建设工程有限公司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海盐恒大都汇华庭售楼处室内装修工程施工合同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1,108,967.66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554,483.83</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南京长岛建设工程有限公司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海盐恒大都汇华庭临时样板房室内装修工程施工合同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137,453.04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海盐恒大都汇华庭项目售楼处小型中央空调安装施工合同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105,247.50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海盐恒大都汇华庭临时样板房小型中央空调安装施工合同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21,146.69</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湖南美致空间设计空间有限公司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海盐恒大都汇华庭项目滨河左岸销售中心室内软装工程施工合同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661,576.00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529,260.80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80%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安徽省安泰科技股份有限公司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海盐恒大都汇华庭售楼处、临时样板房智能化工程施工合同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237,177.33</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158,908.81</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67%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海盐恒大都汇华庭项目售楼处小型中央空调采购合同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171,420.39</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江门市中意灯饰水晶有限公司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海盐恒大都汇华庭售楼部艺术灯具购销合同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105,752.94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105,752.94</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105,752.94</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海盐恒大都汇华庭项目样板房小型中央空调采购合同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31,940.26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威海山花华宝地毯有限公司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海盐恒大都汇华庭地毯采购合同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111,152.00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114,824.00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114,824.00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103%</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嘉兴嘉报传媒广告有限公司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南湖晚报2020年度广告合作协议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嘉兴钧策文化传媒有限公司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明日观地产2020年度广告合作协议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嘉兴爱快信息技术有限公司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禾枫说楼2020年度广告合作协议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嘉兴市广播电视集团</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嘉兴电台2020年度广告合作协议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海盐县武原街道环卫所</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生活垃圾清运及处置委托协议书</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3,600.00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广州市雅媞饰家装饰工程有限公司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海盐恒大都汇华庭项目高层临时MT6-2saA户型现代橙装风格样板房室内软装饰施工合同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306,125.00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南京唯启广告传媒有限公司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海盐恒大都汇华庭展示区导视系统及精神堡垒制作安装工程施工合同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150,339.80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64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嘉兴十九楼网络科技有限公司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嘉兴19楼2020年度广告合作协议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上海煜铂广告有限公司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海盐恒大都汇华庭项目导视牌购销合同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237,040.00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衢州信德广告有限公司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海盐恒大都汇华庭项目商业街物料购销合同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178,650.00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178,650.00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178,650.00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慈溪市明城建材有限公司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海盐都汇华庭项目JDG管及配件购销合同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165,965.00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165,965.00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165,965.00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58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恒沪广合字20[0.37-97]007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嘉兴嘉论网络科技有限公司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嘉论网2020年度合作广告协议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恒沪它合字20[0.37-97]010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上海大乘房地产经纪有限公司/上海易居详悦房屋销售有限公司/嘉兴永创房地产营销策划有限公司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嘉兴海盐恒大都汇华庭项目策划销售代理合同（易居）</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7,064,460.00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504"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恒沪工合字20[0.37-97]028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江苏宏洁机电工程有限公司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海盐恒大都汇华庭项目临时展示区亮化工程施工合同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289,980.00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100,000.00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34%</w:t>
            </w:r>
          </w:p>
        </w:tc>
      </w:tr>
      <w:tr>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恒沪广合字20[0.37-97]008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嘉兴市广播电视集团（嘉兴市广播电视台总台）</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嘉兴电台2020年度广告合作协议（嘉兴市广播电视台总台）</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恒沪购合字20[0.37-97]010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上海吾林实业有限公司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海盐恒大都汇华庭项目营销物资购销合同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159,300.00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159,300.00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159,300.00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恒沪它合字20[0.37-97]012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2020/12/7</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房车宝信息技术（深圳）有限公司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房车宝营销服务合作协议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64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恒沪工合字20[0.37-97]015-1、015-2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2020/12/14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南京长岛建设工程有限公司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海盐恒大都汇华庭售楼处室内装修工程施工合同补充协议（1-赶工奖框架协议）及补充协议（2-赶工奖）</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66,538.06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恒沪工合字20[0.37-97]016-1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南京长岛建设工程有限公司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海盐恒大都汇华庭临时样板房室内装修工程施工合同解除协议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-137,453.04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恒沪工合字20[0.37-97]030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上海迪探节能科技有限公司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海盐恒大都汇华庭售楼处、商业、临时样板房铝合金门窗安装工程施工合同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39,668.96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恒沪购合字20[0.37-97]011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上海迪探节能科技有限公司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海盐恒大都汇华庭售楼处、商业、临时样板房铝合金门窗购销合同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225,125.74</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恒沪工合字20[0.37-97]031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2020/12/30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南京长岛建设工程有限公司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海盐恒大都汇华庭临时样板房室内装修工程施工合同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139,296.53</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恒沪广合字20[0.37-97]009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2020/12/30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嘉兴市广电传媒有限公司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禾点点2020年度广告合作协议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恒沪它合字20[0.37-97]014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2020/12/30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嘉兴火舞传媒有限公司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海盐恒大都汇华庭《惊天之术 魔幻之城》活动合同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239,000.00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87,900.00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87,900.00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恒沪购合字21[0.37-97]001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杭州润滨礼品有限公司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（海盐恒大都汇华庭项目营销物资购销合同）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151,400.00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89,450.00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89,450.00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59%</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恒沪广合字21[0.37-97]001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嘉兴市艾可广告传媒有限公司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（海盐恒大都汇华庭项目电梯框架广告发布合同）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深圳市房车宝销售有限公司上海分公司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房车宝营销服务合作协议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营销类合同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14,335,869.86</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1,001,841.94</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2,996,675.57</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i w:val="0"/>
                <w:color w:val="000000"/>
                <w:kern w:val="0"/>
                <w:sz w:val="18"/>
                <w:szCs w:val="18"/>
                <w:u w:val="none"/>
                <w:lang w:val="en-US" w:eastAsia="zh-CN" w:bidi="ar"/>
              </w:rPr>
            </w:pPr>
            <w:r>
              <w:rPr>
                <w:rFonts w:hint="eastAsia" w:ascii="Arial" w:hAnsi="Arial" w:eastAsia="宋体" w:cs="Arial"/>
                <w:b/>
                <w:i w:val="0"/>
                <w:color w:val="000000"/>
                <w:kern w:val="0"/>
                <w:sz w:val="18"/>
                <w:szCs w:val="18"/>
                <w:u w:val="none"/>
                <w:lang w:val="en-US" w:eastAsia="zh-CN" w:bidi="ar"/>
              </w:rPr>
              <w:t>21%</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基础设施类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浙江华坤建设有限公司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海盐恒大都汇华庭项目红线外设置施工道路工程施工合同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769,321.28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592,377.38</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592,377.38</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77%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基础设施类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上海徐汇园林发展有限公司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海盐恒大都汇华庭园建施工合同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5,700,800.00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370,080.00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1,080,080.00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19%</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基础设施类合同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bCs/>
                <w:color w:val="000000"/>
                <w:kern w:val="0"/>
                <w:sz w:val="18"/>
                <w:szCs w:val="18"/>
                <w:lang w:val="en-US" w:eastAsia="zh-CN" w:bidi="ar"/>
              </w:rPr>
            </w:pPr>
            <w:r>
              <w:rPr>
                <w:rFonts w:hint="default" w:ascii="Arial" w:hAnsi="Arial" w:eastAsia="宋体" w:cs="Arial"/>
                <w:b/>
                <w:i w:val="0"/>
                <w:color w:val="000000"/>
                <w:kern w:val="0"/>
                <w:sz w:val="18"/>
                <w:szCs w:val="18"/>
                <w:u w:val="none"/>
                <w:lang w:val="en-US" w:eastAsia="zh-CN" w:bidi="ar"/>
              </w:rPr>
              <w:t>6,470,121.28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bCs/>
                <w:color w:val="000000"/>
                <w:kern w:val="0"/>
                <w:sz w:val="18"/>
                <w:szCs w:val="18"/>
                <w:lang w:val="en-US" w:eastAsia="zh-CN" w:bidi="ar"/>
              </w:rPr>
            </w:pPr>
            <w:r>
              <w:rPr>
                <w:rFonts w:hint="default" w:ascii="Arial" w:hAnsi="Arial" w:eastAsia="宋体" w:cs="Arial"/>
                <w:b/>
                <w:i w:val="0"/>
                <w:color w:val="000000"/>
                <w:kern w:val="0"/>
                <w:sz w:val="18"/>
                <w:szCs w:val="18"/>
                <w:u w:val="none"/>
                <w:lang w:val="en-US" w:eastAsia="zh-CN" w:bidi="ar"/>
              </w:rPr>
              <w:t>962,457.38</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bCs/>
                <w:color w:val="000000"/>
                <w:kern w:val="0"/>
                <w:sz w:val="18"/>
                <w:szCs w:val="18"/>
                <w:lang w:val="en-US" w:eastAsia="zh-CN" w:bidi="ar"/>
              </w:rPr>
            </w:pPr>
            <w:r>
              <w:rPr>
                <w:rFonts w:hint="default" w:ascii="Arial" w:hAnsi="Arial" w:eastAsia="宋体" w:cs="Arial"/>
                <w:b/>
                <w:i w:val="0"/>
                <w:color w:val="000000"/>
                <w:kern w:val="0"/>
                <w:sz w:val="18"/>
                <w:szCs w:val="18"/>
                <w:u w:val="none"/>
                <w:lang w:val="en-US" w:eastAsia="zh-CN" w:bidi="ar"/>
              </w:rPr>
              <w:t>1,672,457.38</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eastAsia" w:ascii="Arial" w:hAnsi="Arial" w:eastAsia="宋体" w:cs="Arial"/>
                <w:b/>
                <w:i w:val="0"/>
                <w:color w:val="000000"/>
                <w:kern w:val="0"/>
                <w:sz w:val="18"/>
                <w:szCs w:val="18"/>
                <w:u w:val="none"/>
                <w:lang w:val="en-US" w:eastAsia="zh-CN" w:bidi="ar"/>
              </w:rPr>
              <w:t>26%</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恒沪租合字20[0.37-95]001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2020/5/13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吴文博</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房屋租赁合同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46,800.00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恒沪物合字20[0.37-97]001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2020/11/25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金碧物业有限公司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前期物业服务合同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2,691,091.68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管理类合同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i w:val="0"/>
                <w:color w:val="000000"/>
                <w:kern w:val="0"/>
                <w:sz w:val="18"/>
                <w:szCs w:val="18"/>
                <w:u w:val="none"/>
                <w:lang w:val="en-US" w:eastAsia="zh-CN" w:bidi="ar"/>
              </w:rPr>
            </w:pPr>
            <w:r>
              <w:rPr>
                <w:rFonts w:hint="eastAsia" w:ascii="Arial" w:hAnsi="Arial" w:eastAsia="宋体" w:cs="Arial"/>
                <w:b/>
                <w:i w:val="0"/>
                <w:color w:val="000000"/>
                <w:kern w:val="0"/>
                <w:sz w:val="18"/>
                <w:szCs w:val="18"/>
                <w:u w:val="none"/>
                <w:lang w:val="en-US" w:eastAsia="zh-CN" w:bidi="ar"/>
              </w:rPr>
              <w:t>2,737,891.68</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58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嘉兴海房工程咨询有限公司</w:t>
            </w:r>
          </w:p>
        </w:tc>
        <w:tc>
          <w:tcPr>
            <w:tcW w:w="31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咨询服务协议</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392,233.00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98%</w:t>
            </w:r>
          </w:p>
        </w:tc>
      </w:tr>
      <w:tr>
        <w:tblPrEx>
          <w:tblCellMar>
            <w:top w:w="0" w:type="dxa"/>
            <w:left w:w="0" w:type="dxa"/>
            <w:bottom w:w="0" w:type="dxa"/>
            <w:right w:w="0" w:type="dxa"/>
          </w:tblCellMar>
        </w:tblPrEx>
        <w:trPr>
          <w:cantSplit/>
          <w:trHeight w:val="369" w:hRule="atLeast"/>
          <w:jc w:val="center"/>
        </w:trPr>
        <w:tc>
          <w:tcPr>
            <w:tcW w:w="9234"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其他类合同</w:t>
            </w:r>
          </w:p>
        </w:tc>
        <w:tc>
          <w:tcPr>
            <w:tcW w:w="163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400,000.00</w:t>
            </w:r>
          </w:p>
        </w:tc>
        <w:tc>
          <w:tcPr>
            <w:tcW w:w="13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b/>
                <w:bCs/>
                <w:i w:val="0"/>
                <w:color w:val="000000"/>
                <w:kern w:val="0"/>
                <w:sz w:val="18"/>
                <w:szCs w:val="18"/>
                <w:u w:val="none"/>
                <w:lang w:val="en-US" w:eastAsia="zh-CN" w:bidi="ar"/>
              </w:rPr>
              <w:t>0</w:t>
            </w:r>
            <w:r>
              <w:rPr>
                <w:rFonts w:hint="eastAsia" w:ascii="Arial" w:hAnsi="Arial" w:cs="Arial"/>
                <w:b/>
                <w:bCs/>
                <w:i w:val="0"/>
                <w:color w:val="000000"/>
                <w:kern w:val="0"/>
                <w:sz w:val="18"/>
                <w:szCs w:val="18"/>
                <w:u w:val="none"/>
                <w:lang w:val="en-US" w:eastAsia="zh-CN" w:bidi="ar"/>
              </w:rPr>
              <w:t>.00</w:t>
            </w:r>
          </w:p>
        </w:tc>
        <w:tc>
          <w:tcPr>
            <w:tcW w:w="15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b/>
                <w:i w:val="0"/>
                <w:color w:val="000000"/>
                <w:kern w:val="0"/>
                <w:sz w:val="18"/>
                <w:szCs w:val="18"/>
                <w:u w:val="none"/>
                <w:lang w:val="en-US" w:eastAsia="zh-CN" w:bidi="ar"/>
              </w:rPr>
              <w:t>392,233.00</w:t>
            </w:r>
          </w:p>
        </w:tc>
        <w:tc>
          <w:tcPr>
            <w:tcW w:w="7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98%</w:t>
            </w:r>
          </w:p>
        </w:tc>
      </w:tr>
      <w:tr>
        <w:tblPrEx>
          <w:tblCellMar>
            <w:top w:w="0" w:type="dxa"/>
            <w:left w:w="0" w:type="dxa"/>
            <w:bottom w:w="0" w:type="dxa"/>
            <w:right w:w="0" w:type="dxa"/>
          </w:tblCellMar>
        </w:tblPrEx>
        <w:trPr>
          <w:cantSplit/>
          <w:trHeight w:val="369" w:hRule="atLeast"/>
          <w:jc w:val="center"/>
        </w:trPr>
        <w:tc>
          <w:tcPr>
            <w:tcW w:w="9234"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总计</w:t>
            </w:r>
          </w:p>
        </w:tc>
        <w:tc>
          <w:tcPr>
            <w:tcW w:w="163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900,370,082.35</w:t>
            </w:r>
          </w:p>
        </w:tc>
        <w:tc>
          <w:tcPr>
            <w:tcW w:w="1316"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bCs/>
                <w:color w:val="000000"/>
                <w:kern w:val="0"/>
                <w:sz w:val="18"/>
                <w:szCs w:val="18"/>
                <w:lang w:val="en-US" w:bidi="ar"/>
              </w:rPr>
            </w:pPr>
            <w:r>
              <w:rPr>
                <w:rFonts w:hint="default" w:ascii="Arial" w:hAnsi="Arial" w:eastAsia="宋体" w:cs="Arial"/>
                <w:b/>
                <w:i w:val="0"/>
                <w:color w:val="000000"/>
                <w:kern w:val="0"/>
                <w:sz w:val="18"/>
                <w:szCs w:val="18"/>
                <w:u w:val="none"/>
                <w:lang w:val="en-US" w:eastAsia="zh-CN" w:bidi="ar"/>
              </w:rPr>
              <w:t>52,384,369.49</w:t>
            </w:r>
          </w:p>
        </w:tc>
        <w:tc>
          <w:tcPr>
            <w:tcW w:w="1517"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i w:val="0"/>
                <w:color w:val="000000"/>
                <w:kern w:val="0"/>
                <w:sz w:val="18"/>
                <w:szCs w:val="18"/>
                <w:u w:val="none"/>
                <w:lang w:val="en-US" w:eastAsia="zh-CN" w:bidi="ar"/>
              </w:rPr>
              <w:t>621,848,469.78</w:t>
            </w:r>
          </w:p>
        </w:tc>
        <w:tc>
          <w:tcPr>
            <w:tcW w:w="7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69%</w:t>
            </w:r>
          </w:p>
        </w:tc>
      </w:tr>
    </w:tbl>
    <w:p>
      <w:pPr>
        <w:ind w:left="1411" w:leftChars="303" w:right="489" w:rightChars="233" w:hanging="775" w:hangingChars="431"/>
        <w:rPr>
          <w:rFonts w:ascii="Arial" w:hAnsi="Arial" w:cs="Arial"/>
          <w:sz w:val="18"/>
          <w:szCs w:val="18"/>
        </w:rPr>
      </w:pPr>
      <w:r>
        <w:rPr>
          <w:rFonts w:ascii="Arial" w:hAnsi="Arial" w:cs="Arial"/>
          <w:sz w:val="18"/>
          <w:szCs w:val="18"/>
        </w:rPr>
        <w:t>备注：1、本表不包含项目公司签订的备案专用合同3份，分别为与平湖市东港建筑工程有限责任公司签订的《建设工程施工合同》2份，合同金额总价316,900,000.00元，此2份合同仅供双方办理无证施工处罚使用，不实际履行，双方无任何权利义务；与江苏省苏中建设集团股份有限公司签订的《建设工程施工合同》，合同金额340,000,000.00元，此合同仅供双方备案使用，不实际履行，双方无任何权利义务。</w:t>
      </w:r>
    </w:p>
    <w:p>
      <w:pPr>
        <w:numPr>
          <w:ilvl w:val="255"/>
          <w:numId w:val="0"/>
        </w:numPr>
        <w:ind w:left="401" w:leftChars="191" w:firstLine="540" w:firstLineChars="300"/>
        <w:jc w:val="left"/>
        <w:rPr>
          <w:rFonts w:ascii="Arial" w:hAnsi="Arial" w:cs="Arial"/>
          <w:bCs/>
          <w:kern w:val="44"/>
          <w:sz w:val="18"/>
          <w:szCs w:val="18"/>
        </w:rPr>
      </w:pPr>
      <w:r>
        <w:rPr>
          <w:rFonts w:ascii="Arial" w:hAnsi="Arial" w:cs="Arial"/>
          <w:sz w:val="18"/>
          <w:szCs w:val="18"/>
        </w:rPr>
        <w:t xml:space="preserve">  2、累计支付</w:t>
      </w:r>
      <w:r>
        <w:rPr>
          <w:rFonts w:ascii="Arial" w:hAnsi="Arial" w:cs="Arial"/>
          <w:bCs/>
          <w:kern w:val="44"/>
          <w:sz w:val="18"/>
          <w:szCs w:val="18"/>
        </w:rPr>
        <w:t>金额包含已开出商业承兑汇票金额。</w:t>
      </w:r>
    </w:p>
    <w:p>
      <w:pPr>
        <w:ind w:left="1411" w:leftChars="303" w:right="489" w:rightChars="233" w:hanging="775" w:hangingChars="431"/>
        <w:rPr>
          <w:rFonts w:ascii="Arial" w:hAnsi="Arial" w:cs="Arial"/>
          <w:sz w:val="18"/>
          <w:szCs w:val="18"/>
        </w:rPr>
      </w:pPr>
    </w:p>
    <w:p>
      <w:pPr>
        <w:ind w:left="1411" w:leftChars="303" w:right="489" w:rightChars="233" w:hanging="775" w:hangingChars="431"/>
        <w:rPr>
          <w:rFonts w:ascii="Arial" w:hAnsi="Arial" w:cs="Arial"/>
          <w:sz w:val="18"/>
          <w:szCs w:val="18"/>
        </w:rPr>
      </w:pPr>
    </w:p>
    <w:p>
      <w:pPr>
        <w:ind w:left="1411" w:leftChars="303" w:right="489" w:rightChars="233" w:hanging="775" w:hangingChars="431"/>
        <w:rPr>
          <w:rFonts w:ascii="Arial" w:hAnsi="Arial" w:cs="Arial"/>
          <w:sz w:val="18"/>
          <w:szCs w:val="18"/>
        </w:rPr>
        <w:sectPr>
          <w:pgSz w:w="16838" w:h="11905" w:orient="landscape"/>
          <w:pgMar w:top="1134" w:right="1134" w:bottom="1134" w:left="1134" w:header="851" w:footer="992" w:gutter="340"/>
          <w:cols w:space="0" w:num="1"/>
          <w:docGrid w:linePitch="312" w:charSpace="0"/>
        </w:sect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312" w:name="_Toc373309851"/>
      <w:bookmarkStart w:id="313" w:name="_Toc411430359"/>
      <w:bookmarkStart w:id="314" w:name="_Toc532281663"/>
      <w:bookmarkStart w:id="315" w:name="_Toc13453"/>
      <w:bookmarkStart w:id="316" w:name="_Toc4153"/>
      <w:bookmarkStart w:id="317" w:name="_Toc12986"/>
      <w:bookmarkStart w:id="318" w:name="_Toc5971"/>
      <w:bookmarkStart w:id="319" w:name="_Toc3215"/>
      <w:bookmarkStart w:id="320" w:name="_Toc535580097"/>
      <w:bookmarkStart w:id="321" w:name="_Toc535570756"/>
      <w:bookmarkStart w:id="322" w:name="_Toc6474"/>
      <w:bookmarkStart w:id="323" w:name="_Toc16514"/>
      <w:bookmarkStart w:id="324" w:name="_Toc19599"/>
      <w:bookmarkStart w:id="325" w:name="_Toc1140"/>
      <w:bookmarkStart w:id="326" w:name="_Toc15439"/>
      <w:bookmarkStart w:id="327" w:name="_Toc17836"/>
      <w:bookmarkStart w:id="328" w:name="_Toc5206"/>
      <w:bookmarkStart w:id="329" w:name="_Toc11712"/>
      <w:bookmarkStart w:id="330" w:name="_Toc535580029"/>
      <w:bookmarkStart w:id="331" w:name="_Toc22501"/>
      <w:bookmarkStart w:id="332" w:name="_Toc23400"/>
      <w:bookmarkStart w:id="333" w:name="_Toc15137"/>
      <w:bookmarkStart w:id="334" w:name="_Toc14038"/>
      <w:bookmarkStart w:id="335" w:name="_Toc24707"/>
      <w:bookmarkStart w:id="336" w:name="_Toc23345"/>
      <w:bookmarkStart w:id="337" w:name="_Toc18333"/>
      <w:bookmarkStart w:id="338" w:name="_Toc19240"/>
      <w:bookmarkStart w:id="339" w:name="_Toc30482"/>
      <w:bookmarkStart w:id="340" w:name="_Toc14924"/>
      <w:bookmarkStart w:id="341" w:name="_Toc31506"/>
      <w:bookmarkStart w:id="342" w:name="_Toc535508642"/>
      <w:bookmarkStart w:id="343" w:name="_Toc45217880"/>
      <w:bookmarkStart w:id="344" w:name="_Toc11147"/>
      <w:bookmarkStart w:id="345" w:name="_Toc3934"/>
      <w:r>
        <w:rPr>
          <w:rFonts w:ascii="Arial" w:hAnsi="Arial" w:cs="Arial"/>
          <w:color w:val="000000"/>
          <w:sz w:val="24"/>
          <w:szCs w:val="24"/>
        </w:rPr>
        <w:t>6资金</w:t>
      </w:r>
      <w:bookmarkEnd w:id="312"/>
      <w:bookmarkEnd w:id="313"/>
      <w:bookmarkEnd w:id="314"/>
      <w:r>
        <w:rPr>
          <w:rFonts w:ascii="Arial" w:hAnsi="Arial" w:cs="Arial"/>
          <w:color w:val="000000"/>
          <w:sz w:val="24"/>
          <w:szCs w:val="24"/>
        </w:rPr>
        <w:t>情况</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346" w:name="_Toc10525"/>
      <w:bookmarkStart w:id="347" w:name="_Toc16263"/>
      <w:bookmarkStart w:id="348" w:name="_Toc5267"/>
      <w:bookmarkStart w:id="349" w:name="_Toc6281"/>
      <w:bookmarkStart w:id="350" w:name="_Toc8487"/>
      <w:bookmarkStart w:id="351" w:name="_Toc13970"/>
      <w:bookmarkStart w:id="352" w:name="_Toc7253"/>
      <w:bookmarkStart w:id="353" w:name="_Toc535580030"/>
      <w:bookmarkStart w:id="354" w:name="_Toc535508643"/>
      <w:bookmarkStart w:id="355" w:name="_Toc26270"/>
      <w:bookmarkStart w:id="356" w:name="_Toc13085"/>
      <w:bookmarkStart w:id="357" w:name="_Toc724"/>
      <w:bookmarkStart w:id="358" w:name="_Toc45217881"/>
      <w:bookmarkStart w:id="359" w:name="_Toc5129"/>
      <w:bookmarkStart w:id="360" w:name="_Toc4358"/>
      <w:bookmarkStart w:id="361" w:name="_Toc31674"/>
      <w:bookmarkStart w:id="362" w:name="_Toc9084"/>
      <w:bookmarkStart w:id="363" w:name="_Toc2689"/>
      <w:bookmarkStart w:id="364" w:name="_Toc20103"/>
      <w:bookmarkStart w:id="365" w:name="_Toc6055"/>
      <w:bookmarkStart w:id="366" w:name="_Toc535580098"/>
      <w:bookmarkStart w:id="367" w:name="_Toc11232"/>
      <w:bookmarkStart w:id="368" w:name="_Toc4446"/>
      <w:bookmarkStart w:id="369" w:name="_Toc17229"/>
      <w:bookmarkStart w:id="370" w:name="_Toc296"/>
      <w:bookmarkStart w:id="371" w:name="_Toc10683"/>
      <w:bookmarkStart w:id="372" w:name="_Toc1758"/>
      <w:bookmarkStart w:id="373" w:name="_Toc15195"/>
      <w:bookmarkStart w:id="374" w:name="_Toc11752"/>
      <w:bookmarkStart w:id="375" w:name="_Toc25110"/>
      <w:bookmarkStart w:id="376" w:name="_Toc535570757"/>
      <w:r>
        <w:rPr>
          <w:rFonts w:hint="default" w:ascii="Arial" w:hAnsi="Arial" w:eastAsia="宋体" w:cs="Arial"/>
          <w:sz w:val="24"/>
        </w:rPr>
        <w:t>6.1资金流出情况</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pPr>
        <w:spacing w:line="480" w:lineRule="auto"/>
        <w:ind w:firstLine="420" w:firstLineChars="200"/>
        <w:rPr>
          <w:rFonts w:hint="eastAsia" w:ascii="Arial" w:hAnsi="Arial" w:eastAsia="宋体" w:cs="Arial"/>
          <w:bCs/>
          <w:kern w:val="44"/>
          <w:szCs w:val="21"/>
          <w:lang w:eastAsia="zh-CN"/>
        </w:rPr>
      </w:pPr>
      <w:r>
        <w:rPr>
          <w:rFonts w:hint="eastAsia" w:ascii="Arial" w:hAnsi="Arial" w:cs="Arial"/>
          <w:bCs/>
          <w:kern w:val="44"/>
          <w:szCs w:val="21"/>
        </w:rPr>
        <w:t>项目公司2021年1月资金支出计划9,702.02万元，实际资金支付 5,304.17万元，其中：前期费用支出212.76万元；工程费用支出4,933.61万元；管理费用支出23.91万元；财务费用支出21.35万元；营销费用112.54万元。1月资金支付中使用现金支付248.34万元，使用商业承兑汇票支付5,055.83万元。</w:t>
      </w:r>
      <w:r>
        <w:rPr>
          <w:rFonts w:hint="eastAsia" w:ascii="Arial" w:hAnsi="Arial" w:cs="Arial"/>
          <w:bCs/>
          <w:kern w:val="44"/>
          <w:szCs w:val="21"/>
          <w:lang w:val="en-US" w:eastAsia="zh-CN"/>
        </w:rPr>
        <w:t>1</w:t>
      </w:r>
      <w:r>
        <w:rPr>
          <w:rFonts w:hint="eastAsia" w:ascii="Arial" w:hAnsi="Arial" w:cs="Arial"/>
          <w:bCs/>
          <w:kern w:val="44"/>
          <w:szCs w:val="21"/>
        </w:rPr>
        <w:t>月份资金计划金额与执行情况对比如下表所示</w:t>
      </w:r>
      <w:r>
        <w:rPr>
          <w:rFonts w:hint="eastAsia" w:ascii="Arial" w:hAnsi="Arial" w:cs="Arial"/>
          <w:bCs/>
          <w:kern w:val="44"/>
          <w:szCs w:val="21"/>
          <w:lang w:eastAsia="zh-CN"/>
        </w:rPr>
        <w:t>：</w:t>
      </w:r>
    </w:p>
    <w:tbl>
      <w:tblPr>
        <w:tblStyle w:val="18"/>
        <w:tblW w:w="9435" w:type="dxa"/>
        <w:jc w:val="center"/>
        <w:tblLayout w:type="fixed"/>
        <w:tblCellMar>
          <w:top w:w="0" w:type="dxa"/>
          <w:left w:w="108" w:type="dxa"/>
          <w:bottom w:w="0" w:type="dxa"/>
          <w:right w:w="108" w:type="dxa"/>
        </w:tblCellMar>
      </w:tblPr>
      <w:tblGrid>
        <w:gridCol w:w="1215"/>
        <w:gridCol w:w="1431"/>
        <w:gridCol w:w="1404"/>
        <w:gridCol w:w="1665"/>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项目</w:t>
            </w:r>
          </w:p>
        </w:tc>
        <w:tc>
          <w:tcPr>
            <w:tcW w:w="143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4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432.28</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212.76</w:t>
            </w:r>
          </w:p>
        </w:tc>
        <w:tc>
          <w:tcPr>
            <w:tcW w:w="166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49.22%</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1月支付勘察工程费12.89万元；前期设计费71.87万元；围蔽进度款60.18万元；临时道路工程、红外线施工进度款67.82万元。</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工程费用</w:t>
            </w:r>
          </w:p>
        </w:tc>
        <w:tc>
          <w:tcPr>
            <w:tcW w:w="14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8,870.79</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4,933.61</w:t>
            </w:r>
          </w:p>
        </w:tc>
        <w:tc>
          <w:tcPr>
            <w:tcW w:w="166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55.62%</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1月支付总包进度款1,831.83万元；基坑支护降排水进度款1,175.13万元；桩基进度款1,605.57万元；工程水电费8.11万元；展示区园建工程进度款37.01万元；土石方工程进程款81.00万元；工程材料款194.96万元。</w:t>
            </w:r>
          </w:p>
        </w:tc>
      </w:tr>
      <w:tr>
        <w:tblPrEx>
          <w:tblCellMar>
            <w:top w:w="0" w:type="dxa"/>
            <w:left w:w="108" w:type="dxa"/>
            <w:bottom w:w="0" w:type="dxa"/>
            <w:right w:w="108" w:type="dxa"/>
          </w:tblCellMar>
        </w:tblPrEx>
        <w:trPr>
          <w:trHeight w:val="429"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248.95</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112.54</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45.21%</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项目营销物资采购款102.54万元，展示区亮化施工款10.00万元。</w:t>
            </w:r>
          </w:p>
        </w:tc>
      </w:tr>
      <w:tr>
        <w:tblPrEx>
          <w:tblCellMar>
            <w:top w:w="0" w:type="dxa"/>
            <w:left w:w="108" w:type="dxa"/>
            <w:bottom w:w="0" w:type="dxa"/>
            <w:right w:w="108" w:type="dxa"/>
          </w:tblCellMar>
        </w:tblPrEx>
        <w:trPr>
          <w:trHeight w:val="9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47.00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23.91</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50.87%</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发放员工工资、社保、公积金等支出共计23.91万元；</w:t>
            </w:r>
          </w:p>
          <w:p>
            <w:pPr>
              <w:widowControl/>
              <w:jc w:val="center"/>
              <w:textAlignment w:val="center"/>
              <w:rPr>
                <w:rFonts w:hint="eastAsia" w:ascii="Arial" w:hAnsi="Arial" w:cs="Arial"/>
                <w:color w:val="000000"/>
                <w:kern w:val="0"/>
                <w:sz w:val="18"/>
                <w:szCs w:val="18"/>
                <w:lang w:val="en-US" w:eastAsia="zh-CN" w:bidi="ar"/>
              </w:rPr>
            </w:pPr>
          </w:p>
        </w:tc>
      </w:tr>
      <w:tr>
        <w:tblPrEx>
          <w:tblCellMar>
            <w:top w:w="0" w:type="dxa"/>
            <w:left w:w="108" w:type="dxa"/>
            <w:bottom w:w="0" w:type="dxa"/>
            <w:right w:w="108" w:type="dxa"/>
          </w:tblCellMar>
        </w:tblPrEx>
        <w:trPr>
          <w:trHeight w:val="53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23.00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21.35</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92.83%</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印花税21.02万元；耕地占用税0.3万元；手续费和税费0.03万元；</w:t>
            </w:r>
          </w:p>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税费支出以项目公司申报自动划扣，符合国家相关标准。</w:t>
            </w:r>
          </w:p>
        </w:tc>
      </w:tr>
      <w:tr>
        <w:tblPrEx>
          <w:tblCellMar>
            <w:top w:w="0" w:type="dxa"/>
            <w:left w:w="108" w:type="dxa"/>
            <w:bottom w:w="0" w:type="dxa"/>
            <w:right w:w="108" w:type="dxa"/>
          </w:tblCellMar>
        </w:tblPrEx>
        <w:trPr>
          <w:trHeight w:val="552"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其他不可预见费</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80.00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0.00</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0.00</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p>
        </w:tc>
      </w:tr>
      <w:tr>
        <w:tblPrEx>
          <w:tblCellMar>
            <w:top w:w="0" w:type="dxa"/>
            <w:left w:w="108" w:type="dxa"/>
            <w:bottom w:w="0" w:type="dxa"/>
            <w:right w:w="108" w:type="dxa"/>
          </w:tblCellMar>
        </w:tblPrEx>
        <w:trPr>
          <w:trHeight w:val="411"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b/>
                <w:bCs/>
                <w:sz w:val="18"/>
                <w:szCs w:val="18"/>
              </w:rPr>
            </w:pPr>
            <w:r>
              <w:rPr>
                <w:rFonts w:ascii="Arial" w:hAnsi="Arial" w:cs="Arial"/>
                <w:b/>
                <w:bCs/>
                <w:color w:val="000000"/>
                <w:kern w:val="0"/>
                <w:sz w:val="18"/>
                <w:szCs w:val="18"/>
                <w:lang w:bidi="ar"/>
              </w:rPr>
              <w:t>合计</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9,702.02</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5,304.17</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54.67%</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top"/>
              <w:rPr>
                <w:rFonts w:ascii="Arial" w:hAnsi="Arial" w:cs="Arial"/>
                <w:b/>
                <w:bCs/>
                <w:sz w:val="18"/>
                <w:szCs w:val="18"/>
              </w:rPr>
            </w:pPr>
          </w:p>
        </w:tc>
      </w:tr>
    </w:tbl>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r>
        <w:rPr>
          <w:rFonts w:ascii="Arial" w:hAnsi="Arial" w:cs="Arial"/>
          <w:bCs/>
          <w:kern w:val="44"/>
          <w:szCs w:val="21"/>
        </w:rPr>
        <w:t>202</w:t>
      </w:r>
      <w:r>
        <w:rPr>
          <w:rFonts w:hint="eastAsia" w:ascii="Arial" w:hAnsi="Arial" w:cs="Arial"/>
          <w:bCs/>
          <w:kern w:val="44"/>
          <w:szCs w:val="21"/>
          <w:lang w:val="en-US" w:eastAsia="zh-CN"/>
        </w:rPr>
        <w:t>1</w:t>
      </w:r>
      <w:r>
        <w:rPr>
          <w:rFonts w:ascii="Arial" w:hAnsi="Arial" w:cs="Arial"/>
          <w:bCs/>
          <w:kern w:val="44"/>
          <w:szCs w:val="21"/>
        </w:rPr>
        <w:t>年1月份，项目公司</w:t>
      </w:r>
      <w:r>
        <w:rPr>
          <w:rFonts w:hint="eastAsia" w:ascii="Arial" w:hAnsi="Arial" w:cs="Arial"/>
          <w:bCs/>
          <w:kern w:val="44"/>
          <w:szCs w:val="21"/>
          <w:lang w:eastAsia="zh-CN"/>
        </w:rPr>
        <w:t>现</w:t>
      </w:r>
      <w:r>
        <w:rPr>
          <w:rFonts w:ascii="Arial" w:hAnsi="Arial" w:cs="Arial"/>
          <w:bCs/>
          <w:kern w:val="44"/>
          <w:szCs w:val="21"/>
        </w:rPr>
        <w:t>金使用情况详见下表：</w:t>
      </w:r>
    </w:p>
    <w:p>
      <w:pPr>
        <w:spacing w:line="480" w:lineRule="auto"/>
        <w:ind w:firstLine="420" w:firstLineChars="200"/>
        <w:rPr>
          <w:rFonts w:ascii="Arial" w:hAnsi="Arial" w:cs="Arial"/>
          <w:bCs/>
          <w:kern w:val="44"/>
          <w:szCs w:val="21"/>
        </w:rPr>
        <w:sectPr>
          <w:pgSz w:w="11905" w:h="16838"/>
          <w:pgMar w:top="1134" w:right="1134" w:bottom="1134" w:left="1134" w:header="851" w:footer="992" w:gutter="340"/>
          <w:cols w:space="0" w:num="1"/>
          <w:docGrid w:linePitch="312" w:charSpace="0"/>
        </w:sectPr>
      </w:pPr>
      <w:r>
        <w:rPr>
          <w:rFonts w:ascii="Arial" w:hAnsi="Arial" w:cs="Arial"/>
          <w:bCs/>
          <w:kern w:val="44"/>
          <w:szCs w:val="21"/>
        </w:rPr>
        <w:t>（转下页）</w:t>
      </w:r>
    </w:p>
    <w:p>
      <w:pPr>
        <w:keepNext w:val="0"/>
        <w:keepLines w:val="0"/>
        <w:pageBreakBefore w:val="0"/>
        <w:widowControl w:val="0"/>
        <w:kinsoku/>
        <w:wordWrap/>
        <w:overflowPunct/>
        <w:topLinePunct w:val="0"/>
        <w:autoSpaceDE/>
        <w:autoSpaceDN/>
        <w:bidi w:val="0"/>
        <w:adjustRightInd/>
        <w:snapToGrid/>
        <w:spacing w:before="240" w:beforeLines="100"/>
        <w:jc w:val="center"/>
        <w:textAlignment w:val="auto"/>
        <w:rPr>
          <w:rFonts w:ascii="Arial" w:hAnsi="Arial" w:cs="Arial"/>
          <w:b/>
          <w:color w:val="000000"/>
          <w:sz w:val="24"/>
          <w:szCs w:val="28"/>
        </w:rPr>
      </w:pPr>
      <w:bookmarkStart w:id="377" w:name="_Toc45217882"/>
      <w:bookmarkStart w:id="378" w:name="_Toc535570758"/>
      <w:bookmarkStart w:id="379" w:name="_Toc535580099"/>
      <w:bookmarkStart w:id="380" w:name="_Toc535508644"/>
      <w:bookmarkStart w:id="381" w:name="_Toc535580031"/>
      <w:r>
        <w:rPr>
          <w:rFonts w:ascii="Arial" w:hAnsi="Arial" w:cs="Arial"/>
          <w:b/>
          <w:color w:val="000000"/>
          <w:sz w:val="24"/>
          <w:szCs w:val="28"/>
        </w:rPr>
        <w:t>项目公司现金流出明细表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281"/>
        <w:gridCol w:w="2496"/>
        <w:gridCol w:w="1989"/>
        <w:gridCol w:w="1140"/>
        <w:gridCol w:w="1786"/>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281"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496"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989"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140"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786"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44"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14,825.38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14,051.42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嘉兴市住房公积金管理服务中心海盐分中心</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公积金</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3,984.00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2021/1/4</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张晓杰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固定工资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2,134.10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徐腾峰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固定工资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2,938.10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戚一飞</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固定工资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2,938.10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eastAsia" w:ascii="Arial" w:hAnsi="Arial" w:eastAsia="宋体" w:cs="Arial"/>
                <w:kern w:val="0"/>
                <w:sz w:val="18"/>
                <w:szCs w:val="18"/>
                <w:lang w:eastAsia="zh-CN"/>
              </w:rPr>
            </w:pPr>
            <w:r>
              <w:rPr>
                <w:rFonts w:hint="eastAsia" w:ascii="Arial" w:hAnsi="Arial" w:cs="Arial"/>
                <w:kern w:val="0"/>
                <w:sz w:val="18"/>
                <w:szCs w:val="18"/>
                <w:lang w:val="en-US" w:eastAsia="zh-CN"/>
              </w:rPr>
              <w:t>7</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广州恒大材料设备有限公司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材料款.</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1,361.74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2021/1/7</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8</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海盐县天仙河自来水经营有限公司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用水费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6,201.54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9</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10,564.40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10</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13,590.89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待报解预算收入（财库联网集中户）</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企业职工基本养老保险费1992.00|失业保险费124.50|基本医疗保险费331.20|基本医疗保险费2241.00</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4,688.70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2021/1/11</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1</w:t>
            </w:r>
            <w:r>
              <w:rPr>
                <w:rFonts w:hint="eastAsia" w:ascii="Arial" w:hAnsi="Arial" w:cs="Arial"/>
                <w:kern w:val="0"/>
                <w:sz w:val="18"/>
                <w:szCs w:val="18"/>
                <w:lang w:val="en-US" w:eastAsia="zh-CN"/>
              </w:rPr>
              <w:t>2</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深圳恒大材料设备有限公司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材料款</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225,326.64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1</w:t>
            </w:r>
            <w:r>
              <w:rPr>
                <w:rFonts w:hint="eastAsia" w:ascii="Arial" w:hAnsi="Arial" w:cs="Arial"/>
                <w:kern w:val="0"/>
                <w:sz w:val="18"/>
                <w:szCs w:val="18"/>
                <w:lang w:val="en-US" w:eastAsia="zh-CN"/>
              </w:rPr>
              <w:t>3</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深圳恒大材料设备有限公司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材料款</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1,722,911.27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14</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回单箱扣费</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回单箱扣费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25.00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中行-8270</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15</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张晓杰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浮动工资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3,670.13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16</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徐腾峰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浮动工资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3,243.07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17</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戚一飞</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浮动工资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2,506.26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18</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钟佳飞</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4,500.00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19</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蒋玲雅</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20</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黄仁强</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4,500.00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姚俊哲</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3,117.00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22</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潘婷</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3,938.00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23</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徐立</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24</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李美英</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2,078.00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25</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胡斌飞</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26</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徐培丽</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27</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顾雨婷</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3,462.00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28</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姜华平</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4,308.00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29</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徐斌</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30</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严海峰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31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张燕萍</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32</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邬冰馨</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4,900.00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33</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许晓龙</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34</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郑洪飞</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4,500.00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35</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倪丽金</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36</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陈容</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1,388.00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37</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王婷</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4,900.00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38</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黄伟</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4,500.00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39</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张强</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40</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陈奉希</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4,850.00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41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周鹏</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4,005.00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42</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王炳杰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4,615.00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43</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张江强</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4,155.00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44</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周舰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4,155.00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45</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安异易</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4,328.00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46</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陈梦媛</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4,400.00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47</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宋益帆</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48</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康杰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49</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李焕玲</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50</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富陈婷</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4,800.00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51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张路遥</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4,615.00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52</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周勤芳</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4,900.00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53</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张颖</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54</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朱涛</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1,731.00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55</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俞丽娜</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4,900.00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56</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陈健伟</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4,500.00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57</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刘雪梅</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1,731.00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58</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王斌</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1,438.00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59</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毛程芳</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1,978.00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60</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周佳妮</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4,808.00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61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吴延超</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4,708.00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62</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张馨尹</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5,000.00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63</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宣张豪</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4,615.00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64</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王水华</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1,733.00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65</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凌骏翼</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1,633.00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66</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金海峰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2,605.00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67</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姜晓伟</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2,255.00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68</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朱惠忠</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3,117.00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69</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姚潘丰</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1,388.00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70</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俞晓东</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1,039.00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71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张雨涛</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962.00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72</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刘璨</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939.00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73</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李梁柱</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电开拓客工资</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1,039.00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74</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手续费</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手续费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49.46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2021/1/16</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75</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待报解预算收入（财库联网集中户）</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个人所得税</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12.85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2021/1/19</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76</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11,106.20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77</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国网浙江省电力有限公司嘉兴供电公司</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电费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10,762.75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2021/1/20</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78</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手续费</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手续费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143.60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2021/1/24</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79</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手续费</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手续费</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120.00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2021/1/24</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农行-2179</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80</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待报解预算收入（财库联网集中户）</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印花税</w:t>
            </w:r>
          </w:p>
        </w:tc>
        <w:tc>
          <w:tcPr>
            <w:tcW w:w="1989"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210,159.10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2021/1/27</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1" w:type="dxa"/>
            <w:vAlign w:val="center"/>
          </w:tcPr>
          <w:p>
            <w:pPr>
              <w:widowControl/>
              <w:jc w:val="center"/>
              <w:rPr>
                <w:rFonts w:hint="default" w:ascii="Arial" w:hAnsi="Arial" w:cs="Arial"/>
                <w:kern w:val="0"/>
                <w:sz w:val="18"/>
                <w:szCs w:val="18"/>
                <w:lang w:val="en-US" w:eastAsia="zh-CN"/>
              </w:rPr>
            </w:pPr>
            <w:r>
              <w:rPr>
                <w:rFonts w:hint="eastAsia" w:ascii="Arial" w:hAnsi="Arial" w:cs="Arial"/>
                <w:kern w:val="0"/>
                <w:sz w:val="18"/>
                <w:szCs w:val="18"/>
                <w:lang w:val="en-US" w:eastAsia="zh-CN"/>
              </w:rPr>
              <w:t>81</w:t>
            </w:r>
          </w:p>
        </w:tc>
        <w:tc>
          <w:tcPr>
            <w:tcW w:w="2281"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待报解预算收入（财库联网集中户）</w:t>
            </w:r>
          </w:p>
        </w:tc>
        <w:tc>
          <w:tcPr>
            <w:tcW w:w="249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耕地占用税</w:t>
            </w:r>
          </w:p>
        </w:tc>
        <w:tc>
          <w:tcPr>
            <w:tcW w:w="1989" w:type="dxa"/>
            <w:vAlign w:val="center"/>
          </w:tcPr>
          <w:p>
            <w:pPr>
              <w:keepNext w:val="0"/>
              <w:keepLines w:val="0"/>
              <w:widowControl/>
              <w:suppressLineNumbers w:val="0"/>
              <w:jc w:val="center"/>
              <w:textAlignment w:val="center"/>
              <w:rPr>
                <w:rFonts w:hint="eastAsia" w:ascii="Arial" w:hAnsi="Arial" w:cs="Arial"/>
                <w:color w:val="000000"/>
                <w:sz w:val="18"/>
                <w:szCs w:val="18"/>
                <w:lang w:val="en-US" w:eastAsia="zh-CN"/>
              </w:rPr>
            </w:pPr>
            <w:r>
              <w:rPr>
                <w:rFonts w:hint="eastAsia" w:ascii="Arial" w:hAnsi="Arial" w:cs="Arial"/>
                <w:color w:val="000000"/>
                <w:kern w:val="0"/>
                <w:sz w:val="18"/>
                <w:szCs w:val="18"/>
                <w:lang w:val="en-US" w:eastAsia="zh-CN" w:bidi="ar"/>
              </w:rPr>
              <w:t xml:space="preserve">3,049.45 </w:t>
            </w:r>
          </w:p>
        </w:tc>
        <w:tc>
          <w:tcPr>
            <w:tcW w:w="1140"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2021/1/28</w:t>
            </w:r>
          </w:p>
        </w:tc>
        <w:tc>
          <w:tcPr>
            <w:tcW w:w="178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建行-1027</w:t>
            </w:r>
          </w:p>
        </w:tc>
        <w:tc>
          <w:tcPr>
            <w:tcW w:w="1344"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78"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6259" w:type="dxa"/>
            <w:gridSpan w:val="4"/>
            <w:vAlign w:val="center"/>
          </w:tcPr>
          <w:p>
            <w:pPr>
              <w:widowControl/>
              <w:tabs>
                <w:tab w:val="left" w:pos="611"/>
                <w:tab w:val="center" w:pos="3984"/>
              </w:tabs>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2,483,397.15</w:t>
            </w:r>
          </w:p>
        </w:tc>
      </w:tr>
    </w:tbl>
    <w:p>
      <w:pPr>
        <w:keepNext w:val="0"/>
        <w:keepLines w:val="0"/>
        <w:pageBreakBefore w:val="0"/>
        <w:widowControl w:val="0"/>
        <w:kinsoku/>
        <w:wordWrap/>
        <w:overflowPunct/>
        <w:topLinePunct w:val="0"/>
        <w:autoSpaceDE/>
        <w:autoSpaceDN/>
        <w:bidi w:val="0"/>
        <w:adjustRightInd/>
        <w:snapToGrid/>
        <w:spacing w:before="157" w:beforeLines="50" w:line="480" w:lineRule="auto"/>
        <w:ind w:firstLine="420" w:firstLineChars="200"/>
        <w:jc w:val="left"/>
        <w:textAlignment w:val="auto"/>
        <w:rPr>
          <w:rFonts w:ascii="Arial" w:hAnsi="Arial" w:cs="Arial"/>
          <w:bCs/>
          <w:kern w:val="44"/>
          <w:szCs w:val="21"/>
        </w:rPr>
        <w:sectPr>
          <w:pgSz w:w="16838" w:h="11905" w:orient="landscape"/>
          <w:pgMar w:top="1134" w:right="1134" w:bottom="1134" w:left="1134" w:header="851" w:footer="992" w:gutter="340"/>
          <w:cols w:space="0" w:num="1"/>
          <w:docGrid w:linePitch="312" w:charSpace="0"/>
        </w:sectPr>
      </w:pPr>
      <w:bookmarkStart w:id="382" w:name="_Toc15931"/>
      <w:bookmarkStart w:id="383" w:name="_Toc7687"/>
      <w:bookmarkStart w:id="384" w:name="_Toc28402"/>
      <w:bookmarkStart w:id="385" w:name="_Toc21001"/>
      <w:bookmarkStart w:id="386" w:name="_Toc14835"/>
      <w:bookmarkStart w:id="387" w:name="_Toc10235"/>
      <w:bookmarkStart w:id="388" w:name="_Toc27392"/>
      <w:bookmarkStart w:id="389" w:name="_Toc5289"/>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keepNext w:val="0"/>
        <w:keepLines w:val="0"/>
        <w:pageBreakBefore w:val="0"/>
        <w:widowControl w:val="0"/>
        <w:kinsoku/>
        <w:wordWrap/>
        <w:overflowPunct/>
        <w:topLinePunct w:val="0"/>
        <w:autoSpaceDE/>
        <w:autoSpaceDN/>
        <w:bidi w:val="0"/>
        <w:adjustRightInd/>
        <w:snapToGrid/>
        <w:spacing w:before="240" w:beforeLines="100"/>
        <w:ind w:firstLine="2650" w:firstLineChars="1100"/>
        <w:jc w:val="both"/>
        <w:textAlignment w:val="auto"/>
        <w:outlineLvl w:val="9"/>
        <w:rPr>
          <w:rFonts w:ascii="Arial" w:hAnsi="Arial" w:cs="Arial"/>
          <w:b/>
          <w:color w:val="000000"/>
          <w:sz w:val="24"/>
          <w:szCs w:val="28"/>
        </w:rPr>
      </w:pPr>
      <w:bookmarkStart w:id="390" w:name="_Toc21045"/>
      <w:bookmarkStart w:id="391" w:name="_Toc18066"/>
      <w:bookmarkStart w:id="392" w:name="_Toc8109"/>
      <w:bookmarkStart w:id="393" w:name="_Toc2854"/>
      <w:bookmarkStart w:id="394" w:name="_Toc12796"/>
      <w:bookmarkStart w:id="395" w:name="_Toc18885"/>
      <w:bookmarkStart w:id="396" w:name="_Toc26469"/>
      <w:bookmarkStart w:id="397" w:name="_Toc12848"/>
      <w:bookmarkStart w:id="398" w:name="_Toc13805"/>
      <w:bookmarkStart w:id="399" w:name="_Toc24762"/>
      <w:bookmarkStart w:id="400" w:name="_Toc19143"/>
      <w:bookmarkStart w:id="401" w:name="_Toc10418"/>
      <w:bookmarkStart w:id="402" w:name="_Toc23589"/>
      <w:bookmarkStart w:id="403" w:name="_Toc2906"/>
      <w:r>
        <w:rPr>
          <w:rFonts w:ascii="Arial" w:hAnsi="Arial" w:cs="Arial"/>
          <w:b/>
          <w:color w:val="000000"/>
          <w:sz w:val="24"/>
          <w:szCs w:val="28"/>
        </w:rPr>
        <w:t>项目公司商业承兑汇票统计表</w:t>
      </w:r>
      <w:bookmarkEnd w:id="390"/>
      <w:bookmarkEnd w:id="391"/>
    </w:p>
    <w:tbl>
      <w:tblPr>
        <w:tblStyle w:val="19"/>
        <w:tblW w:w="10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48"/>
        <w:gridCol w:w="3288"/>
        <w:gridCol w:w="2805"/>
        <w:gridCol w:w="148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jc w:val="center"/>
        </w:trPr>
        <w:tc>
          <w:tcPr>
            <w:tcW w:w="641" w:type="dxa"/>
            <w:vAlign w:val="center"/>
          </w:tcPr>
          <w:p>
            <w:pPr>
              <w:widowControl/>
              <w:jc w:val="center"/>
              <w:rPr>
                <w:rFonts w:ascii="Arial" w:hAnsi="Arial" w:cs="Arial"/>
                <w:b/>
                <w:bCs/>
                <w:kern w:val="44"/>
                <w:sz w:val="18"/>
                <w:szCs w:val="18"/>
              </w:rPr>
            </w:pPr>
            <w:r>
              <w:rPr>
                <w:rFonts w:ascii="Arial" w:hAnsi="Arial" w:cs="Arial"/>
                <w:b/>
                <w:bCs/>
                <w:kern w:val="44"/>
                <w:sz w:val="18"/>
                <w:szCs w:val="18"/>
              </w:rPr>
              <w:t>序号</w:t>
            </w:r>
          </w:p>
        </w:tc>
        <w:tc>
          <w:tcPr>
            <w:tcW w:w="1148" w:type="dxa"/>
            <w:vAlign w:val="center"/>
          </w:tcPr>
          <w:p>
            <w:pPr>
              <w:widowControl/>
              <w:jc w:val="center"/>
              <w:rPr>
                <w:rFonts w:ascii="Arial" w:hAnsi="Arial" w:cs="Arial"/>
                <w:b/>
                <w:bCs/>
                <w:color w:val="auto"/>
                <w:kern w:val="44"/>
                <w:sz w:val="18"/>
                <w:szCs w:val="18"/>
              </w:rPr>
            </w:pPr>
            <w:r>
              <w:rPr>
                <w:rFonts w:ascii="Arial" w:hAnsi="Arial" w:cs="Arial"/>
                <w:b/>
                <w:bCs/>
                <w:color w:val="auto"/>
                <w:kern w:val="44"/>
                <w:sz w:val="18"/>
                <w:szCs w:val="18"/>
              </w:rPr>
              <w:t>出票时间</w:t>
            </w:r>
          </w:p>
        </w:tc>
        <w:tc>
          <w:tcPr>
            <w:tcW w:w="3288" w:type="dxa"/>
            <w:vAlign w:val="center"/>
          </w:tcPr>
          <w:p>
            <w:pPr>
              <w:widowControl/>
              <w:jc w:val="center"/>
              <w:rPr>
                <w:rFonts w:ascii="Arial" w:hAnsi="Arial" w:cs="Arial"/>
                <w:b/>
                <w:bCs/>
                <w:kern w:val="44"/>
                <w:sz w:val="18"/>
                <w:szCs w:val="18"/>
              </w:rPr>
            </w:pPr>
            <w:r>
              <w:rPr>
                <w:rFonts w:ascii="Arial" w:hAnsi="Arial" w:cs="Arial"/>
                <w:b/>
                <w:bCs/>
                <w:kern w:val="44"/>
                <w:sz w:val="18"/>
                <w:szCs w:val="18"/>
              </w:rPr>
              <w:t>收款方</w:t>
            </w:r>
          </w:p>
        </w:tc>
        <w:tc>
          <w:tcPr>
            <w:tcW w:w="2805" w:type="dxa"/>
            <w:vAlign w:val="center"/>
          </w:tcPr>
          <w:p>
            <w:pPr>
              <w:widowControl/>
              <w:jc w:val="center"/>
              <w:rPr>
                <w:rFonts w:ascii="Arial" w:hAnsi="Arial" w:cs="Arial"/>
                <w:b/>
                <w:bCs/>
                <w:kern w:val="44"/>
                <w:sz w:val="18"/>
                <w:szCs w:val="18"/>
              </w:rPr>
            </w:pPr>
            <w:r>
              <w:rPr>
                <w:rFonts w:ascii="Arial" w:hAnsi="Arial" w:cs="Arial"/>
                <w:b/>
                <w:bCs/>
                <w:kern w:val="44"/>
                <w:sz w:val="18"/>
                <w:szCs w:val="18"/>
              </w:rPr>
              <w:t>资金用途</w:t>
            </w:r>
          </w:p>
        </w:tc>
        <w:tc>
          <w:tcPr>
            <w:tcW w:w="1485" w:type="dxa"/>
            <w:vAlign w:val="center"/>
          </w:tcPr>
          <w:p>
            <w:pPr>
              <w:widowControl/>
              <w:jc w:val="center"/>
              <w:rPr>
                <w:rFonts w:ascii="Arial" w:hAnsi="Arial" w:cs="Arial"/>
                <w:b/>
                <w:bCs/>
                <w:kern w:val="44"/>
                <w:sz w:val="18"/>
                <w:szCs w:val="18"/>
              </w:rPr>
            </w:pPr>
            <w:r>
              <w:rPr>
                <w:rFonts w:ascii="Arial" w:hAnsi="Arial" w:cs="Arial"/>
                <w:b/>
                <w:bCs/>
                <w:kern w:val="44"/>
                <w:sz w:val="18"/>
                <w:szCs w:val="18"/>
              </w:rPr>
              <w:t>金额（元）</w:t>
            </w:r>
          </w:p>
        </w:tc>
        <w:tc>
          <w:tcPr>
            <w:tcW w:w="1485" w:type="dxa"/>
            <w:vAlign w:val="center"/>
          </w:tcPr>
          <w:p>
            <w:pPr>
              <w:widowControl/>
              <w:jc w:val="center"/>
              <w:rPr>
                <w:rFonts w:hint="eastAsia" w:ascii="Arial" w:hAnsi="Arial" w:eastAsia="宋体" w:cs="Arial"/>
                <w:b/>
                <w:bCs/>
                <w:kern w:val="44"/>
                <w:sz w:val="18"/>
                <w:szCs w:val="18"/>
                <w:lang w:eastAsia="zh-CN"/>
              </w:rPr>
            </w:pPr>
            <w:r>
              <w:rPr>
                <w:rFonts w:hint="eastAsia" w:ascii="Arial" w:hAnsi="Arial" w:cs="Arial"/>
                <w:b/>
                <w:bCs/>
                <w:kern w:val="44"/>
                <w:sz w:val="18"/>
                <w:szCs w:val="18"/>
                <w:lang w:eastAsia="zh-CN"/>
              </w:rPr>
              <w:t>商票到期日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2021/1/11</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浙江中材工程勘测设计有限公司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勘察工程施工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128,891.29</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2021/1/11</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上海徐汇园林发展有限公司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园建施工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185,040.00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2021/1/12</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杭州润滨礼品有限公司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营销物资</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89,450.00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2021/1/12</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上海吾林实业有限公司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营销物资</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159,300.00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江苏省苏中建设集团股份有限公司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总包进度款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604,154.62</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嘉兴火舞传媒有限公司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《惊天之术 魔幻之城》活动</w:t>
            </w:r>
            <w:r>
              <w:rPr>
                <w:rFonts w:hint="eastAsia" w:ascii="宋体" w:hAnsi="宋体" w:cs="宋体"/>
                <w:i w:val="0"/>
                <w:color w:val="000000"/>
                <w:kern w:val="0"/>
                <w:sz w:val="18"/>
                <w:szCs w:val="18"/>
                <w:u w:val="none"/>
                <w:lang w:val="en-US" w:eastAsia="zh-CN" w:bidi="ar"/>
              </w:rPr>
              <w:t>费</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87,900.00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慈溪市明城建材有限公司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JDG管及配件</w:t>
            </w:r>
            <w:r>
              <w:rPr>
                <w:rFonts w:hint="eastAsia" w:ascii="宋体" w:hAnsi="宋体" w:cs="宋体"/>
                <w:i w:val="0"/>
                <w:color w:val="000000"/>
                <w:kern w:val="0"/>
                <w:sz w:val="18"/>
                <w:szCs w:val="18"/>
                <w:u w:val="none"/>
                <w:lang w:val="en-US" w:eastAsia="zh-CN" w:bidi="ar"/>
              </w:rPr>
              <w:t>费</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175,471.60</w:t>
            </w:r>
          </w:p>
        </w:tc>
        <w:tc>
          <w:tcPr>
            <w:tcW w:w="1485" w:type="dxa"/>
            <w:vAlign w:val="center"/>
          </w:tcPr>
          <w:p>
            <w:pPr>
              <w:widowControl/>
              <w:ind w:firstLine="180" w:firstLineChars="100"/>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2021/7/13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江苏省苏中建设集团股份有限公司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总包进度款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604,154.62</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9</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2021/1/14</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威海山花华宝地毯有限公司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地毯采购</w:t>
            </w:r>
            <w:r>
              <w:rPr>
                <w:rFonts w:hint="eastAsia" w:ascii="宋体" w:hAnsi="宋体" w:cs="宋体"/>
                <w:i w:val="0"/>
                <w:color w:val="000000"/>
                <w:kern w:val="0"/>
                <w:sz w:val="18"/>
                <w:szCs w:val="18"/>
                <w:u w:val="none"/>
                <w:lang w:val="en-US" w:eastAsia="zh-CN" w:bidi="ar"/>
              </w:rPr>
              <w:t>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114,824.00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2021/1/14</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衢州信德广告有限公司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商业街物料</w:t>
            </w:r>
            <w:r>
              <w:rPr>
                <w:rFonts w:hint="eastAsia" w:ascii="宋体" w:hAnsi="宋体" w:cs="宋体"/>
                <w:i w:val="0"/>
                <w:color w:val="000000"/>
                <w:kern w:val="0"/>
                <w:sz w:val="18"/>
                <w:szCs w:val="18"/>
                <w:u w:val="none"/>
                <w:lang w:val="en-US" w:eastAsia="zh-CN" w:bidi="ar"/>
              </w:rPr>
              <w:t>费</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178,650.00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2021/1/14</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上海徐汇园林发展有限公司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园建施工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185,040.00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13</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14</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15</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16</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17</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18</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1,027,856.31</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19</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875,623.92</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21</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22</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23</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24</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25</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2021/1/13</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26</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27</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875,623.91</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28</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1,027,856.30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29</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30</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31</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32</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33</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34</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35</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桩基工程施工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36</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37</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38</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39</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2021/1/15</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江苏骏兴建设工程有限公司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基坑支护及降排水工程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40</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2021/1/22</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江门市中意灯饰水晶有限公司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售楼部艺术灯具</w:t>
            </w:r>
            <w:r>
              <w:rPr>
                <w:rFonts w:hint="eastAsia" w:ascii="宋体" w:hAnsi="宋体" w:cs="宋体"/>
                <w:i w:val="0"/>
                <w:color w:val="000000"/>
                <w:kern w:val="0"/>
                <w:sz w:val="18"/>
                <w:szCs w:val="18"/>
                <w:u w:val="none"/>
                <w:lang w:val="en-US" w:eastAsia="zh-CN" w:bidi="ar"/>
              </w:rPr>
              <w:t>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105,752.94</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41</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2021/1/22</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上海柏涛工程设计顾问有限公司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建筑外立面方案设计</w:t>
            </w:r>
            <w:r>
              <w:rPr>
                <w:rFonts w:hint="eastAsia" w:ascii="宋体" w:hAnsi="宋体" w:cs="宋体"/>
                <w:i w:val="0"/>
                <w:color w:val="000000"/>
                <w:kern w:val="0"/>
                <w:sz w:val="18"/>
                <w:szCs w:val="18"/>
                <w:u w:val="none"/>
                <w:lang w:val="en-US" w:eastAsia="zh-CN" w:bidi="ar"/>
              </w:rPr>
              <w:t>费</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575,000.00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42</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2021/1/22</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深圳市希尔景观设计有限公司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园林工程设计</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73,686.93</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43</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2021/1/22</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江苏省苏中建设集团股份有限公司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总包进度款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44</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2021/1/25</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广州市白云建筑设计院有限公司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项目规划方案设计费</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45</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2021/1/26</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上海煜铂广告有限公司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项目围蔽工程施工</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601,757.49</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46</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2021/1/27</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江苏宏洁智慧科技有限公司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项目临时展示区亮化工程</w:t>
            </w:r>
            <w:r>
              <w:rPr>
                <w:rFonts w:hint="eastAsia" w:ascii="宋体" w:hAnsi="宋体" w:cs="宋体"/>
                <w:i w:val="0"/>
                <w:color w:val="000000"/>
                <w:kern w:val="0"/>
                <w:sz w:val="18"/>
                <w:szCs w:val="18"/>
                <w:u w:val="none"/>
                <w:lang w:val="en-US" w:eastAsia="zh-CN" w:bidi="ar"/>
              </w:rPr>
              <w:t>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47</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2021/1/27</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浙江华坤建设有限公司</w:t>
            </w:r>
          </w:p>
        </w:tc>
        <w:tc>
          <w:tcPr>
            <w:tcW w:w="280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项目临时道路工程施工</w:t>
            </w:r>
            <w:r>
              <w:rPr>
                <w:rFonts w:hint="eastAsia" w:ascii="宋体" w:hAnsi="宋体" w:cs="宋体"/>
                <w:i w:val="0"/>
                <w:color w:val="000000"/>
                <w:kern w:val="0"/>
                <w:sz w:val="18"/>
                <w:szCs w:val="18"/>
                <w:u w:val="none"/>
                <w:lang w:val="en-US" w:eastAsia="zh-CN" w:bidi="ar"/>
              </w:rPr>
              <w:t>、红外线施工进度款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678,235.37</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sz w:val="18"/>
                <w:szCs w:val="18"/>
                <w:lang w:val="en-US" w:eastAsia="zh-CN" w:bidi="ar"/>
              </w:rPr>
              <w:t>2021/10/27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48</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2021/1/27</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恒大农牧集团有限公司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114,008.00</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49</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2021/1/28</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江苏省苏中建设集团股份有限公司</w:t>
            </w:r>
          </w:p>
        </w:tc>
        <w:tc>
          <w:tcPr>
            <w:tcW w:w="2805" w:type="dxa"/>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总包进度款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8,840,006.07</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2021/1/28</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江苏省苏中建设集团股份有限公司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总包进度款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7,069,993.93</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1" w:type="dxa"/>
            <w:vAlign w:val="center"/>
          </w:tcPr>
          <w:p>
            <w:pPr>
              <w:jc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51</w:t>
            </w:r>
          </w:p>
        </w:tc>
        <w:tc>
          <w:tcPr>
            <w:tcW w:w="1148"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2021/1/28</w:t>
            </w:r>
          </w:p>
        </w:tc>
        <w:tc>
          <w:tcPr>
            <w:tcW w:w="328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浙江尚都建设有限公司</w:t>
            </w:r>
          </w:p>
        </w:tc>
        <w:tc>
          <w:tcPr>
            <w:tcW w:w="280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土石方工程进度款</w:t>
            </w:r>
          </w:p>
        </w:tc>
        <w:tc>
          <w:tcPr>
            <w:tcW w:w="1485"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810,007.14</w:t>
            </w:r>
          </w:p>
        </w:tc>
        <w:tc>
          <w:tcPr>
            <w:tcW w:w="1485" w:type="dxa"/>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2022/1/28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77" w:type="dxa"/>
            <w:gridSpan w:val="3"/>
            <w:vAlign w:val="center"/>
          </w:tcPr>
          <w:p>
            <w:pPr>
              <w:jc w:val="center"/>
              <w:rPr>
                <w:rFonts w:ascii="Arial" w:hAnsi="Arial" w:cs="Arial"/>
                <w:sz w:val="18"/>
                <w:szCs w:val="18"/>
              </w:rPr>
            </w:pPr>
            <w:r>
              <w:rPr>
                <w:rFonts w:ascii="Arial" w:hAnsi="Arial" w:cs="Arial"/>
                <w:b/>
                <w:bCs/>
                <w:kern w:val="44"/>
                <w:sz w:val="18"/>
                <w:szCs w:val="18"/>
              </w:rPr>
              <w:t>合计</w:t>
            </w:r>
          </w:p>
        </w:tc>
        <w:tc>
          <w:tcPr>
            <w:tcW w:w="4290" w:type="dxa"/>
            <w:gridSpan w:val="2"/>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50,558,284.44</w:t>
            </w:r>
          </w:p>
        </w:tc>
        <w:tc>
          <w:tcPr>
            <w:tcW w:w="1485" w:type="dxa"/>
            <w:vAlign w:val="center"/>
          </w:tcPr>
          <w:p>
            <w:pPr>
              <w:widowControl/>
              <w:jc w:val="center"/>
              <w:textAlignment w:val="center"/>
              <w:rPr>
                <w:rFonts w:hint="eastAsia" w:ascii="Arial" w:hAnsi="Arial" w:cs="Arial"/>
                <w:b/>
                <w:bCs/>
                <w:color w:val="000000"/>
                <w:kern w:val="0"/>
                <w:sz w:val="18"/>
                <w:szCs w:val="18"/>
                <w:lang w:bidi="ar"/>
              </w:rPr>
            </w:pPr>
          </w:p>
        </w:tc>
      </w:tr>
    </w:tbl>
    <w:p>
      <w:pPr>
        <w:spacing w:before="0" w:beforeLines="-2147483648" w:line="480" w:lineRule="auto"/>
        <w:ind w:firstLine="420" w:firstLineChars="200"/>
        <w:rPr>
          <w:rFonts w:ascii="Arial" w:hAnsi="Arial" w:cs="Arial"/>
          <w:bCs/>
          <w:kern w:val="44"/>
          <w:szCs w:val="21"/>
        </w:rPr>
      </w:pPr>
      <w:bookmarkStart w:id="404" w:name="_Toc7325"/>
      <w:bookmarkStart w:id="405" w:name="_Toc1729"/>
    </w:p>
    <w:p>
      <w:pPr>
        <w:keepNext w:val="0"/>
        <w:keepLines w:val="0"/>
        <w:pageBreakBefore w:val="0"/>
        <w:widowControl w:val="0"/>
        <w:kinsoku/>
        <w:wordWrap/>
        <w:overflowPunct/>
        <w:topLinePunct w:val="0"/>
        <w:autoSpaceDE/>
        <w:autoSpaceDN/>
        <w:bidi w:val="0"/>
        <w:adjustRightInd/>
        <w:snapToGrid/>
        <w:spacing w:before="0" w:beforeLines="-2147483648" w:line="480" w:lineRule="auto"/>
        <w:ind w:firstLine="420" w:firstLineChars="200"/>
        <w:textAlignment w:val="auto"/>
        <w:rPr>
          <w:rFonts w:hint="eastAsia" w:ascii="Arial" w:hAnsi="Arial" w:cs="Arial"/>
          <w:bCs/>
          <w:kern w:val="44"/>
          <w:szCs w:val="21"/>
          <w:lang w:eastAsia="zh-CN" w:bidi="ar"/>
        </w:rPr>
      </w:pPr>
      <w:r>
        <w:rPr>
          <w:rFonts w:hint="eastAsia" w:ascii="Arial" w:hAnsi="Arial" w:cs="Arial"/>
          <w:bCs/>
          <w:kern w:val="44"/>
          <w:szCs w:val="21"/>
          <w:lang w:eastAsia="zh-CN"/>
        </w:rPr>
        <w:t>除上述项目支出外，</w:t>
      </w:r>
      <w:r>
        <w:rPr>
          <w:rFonts w:ascii="Arial" w:hAnsi="Arial" w:cs="Arial"/>
          <w:bCs/>
          <w:kern w:val="44"/>
          <w:szCs w:val="21"/>
        </w:rPr>
        <w:t>根据与</w:t>
      </w:r>
      <w:r>
        <w:rPr>
          <w:rFonts w:ascii="Arial" w:hAnsi="Arial" w:cs="Arial"/>
          <w:bCs/>
          <w:kern w:val="44"/>
          <w:szCs w:val="21"/>
          <w:lang w:bidi="ar"/>
        </w:rPr>
        <w:t>上海颖骏投资管理有限公司的借款协议，项目公司于</w:t>
      </w:r>
      <w:r>
        <w:rPr>
          <w:rFonts w:ascii="Arial" w:hAnsi="Arial" w:cs="Arial"/>
          <w:bCs/>
          <w:kern w:val="44"/>
          <w:szCs w:val="21"/>
        </w:rPr>
        <w:t>202</w:t>
      </w:r>
      <w:r>
        <w:rPr>
          <w:rFonts w:hint="eastAsia" w:ascii="Arial" w:hAnsi="Arial" w:cs="Arial"/>
          <w:bCs/>
          <w:kern w:val="44"/>
          <w:szCs w:val="21"/>
          <w:lang w:val="en-US" w:eastAsia="zh-CN"/>
        </w:rPr>
        <w:t>1</w:t>
      </w:r>
      <w:r>
        <w:rPr>
          <w:rFonts w:ascii="Arial" w:hAnsi="Arial" w:cs="Arial"/>
          <w:bCs/>
          <w:kern w:val="44"/>
          <w:szCs w:val="21"/>
        </w:rPr>
        <w:t>年1月向</w:t>
      </w:r>
      <w:r>
        <w:rPr>
          <w:rFonts w:ascii="Arial" w:hAnsi="Arial" w:cs="Arial"/>
          <w:bCs/>
          <w:kern w:val="44"/>
          <w:szCs w:val="21"/>
          <w:lang w:bidi="ar"/>
        </w:rPr>
        <w:t>上海颖骏投资管理有限公司偿还借款</w:t>
      </w:r>
      <w:r>
        <w:rPr>
          <w:rFonts w:hint="default" w:ascii="Arial" w:hAnsi="Arial" w:cs="Arial"/>
          <w:bCs/>
          <w:kern w:val="44"/>
          <w:szCs w:val="21"/>
          <w:lang w:bidi="ar"/>
        </w:rPr>
        <w:t>6,930,000.00</w:t>
      </w:r>
      <w:r>
        <w:rPr>
          <w:rFonts w:ascii="Arial" w:hAnsi="Arial" w:cs="Arial"/>
          <w:bCs/>
          <w:kern w:val="44"/>
          <w:szCs w:val="21"/>
          <w:lang w:bidi="ar"/>
        </w:rPr>
        <w:t>元</w:t>
      </w:r>
      <w:r>
        <w:rPr>
          <w:rFonts w:hint="eastAsia" w:ascii="Arial" w:hAnsi="Arial" w:cs="Arial"/>
          <w:bCs/>
          <w:kern w:val="44"/>
          <w:szCs w:val="21"/>
          <w:lang w:eastAsia="zh-CN" w:bidi="ar"/>
        </w:rPr>
        <w:t>，详见下表：</w:t>
      </w:r>
    </w:p>
    <w:p>
      <w:pPr>
        <w:keepNext w:val="0"/>
        <w:keepLines w:val="0"/>
        <w:pageBreakBefore w:val="0"/>
        <w:widowControl w:val="0"/>
        <w:kinsoku/>
        <w:wordWrap/>
        <w:overflowPunct/>
        <w:topLinePunct w:val="0"/>
        <w:autoSpaceDE/>
        <w:autoSpaceDN/>
        <w:bidi w:val="0"/>
        <w:adjustRightInd/>
        <w:snapToGrid/>
        <w:spacing w:before="0" w:beforeLines="-2147483648" w:line="240" w:lineRule="auto"/>
        <w:ind w:firstLine="0" w:firstLineChars="0"/>
        <w:jc w:val="center"/>
        <w:textAlignment w:val="auto"/>
        <w:rPr>
          <w:rFonts w:ascii="Arial" w:hAnsi="Arial" w:cs="Arial"/>
          <w:b/>
          <w:color w:val="000000"/>
          <w:sz w:val="24"/>
          <w:szCs w:val="28"/>
        </w:rPr>
      </w:pPr>
      <w:r>
        <w:rPr>
          <w:rFonts w:ascii="Arial" w:hAnsi="Arial" w:cs="Arial"/>
          <w:b/>
          <w:color w:val="000000"/>
          <w:sz w:val="24"/>
          <w:szCs w:val="28"/>
        </w:rPr>
        <w:t>项目公司往来款明细表</w:t>
      </w:r>
    </w:p>
    <w:tbl>
      <w:tblPr>
        <w:tblStyle w:val="19"/>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48"/>
        <w:gridCol w:w="2677"/>
        <w:gridCol w:w="280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641" w:type="dxa"/>
          </w:tcPr>
          <w:p>
            <w:pPr>
              <w:widowControl/>
              <w:jc w:val="center"/>
              <w:rPr>
                <w:rFonts w:ascii="Arial" w:hAnsi="Arial" w:cs="Arial"/>
                <w:b/>
                <w:bCs/>
                <w:kern w:val="44"/>
                <w:sz w:val="18"/>
                <w:szCs w:val="18"/>
              </w:rPr>
            </w:pPr>
            <w:r>
              <w:rPr>
                <w:rFonts w:ascii="Arial" w:hAnsi="Arial" w:cs="Arial"/>
                <w:b/>
                <w:bCs/>
                <w:kern w:val="44"/>
                <w:sz w:val="18"/>
                <w:szCs w:val="18"/>
              </w:rPr>
              <w:t>序号</w:t>
            </w:r>
          </w:p>
        </w:tc>
        <w:tc>
          <w:tcPr>
            <w:tcW w:w="1148" w:type="dxa"/>
          </w:tcPr>
          <w:p>
            <w:pPr>
              <w:widowControl/>
              <w:jc w:val="center"/>
              <w:rPr>
                <w:rFonts w:ascii="Arial" w:hAnsi="Arial" w:cs="Arial"/>
                <w:b/>
                <w:bCs/>
                <w:kern w:val="44"/>
                <w:sz w:val="18"/>
                <w:szCs w:val="18"/>
              </w:rPr>
            </w:pPr>
            <w:r>
              <w:rPr>
                <w:rFonts w:ascii="Arial" w:hAnsi="Arial" w:cs="Arial"/>
                <w:b/>
                <w:bCs/>
                <w:kern w:val="44"/>
                <w:sz w:val="18"/>
                <w:szCs w:val="18"/>
              </w:rPr>
              <w:t>付款时间</w:t>
            </w:r>
          </w:p>
        </w:tc>
        <w:tc>
          <w:tcPr>
            <w:tcW w:w="2677" w:type="dxa"/>
          </w:tcPr>
          <w:p>
            <w:pPr>
              <w:widowControl/>
              <w:jc w:val="center"/>
              <w:rPr>
                <w:rFonts w:ascii="Arial" w:hAnsi="Arial" w:cs="Arial"/>
                <w:b/>
                <w:bCs/>
                <w:kern w:val="44"/>
                <w:sz w:val="18"/>
                <w:szCs w:val="18"/>
              </w:rPr>
            </w:pPr>
            <w:r>
              <w:rPr>
                <w:rFonts w:ascii="Arial" w:hAnsi="Arial" w:cs="Arial"/>
                <w:b/>
                <w:bCs/>
                <w:kern w:val="44"/>
                <w:sz w:val="18"/>
                <w:szCs w:val="18"/>
              </w:rPr>
              <w:t>收款方</w:t>
            </w:r>
          </w:p>
        </w:tc>
        <w:tc>
          <w:tcPr>
            <w:tcW w:w="2805" w:type="dxa"/>
          </w:tcPr>
          <w:p>
            <w:pPr>
              <w:widowControl/>
              <w:jc w:val="center"/>
              <w:rPr>
                <w:rFonts w:ascii="Arial" w:hAnsi="Arial" w:cs="Arial"/>
                <w:b/>
                <w:bCs/>
                <w:kern w:val="44"/>
                <w:sz w:val="18"/>
                <w:szCs w:val="18"/>
              </w:rPr>
            </w:pPr>
            <w:r>
              <w:rPr>
                <w:rFonts w:ascii="Arial" w:hAnsi="Arial" w:cs="Arial"/>
                <w:b/>
                <w:bCs/>
                <w:kern w:val="44"/>
                <w:sz w:val="18"/>
                <w:szCs w:val="18"/>
              </w:rPr>
              <w:t>资金用途</w:t>
            </w:r>
          </w:p>
        </w:tc>
        <w:tc>
          <w:tcPr>
            <w:tcW w:w="1485" w:type="dxa"/>
          </w:tcPr>
          <w:p>
            <w:pPr>
              <w:widowControl/>
              <w:jc w:val="center"/>
              <w:rPr>
                <w:rFonts w:ascii="Arial" w:hAnsi="Arial" w:cs="Arial"/>
                <w:b/>
                <w:bCs/>
                <w:kern w:val="44"/>
                <w:sz w:val="18"/>
                <w:szCs w:val="18"/>
              </w:rPr>
            </w:pPr>
            <w:r>
              <w:rPr>
                <w:rFonts w:ascii="Arial" w:hAnsi="Arial" w:cs="Arial"/>
                <w:b/>
                <w:bCs/>
                <w:kern w:val="44"/>
                <w:sz w:val="18"/>
                <w:szCs w:val="18"/>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641" w:type="dxa"/>
            <w:vAlign w:val="center"/>
          </w:tcPr>
          <w:p>
            <w:pPr>
              <w:jc w:val="center"/>
              <w:rPr>
                <w:rFonts w:ascii="Arial" w:hAnsi="Arial" w:cs="Arial"/>
                <w:sz w:val="18"/>
                <w:szCs w:val="18"/>
              </w:rPr>
            </w:pPr>
            <w:r>
              <w:rPr>
                <w:rFonts w:ascii="Arial" w:hAnsi="Arial" w:cs="Arial"/>
                <w:sz w:val="18"/>
                <w:szCs w:val="18"/>
              </w:rPr>
              <w:t>1</w:t>
            </w:r>
          </w:p>
        </w:tc>
        <w:tc>
          <w:tcPr>
            <w:tcW w:w="1148" w:type="dxa"/>
            <w:vAlign w:val="center"/>
          </w:tcPr>
          <w:p>
            <w:pPr>
              <w:widowControl/>
              <w:jc w:val="center"/>
              <w:rPr>
                <w:rFonts w:ascii="Arial" w:hAnsi="Arial" w:cs="Arial"/>
                <w:color w:val="000000"/>
                <w:sz w:val="18"/>
                <w:szCs w:val="18"/>
              </w:rPr>
            </w:pPr>
            <w:r>
              <w:rPr>
                <w:rFonts w:hint="eastAsia" w:ascii="Arial" w:hAnsi="Arial" w:cs="Arial"/>
                <w:b w:val="0"/>
                <w:bCs w:val="0"/>
                <w:kern w:val="0"/>
                <w:sz w:val="18"/>
                <w:szCs w:val="18"/>
                <w:lang w:val="en-US" w:eastAsia="zh-CN"/>
              </w:rPr>
              <w:t>2021/1/8</w:t>
            </w:r>
          </w:p>
        </w:tc>
        <w:tc>
          <w:tcPr>
            <w:tcW w:w="2677" w:type="dxa"/>
            <w:vAlign w:val="center"/>
          </w:tcPr>
          <w:p>
            <w:pPr>
              <w:widowControl/>
              <w:jc w:val="center"/>
              <w:rPr>
                <w:rFonts w:ascii="Arial" w:hAnsi="Arial" w:cs="Arial"/>
                <w:color w:val="000000"/>
                <w:sz w:val="18"/>
                <w:szCs w:val="18"/>
              </w:rPr>
            </w:pPr>
            <w:r>
              <w:rPr>
                <w:rFonts w:hint="eastAsia" w:ascii="Arial" w:hAnsi="Arial" w:cs="Arial"/>
                <w:b w:val="0"/>
                <w:bCs w:val="0"/>
                <w:kern w:val="0"/>
                <w:sz w:val="18"/>
                <w:szCs w:val="18"/>
                <w:lang w:val="en-US" w:eastAsia="zh-CN"/>
              </w:rPr>
              <w:t>上海颖骏投资管理有限公司</w:t>
            </w:r>
          </w:p>
        </w:tc>
        <w:tc>
          <w:tcPr>
            <w:tcW w:w="2805" w:type="dxa"/>
            <w:vAlign w:val="center"/>
          </w:tcPr>
          <w:p>
            <w:pPr>
              <w:widowControl/>
              <w:jc w:val="center"/>
              <w:rPr>
                <w:rFonts w:ascii="Arial" w:hAnsi="Arial" w:cs="Arial"/>
                <w:color w:val="000000"/>
                <w:sz w:val="18"/>
                <w:szCs w:val="18"/>
              </w:rPr>
            </w:pPr>
            <w:r>
              <w:rPr>
                <w:rFonts w:ascii="Arial" w:hAnsi="Arial" w:cs="Arial"/>
                <w:color w:val="000000"/>
                <w:sz w:val="18"/>
                <w:szCs w:val="18"/>
              </w:rPr>
              <w:t>归还借款</w:t>
            </w:r>
          </w:p>
        </w:tc>
        <w:tc>
          <w:tcPr>
            <w:tcW w:w="1485" w:type="dxa"/>
            <w:vAlign w:val="center"/>
          </w:tcPr>
          <w:p>
            <w:pPr>
              <w:widowControl/>
              <w:jc w:val="center"/>
              <w:rPr>
                <w:rFonts w:hint="eastAsia" w:ascii="Arial" w:hAnsi="Arial" w:cs="Arial"/>
                <w:color w:val="000000"/>
                <w:sz w:val="18"/>
                <w:szCs w:val="18"/>
                <w:lang w:val="en-US" w:eastAsia="zh-CN"/>
              </w:rPr>
            </w:pPr>
            <w:bookmarkStart w:id="691" w:name="_GoBack"/>
            <w:r>
              <w:rPr>
                <w:rFonts w:hint="eastAsia" w:ascii="Arial" w:hAnsi="Arial" w:cs="Arial"/>
                <w:b w:val="0"/>
                <w:bCs w:val="0"/>
                <w:kern w:val="0"/>
                <w:sz w:val="18"/>
                <w:szCs w:val="18"/>
                <w:lang w:val="en-US" w:eastAsia="zh-CN"/>
              </w:rPr>
              <w:t>6,930,000.00</w:t>
            </w:r>
            <w:bookmarkEnd w:id="691"/>
            <w:r>
              <w:rPr>
                <w:rFonts w:hint="eastAsia" w:ascii="Arial" w:hAnsi="Arial" w:cs="Arial"/>
                <w:b w:val="0"/>
                <w:bCs w:val="0"/>
                <w:kern w:val="0"/>
                <w:sz w:val="18"/>
                <w:szCs w:val="18"/>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7271" w:type="dxa"/>
            <w:gridSpan w:val="4"/>
          </w:tcPr>
          <w:p>
            <w:pPr>
              <w:jc w:val="center"/>
              <w:rPr>
                <w:rFonts w:ascii="Arial" w:hAnsi="Arial" w:cs="Arial"/>
                <w:sz w:val="18"/>
                <w:szCs w:val="18"/>
              </w:rPr>
            </w:pPr>
            <w:r>
              <w:rPr>
                <w:rFonts w:ascii="Arial" w:hAnsi="Arial" w:cs="Arial"/>
                <w:b/>
                <w:bCs/>
                <w:kern w:val="44"/>
                <w:sz w:val="18"/>
                <w:szCs w:val="18"/>
              </w:rPr>
              <w:t>合计</w:t>
            </w:r>
          </w:p>
        </w:tc>
        <w:tc>
          <w:tcPr>
            <w:tcW w:w="1485" w:type="dxa"/>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 xml:space="preserve">6,930,000.00 </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406" w:name="_Toc29665"/>
      <w:bookmarkStart w:id="407" w:name="_Toc5998"/>
      <w:bookmarkStart w:id="408" w:name="_Toc25516"/>
      <w:bookmarkStart w:id="409" w:name="_Toc7485"/>
      <w:r>
        <w:rPr>
          <w:rFonts w:hint="default" w:ascii="Arial" w:hAnsi="Arial" w:eastAsia="宋体" w:cs="Arial"/>
          <w:sz w:val="24"/>
        </w:rPr>
        <w:t>6.2资金流入情况</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spacing w:line="480" w:lineRule="auto"/>
        <w:ind w:firstLine="420" w:firstLineChars="200"/>
        <w:rPr>
          <w:rFonts w:ascii="Arial" w:hAnsi="Arial" w:cs="Arial"/>
          <w:bCs/>
          <w:kern w:val="44"/>
          <w:szCs w:val="21"/>
        </w:rPr>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年1月期间项目公司资金流</w:t>
      </w:r>
      <w:r>
        <w:rPr>
          <w:rFonts w:hint="default" w:ascii="Arial" w:hAnsi="Arial" w:cs="Arial"/>
          <w:bCs/>
          <w:kern w:val="44"/>
          <w:szCs w:val="21"/>
          <w:lang w:val="en-US" w:eastAsia="zh-CN"/>
        </w:rPr>
        <w:t>入</w:t>
      </w:r>
      <w:r>
        <w:rPr>
          <w:rFonts w:hint="default" w:ascii="Arial" w:hAnsi="Arial" w:cs="Arial"/>
          <w:bCs/>
          <w:kern w:val="44"/>
          <w:szCs w:val="21"/>
        </w:rPr>
        <w:t>46,226,541.00 元</w:t>
      </w:r>
      <w:r>
        <w:rPr>
          <w:rFonts w:hint="default" w:ascii="Arial" w:hAnsi="Arial" w:cs="Arial"/>
          <w:bCs/>
          <w:kern w:val="44"/>
          <w:szCs w:val="21"/>
          <w:lang w:eastAsia="zh-CN"/>
        </w:rPr>
        <w:t>，其中销售回款流入</w:t>
      </w:r>
      <w:r>
        <w:rPr>
          <w:rFonts w:hint="default" w:ascii="Arial" w:hAnsi="Arial" w:cs="Arial"/>
          <w:bCs/>
          <w:kern w:val="44"/>
          <w:szCs w:val="21"/>
        </w:rPr>
        <w:t>12,976,541.00</w:t>
      </w:r>
      <w:r>
        <w:rPr>
          <w:rFonts w:hint="default" w:ascii="Arial" w:hAnsi="Arial" w:cs="Arial"/>
          <w:bCs/>
          <w:kern w:val="44"/>
          <w:szCs w:val="21"/>
          <w:lang w:val="en-US" w:eastAsia="zh-CN"/>
        </w:rPr>
        <w:t>元，</w:t>
      </w:r>
      <w:r>
        <w:rPr>
          <w:rFonts w:hint="default" w:ascii="Arial" w:hAnsi="Arial" w:cs="Arial"/>
          <w:szCs w:val="21"/>
          <w:lang w:eastAsia="zh-CN"/>
        </w:rPr>
        <w:t>其他</w:t>
      </w:r>
      <w:r>
        <w:rPr>
          <w:rFonts w:hint="default" w:ascii="Arial" w:hAnsi="Arial" w:cs="Arial"/>
          <w:bCs/>
          <w:kern w:val="44"/>
          <w:szCs w:val="21"/>
        </w:rPr>
        <w:t>资金流入</w:t>
      </w:r>
      <w:r>
        <w:rPr>
          <w:rFonts w:hint="default" w:ascii="Arial" w:hAnsi="Arial" w:cs="Arial"/>
          <w:b w:val="0"/>
          <w:bCs w:val="0"/>
          <w:color w:val="000000"/>
          <w:kern w:val="0"/>
          <w:sz w:val="21"/>
          <w:szCs w:val="21"/>
          <w:lang w:bidi="ar"/>
        </w:rPr>
        <w:t>33,250,000.0</w:t>
      </w:r>
      <w:r>
        <w:rPr>
          <w:rFonts w:hint="default" w:ascii="Arial" w:hAnsi="Arial" w:cs="Arial"/>
          <w:b/>
          <w:bCs/>
          <w:color w:val="000000"/>
          <w:kern w:val="0"/>
          <w:sz w:val="21"/>
          <w:szCs w:val="21"/>
          <w:lang w:bidi="ar"/>
        </w:rPr>
        <w:t>0</w:t>
      </w:r>
      <w:r>
        <w:rPr>
          <w:rFonts w:hint="default" w:ascii="Arial" w:hAnsi="Arial" w:cs="Arial"/>
          <w:b w:val="0"/>
          <w:bCs w:val="0"/>
          <w:color w:val="000000"/>
          <w:kern w:val="0"/>
          <w:sz w:val="21"/>
          <w:szCs w:val="21"/>
          <w:lang w:eastAsia="zh-CN" w:bidi="ar"/>
        </w:rPr>
        <w:t>元</w:t>
      </w:r>
      <w:r>
        <w:rPr>
          <w:rFonts w:hint="default" w:ascii="Arial" w:hAnsi="Arial" w:cs="Arial"/>
          <w:szCs w:val="21"/>
        </w:rPr>
        <w:t>。</w:t>
      </w:r>
    </w:p>
    <w:p>
      <w:pPr>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2"/>
        <w:rPr>
          <w:rFonts w:hint="default" w:ascii="Arial" w:hAnsi="Arial" w:eastAsia="宋体" w:cs="Arial"/>
          <w:b/>
          <w:sz w:val="24"/>
          <w:szCs w:val="24"/>
        </w:rPr>
      </w:pPr>
      <w:bookmarkStart w:id="410" w:name="_Toc28063"/>
      <w:bookmarkStart w:id="411" w:name="_Toc32107"/>
      <w:bookmarkStart w:id="412" w:name="_Toc18114"/>
      <w:bookmarkStart w:id="413" w:name="_Toc23564"/>
      <w:bookmarkStart w:id="414" w:name="_Toc13623"/>
      <w:bookmarkStart w:id="415" w:name="_Toc741"/>
      <w:r>
        <w:rPr>
          <w:rFonts w:hint="default" w:ascii="Arial" w:hAnsi="Arial" w:eastAsia="宋体" w:cs="Arial"/>
          <w:b/>
          <w:sz w:val="24"/>
          <w:szCs w:val="24"/>
        </w:rPr>
        <w:t>6.2.1销售回款流入</w:t>
      </w:r>
      <w:bookmarkEnd w:id="410"/>
      <w:bookmarkEnd w:id="411"/>
      <w:bookmarkEnd w:id="412"/>
      <w:bookmarkEnd w:id="413"/>
      <w:bookmarkEnd w:id="414"/>
      <w:bookmarkEnd w:id="415"/>
    </w:p>
    <w:p>
      <w:pPr>
        <w:spacing w:line="480" w:lineRule="auto"/>
        <w:ind w:firstLine="420" w:firstLineChars="200"/>
        <w:rPr>
          <w:rFonts w:ascii="Arial" w:hAnsi="Arial" w:cs="Arial"/>
          <w:b/>
          <w:color w:val="000000"/>
          <w:sz w:val="24"/>
          <w:szCs w:val="28"/>
        </w:rPr>
      </w:pPr>
      <w:r>
        <w:rPr>
          <w:rFonts w:hint="eastAsia" w:ascii="Arial" w:hAnsi="Arial" w:cs="Arial"/>
          <w:bCs/>
          <w:kern w:val="44"/>
          <w:szCs w:val="21"/>
          <w:lang w:val="en-US" w:eastAsia="zh-CN"/>
        </w:rPr>
        <w:t>项目于1月10日开盘，1月收取意向金、定金、首付款共计</w:t>
      </w:r>
      <w:r>
        <w:rPr>
          <w:rFonts w:hint="eastAsia" w:ascii="Arial" w:hAnsi="Arial" w:cs="Arial"/>
          <w:bCs/>
          <w:kern w:val="44"/>
          <w:szCs w:val="21"/>
        </w:rPr>
        <w:t>12,976,541.00</w:t>
      </w:r>
      <w:r>
        <w:rPr>
          <w:rFonts w:hint="eastAsia" w:ascii="Arial" w:hAnsi="Arial" w:cs="Arial"/>
          <w:bCs/>
          <w:kern w:val="44"/>
          <w:szCs w:val="21"/>
          <w:lang w:val="en-US" w:eastAsia="zh-CN"/>
        </w:rPr>
        <w:t>元，销售回款流入情况详见下表：</w:t>
      </w:r>
    </w:p>
    <w:p>
      <w:pPr>
        <w:spacing w:before="240" w:beforeLines="100"/>
        <w:jc w:val="center"/>
        <w:outlineLvl w:val="9"/>
        <w:rPr>
          <w:rFonts w:ascii="Arial" w:hAnsi="Arial" w:cs="Arial"/>
          <w:bCs/>
          <w:kern w:val="44"/>
          <w:szCs w:val="21"/>
        </w:rPr>
      </w:pPr>
      <w:bookmarkStart w:id="416" w:name="_Toc10462"/>
      <w:r>
        <w:rPr>
          <w:rFonts w:hint="eastAsia" w:ascii="Arial" w:hAnsi="Arial" w:cs="Arial"/>
          <w:b/>
          <w:color w:val="000000"/>
          <w:sz w:val="24"/>
          <w:szCs w:val="28"/>
          <w:lang w:val="en-US" w:eastAsia="zh-CN"/>
        </w:rPr>
        <w:t>销售回款</w:t>
      </w:r>
      <w:r>
        <w:rPr>
          <w:rFonts w:ascii="Arial" w:hAnsi="Arial" w:cs="Arial"/>
          <w:b/>
          <w:color w:val="000000"/>
          <w:sz w:val="24"/>
          <w:szCs w:val="28"/>
        </w:rPr>
        <w:t>流入情况表</w:t>
      </w:r>
      <w:bookmarkEnd w:id="416"/>
    </w:p>
    <w:tbl>
      <w:tblPr>
        <w:tblStyle w:val="19"/>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559"/>
        <w:gridCol w:w="2100"/>
        <w:gridCol w:w="1740"/>
        <w:gridCol w:w="1936"/>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559" w:type="dxa"/>
            <w:vAlign w:val="center"/>
          </w:tcPr>
          <w:p>
            <w:pPr>
              <w:jc w:val="center"/>
              <w:rPr>
                <w:rFonts w:ascii="Arial" w:hAnsi="Arial" w:cs="Arial"/>
                <w:b/>
                <w:sz w:val="20"/>
                <w:szCs w:val="22"/>
              </w:rPr>
            </w:pPr>
            <w:r>
              <w:rPr>
                <w:rFonts w:ascii="Arial" w:hAnsi="Arial" w:cs="Arial"/>
                <w:b/>
                <w:sz w:val="20"/>
                <w:szCs w:val="22"/>
              </w:rPr>
              <w:t>付款方</w:t>
            </w:r>
          </w:p>
        </w:tc>
        <w:tc>
          <w:tcPr>
            <w:tcW w:w="2100" w:type="dxa"/>
            <w:vAlign w:val="center"/>
          </w:tcPr>
          <w:p>
            <w:pPr>
              <w:jc w:val="center"/>
              <w:rPr>
                <w:rFonts w:ascii="Arial" w:hAnsi="Arial" w:cs="Arial"/>
                <w:b/>
                <w:sz w:val="20"/>
                <w:szCs w:val="22"/>
              </w:rPr>
            </w:pPr>
            <w:r>
              <w:rPr>
                <w:rFonts w:ascii="Arial" w:hAnsi="Arial" w:cs="Arial"/>
                <w:b/>
                <w:sz w:val="20"/>
                <w:szCs w:val="22"/>
              </w:rPr>
              <w:t>资金用途</w:t>
            </w:r>
          </w:p>
        </w:tc>
        <w:tc>
          <w:tcPr>
            <w:tcW w:w="1740" w:type="dxa"/>
            <w:vAlign w:val="center"/>
          </w:tcPr>
          <w:p>
            <w:pPr>
              <w:jc w:val="center"/>
              <w:rPr>
                <w:rFonts w:ascii="Arial" w:hAnsi="Arial" w:cs="Arial"/>
                <w:b/>
                <w:sz w:val="20"/>
                <w:szCs w:val="22"/>
              </w:rPr>
            </w:pPr>
            <w:r>
              <w:rPr>
                <w:rFonts w:ascii="Arial" w:hAnsi="Arial" w:cs="Arial"/>
                <w:b/>
                <w:sz w:val="20"/>
                <w:szCs w:val="22"/>
              </w:rPr>
              <w:t>金额</w:t>
            </w:r>
          </w:p>
        </w:tc>
        <w:tc>
          <w:tcPr>
            <w:tcW w:w="1936" w:type="dxa"/>
            <w:vAlign w:val="center"/>
          </w:tcPr>
          <w:p>
            <w:pPr>
              <w:jc w:val="center"/>
              <w:rPr>
                <w:rFonts w:ascii="Arial" w:hAnsi="Arial" w:cs="Arial"/>
                <w:b/>
                <w:sz w:val="20"/>
                <w:szCs w:val="22"/>
              </w:rPr>
            </w:pPr>
            <w:r>
              <w:rPr>
                <w:rFonts w:ascii="Arial" w:hAnsi="Arial" w:cs="Arial"/>
                <w:b/>
                <w:sz w:val="20"/>
                <w:szCs w:val="22"/>
              </w:rPr>
              <w:t>付款时间</w:t>
            </w:r>
          </w:p>
        </w:tc>
        <w:tc>
          <w:tcPr>
            <w:tcW w:w="1172" w:type="dxa"/>
            <w:vAlign w:val="center"/>
          </w:tcPr>
          <w:p>
            <w:pPr>
              <w:jc w:val="center"/>
              <w:rPr>
                <w:rFonts w:ascii="Arial" w:hAnsi="Arial" w:cs="Arial"/>
                <w:b/>
                <w:sz w:val="20"/>
                <w:szCs w:val="22"/>
              </w:rPr>
            </w:pPr>
            <w:r>
              <w:rPr>
                <w:rFonts w:ascii="Arial" w:hAnsi="Arial" w:cs="Arial"/>
                <w:b/>
                <w:sz w:val="20"/>
                <w:szCs w:val="22"/>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王杰</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w:t>
            </w:r>
          </w:p>
        </w:tc>
        <w:tc>
          <w:tcPr>
            <w:tcW w:w="1172"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马方杰</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680,000.00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w:t>
            </w:r>
          </w:p>
        </w:tc>
        <w:tc>
          <w:tcPr>
            <w:tcW w:w="1172"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俞伟</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660,000.00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w:t>
            </w:r>
          </w:p>
        </w:tc>
        <w:tc>
          <w:tcPr>
            <w:tcW w:w="1172"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4</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待清算商户款项330637127</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39,960.00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2021/1/2</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5</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周扬</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2021/1/2</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6</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19,980.00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2021/1/3</w:t>
            </w:r>
          </w:p>
        </w:tc>
        <w:tc>
          <w:tcPr>
            <w:tcW w:w="1172" w:type="dxa"/>
            <w:vAlign w:val="center"/>
          </w:tcPr>
          <w:p>
            <w:pPr>
              <w:widowControl/>
              <w:jc w:val="center"/>
              <w:textAlignment w:val="center"/>
              <w:rPr>
                <w:rFonts w:hint="default" w:ascii="Arial" w:hAnsi="Arial" w:cs="Arial"/>
                <w:kern w:val="0"/>
                <w:sz w:val="18"/>
                <w:szCs w:val="18"/>
                <w:lang w:val="en-US"/>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7</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待清算商户款项330637127</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39,960.00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2021/1/3</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8</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徐慈</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2021/1/3</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9</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郑首康</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2021/1/3</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10</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待清算商户款项330637127</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39,960.00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2021/1/4</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11</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方运雷</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2021/1/4</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12</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朱慧萍</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2021/1/5</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13</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陈春燕</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2021/1/5</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14</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王其芬</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20,000.00 </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2021/1/8</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15</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19,980.00 </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2021/1/8</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16</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19,960.00</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2021/1/9</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17</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林敏</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20,000.00</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2021/1/9</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18</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朱建良</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意向金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20,000.00</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2021/1/9</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19</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楼祥华</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20,000.00</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2021/1/10</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20</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待清算商户款项330637127</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19,980.00</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2021/1/11</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21</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19,980.00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2021/1/10</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22</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赵晓春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410,099.00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2021/1/10</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23</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宋始侃</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131,099.00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2021/1/10</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24</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俞伟</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4,508,773.00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2021/1/10</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25</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899,863.00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2021/1/11</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26</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宋始侃</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128,098.00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2021/1/12</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27</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江苏骏兴建设工程有限公司</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60,000.00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2021/1/12</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28</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马方杰</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889,136.00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2021/1/12</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29</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马方杰</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901,921.00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2021/1/12</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30</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马方杰</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687,079.00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2021/1/12</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31</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马方杰</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858,938.00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2021/1/12</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32</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马方杰</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862,708.00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2021/1/12</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33</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马方杰</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374,579.00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2021/1/12</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34</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w:t>
            </w:r>
            <w:r>
              <w:rPr>
                <w:rFonts w:hint="default" w:ascii="Arial" w:hAnsi="Arial" w:cs="Arial"/>
                <w:kern w:val="0"/>
                <w:sz w:val="18"/>
                <w:szCs w:val="18"/>
                <w:lang w:val="en-US" w:eastAsia="zh-CN"/>
              </w:rPr>
              <w:t>0458</w:t>
            </w:r>
            <w:r>
              <w:rPr>
                <w:rFonts w:hint="eastAsia" w:ascii="Arial" w:hAnsi="Arial" w:cs="Arial"/>
                <w:kern w:val="0"/>
                <w:sz w:val="18"/>
                <w:szCs w:val="18"/>
                <w:lang w:val="en-US" w:eastAsia="zh-CN"/>
              </w:rPr>
              <w:t>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159,247.00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2021/1/13</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35</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周佳</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20,000.00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2021/1/17</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36</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19,980.00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2021/1/19</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37</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定金</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19,980.00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2021/1/25</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38</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刷卡，0458尾号商户转入</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159,669.00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2021/1/29</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39</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宣张豪</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105,611.00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2021/1/29</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40</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杨杨</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房款</w:t>
            </w:r>
          </w:p>
        </w:tc>
        <w:tc>
          <w:tcPr>
            <w:tcW w:w="1740"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1.00 </w:t>
            </w:r>
          </w:p>
        </w:tc>
        <w:tc>
          <w:tcPr>
            <w:tcW w:w="1936"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2021/1/31</w:t>
            </w:r>
          </w:p>
        </w:tc>
        <w:tc>
          <w:tcPr>
            <w:tcW w:w="1172" w:type="dxa"/>
            <w:vAlign w:val="center"/>
          </w:tcPr>
          <w:p>
            <w:pPr>
              <w:widowControl/>
              <w:jc w:val="center"/>
              <w:textAlignment w:val="center"/>
              <w:rPr>
                <w:rFonts w:ascii="Arial" w:hAnsi="Arial" w:cs="Arial"/>
                <w:kern w:val="0"/>
                <w:sz w:val="18"/>
                <w:szCs w:val="18"/>
              </w:rPr>
            </w:pPr>
            <w:r>
              <w:rPr>
                <w:rFonts w:hint="eastAsia" w:ascii="Arial" w:hAnsi="Arial" w:cs="Arial"/>
                <w:kern w:val="0"/>
                <w:sz w:val="18"/>
                <w:szCs w:val="18"/>
                <w:lang w:val="en-US" w:eastAsia="zh-CN"/>
              </w:rPr>
              <w:t>农行-8028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17"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108" w:type="dxa"/>
            <w:gridSpan w:val="2"/>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12,976,541.00</w:t>
            </w:r>
          </w:p>
        </w:tc>
      </w:tr>
    </w:tbl>
    <w:p>
      <w:pPr>
        <w:spacing w:line="480" w:lineRule="auto"/>
        <w:ind w:firstLine="420" w:firstLineChars="200"/>
        <w:rPr>
          <w:rFonts w:hint="eastAsia" w:ascii="Arial" w:hAnsi="Arial" w:cs="Arial"/>
          <w:bCs/>
          <w:kern w:val="44"/>
          <w:szCs w:val="21"/>
          <w:lang w:val="en-US" w:eastAsia="zh-CN"/>
        </w:rPr>
      </w:pPr>
    </w:p>
    <w:p>
      <w:pPr>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2"/>
        <w:rPr>
          <w:rFonts w:hint="default" w:ascii="Arial" w:hAnsi="Arial" w:eastAsia="宋体" w:cs="Arial"/>
          <w:sz w:val="24"/>
          <w:szCs w:val="24"/>
        </w:rPr>
      </w:pPr>
      <w:bookmarkStart w:id="417" w:name="_Toc11226"/>
      <w:bookmarkStart w:id="418" w:name="_Toc23910"/>
      <w:bookmarkStart w:id="419" w:name="_Toc18301"/>
      <w:bookmarkStart w:id="420" w:name="_Toc13746"/>
      <w:bookmarkStart w:id="421" w:name="_Toc2601"/>
      <w:bookmarkStart w:id="422" w:name="_Toc6053"/>
      <w:r>
        <w:rPr>
          <w:rFonts w:hint="default" w:ascii="Arial" w:hAnsi="Arial" w:eastAsia="宋体" w:cs="Arial"/>
          <w:b/>
          <w:sz w:val="24"/>
          <w:szCs w:val="24"/>
        </w:rPr>
        <w:t>6.2.2其他资金流入</w:t>
      </w:r>
      <w:bookmarkEnd w:id="417"/>
      <w:bookmarkEnd w:id="418"/>
      <w:bookmarkEnd w:id="419"/>
      <w:bookmarkEnd w:id="420"/>
      <w:bookmarkEnd w:id="421"/>
      <w:bookmarkEnd w:id="422"/>
    </w:p>
    <w:p>
      <w:pPr>
        <w:ind w:firstLine="420" w:firstLineChars="200"/>
        <w:rPr>
          <w:rFonts w:ascii="Arial" w:hAnsi="Arial" w:cs="Arial"/>
          <w:bCs/>
          <w:kern w:val="44"/>
          <w:szCs w:val="21"/>
        </w:rPr>
      </w:pPr>
      <w:r>
        <w:rPr>
          <w:rFonts w:ascii="Arial" w:hAnsi="Arial" w:cs="Arial"/>
        </w:rPr>
        <w:t>202</w:t>
      </w:r>
      <w:r>
        <w:rPr>
          <w:rFonts w:hint="eastAsia" w:ascii="Arial" w:hAnsi="Arial" w:cs="Arial"/>
          <w:lang w:val="en-US" w:eastAsia="zh-CN"/>
        </w:rPr>
        <w:t>1</w:t>
      </w:r>
      <w:r>
        <w:rPr>
          <w:rFonts w:ascii="Arial" w:hAnsi="Arial" w:cs="Arial"/>
        </w:rPr>
        <w:t>年1月份，项目公司</w:t>
      </w:r>
      <w:r>
        <w:rPr>
          <w:rFonts w:hint="eastAsia" w:ascii="Arial" w:hAnsi="Arial" w:cs="Arial"/>
          <w:lang w:eastAsia="zh-CN"/>
        </w:rPr>
        <w:t>其他</w:t>
      </w:r>
      <w:r>
        <w:rPr>
          <w:rFonts w:ascii="Arial" w:hAnsi="Arial" w:cs="Arial"/>
          <w:bCs/>
          <w:kern w:val="44"/>
          <w:szCs w:val="21"/>
        </w:rPr>
        <w:t>资金流入情况见下表：</w:t>
      </w:r>
    </w:p>
    <w:p>
      <w:pPr>
        <w:spacing w:before="240" w:beforeLines="100"/>
        <w:jc w:val="center"/>
        <w:outlineLvl w:val="9"/>
        <w:rPr>
          <w:rFonts w:ascii="Arial" w:hAnsi="Arial" w:cs="Arial"/>
          <w:bCs/>
          <w:kern w:val="44"/>
          <w:szCs w:val="21"/>
        </w:rPr>
      </w:pPr>
      <w:bookmarkStart w:id="423" w:name="_Toc5888"/>
      <w:r>
        <w:rPr>
          <w:rFonts w:ascii="Arial" w:hAnsi="Arial" w:cs="Arial"/>
          <w:b/>
          <w:color w:val="000000"/>
          <w:sz w:val="24"/>
          <w:szCs w:val="28"/>
        </w:rPr>
        <w:t>项目公司资金流入情况表</w:t>
      </w:r>
      <w:bookmarkEnd w:id="423"/>
    </w:p>
    <w:tbl>
      <w:tblPr>
        <w:tblStyle w:val="19"/>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559"/>
        <w:gridCol w:w="2100"/>
        <w:gridCol w:w="1740"/>
        <w:gridCol w:w="1936"/>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559" w:type="dxa"/>
            <w:vAlign w:val="center"/>
          </w:tcPr>
          <w:p>
            <w:pPr>
              <w:jc w:val="center"/>
              <w:rPr>
                <w:rFonts w:ascii="Arial" w:hAnsi="Arial" w:cs="Arial"/>
                <w:b/>
                <w:sz w:val="20"/>
                <w:szCs w:val="22"/>
              </w:rPr>
            </w:pPr>
            <w:r>
              <w:rPr>
                <w:rFonts w:ascii="Arial" w:hAnsi="Arial" w:cs="Arial"/>
                <w:b/>
                <w:sz w:val="20"/>
                <w:szCs w:val="22"/>
              </w:rPr>
              <w:t>付款方</w:t>
            </w:r>
          </w:p>
        </w:tc>
        <w:tc>
          <w:tcPr>
            <w:tcW w:w="2100" w:type="dxa"/>
            <w:vAlign w:val="center"/>
          </w:tcPr>
          <w:p>
            <w:pPr>
              <w:jc w:val="center"/>
              <w:rPr>
                <w:rFonts w:ascii="Arial" w:hAnsi="Arial" w:cs="Arial"/>
                <w:b/>
                <w:sz w:val="20"/>
                <w:szCs w:val="22"/>
              </w:rPr>
            </w:pPr>
            <w:r>
              <w:rPr>
                <w:rFonts w:ascii="Arial" w:hAnsi="Arial" w:cs="Arial"/>
                <w:b/>
                <w:sz w:val="20"/>
                <w:szCs w:val="22"/>
              </w:rPr>
              <w:t>资金用途</w:t>
            </w:r>
          </w:p>
        </w:tc>
        <w:tc>
          <w:tcPr>
            <w:tcW w:w="1740" w:type="dxa"/>
            <w:vAlign w:val="center"/>
          </w:tcPr>
          <w:p>
            <w:pPr>
              <w:jc w:val="center"/>
              <w:rPr>
                <w:rFonts w:ascii="Arial" w:hAnsi="Arial" w:cs="Arial"/>
                <w:b/>
                <w:sz w:val="20"/>
                <w:szCs w:val="22"/>
              </w:rPr>
            </w:pPr>
            <w:r>
              <w:rPr>
                <w:rFonts w:ascii="Arial" w:hAnsi="Arial" w:cs="Arial"/>
                <w:b/>
                <w:sz w:val="20"/>
                <w:szCs w:val="22"/>
              </w:rPr>
              <w:t>金额</w:t>
            </w:r>
          </w:p>
        </w:tc>
        <w:tc>
          <w:tcPr>
            <w:tcW w:w="1936" w:type="dxa"/>
            <w:vAlign w:val="center"/>
          </w:tcPr>
          <w:p>
            <w:pPr>
              <w:jc w:val="center"/>
              <w:rPr>
                <w:rFonts w:ascii="Arial" w:hAnsi="Arial" w:cs="Arial"/>
                <w:b/>
                <w:sz w:val="20"/>
                <w:szCs w:val="22"/>
              </w:rPr>
            </w:pPr>
            <w:r>
              <w:rPr>
                <w:rFonts w:ascii="Arial" w:hAnsi="Arial" w:cs="Arial"/>
                <w:b/>
                <w:sz w:val="20"/>
                <w:szCs w:val="22"/>
              </w:rPr>
              <w:t>付款时间</w:t>
            </w:r>
          </w:p>
        </w:tc>
        <w:tc>
          <w:tcPr>
            <w:tcW w:w="1172" w:type="dxa"/>
            <w:vAlign w:val="center"/>
          </w:tcPr>
          <w:p>
            <w:pPr>
              <w:jc w:val="center"/>
              <w:rPr>
                <w:rFonts w:ascii="Arial" w:hAnsi="Arial" w:cs="Arial"/>
                <w:b/>
                <w:sz w:val="20"/>
                <w:szCs w:val="22"/>
              </w:rPr>
            </w:pPr>
            <w:r>
              <w:rPr>
                <w:rFonts w:ascii="Arial" w:hAnsi="Arial" w:cs="Arial"/>
                <w:b/>
                <w:sz w:val="20"/>
                <w:szCs w:val="22"/>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青岛航明投资合伙企业（有限合伙）</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投资款</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6,930,000.00 </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2021/1/8</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宁波奉化盛溪置业有限公司</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往来款</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1,600,000.00 </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2021/1/15</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青岛航明投资合伙企业（有限合伙）</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投资款</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4,250,000.00 </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2021/1/15</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4</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宁波奉化盛溪置业有限公司</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往来款</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6,110,000.00 </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2021/1/21</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8" w:type="dxa"/>
            <w:vAlign w:val="center"/>
          </w:tcPr>
          <w:p>
            <w:pPr>
              <w:jc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5</w:t>
            </w:r>
          </w:p>
        </w:tc>
        <w:tc>
          <w:tcPr>
            <w:tcW w:w="1559"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青岛航明投资合伙企业（有限合伙）</w:t>
            </w:r>
          </w:p>
        </w:tc>
        <w:tc>
          <w:tcPr>
            <w:tcW w:w="210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投资款</w:t>
            </w:r>
          </w:p>
        </w:tc>
        <w:tc>
          <w:tcPr>
            <w:tcW w:w="1740"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 xml:space="preserve">14,360,000.00 </w:t>
            </w:r>
          </w:p>
        </w:tc>
        <w:tc>
          <w:tcPr>
            <w:tcW w:w="193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2021/1/21</w:t>
            </w:r>
          </w:p>
        </w:tc>
        <w:tc>
          <w:tcPr>
            <w:tcW w:w="1172"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17"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108" w:type="dxa"/>
            <w:gridSpan w:val="2"/>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33,250,000.00</w:t>
            </w:r>
          </w:p>
        </w:tc>
      </w:tr>
    </w:tbl>
    <w:p>
      <w:pPr>
        <w:rPr>
          <w:rFonts w:ascii="Arial" w:hAnsi="Arial" w:cs="Arial"/>
          <w:sz w:val="24"/>
        </w:rPr>
      </w:pPr>
      <w:bookmarkStart w:id="424" w:name="_Toc14659"/>
      <w:bookmarkStart w:id="425" w:name="_Toc24345"/>
      <w:bookmarkStart w:id="426" w:name="_Toc20088"/>
      <w:bookmarkStart w:id="427" w:name="_Toc5640"/>
      <w:bookmarkStart w:id="428" w:name="_Toc253"/>
      <w:bookmarkStart w:id="429" w:name="_Toc8940"/>
      <w:bookmarkStart w:id="430" w:name="_Toc798"/>
      <w:bookmarkStart w:id="431" w:name="_Toc6152"/>
      <w:bookmarkStart w:id="432" w:name="_Toc15854"/>
      <w:bookmarkStart w:id="433" w:name="_Toc29613"/>
      <w:bookmarkStart w:id="434" w:name="_Toc535508646"/>
      <w:bookmarkStart w:id="435" w:name="_Toc535580033"/>
      <w:bookmarkStart w:id="436" w:name="_Toc535570760"/>
      <w:bookmarkStart w:id="437" w:name="_Toc532281664"/>
      <w:bookmarkStart w:id="438" w:name="_Toc45217883"/>
      <w:bookmarkStart w:id="439" w:name="_Toc535580101"/>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440" w:name="_Toc19842"/>
      <w:bookmarkStart w:id="441" w:name="_Toc23483"/>
      <w:bookmarkStart w:id="442" w:name="_Toc18760"/>
      <w:bookmarkStart w:id="443" w:name="_Toc18844"/>
      <w:bookmarkStart w:id="444" w:name="_Toc10218"/>
      <w:bookmarkStart w:id="445" w:name="_Toc32349"/>
      <w:bookmarkStart w:id="446" w:name="_Toc8253"/>
      <w:bookmarkStart w:id="447" w:name="_Toc17010"/>
      <w:r>
        <w:rPr>
          <w:rFonts w:hint="default" w:ascii="Arial" w:hAnsi="Arial" w:eastAsia="宋体" w:cs="Arial"/>
          <w:sz w:val="24"/>
        </w:rPr>
        <w:t>6.3各类保证金情况</w:t>
      </w:r>
      <w:bookmarkEnd w:id="440"/>
      <w:bookmarkEnd w:id="441"/>
      <w:bookmarkEnd w:id="442"/>
      <w:bookmarkEnd w:id="443"/>
      <w:bookmarkEnd w:id="444"/>
      <w:bookmarkEnd w:id="445"/>
      <w:bookmarkEnd w:id="446"/>
      <w:bookmarkEnd w:id="447"/>
    </w:p>
    <w:p>
      <w:pPr>
        <w:spacing w:line="360" w:lineRule="auto"/>
        <w:ind w:firstLine="420" w:firstLineChars="200"/>
        <w:rPr>
          <w:rFonts w:ascii="Arial" w:hAnsi="Arial" w:cs="Arial"/>
          <w:szCs w:val="21"/>
        </w:rPr>
      </w:pPr>
      <w:r>
        <w:rPr>
          <w:rFonts w:ascii="Arial" w:hAnsi="Arial" w:cs="Arial"/>
          <w:szCs w:val="21"/>
        </w:rPr>
        <w:t>截至到202</w:t>
      </w:r>
      <w:r>
        <w:rPr>
          <w:rFonts w:hint="eastAsia" w:ascii="Arial" w:hAnsi="Arial" w:cs="Arial"/>
          <w:szCs w:val="21"/>
          <w:lang w:val="en-US" w:eastAsia="zh-CN"/>
        </w:rPr>
        <w:t>1</w:t>
      </w:r>
      <w:r>
        <w:rPr>
          <w:rFonts w:ascii="Arial" w:hAnsi="Arial" w:cs="Arial"/>
          <w:szCs w:val="21"/>
        </w:rPr>
        <w:t>年1月</w:t>
      </w:r>
      <w:r>
        <w:rPr>
          <w:rFonts w:hint="eastAsia" w:ascii="Arial" w:hAnsi="Arial" w:cs="Arial"/>
          <w:szCs w:val="21"/>
          <w:lang w:val="en-US" w:eastAsia="zh-CN"/>
        </w:rPr>
        <w:t>31</w:t>
      </w:r>
      <w:r>
        <w:rPr>
          <w:rFonts w:ascii="Arial" w:hAnsi="Arial" w:cs="Arial"/>
          <w:szCs w:val="21"/>
        </w:rPr>
        <w:t>日，项目公司共收取保证金45,283.25元,无退还。该资金的具体情况如下：</w:t>
      </w:r>
    </w:p>
    <w:p>
      <w:pPr>
        <w:rPr>
          <w:rFonts w:ascii="Arial" w:hAnsi="Arial" w:cs="Arial"/>
          <w:sz w:val="24"/>
        </w:rPr>
      </w:pPr>
    </w:p>
    <w:p>
      <w:pPr>
        <w:rPr>
          <w:rFonts w:ascii="Arial" w:hAnsi="Arial" w:cs="Arial"/>
          <w:sz w:val="24"/>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b/>
                <w:bCs/>
                <w:sz w:val="18"/>
                <w:szCs w:val="18"/>
              </w:rPr>
            </w:pPr>
            <w:r>
              <w:rPr>
                <w:rFonts w:ascii="Arial" w:hAnsi="Arial" w:cs="Arial"/>
                <w:b/>
                <w:bCs/>
                <w:sz w:val="18"/>
                <w:szCs w:val="18"/>
              </w:rPr>
              <w:t>保证金明细</w:t>
            </w:r>
          </w:p>
        </w:tc>
        <w:tc>
          <w:tcPr>
            <w:tcW w:w="1937" w:type="dxa"/>
            <w:vAlign w:val="center"/>
          </w:tcPr>
          <w:p>
            <w:pPr>
              <w:jc w:val="center"/>
              <w:rPr>
                <w:rFonts w:ascii="Arial" w:hAnsi="Arial" w:cs="Arial"/>
                <w:b/>
                <w:bCs/>
                <w:sz w:val="18"/>
                <w:szCs w:val="18"/>
              </w:rPr>
            </w:pPr>
            <w:r>
              <w:rPr>
                <w:rFonts w:ascii="Arial" w:hAnsi="Arial" w:cs="Arial"/>
                <w:b/>
                <w:bCs/>
                <w:sz w:val="18"/>
                <w:szCs w:val="18"/>
              </w:rPr>
              <w:t>收款金额（元）</w:t>
            </w:r>
          </w:p>
        </w:tc>
        <w:tc>
          <w:tcPr>
            <w:tcW w:w="1745" w:type="dxa"/>
            <w:vAlign w:val="center"/>
          </w:tcPr>
          <w:p>
            <w:pPr>
              <w:jc w:val="center"/>
              <w:rPr>
                <w:rFonts w:ascii="Arial" w:hAnsi="Arial" w:cs="Arial"/>
                <w:b/>
                <w:bCs/>
                <w:sz w:val="18"/>
                <w:szCs w:val="18"/>
              </w:rPr>
            </w:pPr>
            <w:r>
              <w:rPr>
                <w:rFonts w:ascii="Arial" w:hAnsi="Arial" w:cs="Arial"/>
                <w:b/>
                <w:bCs/>
                <w:sz w:val="18"/>
                <w:szCs w:val="18"/>
              </w:rPr>
              <w:t>退还金额（元）</w:t>
            </w:r>
          </w:p>
        </w:tc>
        <w:tc>
          <w:tcPr>
            <w:tcW w:w="1405" w:type="dxa"/>
            <w:vAlign w:val="center"/>
          </w:tcPr>
          <w:p>
            <w:pPr>
              <w:jc w:val="center"/>
              <w:rPr>
                <w:rFonts w:ascii="Arial" w:hAnsi="Arial" w:cs="Arial"/>
                <w:b/>
                <w:bCs/>
                <w:sz w:val="18"/>
                <w:szCs w:val="18"/>
              </w:rPr>
            </w:pPr>
            <w:r>
              <w:rPr>
                <w:rFonts w:ascii="Arial" w:hAnsi="Arial" w:cs="Arial"/>
                <w:b/>
                <w:bCs/>
                <w:sz w:val="18"/>
                <w:szCs w:val="18"/>
              </w:rPr>
              <w:t>入账日期</w:t>
            </w:r>
          </w:p>
        </w:tc>
        <w:tc>
          <w:tcPr>
            <w:tcW w:w="1349" w:type="dxa"/>
            <w:vAlign w:val="center"/>
          </w:tcPr>
          <w:p>
            <w:pPr>
              <w:jc w:val="center"/>
              <w:rPr>
                <w:rFonts w:ascii="Arial" w:hAnsi="Arial" w:cs="Arial"/>
                <w:b/>
                <w:bCs/>
                <w:sz w:val="18"/>
                <w:szCs w:val="18"/>
              </w:rPr>
            </w:pPr>
            <w:r>
              <w:rPr>
                <w:rFonts w:ascii="Arial" w:hAnsi="Arial" w:cs="Arial"/>
                <w:b/>
                <w:bCs/>
                <w:sz w:val="18"/>
                <w:szCs w:val="18"/>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sz w:val="18"/>
                <w:szCs w:val="18"/>
              </w:rPr>
            </w:pPr>
            <w:r>
              <w:rPr>
                <w:rFonts w:ascii="Arial" w:hAnsi="Arial" w:cs="Arial"/>
                <w:sz w:val="18"/>
                <w:szCs w:val="18"/>
              </w:rPr>
              <w:t>人防监理项目履约保证金</w:t>
            </w:r>
          </w:p>
        </w:tc>
        <w:tc>
          <w:tcPr>
            <w:tcW w:w="1937" w:type="dxa"/>
            <w:vAlign w:val="bottom"/>
          </w:tcPr>
          <w:p>
            <w:pPr>
              <w:jc w:val="center"/>
              <w:rPr>
                <w:rFonts w:ascii="Arial" w:hAnsi="Arial" w:cs="Arial"/>
                <w:sz w:val="18"/>
                <w:szCs w:val="18"/>
              </w:rPr>
            </w:pPr>
            <w:r>
              <w:rPr>
                <w:rFonts w:ascii="Arial" w:hAnsi="Arial" w:cs="Arial"/>
                <w:sz w:val="18"/>
                <w:szCs w:val="18"/>
              </w:rPr>
              <w:t>2,840.38</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sz w:val="18"/>
                <w:szCs w:val="18"/>
              </w:rPr>
            </w:pPr>
            <w:r>
              <w:rPr>
                <w:rFonts w:ascii="Arial" w:hAnsi="Arial" w:cs="Arial"/>
                <w:sz w:val="18"/>
                <w:szCs w:val="18"/>
              </w:rPr>
              <w:t>勘察履约保证金</w:t>
            </w:r>
          </w:p>
        </w:tc>
        <w:tc>
          <w:tcPr>
            <w:tcW w:w="1937" w:type="dxa"/>
            <w:vAlign w:val="bottom"/>
          </w:tcPr>
          <w:p>
            <w:pPr>
              <w:jc w:val="center"/>
              <w:rPr>
                <w:rFonts w:ascii="Arial" w:hAnsi="Arial" w:cs="Arial"/>
                <w:sz w:val="18"/>
                <w:szCs w:val="18"/>
              </w:rPr>
            </w:pPr>
            <w:r>
              <w:rPr>
                <w:rFonts w:ascii="Arial" w:hAnsi="Arial" w:cs="Arial"/>
                <w:sz w:val="18"/>
                <w:szCs w:val="18"/>
              </w:rPr>
              <w:t>18,224.50</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sz w:val="18"/>
                <w:szCs w:val="18"/>
              </w:rPr>
            </w:pPr>
            <w:r>
              <w:rPr>
                <w:rFonts w:ascii="Arial" w:hAnsi="Arial" w:cs="Arial"/>
                <w:sz w:val="18"/>
                <w:szCs w:val="18"/>
              </w:rPr>
              <w:t>监测履约保证金</w:t>
            </w:r>
          </w:p>
        </w:tc>
        <w:tc>
          <w:tcPr>
            <w:tcW w:w="1937" w:type="dxa"/>
            <w:vAlign w:val="bottom"/>
          </w:tcPr>
          <w:p>
            <w:pPr>
              <w:jc w:val="center"/>
              <w:rPr>
                <w:rFonts w:ascii="Arial" w:hAnsi="Arial" w:cs="Arial"/>
                <w:sz w:val="18"/>
                <w:szCs w:val="18"/>
              </w:rPr>
            </w:pPr>
            <w:r>
              <w:rPr>
                <w:rFonts w:ascii="Arial" w:hAnsi="Arial" w:cs="Arial"/>
                <w:sz w:val="18"/>
                <w:szCs w:val="18"/>
              </w:rPr>
              <w:t>6,404.52</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sz w:val="18"/>
                <w:szCs w:val="18"/>
              </w:rPr>
            </w:pPr>
            <w:r>
              <w:rPr>
                <w:rFonts w:ascii="Arial" w:hAnsi="Arial" w:cs="Arial"/>
                <w:sz w:val="18"/>
                <w:szCs w:val="18"/>
              </w:rPr>
              <w:t>履约保证金</w:t>
            </w:r>
          </w:p>
        </w:tc>
        <w:tc>
          <w:tcPr>
            <w:tcW w:w="1937" w:type="dxa"/>
            <w:vAlign w:val="bottom"/>
          </w:tcPr>
          <w:p>
            <w:pPr>
              <w:jc w:val="center"/>
              <w:rPr>
                <w:rFonts w:ascii="Arial" w:hAnsi="Arial" w:cs="Arial"/>
                <w:sz w:val="18"/>
                <w:szCs w:val="18"/>
              </w:rPr>
            </w:pPr>
            <w:r>
              <w:rPr>
                <w:rFonts w:ascii="Arial" w:hAnsi="Arial" w:cs="Arial"/>
                <w:sz w:val="18"/>
                <w:szCs w:val="18"/>
              </w:rPr>
              <w:t>17,813.85</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2020/9/8</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sz w:val="18"/>
                <w:szCs w:val="18"/>
              </w:rPr>
            </w:pPr>
            <w:r>
              <w:rPr>
                <w:rFonts w:ascii="Arial" w:hAnsi="Arial" w:cs="Arial"/>
                <w:sz w:val="18"/>
                <w:szCs w:val="18"/>
              </w:rPr>
              <w:t>合计</w:t>
            </w:r>
          </w:p>
        </w:tc>
        <w:tc>
          <w:tcPr>
            <w:tcW w:w="1937" w:type="dxa"/>
            <w:vAlign w:val="bottom"/>
          </w:tcPr>
          <w:p>
            <w:pPr>
              <w:widowControl/>
              <w:jc w:val="center"/>
              <w:textAlignment w:val="bottom"/>
              <w:rPr>
                <w:rFonts w:ascii="Arial" w:hAnsi="Arial" w:cs="Arial"/>
                <w:b/>
                <w:color w:val="000000"/>
                <w:sz w:val="20"/>
                <w:szCs w:val="20"/>
              </w:rPr>
            </w:pPr>
            <w:r>
              <w:rPr>
                <w:rFonts w:ascii="Arial" w:hAnsi="Arial" w:cs="Arial"/>
                <w:sz w:val="18"/>
                <w:szCs w:val="18"/>
              </w:rPr>
              <w:t>45,283.25</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2754" w:type="dxa"/>
            <w:gridSpan w:val="2"/>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077" w:type="dxa"/>
            <w:vAlign w:val="center"/>
          </w:tcPr>
          <w:p>
            <w:pPr>
              <w:jc w:val="center"/>
              <w:rPr>
                <w:rFonts w:ascii="Arial" w:hAnsi="Arial" w:cs="Arial"/>
                <w:b/>
                <w:bCs/>
                <w:sz w:val="18"/>
                <w:szCs w:val="18"/>
              </w:rPr>
            </w:pPr>
            <w:r>
              <w:rPr>
                <w:rFonts w:ascii="Arial" w:hAnsi="Arial" w:cs="Arial"/>
                <w:b/>
                <w:bCs/>
                <w:color w:val="000000"/>
                <w:kern w:val="0"/>
                <w:sz w:val="18"/>
                <w:szCs w:val="18"/>
              </w:rPr>
              <w:t>保证金余额</w:t>
            </w:r>
          </w:p>
        </w:tc>
        <w:tc>
          <w:tcPr>
            <w:tcW w:w="1937" w:type="dxa"/>
            <w:vAlign w:val="center"/>
          </w:tcPr>
          <w:p>
            <w:pPr>
              <w:jc w:val="center"/>
              <w:rPr>
                <w:rFonts w:ascii="Arial" w:hAnsi="Arial" w:cs="Arial"/>
                <w:b/>
                <w:bCs/>
                <w:sz w:val="24"/>
              </w:rPr>
            </w:pPr>
            <w:r>
              <w:rPr>
                <w:rFonts w:ascii="Arial" w:hAnsi="Arial" w:cs="Arial"/>
                <w:b/>
                <w:bCs/>
                <w:color w:val="000000"/>
                <w:kern w:val="0"/>
                <w:sz w:val="18"/>
                <w:szCs w:val="18"/>
                <w:lang w:bidi="ar"/>
              </w:rPr>
              <w:t>45,283.25</w:t>
            </w:r>
          </w:p>
        </w:tc>
        <w:tc>
          <w:tcPr>
            <w:tcW w:w="1745" w:type="dxa"/>
            <w:vAlign w:val="center"/>
          </w:tcPr>
          <w:p>
            <w:pPr>
              <w:jc w:val="center"/>
              <w:rPr>
                <w:rFonts w:ascii="Arial" w:hAnsi="Arial" w:cs="Arial"/>
                <w:b/>
                <w:bCs/>
                <w:color w:val="000000"/>
                <w:kern w:val="0"/>
                <w:sz w:val="18"/>
                <w:szCs w:val="18"/>
                <w:lang w:bidi="ar"/>
              </w:rPr>
            </w:pPr>
            <w:r>
              <w:rPr>
                <w:rFonts w:ascii="Arial" w:hAnsi="Arial" w:cs="Arial"/>
                <w:color w:val="000000"/>
                <w:kern w:val="0"/>
                <w:sz w:val="18"/>
                <w:szCs w:val="18"/>
              </w:rPr>
              <w:t>——</w:t>
            </w:r>
          </w:p>
        </w:tc>
        <w:tc>
          <w:tcPr>
            <w:tcW w:w="2754" w:type="dxa"/>
            <w:gridSpan w:val="2"/>
            <w:vAlign w:val="center"/>
          </w:tcPr>
          <w:p>
            <w:pPr>
              <w:jc w:val="center"/>
              <w:rPr>
                <w:rFonts w:ascii="Arial" w:hAnsi="Arial" w:cs="Arial"/>
                <w:b/>
                <w:bCs/>
                <w:sz w:val="24"/>
              </w:rPr>
            </w:pPr>
            <w:r>
              <w:rPr>
                <w:rFonts w:ascii="Arial" w:hAnsi="Arial" w:cs="Arial"/>
                <w:color w:val="000000"/>
                <w:kern w:val="0"/>
                <w:sz w:val="18"/>
                <w:szCs w:val="18"/>
              </w:rPr>
              <w:t>——</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448" w:name="_Toc6251"/>
      <w:bookmarkStart w:id="449" w:name="_Toc8059"/>
      <w:bookmarkStart w:id="450" w:name="_Toc4806"/>
      <w:bookmarkStart w:id="451" w:name="_Toc10864"/>
      <w:bookmarkStart w:id="452" w:name="_Toc14227"/>
      <w:bookmarkStart w:id="453" w:name="_Toc22479"/>
      <w:bookmarkStart w:id="454" w:name="_Toc12305"/>
      <w:bookmarkStart w:id="455" w:name="_Toc14810"/>
      <w:bookmarkStart w:id="456" w:name="_Toc8358"/>
      <w:bookmarkStart w:id="457" w:name="_Toc9635"/>
      <w:bookmarkStart w:id="458" w:name="_Toc12807"/>
      <w:bookmarkStart w:id="459" w:name="_Toc23006"/>
      <w:bookmarkStart w:id="460" w:name="_Toc26359"/>
      <w:bookmarkStart w:id="461" w:name="_Toc8246"/>
      <w:bookmarkStart w:id="462" w:name="_Toc17908"/>
      <w:bookmarkStart w:id="463" w:name="_Toc9186"/>
      <w:r>
        <w:rPr>
          <w:rFonts w:hint="default" w:ascii="Arial" w:hAnsi="Arial" w:eastAsia="宋体" w:cs="Arial"/>
          <w:sz w:val="24"/>
        </w:rPr>
        <w:t>6.4各银行账户余额</w:t>
      </w:r>
      <w:bookmarkEnd w:id="424"/>
      <w:bookmarkEnd w:id="425"/>
      <w:bookmarkEnd w:id="426"/>
      <w:bookmarkEnd w:id="427"/>
      <w:bookmarkEnd w:id="428"/>
      <w:bookmarkEnd w:id="429"/>
      <w:bookmarkEnd w:id="430"/>
      <w:bookmarkEnd w:id="431"/>
      <w:bookmarkEnd w:id="432"/>
      <w:bookmarkEnd w:id="433"/>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pPr>
        <w:spacing w:line="480" w:lineRule="auto"/>
        <w:ind w:firstLine="420" w:firstLineChars="200"/>
        <w:jc w:val="left"/>
        <w:rPr>
          <w:rFonts w:ascii="Arial" w:hAnsi="Arial" w:cs="Arial"/>
          <w:b/>
          <w:color w:val="000000"/>
          <w:sz w:val="24"/>
        </w:rPr>
      </w:pPr>
      <w:r>
        <w:rPr>
          <w:rFonts w:ascii="Arial" w:hAnsi="Arial" w:cs="Arial"/>
          <w:szCs w:val="21"/>
        </w:rPr>
        <w:t>根据项目公司提供的银行流水，截至202</w:t>
      </w:r>
      <w:r>
        <w:rPr>
          <w:rFonts w:hint="eastAsia" w:ascii="Arial" w:hAnsi="Arial" w:cs="Arial"/>
          <w:szCs w:val="21"/>
          <w:lang w:val="en-US" w:eastAsia="zh-CN"/>
        </w:rPr>
        <w:t>1</w:t>
      </w:r>
      <w:r>
        <w:rPr>
          <w:rFonts w:ascii="Arial" w:hAnsi="Arial" w:cs="Arial"/>
          <w:szCs w:val="21"/>
        </w:rPr>
        <w:t>年1月3</w:t>
      </w:r>
      <w:r>
        <w:rPr>
          <w:rFonts w:hint="eastAsia" w:ascii="Arial" w:hAnsi="Arial" w:cs="Arial"/>
          <w:szCs w:val="21"/>
          <w:lang w:val="en-US" w:eastAsia="zh-CN"/>
        </w:rPr>
        <w:t>1</w:t>
      </w:r>
      <w:r>
        <w:rPr>
          <w:rFonts w:ascii="Arial" w:hAnsi="Arial" w:cs="Arial"/>
          <w:szCs w:val="21"/>
        </w:rPr>
        <w:t>日，项目公司各资金账户余额总计</w:t>
      </w:r>
      <w:r>
        <w:rPr>
          <w:rFonts w:hint="eastAsia" w:ascii="Arial" w:hAnsi="Arial" w:cs="Arial"/>
          <w:szCs w:val="21"/>
        </w:rPr>
        <w:t>39,421,596.51</w:t>
      </w:r>
      <w:r>
        <w:rPr>
          <w:rFonts w:ascii="Arial" w:hAnsi="Arial" w:cs="Arial"/>
          <w:szCs w:val="21"/>
        </w:rPr>
        <w:t>元，各账户余额见下表。</w:t>
      </w:r>
    </w:p>
    <w:p>
      <w:pPr>
        <w:spacing w:line="480" w:lineRule="auto"/>
        <w:ind w:firstLine="482" w:firstLineChars="200"/>
        <w:jc w:val="center"/>
        <w:rPr>
          <w:rFonts w:ascii="Arial" w:hAnsi="Arial" w:cs="Arial"/>
          <w:b/>
          <w:color w:val="000000"/>
          <w:sz w:val="24"/>
        </w:rPr>
      </w:pPr>
      <w:r>
        <w:rPr>
          <w:rFonts w:ascii="Arial" w:hAnsi="Arial" w:cs="Arial"/>
          <w:b/>
          <w:color w:val="000000"/>
          <w:sz w:val="24"/>
        </w:rPr>
        <w:t>截至202</w:t>
      </w:r>
      <w:r>
        <w:rPr>
          <w:rFonts w:hint="eastAsia" w:ascii="Arial" w:hAnsi="Arial" w:cs="Arial"/>
          <w:b/>
          <w:color w:val="000000"/>
          <w:sz w:val="24"/>
          <w:lang w:val="en-US" w:eastAsia="zh-CN"/>
        </w:rPr>
        <w:t>1</w:t>
      </w:r>
      <w:r>
        <w:rPr>
          <w:rFonts w:ascii="Arial" w:hAnsi="Arial" w:cs="Arial"/>
          <w:b/>
          <w:color w:val="000000"/>
          <w:sz w:val="24"/>
        </w:rPr>
        <w:t>年1月3</w:t>
      </w:r>
      <w:r>
        <w:rPr>
          <w:rFonts w:hint="eastAsia" w:ascii="Arial" w:hAnsi="Arial" w:cs="Arial"/>
          <w:b/>
          <w:color w:val="000000"/>
          <w:sz w:val="24"/>
          <w:lang w:val="en-US" w:eastAsia="zh-CN"/>
        </w:rPr>
        <w:t>1</w:t>
      </w:r>
      <w:r>
        <w:rPr>
          <w:rFonts w:ascii="Arial" w:hAnsi="Arial" w:cs="Arial"/>
          <w:b/>
          <w:color w:val="000000"/>
          <w:sz w:val="24"/>
        </w:rPr>
        <w:t>日项目公司各银行账户余额汇总</w:t>
      </w:r>
    </w:p>
    <w:tbl>
      <w:tblPr>
        <w:tblStyle w:val="18"/>
        <w:tblW w:w="9180"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3408"/>
        <w:gridCol w:w="2613"/>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76"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408"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1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583"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6"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408" w:type="dxa"/>
            <w:noWrap/>
            <w:vAlign w:val="center"/>
          </w:tcPr>
          <w:p>
            <w:pPr>
              <w:jc w:val="center"/>
              <w:rPr>
                <w:rFonts w:ascii="Arial" w:hAnsi="Arial" w:cs="Arial"/>
                <w:color w:val="000000"/>
                <w:sz w:val="24"/>
              </w:rPr>
            </w:pPr>
            <w:r>
              <w:rPr>
                <w:rFonts w:ascii="Arial" w:hAnsi="Arial" w:cs="Arial"/>
                <w:sz w:val="18"/>
                <w:szCs w:val="18"/>
              </w:rPr>
              <w:t>中国建设银行股份有限公司海盐支行</w:t>
            </w:r>
          </w:p>
        </w:tc>
        <w:tc>
          <w:tcPr>
            <w:tcW w:w="2613" w:type="dxa"/>
            <w:noWrap/>
            <w:vAlign w:val="center"/>
          </w:tcPr>
          <w:p>
            <w:pPr>
              <w:jc w:val="center"/>
              <w:rPr>
                <w:rFonts w:ascii="Arial" w:hAnsi="Arial" w:cs="Arial"/>
                <w:color w:val="000000"/>
                <w:sz w:val="24"/>
              </w:rPr>
            </w:pPr>
            <w:r>
              <w:rPr>
                <w:rFonts w:ascii="Arial" w:hAnsi="Arial" w:cs="Arial"/>
                <w:sz w:val="18"/>
                <w:szCs w:val="18"/>
              </w:rPr>
              <w:t>33050163712700001027</w:t>
            </w:r>
          </w:p>
        </w:tc>
        <w:tc>
          <w:tcPr>
            <w:tcW w:w="2583" w:type="dxa"/>
            <w:noWrap/>
            <w:vAlign w:val="bottom"/>
          </w:tcPr>
          <w:p>
            <w:pPr>
              <w:jc w:val="center"/>
              <w:rPr>
                <w:rFonts w:ascii="Arial" w:hAnsi="Arial" w:cs="Arial"/>
                <w:sz w:val="18"/>
                <w:szCs w:val="18"/>
                <w:lang w:val="en-US" w:eastAsia="zh-CN"/>
              </w:rPr>
            </w:pPr>
            <w:r>
              <w:rPr>
                <w:rFonts w:hint="default" w:ascii="Arial" w:hAnsi="Arial" w:cs="Arial"/>
                <w:sz w:val="18"/>
                <w:szCs w:val="18"/>
                <w:lang w:val="en-US" w:eastAsia="zh-CN"/>
              </w:rPr>
              <w:t>3,599,712.37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6" w:type="dxa"/>
            <w:noWrap/>
            <w:vAlign w:val="center"/>
          </w:tcPr>
          <w:p>
            <w:pPr>
              <w:jc w:val="center"/>
              <w:rPr>
                <w:rFonts w:ascii="Arial" w:hAnsi="Arial" w:cs="Arial"/>
                <w:color w:val="000000"/>
                <w:sz w:val="18"/>
                <w:szCs w:val="15"/>
              </w:rPr>
            </w:pPr>
            <w:r>
              <w:rPr>
                <w:rFonts w:ascii="Arial" w:hAnsi="Arial" w:cs="Arial"/>
                <w:color w:val="000000"/>
                <w:sz w:val="18"/>
                <w:szCs w:val="15"/>
              </w:rPr>
              <w:t>2</w:t>
            </w:r>
          </w:p>
        </w:tc>
        <w:tc>
          <w:tcPr>
            <w:tcW w:w="3408" w:type="dxa"/>
            <w:noWrap/>
            <w:vAlign w:val="center"/>
          </w:tcPr>
          <w:p>
            <w:pPr>
              <w:jc w:val="center"/>
              <w:rPr>
                <w:rFonts w:ascii="Arial" w:hAnsi="Arial" w:cs="Arial"/>
                <w:sz w:val="18"/>
                <w:szCs w:val="18"/>
                <w:lang w:bidi="ar"/>
              </w:rPr>
            </w:pPr>
            <w:r>
              <w:rPr>
                <w:rFonts w:ascii="Arial" w:hAnsi="Arial" w:cs="Arial"/>
                <w:sz w:val="18"/>
                <w:szCs w:val="18"/>
              </w:rPr>
              <w:t>中国银行股份有限公司海盐支行</w:t>
            </w:r>
          </w:p>
        </w:tc>
        <w:tc>
          <w:tcPr>
            <w:tcW w:w="2613" w:type="dxa"/>
            <w:noWrap/>
            <w:vAlign w:val="center"/>
          </w:tcPr>
          <w:p>
            <w:pPr>
              <w:jc w:val="center"/>
              <w:rPr>
                <w:rFonts w:ascii="Arial" w:hAnsi="Arial" w:cs="Arial"/>
                <w:color w:val="000000"/>
                <w:kern w:val="0"/>
                <w:sz w:val="18"/>
                <w:szCs w:val="18"/>
                <w:lang w:bidi="ar"/>
              </w:rPr>
            </w:pPr>
            <w:r>
              <w:rPr>
                <w:rFonts w:ascii="Arial" w:hAnsi="Arial" w:cs="Arial"/>
                <w:sz w:val="18"/>
                <w:szCs w:val="18"/>
              </w:rPr>
              <w:t>374078228270</w:t>
            </w:r>
          </w:p>
        </w:tc>
        <w:tc>
          <w:tcPr>
            <w:tcW w:w="2583" w:type="dxa"/>
            <w:noWrap/>
            <w:vAlign w:val="bottom"/>
          </w:tcPr>
          <w:p>
            <w:pPr>
              <w:jc w:val="center"/>
              <w:rPr>
                <w:rFonts w:ascii="Arial" w:hAnsi="Arial" w:cs="Arial"/>
                <w:sz w:val="18"/>
                <w:szCs w:val="18"/>
                <w:lang w:val="en-US" w:eastAsia="zh-CN"/>
              </w:rPr>
            </w:pPr>
            <w:r>
              <w:rPr>
                <w:rFonts w:hint="default" w:ascii="Arial" w:hAnsi="Arial" w:cs="Arial"/>
                <w:sz w:val="18"/>
                <w:szCs w:val="18"/>
                <w:lang w:val="en-US" w:eastAsia="zh-CN"/>
              </w:rPr>
              <w:t>3,214.27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6" w:type="dxa"/>
            <w:noWrap/>
            <w:vAlign w:val="center"/>
          </w:tcPr>
          <w:p>
            <w:pPr>
              <w:jc w:val="center"/>
              <w:rPr>
                <w:rFonts w:ascii="Arial" w:hAnsi="Arial" w:cs="Arial"/>
                <w:color w:val="000000"/>
                <w:sz w:val="18"/>
                <w:szCs w:val="15"/>
              </w:rPr>
            </w:pPr>
            <w:r>
              <w:rPr>
                <w:rFonts w:ascii="Arial" w:hAnsi="Arial" w:cs="Arial"/>
                <w:color w:val="000000"/>
                <w:sz w:val="18"/>
                <w:szCs w:val="15"/>
              </w:rPr>
              <w:t>3</w:t>
            </w:r>
          </w:p>
        </w:tc>
        <w:tc>
          <w:tcPr>
            <w:tcW w:w="3408" w:type="dxa"/>
            <w:noWrap/>
            <w:vAlign w:val="center"/>
          </w:tcPr>
          <w:p>
            <w:pPr>
              <w:jc w:val="center"/>
              <w:rPr>
                <w:rFonts w:ascii="Arial" w:hAnsi="Arial" w:cs="Arial"/>
                <w:sz w:val="18"/>
                <w:szCs w:val="18"/>
                <w:lang w:bidi="ar"/>
              </w:rPr>
            </w:pPr>
            <w:r>
              <w:rPr>
                <w:rFonts w:ascii="Arial" w:hAnsi="Arial" w:cs="Arial"/>
                <w:sz w:val="18"/>
                <w:szCs w:val="18"/>
              </w:rPr>
              <w:t>中国农业银行股份有限公司海盐县支行</w:t>
            </w:r>
          </w:p>
        </w:tc>
        <w:tc>
          <w:tcPr>
            <w:tcW w:w="2613" w:type="dxa"/>
            <w:noWrap/>
            <w:vAlign w:val="center"/>
          </w:tcPr>
          <w:p>
            <w:pPr>
              <w:jc w:val="center"/>
              <w:rPr>
                <w:rFonts w:ascii="Arial" w:hAnsi="Arial" w:cs="Arial"/>
                <w:sz w:val="18"/>
                <w:szCs w:val="18"/>
              </w:rPr>
            </w:pPr>
            <w:r>
              <w:rPr>
                <w:rFonts w:ascii="Arial" w:hAnsi="Arial" w:cs="Arial"/>
                <w:sz w:val="18"/>
                <w:szCs w:val="18"/>
              </w:rPr>
              <w:t>10360101040032179</w:t>
            </w:r>
          </w:p>
        </w:tc>
        <w:tc>
          <w:tcPr>
            <w:tcW w:w="2583" w:type="dxa"/>
            <w:noWrap/>
            <w:vAlign w:val="bottom"/>
          </w:tcPr>
          <w:p>
            <w:pPr>
              <w:keepNext w:val="0"/>
              <w:keepLines w:val="0"/>
              <w:widowControl/>
              <w:suppressLineNumbers w:val="0"/>
              <w:jc w:val="center"/>
              <w:textAlignment w:val="bottom"/>
              <w:rPr>
                <w:rFonts w:hint="eastAsia" w:ascii="Arial" w:hAnsi="Arial" w:eastAsia="宋体" w:cs="Arial"/>
                <w:i w:val="0"/>
                <w:color w:val="000000"/>
                <w:kern w:val="2"/>
                <w:sz w:val="20"/>
                <w:szCs w:val="20"/>
                <w:u w:val="none"/>
                <w:lang w:val="en-US" w:eastAsia="zh-CN" w:bidi="ar-SA"/>
              </w:rPr>
            </w:pPr>
            <w:r>
              <w:rPr>
                <w:rFonts w:hint="default" w:ascii="Arial" w:hAnsi="Arial" w:cs="Arial"/>
                <w:sz w:val="18"/>
                <w:szCs w:val="18"/>
                <w:lang w:val="en-US" w:eastAsia="zh-CN"/>
              </w:rPr>
              <w:t>24,501,001.37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6" w:type="dxa"/>
            <w:noWrap/>
            <w:vAlign w:val="center"/>
          </w:tcPr>
          <w:p>
            <w:pPr>
              <w:jc w:val="center"/>
              <w:rPr>
                <w:rFonts w:hint="eastAsia" w:ascii="Arial" w:hAnsi="Arial" w:eastAsia="宋体" w:cs="Arial"/>
                <w:color w:val="000000"/>
                <w:sz w:val="18"/>
                <w:szCs w:val="15"/>
                <w:lang w:val="en-US" w:eastAsia="zh-CN"/>
              </w:rPr>
            </w:pPr>
            <w:r>
              <w:rPr>
                <w:rFonts w:hint="eastAsia" w:ascii="Arial" w:hAnsi="Arial" w:cs="Arial"/>
                <w:color w:val="000000"/>
                <w:sz w:val="18"/>
                <w:szCs w:val="15"/>
                <w:lang w:val="en-US" w:eastAsia="zh-CN"/>
              </w:rPr>
              <w:t>4</w:t>
            </w:r>
          </w:p>
        </w:tc>
        <w:tc>
          <w:tcPr>
            <w:tcW w:w="3408" w:type="dxa"/>
            <w:noWrap/>
            <w:vAlign w:val="center"/>
          </w:tcPr>
          <w:p>
            <w:pPr>
              <w:jc w:val="center"/>
              <w:rPr>
                <w:rFonts w:ascii="Arial" w:hAnsi="Arial" w:cs="Arial"/>
                <w:sz w:val="18"/>
                <w:szCs w:val="18"/>
              </w:rPr>
            </w:pPr>
            <w:r>
              <w:rPr>
                <w:rFonts w:hint="eastAsia" w:ascii="Arial" w:hAnsi="Arial" w:eastAsia="宋体"/>
                <w:color w:val="auto"/>
                <w:sz w:val="18"/>
                <w:szCs w:val="18"/>
              </w:rPr>
              <w:t>中国农业银行股份有限公司海盐县支行</w:t>
            </w:r>
          </w:p>
        </w:tc>
        <w:tc>
          <w:tcPr>
            <w:tcW w:w="2613" w:type="dxa"/>
            <w:noWrap/>
            <w:vAlign w:val="center"/>
          </w:tcPr>
          <w:p>
            <w:pPr>
              <w:jc w:val="center"/>
              <w:rPr>
                <w:rFonts w:ascii="Arial" w:hAnsi="Arial" w:cs="Arial"/>
                <w:sz w:val="18"/>
                <w:szCs w:val="18"/>
              </w:rPr>
            </w:pPr>
            <w:r>
              <w:rPr>
                <w:rFonts w:hint="eastAsia" w:ascii="Arial" w:hAnsi="Arial" w:eastAsia="宋体" w:cs="Arial"/>
                <w:color w:val="auto"/>
                <w:sz w:val="18"/>
                <w:szCs w:val="18"/>
                <w:lang w:val="en-US" w:eastAsia="zh-CN"/>
              </w:rPr>
              <w:t>19360101040038028</w:t>
            </w:r>
          </w:p>
        </w:tc>
        <w:tc>
          <w:tcPr>
            <w:tcW w:w="2583" w:type="dxa"/>
            <w:noWrap/>
            <w:vAlign w:val="bottom"/>
          </w:tcPr>
          <w:p>
            <w:pPr>
              <w:keepNext w:val="0"/>
              <w:keepLines w:val="0"/>
              <w:widowControl/>
              <w:suppressLineNumbers w:val="0"/>
              <w:jc w:val="center"/>
              <w:textAlignment w:val="bottom"/>
              <w:rPr>
                <w:rFonts w:hint="eastAsia" w:ascii="Arial" w:hAnsi="Arial" w:eastAsia="宋体" w:cs="Arial"/>
                <w:i w:val="0"/>
                <w:color w:val="000000"/>
                <w:kern w:val="2"/>
                <w:sz w:val="20"/>
                <w:szCs w:val="20"/>
                <w:u w:val="none"/>
                <w:lang w:val="en-US" w:eastAsia="zh-CN" w:bidi="ar-SA"/>
              </w:rPr>
            </w:pPr>
            <w:r>
              <w:rPr>
                <w:rFonts w:hint="default" w:ascii="Arial" w:hAnsi="Arial" w:cs="Arial"/>
                <w:sz w:val="18"/>
                <w:szCs w:val="18"/>
                <w:lang w:val="en-US" w:eastAsia="zh-CN"/>
              </w:rPr>
              <w:t>11,317,668.50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6" w:type="dxa"/>
            <w:noWrap/>
            <w:vAlign w:val="center"/>
          </w:tcPr>
          <w:p>
            <w:pPr>
              <w:jc w:val="center"/>
              <w:rPr>
                <w:rFonts w:ascii="Arial" w:hAnsi="Arial" w:cs="Arial"/>
                <w:b/>
                <w:color w:val="000000"/>
                <w:sz w:val="18"/>
                <w:szCs w:val="15"/>
              </w:rPr>
            </w:pPr>
          </w:p>
        </w:tc>
        <w:tc>
          <w:tcPr>
            <w:tcW w:w="3408"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1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583" w:type="dxa"/>
            <w:noWrap/>
            <w:vAlign w:val="bottom"/>
          </w:tcPr>
          <w:p>
            <w:pPr>
              <w:widowControl/>
              <w:jc w:val="center"/>
              <w:textAlignment w:val="bottom"/>
              <w:rPr>
                <w:rFonts w:ascii="Arial" w:hAnsi="Arial" w:cs="Arial"/>
                <w:color w:val="000000"/>
                <w:sz w:val="18"/>
                <w:szCs w:val="18"/>
              </w:rPr>
            </w:pPr>
            <w:r>
              <w:rPr>
                <w:rFonts w:hint="eastAsia" w:ascii="Arial" w:hAnsi="Arial" w:cs="Arial"/>
                <w:b/>
                <w:bCs/>
                <w:color w:val="000000"/>
                <w:kern w:val="0"/>
                <w:sz w:val="18"/>
                <w:szCs w:val="18"/>
                <w:lang w:bidi="ar"/>
              </w:rPr>
              <w:t>39,421,596.51</w:t>
            </w:r>
          </w:p>
        </w:tc>
      </w:tr>
    </w:tbl>
    <w:p>
      <w:pPr>
        <w:ind w:firstLine="420" w:firstLineChars="200"/>
        <w:rPr>
          <w:rFonts w:ascii="Arial" w:hAnsi="Arial" w:cs="Arial"/>
          <w:bCs/>
          <w:kern w:val="44"/>
          <w:szCs w:val="21"/>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sz w:val="24"/>
          <w:szCs w:val="24"/>
        </w:rPr>
      </w:pPr>
      <w:bookmarkStart w:id="464" w:name="_Toc4564"/>
      <w:bookmarkStart w:id="465" w:name="_Toc14795"/>
      <w:bookmarkStart w:id="466" w:name="_Toc23061"/>
      <w:bookmarkStart w:id="467" w:name="_Toc8867"/>
      <w:bookmarkStart w:id="468" w:name="_Toc100"/>
      <w:bookmarkStart w:id="469" w:name="_Toc8417"/>
      <w:bookmarkStart w:id="470" w:name="_Toc32594"/>
      <w:bookmarkStart w:id="471" w:name="_Toc18260"/>
      <w:bookmarkStart w:id="472" w:name="_Toc334"/>
      <w:bookmarkStart w:id="473" w:name="_Toc11089"/>
      <w:bookmarkStart w:id="474" w:name="_Toc18031"/>
      <w:bookmarkStart w:id="475" w:name="_Toc28705"/>
      <w:bookmarkStart w:id="476" w:name="_Toc12693"/>
      <w:bookmarkStart w:id="477" w:name="_Toc22358"/>
      <w:bookmarkStart w:id="478" w:name="_Toc15728"/>
      <w:bookmarkStart w:id="479" w:name="_Toc7872"/>
      <w:bookmarkStart w:id="480" w:name="_Toc9285"/>
      <w:bookmarkStart w:id="481" w:name="_Toc13697"/>
      <w:bookmarkStart w:id="482" w:name="_Toc2816"/>
      <w:bookmarkStart w:id="483" w:name="_Toc27779"/>
      <w:bookmarkStart w:id="484" w:name="_Toc27863"/>
      <w:bookmarkStart w:id="485" w:name="_Toc704"/>
      <w:bookmarkStart w:id="486" w:name="_Toc18101"/>
      <w:bookmarkStart w:id="487" w:name="_Toc11940"/>
      <w:bookmarkStart w:id="488" w:name="_Toc31576"/>
      <w:bookmarkStart w:id="489" w:name="_Toc22072"/>
      <w:r>
        <w:rPr>
          <w:rFonts w:ascii="Arial" w:hAnsi="Arial" w:cs="Arial"/>
          <w:sz w:val="24"/>
          <w:szCs w:val="24"/>
        </w:rPr>
        <w:t>7项目成本统计</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490" w:name="_Toc19639"/>
      <w:bookmarkStart w:id="491" w:name="_Toc17605"/>
      <w:bookmarkStart w:id="492" w:name="_Toc13627"/>
      <w:bookmarkStart w:id="493" w:name="_Toc5703"/>
      <w:bookmarkStart w:id="494" w:name="_Toc4672"/>
      <w:bookmarkStart w:id="495" w:name="_Toc7696"/>
      <w:bookmarkStart w:id="496" w:name="_Toc30894"/>
      <w:bookmarkStart w:id="497" w:name="_Toc10818"/>
      <w:bookmarkStart w:id="498" w:name="_Toc15407"/>
      <w:bookmarkStart w:id="499" w:name="_Toc6299"/>
      <w:bookmarkStart w:id="500" w:name="_Toc31778"/>
      <w:bookmarkStart w:id="501" w:name="_Toc28506"/>
      <w:bookmarkStart w:id="502" w:name="_Toc9983"/>
      <w:bookmarkStart w:id="503" w:name="_Toc12349"/>
      <w:bookmarkStart w:id="504" w:name="_Toc3669"/>
      <w:bookmarkStart w:id="505" w:name="_Toc31081"/>
      <w:bookmarkStart w:id="506" w:name="_Toc227"/>
      <w:bookmarkStart w:id="507" w:name="_Toc3228"/>
      <w:r>
        <w:rPr>
          <w:rFonts w:eastAsia="宋体" w:cs="Arial"/>
          <w:color w:val="000000"/>
          <w:sz w:val="24"/>
          <w:szCs w:val="24"/>
        </w:rPr>
        <w:t>7.1</w:t>
      </w:r>
      <w:r>
        <w:rPr>
          <w:rFonts w:eastAsia="宋体" w:cs="Arial"/>
          <w:sz w:val="24"/>
        </w:rPr>
        <w:t>资金使用情况统计</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spacing w:line="480" w:lineRule="auto"/>
        <w:ind w:firstLine="420" w:firstLineChars="200"/>
        <w:rPr>
          <w:rFonts w:ascii="Arial" w:hAnsi="Arial" w:cs="Arial"/>
          <w:szCs w:val="21"/>
        </w:rPr>
      </w:pPr>
      <w:r>
        <w:rPr>
          <w:rFonts w:ascii="Arial" w:hAnsi="Arial" w:cs="Arial"/>
          <w:szCs w:val="21"/>
        </w:rPr>
        <w:t>根据信托尽调报告，项目总目标成本119,832.05万元，建面单方成本约15,456.14元/㎡。截至202</w:t>
      </w:r>
      <w:r>
        <w:rPr>
          <w:rFonts w:hint="eastAsia" w:ascii="Arial" w:hAnsi="Arial" w:cs="Arial"/>
          <w:szCs w:val="21"/>
          <w:lang w:val="en-US" w:eastAsia="zh-CN"/>
        </w:rPr>
        <w:t>1</w:t>
      </w:r>
      <w:r>
        <w:rPr>
          <w:rFonts w:ascii="Arial" w:hAnsi="Arial" w:cs="Arial"/>
          <w:szCs w:val="21"/>
        </w:rPr>
        <w:t>年1月3</w:t>
      </w:r>
      <w:r>
        <w:rPr>
          <w:rFonts w:hint="eastAsia" w:ascii="Arial" w:hAnsi="Arial" w:cs="Arial"/>
          <w:szCs w:val="21"/>
          <w:lang w:val="en-US" w:eastAsia="zh-CN"/>
        </w:rPr>
        <w:t>1</w:t>
      </w:r>
      <w:r>
        <w:rPr>
          <w:rFonts w:ascii="Arial" w:hAnsi="Arial" w:cs="Arial"/>
          <w:szCs w:val="21"/>
        </w:rPr>
        <w:t>日，项目已使用资金</w:t>
      </w:r>
      <w:r>
        <w:rPr>
          <w:rFonts w:hint="eastAsia" w:ascii="Arial" w:hAnsi="Arial" w:cs="Arial"/>
          <w:szCs w:val="21"/>
        </w:rPr>
        <w:t>64,782.30</w:t>
      </w:r>
      <w:r>
        <w:rPr>
          <w:rFonts w:ascii="Arial" w:hAnsi="Arial" w:cs="Arial"/>
          <w:szCs w:val="21"/>
        </w:rPr>
        <w:t>万元，其中本期使用</w:t>
      </w:r>
      <w:r>
        <w:rPr>
          <w:rFonts w:hint="eastAsia" w:ascii="Arial" w:hAnsi="Arial" w:cs="Arial"/>
          <w:szCs w:val="21"/>
          <w:lang w:val="en-US" w:eastAsia="zh-CN"/>
        </w:rPr>
        <w:t>5,304.17</w:t>
      </w:r>
      <w:r>
        <w:rPr>
          <w:rFonts w:ascii="Arial" w:hAnsi="Arial" w:cs="Arial"/>
          <w:szCs w:val="21"/>
        </w:rPr>
        <w:t>万元，资金使用汇总情况详见下表：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801"/>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801"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202</w:t>
            </w:r>
            <w:r>
              <w:rPr>
                <w:rFonts w:hint="eastAsia" w:ascii="Arial" w:hAnsi="Arial" w:cs="Arial"/>
                <w:b/>
                <w:bCs/>
                <w:color w:val="000000"/>
                <w:kern w:val="0"/>
                <w:sz w:val="18"/>
                <w:szCs w:val="18"/>
                <w:lang w:val="en-US" w:eastAsia="zh-CN"/>
              </w:rPr>
              <w:t>1</w:t>
            </w:r>
            <w:r>
              <w:rPr>
                <w:rFonts w:ascii="Arial" w:hAnsi="Arial" w:cs="Arial"/>
                <w:b/>
                <w:bCs/>
                <w:color w:val="000000"/>
                <w:kern w:val="0"/>
                <w:sz w:val="18"/>
                <w:szCs w:val="18"/>
              </w:rPr>
              <w:t>年1月份</w:t>
            </w:r>
          </w:p>
          <w:p>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w:t>
            </w:r>
            <w:r>
              <w:rPr>
                <w:rFonts w:hint="eastAsia" w:ascii="Arial" w:hAnsi="Arial" w:cs="Arial"/>
                <w:b/>
                <w:bCs/>
                <w:color w:val="000000"/>
                <w:kern w:val="0"/>
                <w:sz w:val="18"/>
                <w:szCs w:val="18"/>
                <w:lang w:val="en-US" w:eastAsia="zh-CN"/>
              </w:rPr>
              <w:t>1</w:t>
            </w:r>
            <w:r>
              <w:rPr>
                <w:rFonts w:ascii="Arial" w:hAnsi="Arial" w:cs="Arial"/>
                <w:b/>
                <w:bCs/>
                <w:color w:val="000000"/>
                <w:kern w:val="0"/>
                <w:sz w:val="18"/>
                <w:szCs w:val="18"/>
              </w:rPr>
              <w:t>年1月</w:t>
            </w:r>
            <w:r>
              <w:rPr>
                <w:rFonts w:hint="eastAsia" w:ascii="Arial" w:hAnsi="Arial" w:cs="Arial"/>
                <w:b/>
                <w:bCs/>
                <w:color w:val="000000"/>
                <w:kern w:val="0"/>
                <w:sz w:val="18"/>
                <w:szCs w:val="18"/>
                <w:lang w:val="en-US" w:eastAsia="zh-CN"/>
              </w:rPr>
              <w:t>31</w:t>
            </w:r>
            <w:r>
              <w:rPr>
                <w:rFonts w:ascii="Arial" w:hAnsi="Arial" w:cs="Arial"/>
                <w:b/>
                <w:bCs/>
                <w:color w:val="000000"/>
                <w:kern w:val="0"/>
                <w:sz w:val="18"/>
                <w:szCs w:val="18"/>
              </w:rPr>
              <w:t>日累计成本（元）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058" w:type="dxa"/>
            <w:gridSpan w:val="5"/>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一、土地成本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526,616,700.00 </w:t>
            </w:r>
          </w:p>
        </w:tc>
        <w:tc>
          <w:tcPr>
            <w:tcW w:w="2053" w:type="dxa"/>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0.00 </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 xml:space="preserve">525,566,943.90 </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土地成本小计</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526,616,700.00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 xml:space="preserve">525,566,943.90 </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058" w:type="dxa"/>
            <w:gridSpan w:val="5"/>
            <w:noWrap/>
            <w:vAlign w:val="center"/>
          </w:tcPr>
          <w:p>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二、承诺成本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19,990,000.00 </w:t>
            </w:r>
          </w:p>
        </w:tc>
        <w:tc>
          <w:tcPr>
            <w:tcW w:w="2053"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2,127,571.08</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7,079,833.04</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35.42%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344,030,000.00 </w:t>
            </w:r>
          </w:p>
        </w:tc>
        <w:tc>
          <w:tcPr>
            <w:tcW w:w="2053"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49,336,059.05</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107,450,265.73</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31.23%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53,090,000.00 </w:t>
            </w:r>
          </w:p>
        </w:tc>
        <w:tc>
          <w:tcPr>
            <w:tcW w:w="2053" w:type="dxa"/>
            <w:noWrap/>
            <w:vAlign w:val="center"/>
          </w:tcPr>
          <w:p>
            <w:pPr>
              <w:jc w:val="center"/>
              <w:rPr>
                <w:rFonts w:hint="eastAsia" w:ascii="Arial" w:hAnsi="Arial" w:cs="Arial"/>
                <w:color w:val="000000"/>
                <w:kern w:val="0"/>
                <w:sz w:val="18"/>
                <w:szCs w:val="18"/>
                <w:lang w:val="en-US" w:eastAsia="zh-CN" w:bidi="ar"/>
              </w:rPr>
            </w:pPr>
            <w:r>
              <w:rPr>
                <w:rFonts w:ascii="Arial" w:hAnsi="Arial" w:cs="Arial"/>
                <w:color w:val="000000"/>
                <w:kern w:val="0"/>
                <w:sz w:val="18"/>
                <w:szCs w:val="18"/>
                <w:lang w:bidi="ar"/>
              </w:rPr>
              <w:t>0.00</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710,000.00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44,430,000.00 </w:t>
            </w:r>
          </w:p>
        </w:tc>
        <w:tc>
          <w:tcPr>
            <w:tcW w:w="2053" w:type="dxa"/>
            <w:noWrap/>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2,813,888.21</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承诺成本小计</w:t>
            </w:r>
          </w:p>
        </w:tc>
        <w:tc>
          <w:tcPr>
            <w:tcW w:w="1801" w:type="dxa"/>
            <w:noWrap/>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461,540,000.00</w:t>
            </w:r>
          </w:p>
        </w:tc>
        <w:tc>
          <w:tcPr>
            <w:tcW w:w="2053" w:type="dxa"/>
            <w:noWrap/>
            <w:vAlign w:val="center"/>
          </w:tcPr>
          <w:p>
            <w:pPr>
              <w:keepNext w:val="0"/>
              <w:keepLines w:val="0"/>
              <w:widowControl/>
              <w:suppressLineNumbers w:val="0"/>
              <w:jc w:val="center"/>
              <w:textAlignment w:val="center"/>
              <w:rPr>
                <w:rFonts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51,463,630.13</w:t>
            </w:r>
          </w:p>
        </w:tc>
        <w:tc>
          <w:tcPr>
            <w:tcW w:w="2155" w:type="dxa"/>
            <w:noWrap/>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118,053,986.98</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25.58%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058" w:type="dxa"/>
            <w:gridSpan w:val="5"/>
            <w:noWrap/>
            <w:vAlign w:val="center"/>
          </w:tcPr>
          <w:p>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24,750,000.00 </w:t>
            </w:r>
          </w:p>
        </w:tc>
        <w:tc>
          <w:tcPr>
            <w:tcW w:w="2053" w:type="dxa"/>
            <w:noWrap/>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213559.46</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225,977.45</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119,886,900.00 </w:t>
            </w:r>
          </w:p>
        </w:tc>
        <w:tc>
          <w:tcPr>
            <w:tcW w:w="2053" w:type="dxa"/>
            <w:noWrap/>
            <w:vAlign w:val="center"/>
          </w:tcPr>
          <w:p>
            <w:pPr>
              <w:jc w:val="center"/>
              <w:rPr>
                <w:rFonts w:ascii="Arial" w:hAnsi="Arial" w:cs="Arial"/>
                <w:color w:val="000000"/>
                <w:kern w:val="0"/>
                <w:sz w:val="18"/>
                <w:szCs w:val="18"/>
                <w:lang w:bidi="ar"/>
              </w:rPr>
            </w:pP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26,210,800.00 </w:t>
            </w:r>
          </w:p>
        </w:tc>
        <w:tc>
          <w:tcPr>
            <w:tcW w:w="2053" w:type="dxa"/>
            <w:noWrap/>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239,135.46</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711,869.64</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39,316,100.00 </w:t>
            </w:r>
          </w:p>
        </w:tc>
        <w:tc>
          <w:tcPr>
            <w:tcW w:w="2053" w:type="dxa"/>
            <w:noWrap/>
            <w:vAlign w:val="center"/>
          </w:tcPr>
          <w:p>
            <w:pPr>
              <w:keepNext w:val="0"/>
              <w:keepLines w:val="0"/>
              <w:widowControl/>
              <w:suppressLineNumbers w:val="0"/>
              <w:jc w:val="center"/>
              <w:textAlignment w:val="center"/>
              <w:rPr>
                <w:rFonts w:hint="eastAsia" w:ascii="Arial" w:hAnsi="Arial"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1,125,356.54</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3,264,182.77</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期间费用和税费小计</w:t>
            </w:r>
          </w:p>
        </w:tc>
        <w:tc>
          <w:tcPr>
            <w:tcW w:w="1801" w:type="dxa"/>
            <w:noWrap/>
            <w:vAlign w:val="center"/>
          </w:tcPr>
          <w:p>
            <w:pPr>
              <w:keepNext w:val="0"/>
              <w:keepLines w:val="0"/>
              <w:widowControl/>
              <w:suppressLineNumbers w:val="0"/>
              <w:jc w:val="center"/>
              <w:textAlignment w:val="center"/>
              <w:rPr>
                <w:rFonts w:ascii="Arial" w:hAnsi="Arial" w:cs="Arial"/>
                <w:color w:val="000000"/>
                <w:kern w:val="0"/>
                <w:sz w:val="18"/>
                <w:szCs w:val="18"/>
              </w:rPr>
            </w:pPr>
            <w:r>
              <w:rPr>
                <w:rFonts w:hint="default" w:ascii="Arial" w:hAnsi="Arial" w:eastAsia="宋体" w:cs="Arial"/>
                <w:i w:val="0"/>
                <w:color w:val="000000"/>
                <w:kern w:val="0"/>
                <w:sz w:val="18"/>
                <w:szCs w:val="18"/>
                <w:u w:val="none"/>
                <w:lang w:val="en-US" w:eastAsia="zh-CN" w:bidi="ar"/>
              </w:rPr>
              <w:t>210,163,800.00</w:t>
            </w:r>
          </w:p>
        </w:tc>
        <w:tc>
          <w:tcPr>
            <w:tcW w:w="2053"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1,578,051.46</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4,202,029.86</w:t>
            </w:r>
          </w:p>
        </w:tc>
        <w:tc>
          <w:tcPr>
            <w:tcW w:w="1610"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801"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1,198,320,500.00</w:t>
            </w:r>
          </w:p>
        </w:tc>
        <w:tc>
          <w:tcPr>
            <w:tcW w:w="2053" w:type="dxa"/>
            <w:noWrap/>
            <w:vAlign w:val="center"/>
          </w:tcPr>
          <w:p>
            <w:pPr>
              <w:keepNext w:val="0"/>
              <w:keepLines w:val="0"/>
              <w:widowControl/>
              <w:suppressLineNumbers w:val="0"/>
              <w:jc w:val="center"/>
              <w:textAlignment w:val="center"/>
              <w:rPr>
                <w:rFonts w:ascii="Arial" w:hAnsi="Arial" w:cs="Arial"/>
                <w:b/>
                <w:bCs/>
                <w:color w:val="000000"/>
                <w:kern w:val="0"/>
                <w:sz w:val="18"/>
                <w:szCs w:val="18"/>
              </w:rPr>
            </w:pPr>
            <w:r>
              <w:rPr>
                <w:rFonts w:hint="default" w:ascii="Arial" w:hAnsi="Arial" w:eastAsia="宋体" w:cs="Arial"/>
                <w:b/>
                <w:i w:val="0"/>
                <w:color w:val="000000"/>
                <w:kern w:val="0"/>
                <w:sz w:val="18"/>
                <w:szCs w:val="18"/>
                <w:u w:val="none"/>
                <w:lang w:val="en-US" w:eastAsia="zh-CN" w:bidi="ar"/>
              </w:rPr>
              <w:t>53,041,681.59</w:t>
            </w:r>
          </w:p>
        </w:tc>
        <w:tc>
          <w:tcPr>
            <w:tcW w:w="2155" w:type="dxa"/>
            <w:noWrap/>
            <w:vAlign w:val="center"/>
          </w:tcPr>
          <w:p>
            <w:pPr>
              <w:keepNext w:val="0"/>
              <w:keepLines w:val="0"/>
              <w:widowControl/>
              <w:suppressLineNumbers w:val="0"/>
              <w:jc w:val="center"/>
              <w:textAlignment w:val="center"/>
              <w:rPr>
                <w:rFonts w:ascii="Arial" w:hAnsi="Arial" w:cs="Arial"/>
                <w:b/>
                <w:bCs/>
                <w:color w:val="000000"/>
                <w:kern w:val="0"/>
                <w:sz w:val="18"/>
                <w:szCs w:val="18"/>
              </w:rPr>
            </w:pPr>
            <w:r>
              <w:rPr>
                <w:rFonts w:hint="default" w:ascii="Arial" w:hAnsi="Arial" w:eastAsia="宋体" w:cs="Arial"/>
                <w:b/>
                <w:i w:val="0"/>
                <w:color w:val="000000"/>
                <w:kern w:val="0"/>
                <w:sz w:val="18"/>
                <w:szCs w:val="18"/>
                <w:u w:val="none"/>
                <w:lang w:val="en-US" w:eastAsia="zh-CN" w:bidi="ar"/>
              </w:rPr>
              <w:t>647,822,960.74</w:t>
            </w:r>
          </w:p>
        </w:tc>
        <w:tc>
          <w:tcPr>
            <w:tcW w:w="1610" w:type="dxa"/>
            <w:noWrap/>
            <w:vAlign w:val="center"/>
          </w:tcPr>
          <w:p>
            <w:pPr>
              <w:keepNext w:val="0"/>
              <w:keepLines w:val="0"/>
              <w:widowControl/>
              <w:suppressLineNumbers w:val="0"/>
              <w:jc w:val="center"/>
              <w:textAlignment w:val="center"/>
              <w:rPr>
                <w:rFonts w:ascii="Arial" w:hAnsi="Arial" w:cs="Arial"/>
                <w:b/>
                <w:bCs/>
                <w:color w:val="000000"/>
                <w:kern w:val="0"/>
                <w:sz w:val="18"/>
                <w:szCs w:val="18"/>
                <w:lang w:bidi="ar"/>
              </w:rPr>
            </w:pPr>
            <w:r>
              <w:rPr>
                <w:rFonts w:hint="default" w:ascii="Arial" w:hAnsi="Arial" w:eastAsia="宋体" w:cs="Arial"/>
                <w:b/>
                <w:bCs/>
                <w:i w:val="0"/>
                <w:color w:val="000000"/>
                <w:kern w:val="0"/>
                <w:sz w:val="18"/>
                <w:szCs w:val="18"/>
                <w:u w:val="none"/>
                <w:lang w:val="en-US" w:eastAsia="zh-CN" w:bidi="ar"/>
              </w:rPr>
              <w:t>54.06%</w:t>
            </w:r>
          </w:p>
        </w:tc>
      </w:tr>
    </w:tbl>
    <w:p>
      <w:pPr>
        <w:ind w:firstLine="360" w:firstLineChars="200"/>
        <w:jc w:val="left"/>
        <w:rPr>
          <w:rFonts w:ascii="Arial" w:hAnsi="Arial" w:cs="Arial"/>
          <w:bCs/>
          <w:kern w:val="44"/>
          <w:sz w:val="18"/>
          <w:szCs w:val="18"/>
        </w:rPr>
      </w:pPr>
      <w:r>
        <w:rPr>
          <w:rFonts w:ascii="Arial" w:hAnsi="Arial" w:cs="Arial"/>
          <w:sz w:val="18"/>
          <w:szCs w:val="18"/>
        </w:rPr>
        <w:t>注：1、项目公司目标成本</w:t>
      </w:r>
      <w:r>
        <w:rPr>
          <w:rFonts w:ascii="Arial" w:hAnsi="Arial" w:cs="Arial"/>
          <w:bCs/>
          <w:kern w:val="44"/>
          <w:sz w:val="18"/>
          <w:szCs w:val="18"/>
        </w:rPr>
        <w:t>来源于信托尽调报告；</w:t>
      </w:r>
    </w:p>
    <w:p>
      <w:pPr>
        <w:numPr>
          <w:ilvl w:val="0"/>
          <w:numId w:val="3"/>
        </w:numPr>
        <w:ind w:left="986" w:leftChars="341" w:hanging="270" w:hangingChars="150"/>
        <w:jc w:val="left"/>
        <w:rPr>
          <w:rFonts w:ascii="Arial" w:hAnsi="Arial" w:cs="Arial"/>
          <w:bCs/>
          <w:kern w:val="44"/>
          <w:sz w:val="18"/>
          <w:szCs w:val="18"/>
        </w:rPr>
      </w:pPr>
      <w:r>
        <w:rPr>
          <w:rFonts w:ascii="Arial" w:hAnsi="Arial" w:cs="Arial"/>
          <w:bCs/>
          <w:kern w:val="44"/>
          <w:sz w:val="18"/>
          <w:szCs w:val="18"/>
        </w:rPr>
        <w:t>本表金额包含已开出商业承兑汇票金额。</w:t>
      </w:r>
    </w:p>
    <w:p>
      <w:pPr>
        <w:numPr>
          <w:ilvl w:val="0"/>
          <w:numId w:val="3"/>
        </w:numPr>
        <w:ind w:left="986" w:leftChars="341" w:hanging="270" w:hangingChars="150"/>
        <w:rPr>
          <w:rStyle w:val="27"/>
          <w:rFonts w:ascii="Arial" w:hAnsi="Arial" w:cs="Arial"/>
          <w:sz w:val="18"/>
          <w:szCs w:val="18"/>
        </w:rPr>
      </w:pPr>
      <w:r>
        <w:rPr>
          <w:rStyle w:val="27"/>
          <w:rFonts w:ascii="Arial" w:hAnsi="Arial" w:cs="Arial"/>
          <w:sz w:val="18"/>
          <w:szCs w:val="18"/>
        </w:rPr>
        <w:t>累计成本中260,215,301.02元为入场前发生成本，以网银入账信息填列；</w:t>
      </w:r>
    </w:p>
    <w:p>
      <w:pPr>
        <w:numPr>
          <w:ilvl w:val="0"/>
          <w:numId w:val="3"/>
        </w:numPr>
        <w:ind w:left="986" w:leftChars="341" w:hanging="270" w:hangingChars="150"/>
        <w:rPr>
          <w:rStyle w:val="27"/>
          <w:rFonts w:ascii="Arial" w:hAnsi="Arial" w:cs="Arial"/>
          <w:sz w:val="18"/>
          <w:szCs w:val="18"/>
        </w:rPr>
      </w:pPr>
      <w:r>
        <w:rPr>
          <w:rStyle w:val="27"/>
          <w:rFonts w:ascii="Arial" w:hAnsi="Arial" w:cs="Arial"/>
          <w:sz w:val="18"/>
          <w:szCs w:val="18"/>
        </w:rPr>
        <w:t>土地成本中包含由恒大地产集团上海盛建置业有限公司支付的海盐县20-033号地块土拍保证金101,110,000.00元，契税15,438,401.6元，土地滞纳金3,951,442.30元；</w:t>
      </w:r>
    </w:p>
    <w:p>
      <w:pPr>
        <w:numPr>
          <w:ilvl w:val="0"/>
          <w:numId w:val="3"/>
        </w:numPr>
        <w:ind w:left="986" w:leftChars="341" w:hanging="270" w:hangingChars="150"/>
        <w:jc w:val="left"/>
        <w:rPr>
          <w:rFonts w:ascii="Arial" w:hAnsi="Arial" w:cs="Arial"/>
          <w:bCs/>
          <w:kern w:val="44"/>
          <w:sz w:val="18"/>
          <w:szCs w:val="18"/>
        </w:rPr>
      </w:pPr>
      <w:r>
        <w:rPr>
          <w:rStyle w:val="27"/>
          <w:rFonts w:ascii="Arial" w:hAnsi="Arial" w:cs="Arial"/>
          <w:sz w:val="18"/>
          <w:szCs w:val="18"/>
        </w:rPr>
        <w:t>截至1月</w:t>
      </w:r>
      <w:r>
        <w:rPr>
          <w:rStyle w:val="27"/>
          <w:rFonts w:hint="eastAsia" w:ascii="Arial" w:hAnsi="Arial" w:cs="Arial"/>
          <w:sz w:val="18"/>
          <w:szCs w:val="18"/>
          <w:lang w:val="en-US" w:eastAsia="zh-CN"/>
        </w:rPr>
        <w:t>31</w:t>
      </w:r>
      <w:r>
        <w:rPr>
          <w:rStyle w:val="27"/>
          <w:rFonts w:ascii="Arial" w:hAnsi="Arial" w:cs="Arial"/>
          <w:sz w:val="18"/>
          <w:szCs w:val="18"/>
        </w:rPr>
        <w:t>日，偿还上海颖骏投资管理有限公司借款</w:t>
      </w:r>
      <w:r>
        <w:rPr>
          <w:rStyle w:val="27"/>
          <w:rFonts w:hint="eastAsia" w:ascii="Arial" w:hAnsi="Arial" w:cs="Arial"/>
          <w:sz w:val="18"/>
          <w:szCs w:val="18"/>
        </w:rPr>
        <w:t>373,800,000.00</w:t>
      </w:r>
      <w:r>
        <w:rPr>
          <w:rStyle w:val="27"/>
          <w:rFonts w:ascii="Arial" w:hAnsi="Arial" w:cs="Arial"/>
          <w:sz w:val="18"/>
          <w:szCs w:val="18"/>
        </w:rPr>
        <w:t>元，未计入项目成本；</w:t>
      </w:r>
    </w:p>
    <w:p>
      <w:pPr>
        <w:numPr>
          <w:ilvl w:val="255"/>
          <w:numId w:val="0"/>
        </w:numPr>
        <w:ind w:left="401" w:leftChars="191"/>
        <w:rPr>
          <w:rStyle w:val="27"/>
          <w:rFonts w:ascii="Arial" w:hAnsi="Arial" w:cs="Arial"/>
          <w:sz w:val="18"/>
          <w:szCs w:val="18"/>
        </w:rPr>
      </w:pPr>
    </w:p>
    <w:p>
      <w:pPr>
        <w:ind w:left="401" w:leftChars="191"/>
        <w:rPr>
          <w:rStyle w:val="27"/>
          <w:rFonts w:ascii="Arial" w:hAnsi="Arial" w:cs="Arial"/>
          <w:sz w:val="18"/>
          <w:szCs w:val="18"/>
        </w:rPr>
      </w:pP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color w:val="000000"/>
          <w:sz w:val="24"/>
          <w:szCs w:val="24"/>
        </w:rPr>
      </w:pPr>
      <w:bookmarkStart w:id="508" w:name="_Toc6979"/>
      <w:bookmarkStart w:id="509" w:name="_Toc9290"/>
      <w:bookmarkStart w:id="510" w:name="_Toc24068"/>
      <w:bookmarkStart w:id="511" w:name="_Toc11558"/>
      <w:bookmarkStart w:id="512" w:name="_Toc32372"/>
      <w:bookmarkStart w:id="513" w:name="_Toc3531"/>
      <w:bookmarkStart w:id="514" w:name="_Toc6261"/>
      <w:bookmarkStart w:id="515" w:name="_Toc6818"/>
      <w:bookmarkStart w:id="516" w:name="_Toc13482"/>
      <w:bookmarkStart w:id="517" w:name="_Toc28088"/>
      <w:bookmarkStart w:id="518" w:name="_Toc21185"/>
      <w:bookmarkStart w:id="519" w:name="_Toc14088"/>
      <w:bookmarkStart w:id="520" w:name="_Toc12080"/>
      <w:bookmarkStart w:id="521" w:name="_Toc30404"/>
      <w:bookmarkStart w:id="522" w:name="_Toc1768"/>
      <w:bookmarkStart w:id="523" w:name="_Toc6163"/>
      <w:bookmarkStart w:id="524" w:name="_Toc28279"/>
      <w:bookmarkStart w:id="525" w:name="_Toc30221"/>
      <w:r>
        <w:rPr>
          <w:rFonts w:eastAsia="宋体" w:cs="Arial"/>
          <w:color w:val="000000"/>
          <w:sz w:val="24"/>
          <w:szCs w:val="24"/>
        </w:rPr>
        <w:t>7.2合约成本统计</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spacing w:line="480" w:lineRule="auto"/>
        <w:ind w:firstLine="420" w:firstLineChars="200"/>
        <w:rPr>
          <w:rFonts w:ascii="Arial" w:hAnsi="Arial" w:cs="Arial"/>
          <w:szCs w:val="21"/>
        </w:rPr>
      </w:pPr>
      <w:r>
        <w:rPr>
          <w:rFonts w:ascii="Arial" w:hAnsi="Arial" w:cs="Arial"/>
          <w:szCs w:val="21"/>
        </w:rPr>
        <w:t>依据项目公司提供的合同台账，截至202</w:t>
      </w:r>
      <w:r>
        <w:rPr>
          <w:rFonts w:hint="eastAsia" w:ascii="Arial" w:hAnsi="Arial" w:cs="Arial"/>
          <w:szCs w:val="21"/>
          <w:lang w:val="en-US" w:eastAsia="zh-CN"/>
        </w:rPr>
        <w:t>1</w:t>
      </w:r>
      <w:r>
        <w:rPr>
          <w:rFonts w:ascii="Arial" w:hAnsi="Arial" w:cs="Arial"/>
          <w:szCs w:val="21"/>
        </w:rPr>
        <w:t>年1月</w:t>
      </w:r>
      <w:r>
        <w:rPr>
          <w:rFonts w:hint="eastAsia" w:ascii="Arial" w:hAnsi="Arial" w:cs="Arial"/>
          <w:szCs w:val="21"/>
          <w:lang w:val="en-US" w:eastAsia="zh-CN"/>
        </w:rPr>
        <w:t>31</w:t>
      </w:r>
      <w:r>
        <w:rPr>
          <w:rFonts w:ascii="Arial" w:hAnsi="Arial" w:cs="Arial"/>
          <w:szCs w:val="21"/>
        </w:rPr>
        <w:t>日，项目公司已签订合同</w:t>
      </w:r>
      <w:r>
        <w:rPr>
          <w:rFonts w:hint="eastAsia" w:ascii="Arial" w:hAnsi="Arial" w:cs="Arial"/>
          <w:szCs w:val="21"/>
          <w:lang w:val="en-US" w:eastAsia="zh-CN"/>
        </w:rPr>
        <w:t>88</w:t>
      </w:r>
      <w:r>
        <w:rPr>
          <w:rFonts w:ascii="Arial" w:hAnsi="Arial" w:cs="Arial"/>
          <w:szCs w:val="21"/>
        </w:rPr>
        <w:t>份（含土地使用权出让合同变更协议），合同</w:t>
      </w:r>
      <w:r>
        <w:rPr>
          <w:rFonts w:hint="eastAsia" w:ascii="Arial" w:hAnsi="Arial" w:cs="Arial"/>
          <w:szCs w:val="21"/>
          <w:lang w:eastAsia="zh-CN"/>
        </w:rPr>
        <w:t>成本</w:t>
      </w:r>
      <w:r>
        <w:rPr>
          <w:rFonts w:ascii="Arial" w:hAnsi="Arial" w:cs="Arial"/>
          <w:szCs w:val="21"/>
        </w:rPr>
        <w:t>共计</w:t>
      </w:r>
      <w:r>
        <w:rPr>
          <w:rFonts w:hint="eastAsia" w:ascii="Arial" w:hAnsi="Arial" w:cs="Arial"/>
          <w:szCs w:val="21"/>
        </w:rPr>
        <w:t>919,759,926.25</w:t>
      </w:r>
      <w:r>
        <w:rPr>
          <w:rFonts w:ascii="Arial" w:hAnsi="Arial" w:cs="Arial"/>
          <w:szCs w:val="21"/>
        </w:rPr>
        <w:t>元，占目标成本的</w:t>
      </w:r>
      <w:r>
        <w:rPr>
          <w:rFonts w:hint="eastAsia" w:ascii="Arial" w:hAnsi="Arial" w:cs="Arial"/>
          <w:szCs w:val="21"/>
        </w:rPr>
        <w:t>76.</w:t>
      </w:r>
      <w:r>
        <w:rPr>
          <w:rFonts w:hint="eastAsia" w:ascii="Arial" w:hAnsi="Arial" w:cs="Arial"/>
          <w:szCs w:val="21"/>
          <w:lang w:val="en-US" w:eastAsia="zh-CN"/>
        </w:rPr>
        <w:t>75</w:t>
      </w:r>
      <w:r>
        <w:rPr>
          <w:rFonts w:ascii="Arial" w:hAnsi="Arial" w:cs="Arial"/>
          <w:szCs w:val="21"/>
        </w:rPr>
        <w:t>%；依据合同支付</w:t>
      </w:r>
      <w:r>
        <w:rPr>
          <w:rFonts w:hint="eastAsia" w:ascii="Arial" w:hAnsi="Arial" w:cs="Arial"/>
          <w:szCs w:val="21"/>
        </w:rPr>
        <w:t>641,238,313.68</w:t>
      </w:r>
      <w:r>
        <w:rPr>
          <w:rFonts w:ascii="Arial" w:hAnsi="Arial" w:cs="Arial"/>
          <w:szCs w:val="21"/>
          <w:lang w:bidi="ar"/>
        </w:rPr>
        <w:t>元</w:t>
      </w:r>
      <w:r>
        <w:rPr>
          <w:rFonts w:ascii="Arial" w:hAnsi="Arial" w:cs="Arial"/>
          <w:szCs w:val="21"/>
        </w:rPr>
        <w:t>，待支付合同金额</w:t>
      </w:r>
      <w:r>
        <w:rPr>
          <w:rFonts w:hint="eastAsia" w:ascii="Arial" w:hAnsi="Arial" w:cs="Arial"/>
          <w:szCs w:val="21"/>
        </w:rPr>
        <w:t>278,521,612.57</w:t>
      </w:r>
      <w:r>
        <w:rPr>
          <w:rFonts w:ascii="Arial" w:hAnsi="Arial" w:cs="Arial"/>
          <w:szCs w:val="21"/>
        </w:rPr>
        <w:t>元，合同支付情况详见下表：</w:t>
      </w:r>
    </w:p>
    <w:tbl>
      <w:tblPr>
        <w:tblStyle w:val="18"/>
        <w:tblW w:w="9201" w:type="dxa"/>
        <w:jc w:val="center"/>
        <w:tblLayout w:type="fixed"/>
        <w:tblCellMar>
          <w:top w:w="0" w:type="dxa"/>
          <w:left w:w="0" w:type="dxa"/>
          <w:bottom w:w="0" w:type="dxa"/>
          <w:right w:w="0" w:type="dxa"/>
        </w:tblCellMar>
      </w:tblPr>
      <w:tblGrid>
        <w:gridCol w:w="1356"/>
        <w:gridCol w:w="528"/>
        <w:gridCol w:w="1525"/>
        <w:gridCol w:w="1608"/>
        <w:gridCol w:w="1258"/>
        <w:gridCol w:w="1528"/>
        <w:gridCol w:w="1398"/>
      </w:tblGrid>
      <w:tr>
        <w:tblPrEx>
          <w:tblCellMar>
            <w:top w:w="0" w:type="dxa"/>
            <w:left w:w="0" w:type="dxa"/>
            <w:bottom w:w="0" w:type="dxa"/>
            <w:right w:w="0" w:type="dxa"/>
          </w:tblCellMar>
        </w:tblPrEx>
        <w:trPr>
          <w:cantSplit/>
          <w:trHeight w:val="522" w:hRule="atLeast"/>
          <w:tblHeader/>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签约金额占目标成本的比例</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累计支付占目标成本的比例</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土地合同</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525,566,943.90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526,616,700.00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99.80%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525,566,943.90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99.80%</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土地类合同小计</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525,566,943.90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526,616,700.00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99.80%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525,566,943.90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99.80%</w:t>
            </w:r>
          </w:p>
        </w:tc>
      </w:tr>
      <w:tr>
        <w:tblPrEx>
          <w:tblCellMar>
            <w:top w:w="0" w:type="dxa"/>
            <w:left w:w="0" w:type="dxa"/>
            <w:bottom w:w="0" w:type="dxa"/>
            <w:right w:w="0" w:type="dxa"/>
          </w:tblCellMar>
        </w:tblPrEx>
        <w:trPr>
          <w:trHeight w:val="303"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前期类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w:t>
            </w:r>
            <w:r>
              <w:rPr>
                <w:rFonts w:hint="eastAsia" w:ascii="Arial" w:hAnsi="Arial" w:cs="Arial"/>
                <w:i w:val="0"/>
                <w:color w:val="000000"/>
                <w:kern w:val="0"/>
                <w:sz w:val="18"/>
                <w:szCs w:val="18"/>
                <w:u w:val="none"/>
                <w:lang w:val="en-US" w:eastAsia="zh-CN" w:bidi="ar"/>
              </w:rPr>
              <w:t>0</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20,760,848.34</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19,990,000.00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103.86%</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5,050,647.30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25.27%</w:t>
            </w:r>
          </w:p>
        </w:tc>
      </w:tr>
      <w:tr>
        <w:tblPrEx>
          <w:tblCellMar>
            <w:top w:w="0" w:type="dxa"/>
            <w:left w:w="0" w:type="dxa"/>
            <w:bottom w:w="0" w:type="dxa"/>
            <w:right w:w="0" w:type="dxa"/>
          </w:tblCellMar>
        </w:tblPrEx>
        <w:trPr>
          <w:trHeight w:val="455"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工程类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349,488,251.19</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344,030,000.00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101.59%</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i w:val="0"/>
                <w:color w:val="000000"/>
                <w:kern w:val="0"/>
                <w:sz w:val="18"/>
                <w:szCs w:val="18"/>
                <w:u w:val="none"/>
                <w:lang w:val="en-US" w:eastAsia="zh-CN" w:bidi="ar"/>
              </w:rPr>
              <w:t>105,559,356.53</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30.68%</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基础设施类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6,470,121.28</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53,090,000.00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12.19%</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1,672,457.38</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3.15%</w:t>
            </w:r>
          </w:p>
        </w:tc>
      </w:tr>
      <w:tr>
        <w:tblPrEx>
          <w:tblCellMar>
            <w:top w:w="0" w:type="dxa"/>
            <w:left w:w="0" w:type="dxa"/>
            <w:bottom w:w="0" w:type="dxa"/>
            <w:right w:w="0" w:type="dxa"/>
          </w:tblCellMar>
        </w:tblPrEx>
        <w:trPr>
          <w:trHeight w:val="539"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公共配套设施类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44,430,000.00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69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承诺成本类合同小计</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color w:val="000000"/>
                <w:kern w:val="0"/>
                <w:sz w:val="18"/>
                <w:szCs w:val="18"/>
                <w:lang w:val="en-US" w:bidi="ar"/>
              </w:rPr>
            </w:pPr>
            <w:r>
              <w:rPr>
                <w:rFonts w:hint="eastAsia" w:ascii="宋体" w:hAnsi="宋体" w:eastAsia="宋体" w:cs="宋体"/>
                <w:b/>
                <w:i w:val="0"/>
                <w:color w:val="000000"/>
                <w:kern w:val="0"/>
                <w:sz w:val="18"/>
                <w:szCs w:val="18"/>
                <w:u w:val="none"/>
                <w:lang w:val="en-US" w:eastAsia="zh-CN" w:bidi="ar"/>
              </w:rPr>
              <w:t>4</w:t>
            </w:r>
            <w:r>
              <w:rPr>
                <w:rFonts w:hint="eastAsia" w:ascii="宋体" w:hAnsi="宋体" w:cs="宋体"/>
                <w:b/>
                <w:i w:val="0"/>
                <w:color w:val="000000"/>
                <w:kern w:val="0"/>
                <w:sz w:val="18"/>
                <w:szCs w:val="18"/>
                <w:u w:val="none"/>
                <w:lang w:val="en-US" w:eastAsia="zh-CN" w:bidi="ar"/>
              </w:rPr>
              <w:t>4</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376,719,220.81</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461,540,000.00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81.62%</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112,282,461.21</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24.33%</w:t>
            </w:r>
          </w:p>
        </w:tc>
      </w:tr>
      <w:tr>
        <w:tblPrEx>
          <w:tblCellMar>
            <w:top w:w="0" w:type="dxa"/>
            <w:left w:w="0" w:type="dxa"/>
            <w:bottom w:w="0" w:type="dxa"/>
            <w:right w:w="0" w:type="dxa"/>
          </w:tblCellMar>
        </w:tblPrEx>
        <w:trPr>
          <w:trHeight w:val="69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管理类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2,737,891.68</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26,210,800.00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10.45%</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40</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14,335,869.86</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39,316,100.00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36.46%</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2,996,675.57</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7.62%</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其他类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400,000.00</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lang w:bidi="ar"/>
              </w:rPr>
            </w:pP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392,233.00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144,636,900.00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期间费用和税费类成本合同小计</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43</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17,473,761.54</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210,163,800.00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8.31%</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3,388,908.57</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1.61%</w:t>
            </w:r>
          </w:p>
        </w:tc>
      </w:tr>
      <w:tr>
        <w:tblPrEx>
          <w:tblCellMar>
            <w:top w:w="0" w:type="dxa"/>
            <w:left w:w="0" w:type="dxa"/>
            <w:bottom w:w="0" w:type="dxa"/>
            <w:right w:w="0" w:type="dxa"/>
          </w:tblCellMar>
        </w:tblPrEx>
        <w:trPr>
          <w:trHeight w:val="27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b/>
                <w:i w:val="0"/>
                <w:color w:val="000000"/>
                <w:kern w:val="0"/>
                <w:sz w:val="18"/>
                <w:szCs w:val="18"/>
                <w:u w:val="none"/>
                <w:lang w:val="en-US" w:eastAsia="zh-CN" w:bidi="ar"/>
              </w:rPr>
              <w:t>合计</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8</w:t>
            </w:r>
            <w:r>
              <w:rPr>
                <w:rFonts w:hint="eastAsia" w:ascii="Arial" w:hAnsi="Arial" w:cs="Arial"/>
                <w:b/>
                <w:i w:val="0"/>
                <w:color w:val="000000"/>
                <w:kern w:val="0"/>
                <w:sz w:val="18"/>
                <w:szCs w:val="18"/>
                <w:u w:val="none"/>
                <w:lang w:val="en-US" w:eastAsia="zh-CN" w:bidi="ar"/>
              </w:rPr>
              <w:t>8</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20"/>
                <w:szCs w:val="20"/>
              </w:rPr>
            </w:pPr>
            <w:r>
              <w:rPr>
                <w:rFonts w:hint="default" w:ascii="Arial" w:hAnsi="Arial" w:eastAsia="宋体" w:cs="Arial"/>
                <w:b/>
                <w:i w:val="0"/>
                <w:color w:val="000000"/>
                <w:kern w:val="0"/>
                <w:sz w:val="18"/>
                <w:szCs w:val="18"/>
                <w:u w:val="none"/>
                <w:lang w:val="en-US" w:eastAsia="zh-CN" w:bidi="ar"/>
              </w:rPr>
              <w:t>919,759,926.25</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b/>
                <w:i w:val="0"/>
                <w:color w:val="000000"/>
                <w:kern w:val="0"/>
                <w:sz w:val="18"/>
                <w:szCs w:val="18"/>
                <w:u w:val="none"/>
                <w:lang w:val="en-US" w:eastAsia="zh-CN" w:bidi="ar"/>
              </w:rPr>
              <w:t>1,198,320,500.00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76.75%</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b/>
                <w:i w:val="0"/>
                <w:color w:val="000000"/>
                <w:kern w:val="0"/>
                <w:sz w:val="18"/>
                <w:szCs w:val="18"/>
                <w:u w:val="none"/>
                <w:lang w:val="en-US" w:eastAsia="zh-CN" w:bidi="ar"/>
              </w:rPr>
              <w:t>641,238,313.68</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b/>
                <w:i w:val="0"/>
                <w:color w:val="000000"/>
                <w:kern w:val="0"/>
                <w:sz w:val="18"/>
                <w:szCs w:val="18"/>
                <w:u w:val="none"/>
                <w:lang w:val="en-US" w:eastAsia="zh-CN" w:bidi="ar"/>
              </w:rPr>
              <w:t>53.51%</w:t>
            </w:r>
          </w:p>
        </w:tc>
      </w:tr>
    </w:tbl>
    <w:p>
      <w:pPr>
        <w:ind w:left="1030" w:leftChars="170" w:hanging="673" w:hangingChars="374"/>
        <w:jc w:val="left"/>
        <w:rPr>
          <w:rFonts w:ascii="Arial" w:hAnsi="Arial" w:cs="Arial"/>
          <w:bCs/>
          <w:kern w:val="44"/>
          <w:sz w:val="18"/>
          <w:szCs w:val="18"/>
        </w:rPr>
      </w:pPr>
      <w:bookmarkStart w:id="526" w:name="_Toc25830"/>
      <w:bookmarkStart w:id="527" w:name="_Toc27161"/>
      <w:bookmarkStart w:id="528" w:name="_Toc22315"/>
      <w:r>
        <w:rPr>
          <w:rFonts w:ascii="Arial" w:hAnsi="Arial" w:cs="Arial"/>
          <w:sz w:val="18"/>
          <w:szCs w:val="18"/>
        </w:rPr>
        <w:t>注：1、根据2020年4月26日项目公司与海盐县自然资源和规划局签订的《国有建设用地使用权出让合同补充合同》，项目公司承担原合同中受让人（即恒大地产集团上海盛建置业有限公司</w:t>
      </w:r>
      <w:r>
        <w:rPr>
          <w:rStyle w:val="27"/>
          <w:rFonts w:ascii="Arial" w:hAnsi="Arial" w:cs="Arial"/>
          <w:sz w:val="18"/>
          <w:szCs w:val="18"/>
        </w:rPr>
        <w:t>）</w:t>
      </w:r>
      <w:r>
        <w:rPr>
          <w:rFonts w:ascii="Arial" w:hAnsi="Arial" w:cs="Arial"/>
          <w:sz w:val="18"/>
          <w:szCs w:val="18"/>
        </w:rPr>
        <w:t>的一切权利和义务</w:t>
      </w:r>
      <w:r>
        <w:rPr>
          <w:rFonts w:ascii="Arial" w:hAnsi="Arial" w:cs="Arial"/>
          <w:bCs/>
          <w:kern w:val="44"/>
          <w:sz w:val="18"/>
          <w:szCs w:val="18"/>
        </w:rPr>
        <w:t>。</w:t>
      </w:r>
    </w:p>
    <w:p>
      <w:pPr>
        <w:numPr>
          <w:ilvl w:val="0"/>
          <w:numId w:val="4"/>
        </w:numPr>
        <w:ind w:left="680"/>
        <w:jc w:val="left"/>
        <w:rPr>
          <w:rFonts w:ascii="Arial" w:hAnsi="Arial" w:cs="Arial"/>
          <w:bCs/>
          <w:kern w:val="44"/>
          <w:sz w:val="18"/>
          <w:szCs w:val="18"/>
        </w:rPr>
      </w:pPr>
      <w:r>
        <w:rPr>
          <w:rFonts w:ascii="Arial" w:hAnsi="Arial" w:cs="Arial"/>
          <w:bCs/>
          <w:kern w:val="44"/>
          <w:sz w:val="18"/>
          <w:szCs w:val="18"/>
        </w:rPr>
        <w:t>土地合同金额含契税、印花税15,438,401.60元，土地滞纳金3,951,442.30元。</w:t>
      </w:r>
    </w:p>
    <w:p>
      <w:pPr>
        <w:numPr>
          <w:ilvl w:val="0"/>
          <w:numId w:val="4"/>
        </w:numPr>
        <w:ind w:left="680" w:leftChars="0"/>
        <w:jc w:val="left"/>
        <w:rPr>
          <w:rFonts w:ascii="Arial" w:hAnsi="Arial" w:cs="Arial"/>
          <w:bCs/>
          <w:kern w:val="44"/>
          <w:sz w:val="18"/>
          <w:szCs w:val="18"/>
        </w:rPr>
      </w:pPr>
      <w:r>
        <w:rPr>
          <w:rFonts w:ascii="Arial" w:hAnsi="Arial" w:cs="Arial"/>
          <w:bCs/>
          <w:kern w:val="44"/>
          <w:sz w:val="18"/>
          <w:szCs w:val="18"/>
        </w:rPr>
        <w:t>本表中累计支付金额包含已开出商业承兑汇票金额，未考虑其后期发生的贴现金额。</w:t>
      </w:r>
    </w:p>
    <w:p>
      <w:pPr>
        <w:numPr>
          <w:ilvl w:val="0"/>
          <w:numId w:val="4"/>
        </w:numPr>
        <w:ind w:left="680" w:leftChars="0"/>
        <w:jc w:val="left"/>
        <w:rPr>
          <w:rFonts w:ascii="Arial" w:hAnsi="Arial" w:cs="Arial"/>
          <w:bCs/>
          <w:kern w:val="44"/>
          <w:sz w:val="18"/>
          <w:szCs w:val="18"/>
        </w:rPr>
      </w:pPr>
      <w:r>
        <w:rPr>
          <w:rFonts w:hint="eastAsia" w:ascii="Arial" w:hAnsi="Arial" w:cs="Arial"/>
          <w:bCs/>
          <w:kern w:val="44"/>
          <w:sz w:val="18"/>
          <w:szCs w:val="18"/>
          <w:lang w:eastAsia="zh-CN"/>
        </w:rPr>
        <w:t>不包含</w:t>
      </w:r>
      <w:r>
        <w:rPr>
          <w:rFonts w:hint="eastAsia" w:ascii="Arial" w:hAnsi="Arial" w:cs="Arial"/>
          <w:bCs/>
          <w:kern w:val="44"/>
          <w:sz w:val="18"/>
          <w:szCs w:val="18"/>
          <w:lang w:val="en-US" w:eastAsia="zh-CN"/>
        </w:rPr>
        <w:t>3份备案合同。</w:t>
      </w:r>
    </w:p>
    <w:p>
      <w:pPr>
        <w:spacing w:line="480" w:lineRule="auto"/>
        <w:ind w:firstLine="420" w:firstLineChars="200"/>
        <w:rPr>
          <w:rFonts w:ascii="Arial" w:hAnsi="Arial" w:cs="Arial"/>
          <w:szCs w:val="21"/>
        </w:rPr>
      </w:pPr>
      <w:bookmarkStart w:id="529" w:name="_Toc20226"/>
      <w:bookmarkStart w:id="530" w:name="_Toc7010"/>
      <w:bookmarkStart w:id="531" w:name="_Toc24511"/>
      <w:bookmarkStart w:id="532" w:name="_Toc32680"/>
      <w:bookmarkStart w:id="533" w:name="_Toc12337"/>
      <w:bookmarkStart w:id="534" w:name="_Toc22573"/>
      <w:bookmarkStart w:id="535" w:name="_Toc21443"/>
      <w:bookmarkStart w:id="536" w:name="_Toc30520"/>
      <w:bookmarkStart w:id="537" w:name="_Toc6327"/>
    </w:p>
    <w:p>
      <w:pPr>
        <w:spacing w:line="480" w:lineRule="auto"/>
        <w:ind w:firstLine="420" w:firstLineChars="200"/>
        <w:rPr>
          <w:rFonts w:ascii="Arial" w:hAnsi="Arial" w:cs="Arial"/>
          <w:color w:val="auto"/>
          <w:szCs w:val="21"/>
        </w:rPr>
      </w:pPr>
      <w:r>
        <w:rPr>
          <w:rFonts w:ascii="Arial" w:hAnsi="Arial" w:cs="Arial"/>
          <w:color w:val="auto"/>
          <w:szCs w:val="21"/>
        </w:rPr>
        <w:t>本期签订合同</w:t>
      </w:r>
      <w:r>
        <w:rPr>
          <w:rFonts w:hint="eastAsia" w:ascii="Arial" w:hAnsi="Arial" w:cs="Arial"/>
          <w:color w:val="auto"/>
          <w:szCs w:val="21"/>
          <w:lang w:val="en-US" w:eastAsia="zh-CN"/>
        </w:rPr>
        <w:t>7</w:t>
      </w:r>
      <w:r>
        <w:rPr>
          <w:rFonts w:ascii="Arial" w:hAnsi="Arial" w:cs="Arial"/>
          <w:color w:val="auto"/>
          <w:szCs w:val="21"/>
        </w:rPr>
        <w:t>份，合同总额</w:t>
      </w:r>
      <w:r>
        <w:rPr>
          <w:rFonts w:hint="eastAsia" w:ascii="Arial" w:hAnsi="Arial" w:cs="Arial"/>
          <w:color w:val="auto"/>
          <w:szCs w:val="21"/>
        </w:rPr>
        <w:t>3,139,037.97</w:t>
      </w:r>
      <w:r>
        <w:rPr>
          <w:rFonts w:ascii="Arial" w:hAnsi="Arial" w:cs="Arial"/>
          <w:color w:val="auto"/>
          <w:szCs w:val="21"/>
        </w:rPr>
        <w:t>元，期间费用和税费类成本合同金额增加</w:t>
      </w:r>
      <w:r>
        <w:rPr>
          <w:rFonts w:hint="eastAsia" w:ascii="Arial" w:hAnsi="Arial" w:cs="Arial"/>
          <w:color w:val="auto"/>
          <w:szCs w:val="21"/>
        </w:rPr>
        <w:t xml:space="preserve">251,400.00 </w:t>
      </w:r>
      <w:r>
        <w:rPr>
          <w:rFonts w:ascii="Arial" w:hAnsi="Arial" w:cs="Arial"/>
          <w:color w:val="auto"/>
          <w:szCs w:val="21"/>
        </w:rPr>
        <w:t>元</w:t>
      </w:r>
      <w:r>
        <w:rPr>
          <w:rFonts w:hint="eastAsia" w:ascii="Arial" w:hAnsi="Arial" w:cs="Arial"/>
          <w:color w:val="auto"/>
          <w:szCs w:val="21"/>
          <w:lang w:eastAsia="zh-CN"/>
        </w:rPr>
        <w:t>，</w:t>
      </w:r>
      <w:r>
        <w:rPr>
          <w:rFonts w:hint="eastAsia" w:ascii="Arial" w:hAnsi="Arial" w:cs="Arial"/>
          <w:color w:val="auto"/>
          <w:szCs w:val="21"/>
          <w:lang w:val="en-US" w:eastAsia="zh-CN"/>
        </w:rPr>
        <w:t>均为营销费用</w:t>
      </w:r>
      <w:r>
        <w:rPr>
          <w:rFonts w:ascii="Arial" w:hAnsi="Arial" w:cs="Arial"/>
          <w:color w:val="auto"/>
          <w:szCs w:val="21"/>
        </w:rPr>
        <w:t>；承诺成本类合同金额增加</w:t>
      </w:r>
      <w:r>
        <w:rPr>
          <w:rFonts w:hint="eastAsia" w:ascii="Arial" w:hAnsi="Arial" w:cs="Arial"/>
          <w:color w:val="auto"/>
          <w:szCs w:val="21"/>
        </w:rPr>
        <w:t xml:space="preserve">2,887,637.97 </w:t>
      </w:r>
      <w:r>
        <w:rPr>
          <w:rFonts w:ascii="Arial" w:hAnsi="Arial" w:cs="Arial"/>
          <w:color w:val="auto"/>
          <w:szCs w:val="21"/>
        </w:rPr>
        <w:t>元，均为</w:t>
      </w:r>
      <w:r>
        <w:rPr>
          <w:rFonts w:hint="eastAsia" w:ascii="Arial" w:hAnsi="Arial" w:cs="Arial"/>
          <w:color w:val="auto"/>
          <w:szCs w:val="21"/>
          <w:lang w:val="en-US" w:eastAsia="zh-CN"/>
        </w:rPr>
        <w:t>前期类合同</w:t>
      </w:r>
      <w:r>
        <w:rPr>
          <w:rFonts w:ascii="Arial" w:hAnsi="Arial" w:cs="Arial"/>
          <w:color w:val="auto"/>
          <w:szCs w:val="21"/>
        </w:rPr>
        <w:t>。</w:t>
      </w:r>
    </w:p>
    <w:p>
      <w:pPr>
        <w:spacing w:line="480" w:lineRule="auto"/>
        <w:ind w:firstLine="420" w:firstLineChars="200"/>
        <w:rPr>
          <w:rFonts w:hint="eastAsia" w:ascii="Arial" w:hAnsi="Arial" w:cs="Arial"/>
          <w:color w:val="auto"/>
          <w:szCs w:val="21"/>
          <w:lang w:val="en-US" w:eastAsia="zh-CN"/>
        </w:rPr>
      </w:pPr>
      <w:r>
        <w:rPr>
          <w:rFonts w:ascii="Arial" w:hAnsi="Arial" w:cs="Arial"/>
          <w:color w:val="auto"/>
          <w:szCs w:val="21"/>
        </w:rPr>
        <w:t>本期支付</w:t>
      </w:r>
      <w:r>
        <w:rPr>
          <w:rFonts w:hint="eastAsia" w:ascii="Arial" w:hAnsi="Arial" w:cs="Arial"/>
          <w:color w:val="auto"/>
          <w:szCs w:val="21"/>
          <w:lang w:val="en-US" w:eastAsia="zh-CN"/>
        </w:rPr>
        <w:t>工程材料款1,949,599.65元，工程水电费81,102.58元，园建施工款370,080.00元，土石方工程进度款810,007.14元，总包进度款</w:t>
      </w:r>
      <w:r>
        <w:rPr>
          <w:rFonts w:hint="eastAsia" w:ascii="Arial" w:hAnsi="Arial" w:cs="Arial"/>
          <w:color w:val="auto"/>
          <w:szCs w:val="21"/>
        </w:rPr>
        <w:t>18,318,309.24</w:t>
      </w:r>
      <w:r>
        <w:rPr>
          <w:rFonts w:hint="eastAsia" w:ascii="Arial" w:hAnsi="Arial" w:cs="Arial"/>
          <w:color w:val="auto"/>
          <w:szCs w:val="21"/>
          <w:lang w:val="en-US" w:eastAsia="zh-CN"/>
        </w:rPr>
        <w:t>元，基坑支护进度款11,751,247.83元，桩基进度款16,055,712.61元；勘察工程款128,891.29元，围蔽工程款601,757.49元，前期设计费718,686.93元，临时道路工程、红外线施工进度款678,235.37元。</w:t>
      </w:r>
    </w:p>
    <w:p>
      <w:pPr>
        <w:spacing w:line="480" w:lineRule="auto"/>
        <w:ind w:firstLine="420" w:firstLineChars="200"/>
        <w:rPr>
          <w:rFonts w:ascii="Arial" w:hAnsi="Arial" w:cs="Arial"/>
          <w:color w:val="auto"/>
          <w:sz w:val="24"/>
        </w:rPr>
      </w:pPr>
      <w:r>
        <w:rPr>
          <w:rFonts w:ascii="Arial" w:hAnsi="Arial" w:cs="Arial"/>
          <w:color w:val="auto"/>
          <w:szCs w:val="21"/>
        </w:rPr>
        <w:t>根据项目公司网银导出数据及</w:t>
      </w:r>
      <w:r>
        <w:rPr>
          <w:rFonts w:ascii="Arial" w:hAnsi="Arial" w:cs="Arial"/>
          <w:bCs/>
          <w:color w:val="auto"/>
          <w:kern w:val="44"/>
          <w:szCs w:val="21"/>
        </w:rPr>
        <w:t>康信资管</w:t>
      </w:r>
      <w:r>
        <w:rPr>
          <w:rFonts w:ascii="Arial" w:hAnsi="Arial" w:cs="Arial"/>
          <w:color w:val="auto"/>
          <w:szCs w:val="21"/>
        </w:rPr>
        <w:t>入场后记录，截至202</w:t>
      </w:r>
      <w:r>
        <w:rPr>
          <w:rFonts w:hint="eastAsia" w:ascii="Arial" w:hAnsi="Arial" w:cs="Arial"/>
          <w:color w:val="auto"/>
          <w:szCs w:val="21"/>
          <w:lang w:val="en-US" w:eastAsia="zh-CN"/>
        </w:rPr>
        <w:t>1</w:t>
      </w:r>
      <w:r>
        <w:rPr>
          <w:rFonts w:ascii="Arial" w:hAnsi="Arial" w:cs="Arial"/>
          <w:color w:val="auto"/>
          <w:szCs w:val="21"/>
        </w:rPr>
        <w:t>年1月</w:t>
      </w:r>
      <w:r>
        <w:rPr>
          <w:rFonts w:hint="eastAsia" w:ascii="Arial" w:hAnsi="Arial" w:cs="Arial"/>
          <w:color w:val="auto"/>
          <w:szCs w:val="21"/>
          <w:lang w:val="en-US" w:eastAsia="zh-CN"/>
        </w:rPr>
        <w:t>31</w:t>
      </w:r>
      <w:r>
        <w:rPr>
          <w:rFonts w:ascii="Arial" w:hAnsi="Arial" w:cs="Arial"/>
          <w:color w:val="auto"/>
          <w:szCs w:val="21"/>
        </w:rPr>
        <w:t>日，项目公司共开具</w:t>
      </w:r>
      <w:r>
        <w:rPr>
          <w:rFonts w:hint="eastAsia" w:ascii="Arial" w:hAnsi="Arial" w:cs="Arial"/>
          <w:color w:val="auto"/>
          <w:szCs w:val="21"/>
          <w:lang w:val="en-US" w:eastAsia="zh-CN"/>
        </w:rPr>
        <w:t>95</w:t>
      </w:r>
      <w:r>
        <w:rPr>
          <w:rFonts w:ascii="Arial" w:hAnsi="Arial" w:cs="Arial"/>
          <w:color w:val="auto"/>
          <w:szCs w:val="21"/>
        </w:rPr>
        <w:t>张商业承兑汇票，汇票总金额</w:t>
      </w:r>
      <w:r>
        <w:rPr>
          <w:rFonts w:hint="eastAsia" w:ascii="Arial" w:hAnsi="Arial" w:cs="Arial"/>
          <w:color w:val="auto"/>
          <w:szCs w:val="21"/>
        </w:rPr>
        <w:t>111,057,901.59</w:t>
      </w:r>
      <w:r>
        <w:rPr>
          <w:rFonts w:ascii="Arial" w:hAnsi="Arial" w:cs="Arial"/>
          <w:color w:val="auto"/>
          <w:szCs w:val="21"/>
        </w:rPr>
        <w:t>元，根据项目公司提供的补贴利率12%，预计将增加对施工方的补贴成本</w:t>
      </w:r>
      <w:r>
        <w:rPr>
          <w:rFonts w:hint="eastAsia" w:ascii="Arial" w:hAnsi="Arial" w:cs="Arial"/>
          <w:color w:val="auto"/>
          <w:szCs w:val="21"/>
        </w:rPr>
        <w:t>13,326,948.19</w:t>
      </w:r>
      <w:r>
        <w:rPr>
          <w:rFonts w:ascii="Arial" w:hAnsi="Arial" w:cs="Arial"/>
          <w:color w:val="auto"/>
          <w:szCs w:val="21"/>
        </w:rPr>
        <w:t>元。</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cs="Arial"/>
          <w:color w:val="000000"/>
          <w:sz w:val="24"/>
          <w:szCs w:val="24"/>
        </w:rPr>
      </w:pPr>
      <w:bookmarkStart w:id="538" w:name="_Toc31519"/>
      <w:bookmarkStart w:id="539" w:name="_Toc8677"/>
      <w:bookmarkStart w:id="540" w:name="_Toc30783"/>
      <w:bookmarkStart w:id="541" w:name="_Toc10295"/>
      <w:bookmarkStart w:id="542" w:name="_Toc31715"/>
      <w:bookmarkStart w:id="543" w:name="_Toc16781"/>
      <w:r>
        <w:rPr>
          <w:rFonts w:ascii="Arial" w:hAnsi="Arial" w:cs="Arial"/>
          <w:color w:val="000000"/>
          <w:sz w:val="24"/>
          <w:szCs w:val="24"/>
        </w:rPr>
        <w:t>8项目销售情况</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color w:val="000000"/>
          <w:sz w:val="24"/>
          <w:szCs w:val="24"/>
        </w:rPr>
      </w:pPr>
      <w:bookmarkStart w:id="544" w:name="_Toc10106"/>
      <w:bookmarkStart w:id="545" w:name="_Toc23954"/>
      <w:bookmarkStart w:id="546" w:name="_Toc28522"/>
      <w:bookmarkStart w:id="547" w:name="_Toc8301"/>
      <w:bookmarkStart w:id="548" w:name="_Toc10336"/>
      <w:bookmarkStart w:id="549" w:name="_Toc4050"/>
      <w:bookmarkStart w:id="550" w:name="_Toc4043"/>
      <w:bookmarkStart w:id="551" w:name="_Toc9619"/>
      <w:bookmarkStart w:id="552" w:name="_Toc13124"/>
      <w:bookmarkStart w:id="553" w:name="_Toc25619"/>
      <w:bookmarkStart w:id="554" w:name="_Toc19898"/>
      <w:bookmarkStart w:id="555" w:name="_Toc132"/>
      <w:bookmarkStart w:id="556" w:name="_Toc3357"/>
      <w:bookmarkStart w:id="557" w:name="_Toc30791"/>
      <w:bookmarkStart w:id="558" w:name="_Toc8645"/>
      <w:bookmarkStart w:id="559" w:name="_Toc19753"/>
      <w:bookmarkStart w:id="560" w:name="_Toc21740"/>
      <w:bookmarkStart w:id="561" w:name="_Toc3044"/>
      <w:r>
        <w:rPr>
          <w:rFonts w:eastAsia="宋体" w:cs="Arial"/>
          <w:color w:val="000000"/>
          <w:sz w:val="24"/>
          <w:szCs w:val="24"/>
        </w:rPr>
        <w:t>8.1当地销售政策（预售政策、限购限售、限价政策描述）</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rPr>
      </w:pPr>
      <w:bookmarkStart w:id="562" w:name="_Toc19572"/>
      <w:r>
        <w:rPr>
          <w:rFonts w:ascii="Arial" w:hAnsi="Arial" w:cs="Arial"/>
        </w:rPr>
        <w:t>（1）预售政策：</w:t>
      </w:r>
      <w:bookmarkEnd w:id="56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rPr>
      </w:pPr>
      <w:r>
        <w:rPr>
          <w:rFonts w:ascii="Arial" w:hAnsi="Arial" w:cs="Arial"/>
        </w:rPr>
        <w:t xml:space="preserve"> 办理商品房预售许可证时，无需解除在先的土地抵押与在建工程抵押，但需要抵押权人出具同意预售的函；预售证可分批次办理，预售面积不得小于2万m²，单个预售证办理要求为：投入开发建设的资金占工程建设总投资的25%以上且已出正负零；办理预售证需要现场查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rPr>
      </w:pPr>
      <w:bookmarkStart w:id="563" w:name="_Toc496"/>
      <w:r>
        <w:rPr>
          <w:rFonts w:ascii="Arial" w:hAnsi="Arial" w:cs="Arial"/>
        </w:rPr>
        <w:t>（2）限购政策：</w:t>
      </w:r>
      <w:bookmarkEnd w:id="563"/>
    </w:p>
    <w:p>
      <w:pPr>
        <w:spacing w:line="480" w:lineRule="auto"/>
        <w:ind w:firstLine="420" w:firstLineChars="200"/>
        <w:rPr>
          <w:rFonts w:ascii="Arial" w:hAnsi="Arial" w:cs="Arial"/>
        </w:rPr>
      </w:pPr>
      <w:r>
        <w:rPr>
          <w:rFonts w:ascii="Arial" w:hAnsi="Arial" w:cs="Arial"/>
        </w:rPr>
        <w:t>拥有一套及以上住房的非海盐县户籍居民家庭不得在海盐县购买新建商品住房和二手住房。首套房首付标准为30%，利率上浮8%；二套房首付标准为40%，利率上浮10%；三套房不接受贷款。外来人口可在当地贷款，原则上与本地人一样。如果房屋所有人仅有一套房屋，则买入后随时可以出售；如果房屋所有人名下有两套及以上的房屋，外地人限购一套，本地人无限制。如果房屋所有人名下有两套及以上的房屋，须在房产证出证之日起两年后才可以再次出售。</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rPr>
      </w:pPr>
      <w:bookmarkStart w:id="564" w:name="_Toc24916"/>
      <w:r>
        <w:rPr>
          <w:rFonts w:ascii="Arial" w:hAnsi="Arial" w:cs="Arial"/>
        </w:rPr>
        <w:t>（3）限价政策：</w:t>
      </w:r>
      <w:bookmarkEnd w:id="564"/>
    </w:p>
    <w:p>
      <w:pPr>
        <w:spacing w:line="480" w:lineRule="auto"/>
        <w:ind w:firstLine="420" w:firstLineChars="200"/>
        <w:rPr>
          <w:rFonts w:ascii="Arial" w:hAnsi="Arial" w:cs="Arial"/>
        </w:rPr>
      </w:pPr>
      <w:bookmarkStart w:id="565" w:name="_Toc30969"/>
      <w:bookmarkStart w:id="566" w:name="_Toc9486"/>
      <w:bookmarkStart w:id="567" w:name="_Toc18788"/>
      <w:bookmarkStart w:id="568" w:name="_Toc7694"/>
      <w:bookmarkStart w:id="569" w:name="_Toc20320"/>
      <w:bookmarkStart w:id="570" w:name="_Toc2350"/>
      <w:bookmarkStart w:id="571" w:name="_Toc6280"/>
      <w:bookmarkStart w:id="572" w:name="_Toc21015"/>
      <w:bookmarkStart w:id="573" w:name="_Toc7311"/>
      <w:bookmarkStart w:id="574" w:name="_Toc12917"/>
      <w:bookmarkStart w:id="575" w:name="_Toc32570"/>
      <w:bookmarkStart w:id="576" w:name="_Toc14026"/>
      <w:r>
        <w:rPr>
          <w:rFonts w:ascii="Arial" w:hAnsi="Arial" w:cs="Arial"/>
        </w:rPr>
        <w:t>根据不同区域情况限价，但限价逐步放松。办理价格备案时，先由房地产商自行申报价格，再由行业协会定价，最后由区住建局报市房管中心进行三区会议与三部门会议决定最终的定价。</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eastAsia="宋体" w:cs="Arial"/>
          <w:sz w:val="24"/>
        </w:rPr>
      </w:pPr>
      <w:bookmarkStart w:id="577" w:name="_Toc24251"/>
      <w:bookmarkStart w:id="578" w:name="_Toc20118"/>
      <w:bookmarkStart w:id="579" w:name="_Toc13779"/>
      <w:bookmarkStart w:id="580" w:name="_Toc23842"/>
      <w:bookmarkStart w:id="581" w:name="_Toc16630"/>
      <w:bookmarkStart w:id="582" w:name="_Toc12423"/>
      <w:r>
        <w:rPr>
          <w:rFonts w:eastAsia="宋体" w:cs="Arial"/>
          <w:sz w:val="24"/>
        </w:rPr>
        <w:t>8.2项目销售及营销推广计划</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pPr>
        <w:numPr>
          <w:ilvl w:val="0"/>
          <w:numId w:val="5"/>
        </w:numPr>
        <w:spacing w:line="480" w:lineRule="auto"/>
        <w:ind w:firstLine="420" w:firstLineChars="200"/>
        <w:rPr>
          <w:rFonts w:ascii="Arial" w:hAnsi="Arial" w:cs="Arial"/>
        </w:rPr>
      </w:pPr>
      <w:r>
        <w:rPr>
          <w:rFonts w:hint="eastAsia" w:ascii="Arial" w:hAnsi="Arial" w:cs="Arial"/>
          <w:lang w:eastAsia="zh-CN"/>
        </w:rPr>
        <w:t>项目</w:t>
      </w:r>
      <w:r>
        <w:rPr>
          <w:rFonts w:hint="eastAsia" w:ascii="Arial" w:hAnsi="Arial" w:cs="Arial"/>
          <w:lang w:val="en-US" w:eastAsia="zh-CN"/>
        </w:rPr>
        <w:t>公司拟于2月取得第二批预售证。</w:t>
      </w:r>
    </w:p>
    <w:p>
      <w:pPr>
        <w:numPr>
          <w:ilvl w:val="0"/>
          <w:numId w:val="5"/>
        </w:numPr>
        <w:spacing w:line="480" w:lineRule="auto"/>
        <w:ind w:firstLine="420" w:firstLineChars="200"/>
        <w:rPr>
          <w:rFonts w:ascii="Arial" w:hAnsi="Arial" w:cs="Arial"/>
        </w:rPr>
      </w:pPr>
      <w:r>
        <w:rPr>
          <w:rFonts w:hint="eastAsia" w:ascii="Arial" w:hAnsi="Arial" w:cs="Arial"/>
          <w:lang w:val="en-US" w:eastAsia="zh-CN"/>
        </w:rPr>
        <w:t>举办牛年大赢家，年货抱回家活动</w:t>
      </w:r>
      <w:r>
        <w:rPr>
          <w:rFonts w:ascii="Arial" w:hAnsi="Arial" w:cs="Arial"/>
        </w:rPr>
        <w:t>。</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eastAsia="宋体" w:cs="Arial"/>
          <w:sz w:val="24"/>
        </w:rPr>
      </w:pPr>
      <w:bookmarkStart w:id="583" w:name="_Toc21807"/>
      <w:bookmarkStart w:id="584" w:name="_Toc7891"/>
      <w:bookmarkStart w:id="585" w:name="_Toc18882"/>
      <w:bookmarkStart w:id="586" w:name="_Toc10597"/>
      <w:bookmarkStart w:id="587" w:name="_Toc18851"/>
      <w:bookmarkStart w:id="588" w:name="_Toc19320"/>
      <w:bookmarkStart w:id="589" w:name="_Toc18718"/>
      <w:bookmarkStart w:id="590" w:name="_Toc11635"/>
      <w:bookmarkStart w:id="591" w:name="_Toc22308"/>
      <w:bookmarkStart w:id="592" w:name="_Toc7896"/>
      <w:bookmarkStart w:id="593" w:name="_Toc11607"/>
      <w:bookmarkStart w:id="594" w:name="_Toc18913"/>
      <w:bookmarkStart w:id="595" w:name="_Toc8166"/>
      <w:bookmarkStart w:id="596" w:name="_Toc4827"/>
      <w:bookmarkStart w:id="597" w:name="_Toc24661"/>
      <w:bookmarkStart w:id="598" w:name="_Toc3051"/>
      <w:bookmarkStart w:id="599" w:name="_Toc7994"/>
      <w:bookmarkStart w:id="600" w:name="_Toc13053"/>
      <w:r>
        <w:rPr>
          <w:rFonts w:eastAsia="宋体" w:cs="Arial"/>
          <w:sz w:val="24"/>
        </w:rPr>
        <w:t>8.3项目销售情况统计</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p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lang w:val="en-US" w:eastAsia="zh-CN"/>
        </w:rPr>
        <w:t>项目于2021年1月10日开售，推出可售住宅及商业315套，可售面积32714.33㎡。根据项目公司提供的销售台账，截至2021年1月31日可售住宅及商业已售79套，已售面积共计8411.07㎡，占已取得可售面积的26%，累计出售合同价12,127.24万元，累计已售回款1,553.53万元，占出售合同总价的13%。</w:t>
      </w:r>
    </w:p>
    <w:p>
      <w:pPr>
        <w:spacing w:line="480" w:lineRule="auto"/>
        <w:ind w:firstLine="420" w:firstLineChars="200"/>
        <w:rPr>
          <w:rFonts w:hint="eastAsia"/>
          <w:lang w:val="en-US" w:eastAsia="zh-CN"/>
        </w:rPr>
      </w:pPr>
      <w:r>
        <w:rPr>
          <w:rFonts w:hint="eastAsia" w:ascii="Arial" w:hAnsi="Arial" w:cs="Arial"/>
          <w:bCs/>
          <w:kern w:val="44"/>
          <w:szCs w:val="21"/>
          <w:lang w:val="en-US" w:eastAsia="zh-CN"/>
        </w:rPr>
        <w:t>截至2021年1月31日销售情况见下表：</w:t>
      </w:r>
    </w:p>
    <w:p>
      <w:pPr>
        <w:spacing w:before="240" w:beforeLines="100"/>
        <w:ind w:firstLine="482" w:firstLineChars="200"/>
        <w:jc w:val="center"/>
        <w:rPr>
          <w:rFonts w:hint="default" w:ascii="Arial" w:hAnsi="Arial" w:eastAsia="宋体"/>
          <w:b/>
          <w:color w:val="000000"/>
          <w:sz w:val="24"/>
          <w:szCs w:val="21"/>
          <w:lang w:val="en-US" w:eastAsia="zh-CN"/>
        </w:rPr>
      </w:pPr>
      <w:r>
        <w:rPr>
          <w:rFonts w:hint="eastAsia" w:ascii="Arial" w:hAnsi="Arial" w:eastAsia="宋体"/>
          <w:b/>
          <w:color w:val="000000"/>
          <w:sz w:val="24"/>
          <w:szCs w:val="21"/>
          <w:lang w:val="en-US" w:eastAsia="zh-CN"/>
        </w:rPr>
        <w:t>截至2021年1月</w:t>
      </w:r>
      <w:r>
        <w:rPr>
          <w:rFonts w:hint="eastAsia" w:ascii="Arial" w:hAnsi="Arial"/>
          <w:b/>
          <w:color w:val="000000"/>
          <w:sz w:val="24"/>
          <w:szCs w:val="21"/>
          <w:lang w:val="en-US" w:eastAsia="zh-CN"/>
        </w:rPr>
        <w:t>31</w:t>
      </w:r>
      <w:r>
        <w:rPr>
          <w:rFonts w:hint="eastAsia" w:ascii="Arial" w:hAnsi="Arial" w:eastAsia="宋体"/>
          <w:b/>
          <w:color w:val="000000"/>
          <w:sz w:val="24"/>
          <w:szCs w:val="21"/>
          <w:lang w:val="en-US" w:eastAsia="zh-CN"/>
        </w:rPr>
        <w:t>日销售情况</w:t>
      </w:r>
    </w:p>
    <w:tbl>
      <w:tblPr>
        <w:tblStyle w:val="18"/>
        <w:tblW w:w="0" w:type="auto"/>
        <w:tblInd w:w="4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8"/>
        <w:gridCol w:w="1068"/>
        <w:gridCol w:w="1320"/>
        <w:gridCol w:w="972"/>
        <w:gridCol w:w="1260"/>
        <w:gridCol w:w="1404"/>
        <w:gridCol w:w="1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9" w:hRule="atLeast"/>
        </w:trPr>
        <w:tc>
          <w:tcPr>
            <w:tcW w:w="1128" w:type="dxa"/>
            <w:vMerge w:val="restart"/>
            <w:tcBorders>
              <w:top w:val="single" w:color="auto" w:sz="6" w:space="0"/>
              <w:left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p>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产品/项目</w:t>
            </w:r>
          </w:p>
        </w:tc>
        <w:tc>
          <w:tcPr>
            <w:tcW w:w="2388"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可售情况</w:t>
            </w:r>
          </w:p>
        </w:tc>
        <w:tc>
          <w:tcPr>
            <w:tcW w:w="5124" w:type="dxa"/>
            <w:gridSpan w:val="4"/>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已售情况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9" w:hRule="atLeast"/>
        </w:trPr>
        <w:tc>
          <w:tcPr>
            <w:tcW w:w="1128" w:type="dxa"/>
            <w:vMerge w:val="continue"/>
            <w:tcBorders>
              <w:left w:val="single" w:color="auto" w:sz="6" w:space="0"/>
              <w:bottom w:val="single" w:color="auto" w:sz="4"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套数</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面积（㎡）</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套数</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面积（㎡）</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合同价（万元）</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已售回款（万元）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9" w:hRule="atLeast"/>
        </w:trPr>
        <w:tc>
          <w:tcPr>
            <w:tcW w:w="112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住宅及商业</w:t>
            </w: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315</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32714.33</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79</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eastAsia"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8411.07</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12,127.24</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cs="Arial"/>
                <w:b w:val="0"/>
                <w:bCs w:val="0"/>
                <w:kern w:val="0"/>
                <w:sz w:val="18"/>
                <w:szCs w:val="18"/>
                <w:lang w:val="en-US" w:eastAsia="zh-CN"/>
              </w:rPr>
            </w:pPr>
            <w:r>
              <w:rPr>
                <w:rFonts w:hint="eastAsia" w:ascii="Arial" w:hAnsi="Arial" w:cs="Arial"/>
                <w:b w:val="0"/>
                <w:bCs w:val="0"/>
                <w:kern w:val="0"/>
                <w:sz w:val="18"/>
                <w:szCs w:val="18"/>
                <w:lang w:val="en-US" w:eastAsia="zh-CN"/>
              </w:rPr>
              <w:t>1,553.53</w:t>
            </w:r>
          </w:p>
        </w:tc>
      </w:tr>
    </w:tbl>
    <w:p>
      <w:pPr>
        <w:numPr>
          <w:ilvl w:val="255"/>
          <w:numId w:val="0"/>
        </w:numPr>
        <w:spacing w:line="360" w:lineRule="auto"/>
        <w:ind w:firstLine="420" w:firstLineChars="200"/>
        <w:rPr>
          <w:rFonts w:hint="default" w:ascii="Arial" w:hAnsi="Arial" w:eastAsia="宋体" w:cs="Arial"/>
          <w:lang w:val="en-US" w:eastAsia="zh-CN"/>
        </w:rPr>
      </w:pPr>
    </w:p>
    <w:p>
      <w:pPr>
        <w:pStyle w:val="2"/>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Arial" w:hAnsi="Arial" w:eastAsia="宋体" w:cs="Arial"/>
          <w:sz w:val="24"/>
        </w:rPr>
      </w:pPr>
      <w:bookmarkStart w:id="601" w:name="_Toc3967"/>
      <w:bookmarkStart w:id="602" w:name="_Toc22077"/>
      <w:bookmarkStart w:id="603" w:name="_Toc9382"/>
      <w:bookmarkStart w:id="604" w:name="_Toc1494"/>
      <w:bookmarkStart w:id="605" w:name="_Toc7161"/>
      <w:bookmarkStart w:id="606" w:name="_Toc11401"/>
      <w:bookmarkStart w:id="607" w:name="_Toc32039"/>
      <w:bookmarkStart w:id="608" w:name="_Toc19692"/>
      <w:bookmarkStart w:id="609" w:name="_Toc23901"/>
      <w:bookmarkStart w:id="610" w:name="_Toc30477"/>
      <w:bookmarkStart w:id="611" w:name="_Toc3192"/>
      <w:bookmarkStart w:id="612" w:name="_Toc19387"/>
      <w:r>
        <w:rPr>
          <w:rFonts w:hint="default" w:ascii="Arial" w:hAnsi="Arial" w:eastAsia="宋体" w:cs="Arial"/>
          <w:sz w:val="24"/>
        </w:rPr>
        <w:t>9下期关注重点</w:t>
      </w:r>
      <w:bookmarkEnd w:id="601"/>
      <w:bookmarkEnd w:id="602"/>
      <w:bookmarkEnd w:id="603"/>
      <w:bookmarkEnd w:id="604"/>
      <w:bookmarkEnd w:id="605"/>
      <w:bookmarkEnd w:id="606"/>
      <w:bookmarkEnd w:id="607"/>
      <w:bookmarkEnd w:id="608"/>
      <w:bookmarkEnd w:id="609"/>
      <w:bookmarkEnd w:id="610"/>
    </w:p>
    <w:p>
      <w:pPr>
        <w:numPr>
          <w:ilvl w:val="255"/>
          <w:numId w:val="0"/>
        </w:numPr>
        <w:spacing w:line="360" w:lineRule="auto"/>
        <w:ind w:firstLine="420" w:firstLineChars="200"/>
        <w:jc w:val="left"/>
        <w:rPr>
          <w:rFonts w:ascii="Arial" w:hAnsi="Arial" w:cs="Arial"/>
          <w:color w:val="000000"/>
          <w:szCs w:val="21"/>
        </w:rPr>
      </w:pPr>
      <w:r>
        <w:rPr>
          <w:rFonts w:ascii="Arial" w:hAnsi="Arial" w:cs="Arial"/>
          <w:color w:val="000000"/>
          <w:szCs w:val="21"/>
        </w:rPr>
        <w:t>综上所述，基于目前海盐都汇华庭项目运营状况，后续工作中将对下列事项进行重点关注：</w:t>
      </w:r>
    </w:p>
    <w:p>
      <w:pPr>
        <w:numPr>
          <w:ilvl w:val="0"/>
          <w:numId w:val="6"/>
        </w:numPr>
        <w:spacing w:line="480" w:lineRule="auto"/>
        <w:ind w:left="845" w:firstLine="0"/>
        <w:jc w:val="left"/>
        <w:rPr>
          <w:rFonts w:ascii="Arial" w:hAnsi="Arial" w:cs="Arial"/>
          <w:szCs w:val="21"/>
        </w:rPr>
      </w:pPr>
      <w:r>
        <w:rPr>
          <w:rFonts w:hint="eastAsia" w:ascii="Arial" w:hAnsi="Arial" w:cs="Arial"/>
          <w:szCs w:val="21"/>
          <w:lang w:val="en-US" w:eastAsia="zh-CN"/>
        </w:rPr>
        <w:t>关注项目第二批预售证办理情况；</w:t>
      </w:r>
    </w:p>
    <w:p>
      <w:pPr>
        <w:numPr>
          <w:ilvl w:val="0"/>
          <w:numId w:val="6"/>
        </w:numPr>
        <w:spacing w:line="480" w:lineRule="auto"/>
        <w:ind w:left="845" w:firstLine="0"/>
        <w:jc w:val="left"/>
        <w:rPr>
          <w:rFonts w:ascii="Arial" w:hAnsi="Arial" w:cs="Arial"/>
          <w:szCs w:val="21"/>
        </w:rPr>
      </w:pPr>
      <w:r>
        <w:rPr>
          <w:rFonts w:ascii="Arial" w:hAnsi="Arial" w:cs="Arial"/>
          <w:szCs w:val="21"/>
        </w:rPr>
        <w:t>关注海盐都汇华庭项目工程土方合同、桩基合同、基坑支护合同，加强合同实施过程产值计量审核工作，避免超工作量、超进度付款；要求留存施工过程必要的资料，保证实际工程量复核的依据性，避免合同结算金额偏高，发生项目利润的转移情况；</w:t>
      </w:r>
    </w:p>
    <w:p>
      <w:pPr>
        <w:numPr>
          <w:ilvl w:val="0"/>
          <w:numId w:val="6"/>
        </w:numPr>
        <w:spacing w:line="480" w:lineRule="auto"/>
        <w:ind w:left="845" w:firstLine="0"/>
        <w:jc w:val="left"/>
        <w:rPr>
          <w:rFonts w:ascii="Arial" w:hAnsi="Arial" w:cs="Arial"/>
          <w:szCs w:val="21"/>
        </w:rPr>
      </w:pPr>
      <w:r>
        <w:rPr>
          <w:rFonts w:hint="eastAsia" w:ascii="Arial" w:hAnsi="Arial" w:cs="Arial"/>
          <w:szCs w:val="21"/>
          <w:lang w:val="en-US" w:eastAsia="zh-CN"/>
        </w:rPr>
        <w:t>关注项目销售回款事宜；</w:t>
      </w:r>
    </w:p>
    <w:p>
      <w:pPr>
        <w:numPr>
          <w:ilvl w:val="0"/>
          <w:numId w:val="6"/>
        </w:numPr>
        <w:spacing w:line="480" w:lineRule="auto"/>
        <w:ind w:left="845" w:firstLine="0"/>
        <w:jc w:val="left"/>
        <w:rPr>
          <w:rFonts w:ascii="Arial" w:hAnsi="Arial" w:cs="Arial"/>
          <w:szCs w:val="21"/>
        </w:rPr>
      </w:pPr>
      <w:r>
        <w:rPr>
          <w:rFonts w:hint="eastAsia" w:ascii="Arial" w:hAnsi="Arial" w:cs="Arial"/>
          <w:szCs w:val="21"/>
          <w:lang w:val="en-US" w:eastAsia="zh-CN"/>
        </w:rPr>
        <w:t>关注项目公司银行按揭准入情况；</w:t>
      </w:r>
    </w:p>
    <w:p>
      <w:pPr>
        <w:numPr>
          <w:ilvl w:val="0"/>
          <w:numId w:val="6"/>
        </w:numPr>
        <w:spacing w:line="480" w:lineRule="auto"/>
        <w:ind w:left="845" w:firstLine="0"/>
        <w:jc w:val="left"/>
        <w:rPr>
          <w:rFonts w:ascii="Arial" w:hAnsi="Arial" w:cs="Arial"/>
          <w:szCs w:val="21"/>
        </w:rPr>
      </w:pPr>
      <w:r>
        <w:rPr>
          <w:rFonts w:ascii="Arial" w:hAnsi="Arial" w:cs="Arial"/>
          <w:szCs w:val="21"/>
        </w:rPr>
        <w:t>关注项目公司资金余额及资金使用情况、资金计划完成情况。</w:t>
      </w:r>
    </w:p>
    <w:p>
      <w:pPr>
        <w:spacing w:before="300" w:after="300" w:line="360" w:lineRule="exact"/>
        <w:jc w:val="left"/>
        <w:rPr>
          <w:rFonts w:ascii="Arial" w:hAnsi="Arial" w:cs="Arial"/>
          <w:color w:val="000000"/>
          <w:sz w:val="24"/>
        </w:rPr>
      </w:pPr>
      <w:bookmarkStart w:id="613" w:name="_Toc25198"/>
      <w:bookmarkStart w:id="614" w:name="_Toc19608"/>
      <w:bookmarkStart w:id="615" w:name="_Toc20278"/>
      <w:bookmarkStart w:id="616" w:name="_Toc13942"/>
      <w:bookmarkStart w:id="617" w:name="_Toc30408"/>
      <w:bookmarkStart w:id="618" w:name="_Toc32094"/>
      <w:bookmarkStart w:id="619" w:name="_Toc20853"/>
      <w:bookmarkStart w:id="620" w:name="_Toc28903"/>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621" w:name="_Toc21529"/>
      <w:bookmarkStart w:id="622" w:name="_Toc8356"/>
      <w:bookmarkStart w:id="623" w:name="_Toc28889"/>
      <w:bookmarkStart w:id="624" w:name="_Toc25349"/>
      <w:bookmarkStart w:id="625" w:name="_Toc25826"/>
      <w:bookmarkStart w:id="626" w:name="_Toc26948"/>
      <w:bookmarkStart w:id="627" w:name="_Toc4123"/>
      <w:bookmarkStart w:id="628" w:name="_Toc21930"/>
      <w:r>
        <w:rPr>
          <w:rFonts w:ascii="Arial" w:hAnsi="Arial" w:cs="Arial"/>
          <w:color w:val="000000"/>
          <w:sz w:val="24"/>
          <w:szCs w:val="24"/>
        </w:rPr>
        <w:t>附件</w:t>
      </w:r>
      <w:bookmarkEnd w:id="434"/>
      <w:bookmarkEnd w:id="435"/>
      <w:bookmarkEnd w:id="436"/>
      <w:bookmarkEnd w:id="437"/>
      <w:bookmarkEnd w:id="438"/>
      <w:bookmarkEnd w:id="439"/>
      <w:bookmarkEnd w:id="482"/>
      <w:bookmarkEnd w:id="483"/>
      <w:bookmarkEnd w:id="484"/>
      <w:bookmarkEnd w:id="485"/>
      <w:bookmarkEnd w:id="486"/>
      <w:bookmarkEnd w:id="487"/>
      <w:bookmarkEnd w:id="488"/>
      <w:bookmarkEnd w:id="489"/>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3"/>
        <w:outlineLvl w:val="0"/>
        <w:rPr>
          <w:rFonts w:ascii="Arial" w:hAnsi="Arial" w:cs="Arial"/>
          <w:b/>
          <w:color w:val="000000"/>
          <w:sz w:val="24"/>
        </w:rPr>
      </w:pPr>
      <w:bookmarkStart w:id="629" w:name="_Toc535570761"/>
      <w:bookmarkStart w:id="630" w:name="_Toc532281665"/>
      <w:bookmarkStart w:id="631" w:name="_Toc535580034"/>
      <w:bookmarkStart w:id="632" w:name="_Toc535508647"/>
      <w:bookmarkStart w:id="633" w:name="_Toc535580102"/>
      <w:bookmarkStart w:id="634" w:name="_Toc26405"/>
      <w:bookmarkStart w:id="635" w:name="_Toc20523"/>
      <w:bookmarkStart w:id="636" w:name="_Toc30895"/>
      <w:bookmarkStart w:id="637" w:name="_Toc8634"/>
      <w:bookmarkStart w:id="638" w:name="_Toc27512"/>
      <w:bookmarkStart w:id="639" w:name="_Toc30857"/>
      <w:bookmarkStart w:id="640" w:name="_Toc4198"/>
      <w:bookmarkStart w:id="641" w:name="_Toc21470"/>
      <w:bookmarkStart w:id="642" w:name="_Toc30228"/>
      <w:bookmarkStart w:id="643" w:name="_Toc11405"/>
      <w:bookmarkStart w:id="644" w:name="_Toc8254"/>
      <w:bookmarkStart w:id="645" w:name="_Toc30197"/>
      <w:bookmarkStart w:id="646" w:name="_Toc27000"/>
      <w:bookmarkStart w:id="647" w:name="_Toc4762"/>
      <w:bookmarkStart w:id="648" w:name="_Toc21475"/>
      <w:bookmarkStart w:id="649" w:name="_Toc1108"/>
      <w:bookmarkStart w:id="650" w:name="_Toc10565"/>
      <w:bookmarkStart w:id="651" w:name="_Toc31415"/>
      <w:bookmarkStart w:id="652" w:name="_Toc1075"/>
      <w:bookmarkStart w:id="653" w:name="_Toc25953"/>
      <w:bookmarkStart w:id="654" w:name="_Toc2233"/>
      <w:bookmarkStart w:id="655" w:name="_Toc16241"/>
      <w:bookmarkStart w:id="656" w:name="_Toc3267"/>
      <w:bookmarkStart w:id="657" w:name="_Toc6866"/>
      <w:bookmarkStart w:id="658" w:name="_Toc45217884"/>
      <w:bookmarkStart w:id="659" w:name="_Toc16889"/>
      <w:bookmarkStart w:id="660" w:name="_Toc8410"/>
      <w:r>
        <w:rPr>
          <w:rFonts w:eastAsia="宋体" w:cs="Arial"/>
          <w:sz w:val="24"/>
        </w:rPr>
        <w:t>附件一</w:t>
      </w:r>
      <w:bookmarkEnd w:id="629"/>
      <w:bookmarkEnd w:id="630"/>
      <w:bookmarkEnd w:id="631"/>
      <w:bookmarkEnd w:id="632"/>
      <w:bookmarkEnd w:id="633"/>
      <w:r>
        <w:rPr>
          <w:rFonts w:eastAsia="宋体" w:cs="Arial"/>
          <w:sz w:val="24"/>
        </w:rPr>
        <w:t xml:space="preserve"> 项目公司对账单</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Start w:id="661" w:name="_Toc514075669"/>
      <w:bookmarkStart w:id="662" w:name="_Toc45217885"/>
      <w:bookmarkStart w:id="663" w:name="_Toc535580103"/>
      <w:bookmarkStart w:id="664" w:name="_Toc535570762"/>
      <w:bookmarkStart w:id="665" w:name="_Toc535508648"/>
      <w:bookmarkStart w:id="666" w:name="_Toc535580035"/>
    </w:p>
    <w:p>
      <w:pPr>
        <w:rPr>
          <w:rFonts w:ascii="Arial" w:hAnsi="Arial" w:cs="Arial"/>
          <w:b/>
          <w:color w:val="000000"/>
          <w:sz w:val="24"/>
        </w:rPr>
      </w:pPr>
    </w:p>
    <w:p>
      <w:pPr>
        <w:rPr>
          <w:rFonts w:ascii="Arial" w:hAnsi="Arial" w:cs="Arial"/>
          <w:b/>
          <w:color w:val="000000"/>
          <w:sz w:val="24"/>
        </w:rPr>
      </w:pPr>
    </w:p>
    <w:p>
      <w:pPr>
        <w:rPr>
          <w:rFonts w:ascii="Arial" w:hAnsi="Arial" w:cs="Arial"/>
          <w:b/>
          <w:color w:val="000000"/>
          <w:sz w:val="24"/>
        </w:rPr>
      </w:pPr>
    </w:p>
    <w:p>
      <w:pPr>
        <w:jc w:val="center"/>
        <w:rPr>
          <w:rFonts w:ascii="Arial" w:hAnsi="Arial" w:cs="Arial"/>
          <w:b/>
          <w:color w:val="000000"/>
          <w:sz w:val="24"/>
        </w:rPr>
      </w:pPr>
      <w:r>
        <w:rPr>
          <w:rFonts w:ascii="Arial" w:hAnsi="Arial" w:cs="Arial"/>
          <w:b/>
          <w:color w:val="000000"/>
          <w:sz w:val="24"/>
        </w:rPr>
        <w:t>中国建设银行海盐支行（1027）账户1月份银行对账单</w:t>
      </w:r>
    </w:p>
    <w:p>
      <w:pPr>
        <w:rPr>
          <w:rFonts w:ascii="Arial" w:hAnsi="Arial" w:cs="Arial"/>
        </w:rPr>
      </w:pPr>
    </w:p>
    <w:p>
      <w:pPr>
        <w:rPr>
          <w:rFonts w:hint="default" w:ascii="Arial" w:hAnsi="Arial" w:eastAsia="宋体" w:cs="Arial"/>
          <w:lang w:eastAsia="zh-CN"/>
        </w:rPr>
      </w:pPr>
      <w:r>
        <w:rPr>
          <w:rFonts w:hint="default" w:ascii="Arial" w:hAnsi="Arial" w:eastAsia="宋体" w:cs="Arial"/>
          <w:lang w:eastAsia="zh-CN"/>
        </w:rPr>
        <w:drawing>
          <wp:inline distT="0" distB="0" distL="114300" distR="114300">
            <wp:extent cx="5901055" cy="3923665"/>
            <wp:effectExtent l="0" t="0" r="12065" b="8255"/>
            <wp:docPr id="1" name="图片 1" descr="36d19d565087a6502abfad746901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d19d565087a6502abfad746901bc8"/>
                    <pic:cNvPicPr>
                      <a:picLocks noChangeAspect="1"/>
                    </pic:cNvPicPr>
                  </pic:nvPicPr>
                  <pic:blipFill>
                    <a:blip r:embed="rId16"/>
                    <a:stretch>
                      <a:fillRect/>
                    </a:stretch>
                  </pic:blipFill>
                  <pic:spPr>
                    <a:xfrm>
                      <a:off x="0" y="0"/>
                      <a:ext cx="5901055" cy="3923665"/>
                    </a:xfrm>
                    <a:prstGeom prst="rect">
                      <a:avLst/>
                    </a:prstGeom>
                  </pic:spPr>
                </pic:pic>
              </a:graphicData>
            </a:graphic>
          </wp:inline>
        </w:drawing>
      </w:r>
      <w:r>
        <w:rPr>
          <w:rFonts w:hint="default" w:ascii="Arial" w:hAnsi="Arial" w:eastAsia="宋体" w:cs="Arial"/>
          <w:lang w:eastAsia="zh-CN"/>
        </w:rPr>
        <w:drawing>
          <wp:inline distT="0" distB="0" distL="114300" distR="114300">
            <wp:extent cx="5893435" cy="3241040"/>
            <wp:effectExtent l="0" t="0" r="4445" b="5080"/>
            <wp:docPr id="2" name="图片 2" descr="2d7c54610556eb5311851ca40a9f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d7c54610556eb5311851ca40a9fc2f"/>
                    <pic:cNvPicPr>
                      <a:picLocks noChangeAspect="1"/>
                    </pic:cNvPicPr>
                  </pic:nvPicPr>
                  <pic:blipFill>
                    <a:blip r:embed="rId17"/>
                    <a:stretch>
                      <a:fillRect/>
                    </a:stretch>
                  </pic:blipFill>
                  <pic:spPr>
                    <a:xfrm>
                      <a:off x="0" y="0"/>
                      <a:ext cx="5893435" cy="3241040"/>
                    </a:xfrm>
                    <a:prstGeom prst="rect">
                      <a:avLst/>
                    </a:prstGeom>
                  </pic:spPr>
                </pic:pic>
              </a:graphicData>
            </a:graphic>
          </wp:inline>
        </w:drawing>
      </w:r>
      <w:r>
        <w:rPr>
          <w:rFonts w:hint="default" w:ascii="Arial" w:hAnsi="Arial" w:eastAsia="宋体" w:cs="Arial"/>
          <w:lang w:eastAsia="zh-CN"/>
        </w:rPr>
        <w:drawing>
          <wp:inline distT="0" distB="0" distL="114300" distR="114300">
            <wp:extent cx="5902960" cy="1899920"/>
            <wp:effectExtent l="0" t="0" r="10160" b="5080"/>
            <wp:docPr id="4" name="图片 4" descr="96ea83134f7eddfff1e1edd0372d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6ea83134f7eddfff1e1edd0372d5a3"/>
                    <pic:cNvPicPr>
                      <a:picLocks noChangeAspect="1"/>
                    </pic:cNvPicPr>
                  </pic:nvPicPr>
                  <pic:blipFill>
                    <a:blip r:embed="rId18"/>
                    <a:stretch>
                      <a:fillRect/>
                    </a:stretch>
                  </pic:blipFill>
                  <pic:spPr>
                    <a:xfrm>
                      <a:off x="0" y="0"/>
                      <a:ext cx="5902960" cy="1899920"/>
                    </a:xfrm>
                    <a:prstGeom prst="rect">
                      <a:avLst/>
                    </a:prstGeom>
                  </pic:spPr>
                </pic:pic>
              </a:graphicData>
            </a:graphic>
          </wp:inline>
        </w:drawing>
      </w:r>
    </w:p>
    <w:p>
      <w:pPr>
        <w:rPr>
          <w:rFonts w:ascii="Arial" w:hAnsi="Arial" w:cs="Arial"/>
        </w:rPr>
      </w:pPr>
    </w:p>
    <w:p>
      <w:pPr>
        <w:spacing w:before="240" w:beforeLines="100" w:after="300" w:line="360" w:lineRule="exact"/>
        <w:jc w:val="center"/>
        <w:rPr>
          <w:rFonts w:ascii="Arial" w:hAnsi="Arial" w:cs="Arial"/>
          <w:b/>
          <w:color w:val="000000"/>
          <w:sz w:val="24"/>
        </w:rPr>
      </w:pPr>
      <w:r>
        <w:rPr>
          <w:rFonts w:ascii="Arial" w:hAnsi="Arial" w:cs="Arial"/>
          <w:b/>
          <w:color w:val="000000"/>
          <w:sz w:val="24"/>
        </w:rPr>
        <w:t>中国银行海盐支行（8270）账户1月份银行对账单</w:t>
      </w:r>
    </w:p>
    <w:p>
      <w:pPr>
        <w:rPr>
          <w:rFonts w:ascii="Arial" w:hAnsi="Arial" w:cs="Arial"/>
        </w:rPr>
      </w:pPr>
    </w:p>
    <w:p>
      <w:pPr>
        <w:rPr>
          <w:rFonts w:ascii="Arial" w:hAnsi="Arial" w:cs="Arial"/>
        </w:rPr>
      </w:pPr>
    </w:p>
    <w:p>
      <w:pPr>
        <w:rPr>
          <w:rFonts w:ascii="Arial" w:hAnsi="Arial" w:cs="Arial"/>
        </w:rPr>
      </w:pPr>
    </w:p>
    <w:p>
      <w:pPr>
        <w:rPr>
          <w:rFonts w:hint="eastAsia" w:ascii="Arial" w:hAnsi="Arial" w:eastAsia="宋体" w:cs="Arial"/>
          <w:lang w:eastAsia="zh-CN"/>
        </w:rPr>
      </w:pPr>
    </w:p>
    <w:p>
      <w:pPr>
        <w:rPr>
          <w:rFonts w:hint="default" w:ascii="Arial" w:hAnsi="Arial" w:cs="Arial"/>
        </w:rPr>
      </w:pPr>
      <w:r>
        <w:rPr>
          <w:rFonts w:hint="default" w:ascii="Arial" w:hAnsi="Arial" w:cs="Arial"/>
        </w:rPr>
        <w:drawing>
          <wp:inline distT="0" distB="0" distL="114300" distR="114300">
            <wp:extent cx="5894705" cy="1092835"/>
            <wp:effectExtent l="0" t="0" r="3175" b="4445"/>
            <wp:docPr id="5" name="图片 5" descr="4f656de171eff459c7896146fc12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f656de171eff459c7896146fc12c34"/>
                    <pic:cNvPicPr>
                      <a:picLocks noChangeAspect="1"/>
                    </pic:cNvPicPr>
                  </pic:nvPicPr>
                  <pic:blipFill>
                    <a:blip r:embed="rId19"/>
                    <a:stretch>
                      <a:fillRect/>
                    </a:stretch>
                  </pic:blipFill>
                  <pic:spPr>
                    <a:xfrm>
                      <a:off x="0" y="0"/>
                      <a:ext cx="5894705" cy="1092835"/>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b/>
          <w:bCs/>
          <w:sz w:val="24"/>
          <w:szCs w:val="32"/>
        </w:rPr>
      </w:pPr>
      <w:bookmarkStart w:id="667" w:name="_Toc11274"/>
      <w:bookmarkStart w:id="668" w:name="_Toc31902"/>
      <w:bookmarkStart w:id="669" w:name="_Toc16357"/>
      <w:bookmarkStart w:id="670" w:name="_Toc1033"/>
      <w:bookmarkStart w:id="671" w:name="_Toc28754"/>
      <w:bookmarkStart w:id="672" w:name="_Toc18186"/>
      <w:bookmarkStart w:id="673" w:name="_Toc32603"/>
      <w:bookmarkStart w:id="674" w:name="_Toc31887"/>
      <w:bookmarkStart w:id="675" w:name="_Toc7546"/>
      <w:bookmarkStart w:id="676" w:name="_Toc18594"/>
      <w:bookmarkStart w:id="677" w:name="_Toc4409"/>
      <w:bookmarkStart w:id="678" w:name="_Toc7415"/>
      <w:bookmarkStart w:id="679" w:name="_Toc32270"/>
      <w:bookmarkStart w:id="680" w:name="_Toc187"/>
      <w:bookmarkStart w:id="681" w:name="_Toc31430"/>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ind w:firstLine="1205" w:firstLineChars="500"/>
        <w:rPr>
          <w:rFonts w:ascii="Arial" w:hAnsi="Arial" w:cs="Arial"/>
          <w:b/>
          <w:bCs/>
          <w:sz w:val="24"/>
          <w:szCs w:val="32"/>
        </w:rPr>
      </w:pPr>
      <w:bookmarkStart w:id="682" w:name="_Toc16621"/>
      <w:r>
        <w:rPr>
          <w:rFonts w:ascii="Arial" w:hAnsi="Arial" w:cs="Arial"/>
          <w:b/>
          <w:bCs/>
          <w:sz w:val="24"/>
          <w:szCs w:val="32"/>
        </w:rPr>
        <w:t>中国农业银行海盐县支行（2179）账户1月份银行账单</w:t>
      </w:r>
      <w:bookmarkEnd w:id="682"/>
    </w:p>
    <w:p>
      <w:pPr>
        <w:rPr>
          <w:rFonts w:ascii="Arial" w:hAnsi="Arial" w:cs="Arial"/>
          <w:b/>
          <w:bCs/>
          <w:sz w:val="24"/>
          <w:szCs w:val="32"/>
        </w:rPr>
      </w:pPr>
    </w:p>
    <w:p>
      <w:pPr>
        <w:rPr>
          <w:rFonts w:ascii="Arial" w:hAnsi="Arial" w:cs="Arial"/>
          <w:b/>
          <w:bCs/>
          <w:sz w:val="24"/>
          <w:szCs w:val="32"/>
        </w:rPr>
      </w:pPr>
    </w:p>
    <w:p>
      <w:pPr>
        <w:rPr>
          <w:rFonts w:hint="default" w:ascii="Arial" w:hAnsi="Arial" w:eastAsia="宋体" w:cs="Arial"/>
          <w:b/>
          <w:bCs/>
          <w:sz w:val="24"/>
          <w:szCs w:val="32"/>
          <w:lang w:eastAsia="zh-CN"/>
        </w:rPr>
      </w:pPr>
      <w:r>
        <w:rPr>
          <w:rFonts w:hint="default" w:ascii="Arial" w:hAnsi="Arial" w:eastAsia="宋体" w:cs="Arial"/>
          <w:b/>
          <w:bCs/>
          <w:sz w:val="24"/>
          <w:szCs w:val="32"/>
          <w:lang w:eastAsia="zh-CN"/>
        </w:rPr>
        <w:drawing>
          <wp:inline distT="0" distB="0" distL="114300" distR="114300">
            <wp:extent cx="5895975" cy="3876675"/>
            <wp:effectExtent l="0" t="0" r="1905" b="9525"/>
            <wp:docPr id="9" name="图片 9" descr="72ad26aceee640a42cb7125f69f9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2ad26aceee640a42cb7125f69f9b75"/>
                    <pic:cNvPicPr>
                      <a:picLocks noChangeAspect="1"/>
                    </pic:cNvPicPr>
                  </pic:nvPicPr>
                  <pic:blipFill>
                    <a:blip r:embed="rId20"/>
                    <a:stretch>
                      <a:fillRect/>
                    </a:stretch>
                  </pic:blipFill>
                  <pic:spPr>
                    <a:xfrm>
                      <a:off x="0" y="0"/>
                      <a:ext cx="5895975" cy="3876675"/>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900420" cy="3555365"/>
            <wp:effectExtent l="0" t="0" r="12700" b="10795"/>
            <wp:docPr id="13" name="图片 13" descr="6993c333e5a9b50123f74b919a3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993c333e5a9b50123f74b919a37487"/>
                    <pic:cNvPicPr>
                      <a:picLocks noChangeAspect="1"/>
                    </pic:cNvPicPr>
                  </pic:nvPicPr>
                  <pic:blipFill>
                    <a:blip r:embed="rId21"/>
                    <a:stretch>
                      <a:fillRect/>
                    </a:stretch>
                  </pic:blipFill>
                  <pic:spPr>
                    <a:xfrm>
                      <a:off x="0" y="0"/>
                      <a:ext cx="5900420" cy="3555365"/>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899150" cy="4258945"/>
            <wp:effectExtent l="0" t="0" r="13970" b="8255"/>
            <wp:docPr id="15" name="图片 15" descr="d8b285a8b902825fe6f902ca75a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8b285a8b902825fe6f902ca75a6039"/>
                    <pic:cNvPicPr>
                      <a:picLocks noChangeAspect="1"/>
                    </pic:cNvPicPr>
                  </pic:nvPicPr>
                  <pic:blipFill>
                    <a:blip r:embed="rId22"/>
                    <a:stretch>
                      <a:fillRect/>
                    </a:stretch>
                  </pic:blipFill>
                  <pic:spPr>
                    <a:xfrm>
                      <a:off x="0" y="0"/>
                      <a:ext cx="5899150" cy="4258945"/>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6134100" cy="3665855"/>
            <wp:effectExtent l="0" t="0" r="7620" b="6985"/>
            <wp:docPr id="19" name="图片 19" descr="d2786dda26e4a1678ad7385bf08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2786dda26e4a1678ad7385bf087040"/>
                    <pic:cNvPicPr>
                      <a:picLocks noChangeAspect="1"/>
                    </pic:cNvPicPr>
                  </pic:nvPicPr>
                  <pic:blipFill>
                    <a:blip r:embed="rId23"/>
                    <a:stretch>
                      <a:fillRect/>
                    </a:stretch>
                  </pic:blipFill>
                  <pic:spPr>
                    <a:xfrm>
                      <a:off x="0" y="0"/>
                      <a:ext cx="6134100" cy="3665855"/>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901055" cy="3672205"/>
            <wp:effectExtent l="0" t="0" r="12065" b="635"/>
            <wp:docPr id="20" name="图片 20" descr="02c73f7a379dd57f18a6021362cc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2c73f7a379dd57f18a6021362cc415"/>
                    <pic:cNvPicPr>
                      <a:picLocks noChangeAspect="1"/>
                    </pic:cNvPicPr>
                  </pic:nvPicPr>
                  <pic:blipFill>
                    <a:blip r:embed="rId24"/>
                    <a:stretch>
                      <a:fillRect/>
                    </a:stretch>
                  </pic:blipFill>
                  <pic:spPr>
                    <a:xfrm>
                      <a:off x="0" y="0"/>
                      <a:ext cx="5901055" cy="3672205"/>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899785" cy="4396740"/>
            <wp:effectExtent l="0" t="0" r="13335" b="7620"/>
            <wp:docPr id="21" name="图片 21" descr="1de2a6c492583543b7b7db65a2c1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de2a6c492583543b7b7db65a2c1c6a"/>
                    <pic:cNvPicPr>
                      <a:picLocks noChangeAspect="1"/>
                    </pic:cNvPicPr>
                  </pic:nvPicPr>
                  <pic:blipFill>
                    <a:blip r:embed="rId25"/>
                    <a:stretch>
                      <a:fillRect/>
                    </a:stretch>
                  </pic:blipFill>
                  <pic:spPr>
                    <a:xfrm>
                      <a:off x="0" y="0"/>
                      <a:ext cx="5899785" cy="4396740"/>
                    </a:xfrm>
                    <a:prstGeom prst="rect">
                      <a:avLst/>
                    </a:prstGeom>
                  </pic:spPr>
                </pic:pic>
              </a:graphicData>
            </a:graphic>
          </wp:inline>
        </w:drawing>
      </w:r>
    </w:p>
    <w:p>
      <w:pPr>
        <w:rPr>
          <w:rFonts w:hint="eastAsia" w:ascii="Arial" w:hAnsi="Arial" w:eastAsia="宋体" w:cs="Arial"/>
          <w:b/>
          <w:bCs/>
          <w:sz w:val="24"/>
          <w:szCs w:val="32"/>
          <w:lang w:eastAsia="zh-CN"/>
        </w:rPr>
      </w:pPr>
    </w:p>
    <w:p>
      <w:pPr>
        <w:rPr>
          <w:rFonts w:ascii="Arial" w:hAnsi="Arial" w:cs="Arial"/>
          <w:b/>
          <w:bCs/>
          <w:sz w:val="24"/>
          <w:szCs w:val="32"/>
        </w:rPr>
      </w:pPr>
    </w:p>
    <w:p>
      <w:pPr>
        <w:rPr>
          <w:rFonts w:hint="default" w:ascii="Arial" w:hAnsi="Arial" w:eastAsia="宋体" w:cs="Arial"/>
          <w:b/>
          <w:bCs/>
          <w:sz w:val="24"/>
          <w:szCs w:val="32"/>
          <w:lang w:eastAsia="zh-CN"/>
        </w:rPr>
      </w:pPr>
      <w:r>
        <w:rPr>
          <w:rFonts w:hint="default" w:ascii="Arial" w:hAnsi="Arial" w:eastAsia="宋体" w:cs="Arial"/>
          <w:b/>
          <w:bCs/>
          <w:sz w:val="24"/>
          <w:szCs w:val="32"/>
          <w:lang w:eastAsia="zh-CN"/>
        </w:rPr>
        <w:drawing>
          <wp:inline distT="0" distB="0" distL="114300" distR="114300">
            <wp:extent cx="5902960" cy="4344670"/>
            <wp:effectExtent l="0" t="0" r="10160" b="13970"/>
            <wp:docPr id="22" name="图片 22" descr="128d964a460d06fbbe5430b3d476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8d964a460d06fbbe5430b3d476b7a"/>
                    <pic:cNvPicPr>
                      <a:picLocks noChangeAspect="1"/>
                    </pic:cNvPicPr>
                  </pic:nvPicPr>
                  <pic:blipFill>
                    <a:blip r:embed="rId26"/>
                    <a:stretch>
                      <a:fillRect/>
                    </a:stretch>
                  </pic:blipFill>
                  <pic:spPr>
                    <a:xfrm>
                      <a:off x="0" y="0"/>
                      <a:ext cx="5902960" cy="4344670"/>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899785" cy="3649980"/>
            <wp:effectExtent l="0" t="0" r="13335" b="7620"/>
            <wp:docPr id="23" name="图片 23" descr="1bacb4a9f7e5cb20ec33c0b36e74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bacb4a9f7e5cb20ec33c0b36e741da"/>
                    <pic:cNvPicPr>
                      <a:picLocks noChangeAspect="1"/>
                    </pic:cNvPicPr>
                  </pic:nvPicPr>
                  <pic:blipFill>
                    <a:blip r:embed="rId27"/>
                    <a:stretch>
                      <a:fillRect/>
                    </a:stretch>
                  </pic:blipFill>
                  <pic:spPr>
                    <a:xfrm>
                      <a:off x="0" y="0"/>
                      <a:ext cx="5899785" cy="3649980"/>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897245" cy="3657600"/>
            <wp:effectExtent l="0" t="0" r="635" b="0"/>
            <wp:docPr id="24" name="图片 24" descr="fb20d3a45c9c8ba5052ecd970051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b20d3a45c9c8ba5052ecd97005166a"/>
                    <pic:cNvPicPr>
                      <a:picLocks noChangeAspect="1"/>
                    </pic:cNvPicPr>
                  </pic:nvPicPr>
                  <pic:blipFill>
                    <a:blip r:embed="rId28"/>
                    <a:stretch>
                      <a:fillRect/>
                    </a:stretch>
                  </pic:blipFill>
                  <pic:spPr>
                    <a:xfrm>
                      <a:off x="0" y="0"/>
                      <a:ext cx="5897245" cy="3657600"/>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899785" cy="3649980"/>
            <wp:effectExtent l="0" t="0" r="13335" b="7620"/>
            <wp:docPr id="25" name="图片 25" descr="17804c89b534a6d9dcdcfbe32f2f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804c89b534a6d9dcdcfbe32f2f15a"/>
                    <pic:cNvPicPr>
                      <a:picLocks noChangeAspect="1"/>
                    </pic:cNvPicPr>
                  </pic:nvPicPr>
                  <pic:blipFill>
                    <a:blip r:embed="rId29"/>
                    <a:stretch>
                      <a:fillRect/>
                    </a:stretch>
                  </pic:blipFill>
                  <pic:spPr>
                    <a:xfrm>
                      <a:off x="0" y="0"/>
                      <a:ext cx="5899785" cy="3649980"/>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899785" cy="3634740"/>
            <wp:effectExtent l="0" t="0" r="13335" b="7620"/>
            <wp:docPr id="26" name="图片 26" descr="674e33cae1dff7da19c5885665e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74e33cae1dff7da19c5885665e0603"/>
                    <pic:cNvPicPr>
                      <a:picLocks noChangeAspect="1"/>
                    </pic:cNvPicPr>
                  </pic:nvPicPr>
                  <pic:blipFill>
                    <a:blip r:embed="rId30"/>
                    <a:stretch>
                      <a:fillRect/>
                    </a:stretch>
                  </pic:blipFill>
                  <pic:spPr>
                    <a:xfrm>
                      <a:off x="0" y="0"/>
                      <a:ext cx="5899785" cy="3634740"/>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901055" cy="4398645"/>
            <wp:effectExtent l="0" t="0" r="12065" b="5715"/>
            <wp:docPr id="27" name="图片 27" descr="a6ede80fe131e63605b77db00467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6ede80fe131e63605b77db00467f36"/>
                    <pic:cNvPicPr>
                      <a:picLocks noChangeAspect="1"/>
                    </pic:cNvPicPr>
                  </pic:nvPicPr>
                  <pic:blipFill>
                    <a:blip r:embed="rId31"/>
                    <a:stretch>
                      <a:fillRect/>
                    </a:stretch>
                  </pic:blipFill>
                  <pic:spPr>
                    <a:xfrm>
                      <a:off x="0" y="0"/>
                      <a:ext cx="5901055" cy="4398645"/>
                    </a:xfrm>
                    <a:prstGeom prst="rect">
                      <a:avLst/>
                    </a:prstGeom>
                  </pic:spPr>
                </pic:pic>
              </a:graphicData>
            </a:graphic>
          </wp:inline>
        </w:drawing>
      </w:r>
      <w:r>
        <w:rPr>
          <w:rFonts w:hint="default" w:ascii="Arial" w:hAnsi="Arial" w:eastAsia="宋体" w:cs="Arial"/>
          <w:b/>
          <w:bCs/>
          <w:sz w:val="24"/>
          <w:szCs w:val="32"/>
          <w:lang w:eastAsia="zh-CN"/>
        </w:rPr>
        <w:drawing>
          <wp:inline distT="0" distB="0" distL="114300" distR="114300">
            <wp:extent cx="5900420" cy="3971925"/>
            <wp:effectExtent l="0" t="0" r="12700" b="5715"/>
            <wp:docPr id="28" name="图片 28" descr="a6e0ff316e232d35ceeab5a32fb2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6e0ff316e232d35ceeab5a32fb221e"/>
                    <pic:cNvPicPr>
                      <a:picLocks noChangeAspect="1"/>
                    </pic:cNvPicPr>
                  </pic:nvPicPr>
                  <pic:blipFill>
                    <a:blip r:embed="rId32"/>
                    <a:stretch>
                      <a:fillRect/>
                    </a:stretch>
                  </pic:blipFill>
                  <pic:spPr>
                    <a:xfrm>
                      <a:off x="0" y="0"/>
                      <a:ext cx="5900420" cy="3971925"/>
                    </a:xfrm>
                    <a:prstGeom prst="rect">
                      <a:avLst/>
                    </a:prstGeom>
                  </pic:spPr>
                </pic:pic>
              </a:graphicData>
            </a:graphic>
          </wp:inline>
        </w:drawing>
      </w:r>
    </w:p>
    <w:p>
      <w:pPr>
        <w:rPr>
          <w:rFonts w:ascii="Arial" w:hAnsi="Arial" w:cs="Arial"/>
          <w:b/>
          <w:bCs/>
          <w:sz w:val="24"/>
          <w:szCs w:val="32"/>
        </w:rPr>
      </w:pPr>
    </w:p>
    <w:p>
      <w:pPr>
        <w:rPr>
          <w:rFonts w:hint="eastAsia" w:ascii="Arial" w:hAnsi="Arial" w:eastAsia="宋体" w:cs="Arial"/>
          <w:b/>
          <w:bCs/>
          <w:sz w:val="24"/>
          <w:szCs w:val="32"/>
          <w:lang w:eastAsia="zh-CN"/>
        </w:rPr>
      </w:pPr>
    </w:p>
    <w:p>
      <w:pPr>
        <w:rPr>
          <w:rFonts w:hint="eastAsia" w:ascii="Arial" w:hAnsi="Arial" w:eastAsia="宋体" w:cs="Arial"/>
          <w:b/>
          <w:bCs/>
          <w:sz w:val="24"/>
          <w:szCs w:val="32"/>
          <w:lang w:eastAsia="zh-CN"/>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ind w:firstLine="1205" w:firstLineChars="500"/>
        <w:rPr>
          <w:rFonts w:ascii="Arial" w:hAnsi="Arial" w:cs="Arial"/>
          <w:b/>
          <w:bCs/>
          <w:sz w:val="24"/>
          <w:szCs w:val="32"/>
        </w:rPr>
      </w:pPr>
      <w:r>
        <w:rPr>
          <w:rFonts w:ascii="Arial" w:hAnsi="Arial" w:cs="Arial"/>
          <w:b/>
          <w:bCs/>
          <w:sz w:val="24"/>
          <w:szCs w:val="32"/>
        </w:rPr>
        <w:t>中国农业银行海盐县支行（</w:t>
      </w:r>
      <w:r>
        <w:rPr>
          <w:rFonts w:hint="eastAsia" w:ascii="Arial" w:hAnsi="Arial" w:cs="Arial"/>
          <w:b/>
          <w:bCs/>
          <w:sz w:val="24"/>
          <w:szCs w:val="32"/>
          <w:lang w:val="en-US" w:eastAsia="zh-CN"/>
        </w:rPr>
        <w:t>8028</w:t>
      </w:r>
      <w:r>
        <w:rPr>
          <w:rFonts w:ascii="Arial" w:hAnsi="Arial" w:cs="Arial"/>
          <w:b/>
          <w:bCs/>
          <w:sz w:val="24"/>
          <w:szCs w:val="32"/>
        </w:rPr>
        <w:t>）</w:t>
      </w:r>
      <w:r>
        <w:rPr>
          <w:rFonts w:hint="eastAsia" w:ascii="Arial" w:hAnsi="Arial" w:cs="Arial"/>
          <w:b/>
          <w:bCs/>
          <w:sz w:val="24"/>
          <w:szCs w:val="32"/>
          <w:lang w:val="en-US" w:eastAsia="zh-CN"/>
        </w:rPr>
        <w:t>预售资金监管</w:t>
      </w:r>
      <w:r>
        <w:rPr>
          <w:rFonts w:ascii="Arial" w:hAnsi="Arial" w:cs="Arial"/>
          <w:b/>
          <w:bCs/>
          <w:sz w:val="24"/>
          <w:szCs w:val="32"/>
        </w:rPr>
        <w:t>账户1月份银行账单</w:t>
      </w:r>
    </w:p>
    <w:p>
      <w:pPr>
        <w:ind w:firstLine="1205" w:firstLineChars="500"/>
        <w:rPr>
          <w:rFonts w:ascii="Arial" w:hAnsi="Arial" w:cs="Arial"/>
          <w:b/>
          <w:bCs/>
          <w:sz w:val="24"/>
          <w:szCs w:val="32"/>
        </w:rPr>
      </w:pPr>
    </w:p>
    <w:p>
      <w:pPr>
        <w:rPr>
          <w:rFonts w:hint="eastAsia" w:ascii="Arial" w:hAnsi="Arial" w:eastAsia="宋体" w:cs="Arial"/>
          <w:b/>
          <w:bCs/>
          <w:sz w:val="24"/>
          <w:szCs w:val="32"/>
          <w:lang w:eastAsia="zh-CN"/>
        </w:rPr>
      </w:pPr>
    </w:p>
    <w:p>
      <w:pPr>
        <w:rPr>
          <w:rFonts w:hint="default" w:ascii="Arial" w:hAnsi="Arial" w:cs="Arial"/>
          <w:b/>
          <w:bCs/>
          <w:sz w:val="24"/>
          <w:szCs w:val="32"/>
        </w:rPr>
      </w:pPr>
      <w:r>
        <w:rPr>
          <w:rFonts w:hint="default" w:ascii="Arial" w:hAnsi="Arial" w:cs="Arial"/>
          <w:b/>
          <w:bCs/>
          <w:sz w:val="24"/>
          <w:szCs w:val="32"/>
        </w:rPr>
        <w:drawing>
          <wp:inline distT="0" distB="0" distL="114300" distR="114300">
            <wp:extent cx="5895340" cy="2904490"/>
            <wp:effectExtent l="0" t="0" r="2540" b="6350"/>
            <wp:docPr id="30" name="图片 30" descr="bf6162c1b21ccc1bd5ac231389e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f6162c1b21ccc1bd5ac231389e4918"/>
                    <pic:cNvPicPr>
                      <a:picLocks noChangeAspect="1"/>
                    </pic:cNvPicPr>
                  </pic:nvPicPr>
                  <pic:blipFill>
                    <a:blip r:embed="rId33"/>
                    <a:stretch>
                      <a:fillRect/>
                    </a:stretch>
                  </pic:blipFill>
                  <pic:spPr>
                    <a:xfrm>
                      <a:off x="0" y="0"/>
                      <a:ext cx="5895340" cy="2904490"/>
                    </a:xfrm>
                    <a:prstGeom prst="rect">
                      <a:avLst/>
                    </a:prstGeom>
                  </pic:spPr>
                </pic:pic>
              </a:graphicData>
            </a:graphic>
          </wp:inline>
        </w:drawing>
      </w:r>
      <w:r>
        <w:rPr>
          <w:rFonts w:hint="default" w:ascii="Arial" w:hAnsi="Arial" w:cs="Arial"/>
          <w:b/>
          <w:bCs/>
          <w:sz w:val="24"/>
          <w:szCs w:val="32"/>
        </w:rPr>
        <w:drawing>
          <wp:inline distT="0" distB="0" distL="114300" distR="114300">
            <wp:extent cx="5895340" cy="4373245"/>
            <wp:effectExtent l="0" t="0" r="2540" b="635"/>
            <wp:docPr id="31" name="图片 31" descr="e46ca0d8859ca33dc602e1669736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46ca0d8859ca33dc602e166973628e"/>
                    <pic:cNvPicPr>
                      <a:picLocks noChangeAspect="1"/>
                    </pic:cNvPicPr>
                  </pic:nvPicPr>
                  <pic:blipFill>
                    <a:blip r:embed="rId34"/>
                    <a:stretch>
                      <a:fillRect/>
                    </a:stretch>
                  </pic:blipFill>
                  <pic:spPr>
                    <a:xfrm>
                      <a:off x="0" y="0"/>
                      <a:ext cx="5895340" cy="4373245"/>
                    </a:xfrm>
                    <a:prstGeom prst="rect">
                      <a:avLst/>
                    </a:prstGeom>
                  </pic:spPr>
                </pic:pic>
              </a:graphicData>
            </a:graphic>
          </wp:inline>
        </w:drawing>
      </w:r>
      <w:r>
        <w:rPr>
          <w:rFonts w:hint="default" w:ascii="Arial" w:hAnsi="Arial" w:cs="Arial"/>
          <w:b/>
          <w:bCs/>
          <w:sz w:val="24"/>
          <w:szCs w:val="32"/>
        </w:rPr>
        <w:drawing>
          <wp:inline distT="0" distB="0" distL="114300" distR="114300">
            <wp:extent cx="5899150" cy="5040630"/>
            <wp:effectExtent l="0" t="0" r="13970" b="3810"/>
            <wp:docPr id="32" name="图片 32" descr="9fa641d3c656e6e5728d1022eac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fa641d3c656e6e5728d1022eacc300"/>
                    <pic:cNvPicPr>
                      <a:picLocks noChangeAspect="1"/>
                    </pic:cNvPicPr>
                  </pic:nvPicPr>
                  <pic:blipFill>
                    <a:blip r:embed="rId35"/>
                    <a:stretch>
                      <a:fillRect/>
                    </a:stretch>
                  </pic:blipFill>
                  <pic:spPr>
                    <a:xfrm>
                      <a:off x="0" y="0"/>
                      <a:ext cx="5899150" cy="5040630"/>
                    </a:xfrm>
                    <a:prstGeom prst="rect">
                      <a:avLst/>
                    </a:prstGeom>
                  </pic:spPr>
                </pic:pic>
              </a:graphicData>
            </a:graphic>
          </wp:inline>
        </w:drawing>
      </w:r>
    </w:p>
    <w:p>
      <w:pPr>
        <w:rPr>
          <w:rFonts w:ascii="Arial" w:hAnsi="Arial" w:cs="Arial"/>
          <w:b/>
          <w:bCs/>
          <w:sz w:val="24"/>
          <w:szCs w:val="32"/>
        </w:rPr>
      </w:pPr>
    </w:p>
    <w:p>
      <w:pPr>
        <w:rPr>
          <w:rFonts w:hint="default" w:ascii="Arial" w:hAnsi="Arial" w:cs="Arial"/>
          <w:b/>
          <w:bCs/>
          <w:sz w:val="24"/>
          <w:szCs w:val="32"/>
        </w:rPr>
      </w:pPr>
      <w:r>
        <w:rPr>
          <w:rFonts w:hint="default" w:ascii="Arial" w:hAnsi="Arial" w:cs="Arial"/>
          <w:b/>
          <w:bCs/>
          <w:sz w:val="24"/>
          <w:szCs w:val="32"/>
        </w:rPr>
        <w:drawing>
          <wp:inline distT="0" distB="0" distL="114300" distR="114300">
            <wp:extent cx="5894705" cy="2250440"/>
            <wp:effectExtent l="0" t="0" r="3175" b="5080"/>
            <wp:docPr id="33" name="图片 33" descr="c2683195b999e377c0f89434fbea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2683195b999e377c0f89434fbea08c"/>
                    <pic:cNvPicPr>
                      <a:picLocks noChangeAspect="1"/>
                    </pic:cNvPicPr>
                  </pic:nvPicPr>
                  <pic:blipFill>
                    <a:blip r:embed="rId36"/>
                    <a:stretch>
                      <a:fillRect/>
                    </a:stretch>
                  </pic:blipFill>
                  <pic:spPr>
                    <a:xfrm>
                      <a:off x="0" y="0"/>
                      <a:ext cx="5894705" cy="2250440"/>
                    </a:xfrm>
                    <a:prstGeom prst="rect">
                      <a:avLst/>
                    </a:prstGeom>
                  </pic:spPr>
                </pic:pic>
              </a:graphicData>
            </a:graphic>
          </wp:inline>
        </w:drawing>
      </w:r>
      <w:r>
        <w:rPr>
          <w:rFonts w:hint="default" w:ascii="Arial" w:hAnsi="Arial" w:cs="Arial"/>
          <w:b/>
          <w:bCs/>
          <w:sz w:val="24"/>
          <w:szCs w:val="32"/>
        </w:rPr>
        <w:drawing>
          <wp:inline distT="0" distB="0" distL="114300" distR="114300">
            <wp:extent cx="5895340" cy="3230880"/>
            <wp:effectExtent l="0" t="0" r="2540" b="0"/>
            <wp:docPr id="34" name="图片 34" descr="390db05e0bedf0b53d4023fc411e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90db05e0bedf0b53d4023fc411e1e2"/>
                    <pic:cNvPicPr>
                      <a:picLocks noChangeAspect="1"/>
                    </pic:cNvPicPr>
                  </pic:nvPicPr>
                  <pic:blipFill>
                    <a:blip r:embed="rId37"/>
                    <a:stretch>
                      <a:fillRect/>
                    </a:stretch>
                  </pic:blipFill>
                  <pic:spPr>
                    <a:xfrm>
                      <a:off x="0" y="0"/>
                      <a:ext cx="5895340" cy="3230880"/>
                    </a:xfrm>
                    <a:prstGeom prst="rect">
                      <a:avLst/>
                    </a:prstGeom>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outlineLvl w:val="0"/>
        <w:rPr>
          <w:rFonts w:ascii="Arial" w:hAnsi="Arial" w:cs="Arial"/>
          <w:b/>
          <w:bCs/>
          <w:sz w:val="24"/>
          <w:szCs w:val="32"/>
        </w:rPr>
      </w:pPr>
      <w:bookmarkStart w:id="683" w:name="_Toc3045"/>
      <w:bookmarkStart w:id="684" w:name="_Toc1847"/>
      <w:bookmarkStart w:id="685" w:name="_Toc21324"/>
      <w:bookmarkStart w:id="686" w:name="_Toc23444"/>
      <w:bookmarkStart w:id="687" w:name="_Toc32674"/>
      <w:bookmarkStart w:id="688" w:name="_Toc1560"/>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r>
        <w:rPr>
          <w:rFonts w:ascii="Arial" w:hAnsi="Arial" w:cs="Arial"/>
          <w:b/>
          <w:bCs/>
          <w:sz w:val="24"/>
          <w:szCs w:val="32"/>
        </w:rPr>
        <w:t>附件二 用印登记薄</w:t>
      </w:r>
      <w:bookmarkEnd w:id="683"/>
      <w:bookmarkEnd w:id="684"/>
      <w:bookmarkEnd w:id="685"/>
      <w:bookmarkEnd w:id="686"/>
      <w:bookmarkEnd w:id="687"/>
      <w:bookmarkEnd w:id="688"/>
    </w:p>
    <w:p>
      <w:pPr>
        <w:rPr>
          <w:rFonts w:ascii="Arial" w:hAnsi="Arial" w:cs="Arial"/>
          <w:b/>
          <w:bCs/>
          <w:sz w:val="24"/>
          <w:szCs w:val="32"/>
        </w:rPr>
      </w:pPr>
    </w:p>
    <w:p>
      <w:pPr>
        <w:ind w:firstLine="1928" w:firstLineChars="800"/>
        <w:outlineLvl w:val="9"/>
        <w:rPr>
          <w:rFonts w:ascii="Arial" w:hAnsi="Arial" w:cs="Arial"/>
          <w:b/>
          <w:bCs/>
          <w:sz w:val="24"/>
          <w:szCs w:val="32"/>
        </w:rPr>
      </w:pPr>
      <w:bookmarkStart w:id="689" w:name="_Toc25601"/>
      <w:bookmarkStart w:id="690" w:name="_Toc27346"/>
      <w:r>
        <w:rPr>
          <w:rFonts w:ascii="Arial" w:hAnsi="Arial" w:cs="Arial"/>
          <w:b/>
          <w:bCs/>
          <w:sz w:val="24"/>
          <w:szCs w:val="32"/>
        </w:rPr>
        <w:t>项目公司202</w:t>
      </w:r>
      <w:r>
        <w:rPr>
          <w:rFonts w:hint="eastAsia" w:ascii="Arial" w:hAnsi="Arial" w:cs="Arial"/>
          <w:b/>
          <w:bCs/>
          <w:sz w:val="24"/>
          <w:szCs w:val="32"/>
          <w:lang w:val="en-US" w:eastAsia="zh-CN"/>
        </w:rPr>
        <w:t>1</w:t>
      </w:r>
      <w:r>
        <w:rPr>
          <w:rFonts w:ascii="Arial" w:hAnsi="Arial" w:cs="Arial"/>
          <w:b/>
          <w:bCs/>
          <w:sz w:val="24"/>
          <w:szCs w:val="32"/>
        </w:rPr>
        <w:t>年1月份用印登记簿</w:t>
      </w:r>
      <w:bookmarkEnd w:id="689"/>
      <w:bookmarkEnd w:id="690"/>
    </w:p>
    <w:p>
      <w:pPr>
        <w:ind w:firstLine="1680" w:firstLineChars="800"/>
        <w:rPr>
          <w:rFonts w:ascii="Arial" w:hAnsi="Arial" w:cs="Arial"/>
          <w:b/>
          <w:bCs/>
          <w:sz w:val="24"/>
          <w:szCs w:val="32"/>
        </w:rPr>
      </w:pPr>
      <w:r>
        <w:drawing>
          <wp:anchor distT="0" distB="0" distL="114300" distR="114300" simplePos="0" relativeHeight="252857344" behindDoc="0" locked="0" layoutInCell="1" allowOverlap="1">
            <wp:simplePos x="0" y="0"/>
            <wp:positionH relativeFrom="column">
              <wp:posOffset>-541020</wp:posOffset>
            </wp:positionH>
            <wp:positionV relativeFrom="paragraph">
              <wp:posOffset>114300</wp:posOffset>
            </wp:positionV>
            <wp:extent cx="5901055" cy="1340485"/>
            <wp:effectExtent l="0" t="0" r="12065" b="635"/>
            <wp:wrapNone/>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8"/>
                    <a:stretch>
                      <a:fillRect/>
                    </a:stretch>
                  </pic:blipFill>
                  <pic:spPr>
                    <a:xfrm>
                      <a:off x="0" y="0"/>
                      <a:ext cx="5901055" cy="1340485"/>
                    </a:xfrm>
                    <a:prstGeom prst="rect">
                      <a:avLst/>
                    </a:prstGeom>
                    <a:noFill/>
                    <a:ln>
                      <a:noFill/>
                    </a:ln>
                  </pic:spPr>
                </pic:pic>
              </a:graphicData>
            </a:graphic>
          </wp:anchor>
        </w:drawing>
      </w:r>
    </w:p>
    <w:p>
      <w:pPr>
        <w:ind w:firstLine="1928" w:firstLineChars="800"/>
        <w:rPr>
          <w:rFonts w:ascii="Arial" w:hAnsi="Arial" w:cs="Arial"/>
          <w:b/>
          <w:bCs/>
          <w:sz w:val="24"/>
          <w:szCs w:val="32"/>
        </w:rPr>
      </w:pPr>
    </w:p>
    <w:p>
      <w:pPr>
        <w:ind w:firstLine="1928" w:firstLineChars="800"/>
        <w:rPr>
          <w:rFonts w:ascii="Arial" w:hAnsi="Arial" w:cs="Arial"/>
          <w:b/>
          <w:bCs/>
          <w:sz w:val="24"/>
          <w:szCs w:val="32"/>
        </w:rPr>
      </w:pPr>
    </w:p>
    <w:p>
      <w:pPr>
        <w:ind w:firstLine="1928" w:firstLineChars="800"/>
        <w:rPr>
          <w:rFonts w:ascii="Arial" w:hAnsi="Arial" w:cs="Arial"/>
          <w:b/>
          <w:bCs/>
          <w:sz w:val="24"/>
          <w:szCs w:val="32"/>
        </w:rPr>
      </w:pPr>
    </w:p>
    <w:p>
      <w:pPr>
        <w:ind w:firstLine="1928" w:firstLineChars="800"/>
        <w:rPr>
          <w:rFonts w:ascii="Arial" w:hAnsi="Arial" w:cs="Arial"/>
          <w:b/>
          <w:bCs/>
          <w:sz w:val="24"/>
          <w:szCs w:val="32"/>
        </w:rPr>
      </w:pPr>
    </w:p>
    <w:p>
      <w:pPr>
        <w:ind w:firstLine="2409" w:firstLineChars="1000"/>
        <w:rPr>
          <w:rFonts w:hint="eastAsia" w:ascii="Arial" w:hAnsi="Arial" w:eastAsia="宋体" w:cs="Arial"/>
          <w:b/>
          <w:bCs/>
          <w:sz w:val="24"/>
          <w:szCs w:val="32"/>
          <w:lang w:eastAsia="zh-CN"/>
        </w:rPr>
      </w:pPr>
      <w:r>
        <w:rPr>
          <w:rFonts w:hint="eastAsia" w:ascii="Arial" w:hAnsi="Arial" w:cs="Arial"/>
          <w:b/>
          <w:bCs/>
          <w:sz w:val="24"/>
          <w:szCs w:val="32"/>
          <w:lang w:eastAsia="zh-CN"/>
        </w:rPr>
        <w:tab/>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drawing>
          <wp:anchor distT="0" distB="0" distL="114300" distR="114300" simplePos="0" relativeHeight="252858368" behindDoc="0" locked="0" layoutInCell="1" allowOverlap="1">
            <wp:simplePos x="0" y="0"/>
            <wp:positionH relativeFrom="column">
              <wp:posOffset>-220980</wp:posOffset>
            </wp:positionH>
            <wp:positionV relativeFrom="paragraph">
              <wp:posOffset>121920</wp:posOffset>
            </wp:positionV>
            <wp:extent cx="5547995" cy="1083310"/>
            <wp:effectExtent l="0" t="0" r="14605" b="13970"/>
            <wp:wrapNone/>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9"/>
                    <a:stretch>
                      <a:fillRect/>
                    </a:stretch>
                  </pic:blipFill>
                  <pic:spPr>
                    <a:xfrm>
                      <a:off x="0" y="0"/>
                      <a:ext cx="5547995" cy="1083310"/>
                    </a:xfrm>
                    <a:prstGeom prst="rect">
                      <a:avLst/>
                    </a:prstGeom>
                    <a:noFill/>
                    <a:ln>
                      <a:noFill/>
                    </a:ln>
                  </pic:spPr>
                </pic:pic>
              </a:graphicData>
            </a:graphic>
          </wp:anchor>
        </w:drawing>
      </w:r>
    </w:p>
    <w:p>
      <w:pPr>
        <w:rPr>
          <w:rFonts w:ascii="Arial" w:hAnsi="Arial" w:cs="Arial"/>
          <w:b/>
          <w:bCs/>
          <w:sz w:val="24"/>
          <w:szCs w:val="32"/>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r>
        <w:drawing>
          <wp:anchor distT="0" distB="0" distL="114300" distR="114300" simplePos="0" relativeHeight="252860416" behindDoc="0" locked="0" layoutInCell="1" allowOverlap="1">
            <wp:simplePos x="0" y="0"/>
            <wp:positionH relativeFrom="column">
              <wp:posOffset>-434340</wp:posOffset>
            </wp:positionH>
            <wp:positionV relativeFrom="paragraph">
              <wp:posOffset>38100</wp:posOffset>
            </wp:positionV>
            <wp:extent cx="5901055" cy="4001770"/>
            <wp:effectExtent l="0" t="0" r="12065" b="6350"/>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40"/>
                    <a:stretch>
                      <a:fillRect/>
                    </a:stretch>
                  </pic:blipFill>
                  <pic:spPr>
                    <a:xfrm>
                      <a:off x="0" y="0"/>
                      <a:ext cx="5901055" cy="4001770"/>
                    </a:xfrm>
                    <a:prstGeom prst="rect">
                      <a:avLst/>
                    </a:prstGeom>
                    <a:noFill/>
                    <a:ln>
                      <a:noFill/>
                    </a:ln>
                  </pic:spPr>
                </pic:pic>
              </a:graphicData>
            </a:graphic>
          </wp:anchor>
        </w:drawing>
      </w: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r>
        <w:drawing>
          <wp:anchor distT="0" distB="0" distL="114300" distR="114300" simplePos="0" relativeHeight="252859392" behindDoc="0" locked="0" layoutInCell="1" allowOverlap="1">
            <wp:simplePos x="0" y="0"/>
            <wp:positionH relativeFrom="column">
              <wp:posOffset>60960</wp:posOffset>
            </wp:positionH>
            <wp:positionV relativeFrom="paragraph">
              <wp:posOffset>55245</wp:posOffset>
            </wp:positionV>
            <wp:extent cx="5254625" cy="1452880"/>
            <wp:effectExtent l="0" t="0" r="3175" b="10160"/>
            <wp:wrapNone/>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41"/>
                    <a:stretch>
                      <a:fillRect/>
                    </a:stretch>
                  </pic:blipFill>
                  <pic:spPr>
                    <a:xfrm>
                      <a:off x="0" y="0"/>
                      <a:ext cx="5254625" cy="1452880"/>
                    </a:xfrm>
                    <a:prstGeom prst="rect">
                      <a:avLst/>
                    </a:prstGeom>
                    <a:noFill/>
                    <a:ln>
                      <a:noFill/>
                    </a:ln>
                  </pic:spPr>
                </pic:pic>
              </a:graphicData>
            </a:graphic>
          </wp:anchor>
        </w:drawing>
      </w: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r>
        <w:drawing>
          <wp:anchor distT="0" distB="0" distL="114300" distR="114300" simplePos="0" relativeHeight="252861440" behindDoc="0" locked="0" layoutInCell="1" allowOverlap="1">
            <wp:simplePos x="0" y="0"/>
            <wp:positionH relativeFrom="column">
              <wp:posOffset>-220980</wp:posOffset>
            </wp:positionH>
            <wp:positionV relativeFrom="paragraph">
              <wp:posOffset>31115</wp:posOffset>
            </wp:positionV>
            <wp:extent cx="5901690" cy="3016885"/>
            <wp:effectExtent l="0" t="0" r="11430" b="635"/>
            <wp:wrapNone/>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42"/>
                    <a:stretch>
                      <a:fillRect/>
                    </a:stretch>
                  </pic:blipFill>
                  <pic:spPr>
                    <a:xfrm>
                      <a:off x="0" y="0"/>
                      <a:ext cx="5901690" cy="3016885"/>
                    </a:xfrm>
                    <a:prstGeom prst="rect">
                      <a:avLst/>
                    </a:prstGeom>
                    <a:noFill/>
                    <a:ln>
                      <a:noFill/>
                    </a:ln>
                  </pic:spPr>
                </pic:pic>
              </a:graphicData>
            </a:graphic>
          </wp:anchor>
        </w:drawing>
      </w: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p>
      <w:pPr>
        <w:rPr>
          <w:rFonts w:hint="eastAsia" w:ascii="Arial" w:hAnsi="Arial" w:cs="Arial"/>
          <w:b/>
          <w:bCs/>
          <w:sz w:val="24"/>
          <w:szCs w:val="32"/>
          <w:lang w:val="en-US" w:eastAsia="zh-CN"/>
        </w:rPr>
      </w:pPr>
    </w:p>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p>
      <w:pPr>
        <w:rPr>
          <w:rFonts w:hint="default" w:ascii="Arial" w:hAnsi="Arial" w:cs="Arial"/>
          <w:b/>
          <w:bCs/>
          <w:sz w:val="24"/>
          <w:szCs w:val="32"/>
          <w:lang w:val="en-US" w:eastAsia="zh-CN"/>
        </w:rPr>
      </w:pPr>
    </w:p>
    <w:sectPr>
      <w:pgSz w:w="11905" w:h="16838"/>
      <w:pgMar w:top="1134" w:right="1134" w:bottom="1134" w:left="1134" w:header="851" w:footer="992"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635</wp:posOffset>
              </wp:positionV>
              <wp:extent cx="304165" cy="1828800"/>
              <wp:effectExtent l="0" t="0" r="635" b="6350"/>
              <wp:wrapNone/>
              <wp:docPr id="3" name="文本框 3"/>
              <wp:cNvGraphicFramePr/>
              <a:graphic xmlns:a="http://schemas.openxmlformats.org/drawingml/2006/main">
                <a:graphicData uri="http://schemas.microsoft.com/office/word/2010/wordprocessingShape">
                  <wps:wsp>
                    <wps:cNvSpPr txBox="1"/>
                    <wps:spPr>
                      <a:xfrm>
                        <a:off x="0" y="0"/>
                        <a:ext cx="3041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05pt;height:144pt;width:23.95pt;mso-position-horizontal:center;mso-position-horizontal-relative:margin;z-index:251658240;mso-width-relative:page;mso-height-relative:page;" filled="f" stroked="f" coordsize="21600,21600" o:gfxdata="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xvi40wAAAAQBAAAPAAAAAAAAAAEAIAAAACIAAABkcnMvZG93bnJldi54bWxQSwEC&#10;FAAUAAAACACHTuJAtIiTBDICAABWBAAADgAAAAAAAAABACAAAAAiAQAAZHJzL2Uyb0RvYy54bWxQ&#10;SwUGAAAAAAYABgBZAQAAxg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p>
    <w:pPr>
      <w:pStyle w:val="11"/>
      <w:tabs>
        <w:tab w:val="left" w:pos="2988"/>
        <w:tab w:val="clear" w:pos="4153"/>
        <w:tab w:val="clear" w:pos="8306"/>
      </w:tabs>
    </w:pP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ascii="Arial" w:hAnsi="Arial"/>
      </w:rPr>
      <w:drawing>
        <wp:inline distT="0" distB="0" distL="0" distR="0">
          <wp:extent cx="5904230" cy="408305"/>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04230" cy="4083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pageBreakBefore w:val="0"/>
      <w:widowControl w:val="0"/>
      <w:pBdr>
        <w:bottom w:val="single" w:color="auto" w:sz="4" w:space="1"/>
      </w:pBdr>
      <w:tabs>
        <w:tab w:val="center" w:pos="4708"/>
        <w:tab w:val="right" w:pos="9297"/>
      </w:tabs>
      <w:kinsoku/>
      <w:wordWrap/>
      <w:overflowPunct/>
      <w:topLinePunct w:val="0"/>
      <w:autoSpaceDE/>
      <w:autoSpaceDN/>
      <w:bidi w:val="0"/>
      <w:adjustRightInd/>
      <w:snapToGrid w:val="0"/>
      <w:spacing w:after="0" w:afterLines="150" w:line="360" w:lineRule="auto"/>
      <w:jc w:val="center"/>
      <w:textAlignment w:val="auto"/>
      <w:rPr>
        <w:rFonts w:hint="eastAsia" w:ascii="Arial" w:hAnsi="Arial"/>
        <w:lang w:eastAsia="zh-CN"/>
      </w:rPr>
    </w:pPr>
    <w:r>
      <w:rPr>
        <w:rFonts w:hint="eastAsia" w:ascii="Arial" w:hAnsi="Arial"/>
      </w:rPr>
      <w:t>202</w:t>
    </w:r>
    <w:r>
      <w:rPr>
        <w:rFonts w:hint="eastAsia" w:ascii="Arial" w:hAnsi="Arial"/>
        <w:lang w:val="en-US" w:eastAsia="zh-CN"/>
      </w:rPr>
      <w:t>1</w:t>
    </w:r>
    <w:r>
      <w:rPr>
        <w:rFonts w:hint="eastAsia" w:ascii="Arial" w:hAnsi="Arial"/>
      </w:rPr>
      <w:t>年1月监管报告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8F933A"/>
    <w:multiLevelType w:val="singleLevel"/>
    <w:tmpl w:val="E18F933A"/>
    <w:lvl w:ilvl="0" w:tentative="0">
      <w:start w:val="1"/>
      <w:numFmt w:val="decimal"/>
      <w:suff w:val="nothing"/>
      <w:lvlText w:val="%1、"/>
      <w:lvlJc w:val="left"/>
    </w:lvl>
  </w:abstractNum>
  <w:abstractNum w:abstractNumId="1">
    <w:nsid w:val="F7E294E9"/>
    <w:multiLevelType w:val="singleLevel"/>
    <w:tmpl w:val="F7E294E9"/>
    <w:lvl w:ilvl="0" w:tentative="0">
      <w:start w:val="1"/>
      <w:numFmt w:val="decimal"/>
      <w:lvlText w:val="(%1)"/>
      <w:lvlJc w:val="left"/>
      <w:pPr>
        <w:ind w:left="425" w:hanging="425"/>
      </w:pPr>
      <w:rPr>
        <w:rFonts w:hint="default"/>
      </w:rPr>
    </w:lvl>
  </w:abstractNum>
  <w:abstractNum w:abstractNumId="2">
    <w:nsid w:val="28E360B2"/>
    <w:multiLevelType w:val="singleLevel"/>
    <w:tmpl w:val="28E360B2"/>
    <w:lvl w:ilvl="0" w:tentative="0">
      <w:start w:val="1"/>
      <w:numFmt w:val="decimal"/>
      <w:suff w:val="nothing"/>
      <w:lvlText w:val="（%1）"/>
      <w:lvlJc w:val="left"/>
    </w:lvl>
  </w:abstractNum>
  <w:abstractNum w:abstractNumId="3">
    <w:nsid w:val="6B7CB1FF"/>
    <w:multiLevelType w:val="singleLevel"/>
    <w:tmpl w:val="6B7CB1FF"/>
    <w:lvl w:ilvl="0" w:tentative="0">
      <w:start w:val="2"/>
      <w:numFmt w:val="decimal"/>
      <w:suff w:val="nothing"/>
      <w:lvlText w:val="%1、"/>
      <w:lvlJc w:val="left"/>
      <w:pPr>
        <w:ind w:left="807" w:firstLine="0"/>
      </w:pPr>
    </w:lvl>
  </w:abstractNum>
  <w:abstractNum w:abstractNumId="4">
    <w:nsid w:val="7037D5BF"/>
    <w:multiLevelType w:val="singleLevel"/>
    <w:tmpl w:val="7037D5BF"/>
    <w:lvl w:ilvl="0" w:tentative="0">
      <w:start w:val="2"/>
      <w:numFmt w:val="decimal"/>
      <w:suff w:val="nothing"/>
      <w:lvlText w:val="%1、"/>
      <w:lvlJc w:val="left"/>
    </w:lvl>
  </w:abstractNum>
  <w:abstractNum w:abstractNumId="5">
    <w:nsid w:val="74D77F5B"/>
    <w:multiLevelType w:val="singleLevel"/>
    <w:tmpl w:val="74D77F5B"/>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17D"/>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3A"/>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8DF"/>
    <w:rsid w:val="000F7E30"/>
    <w:rsid w:val="00100566"/>
    <w:rsid w:val="00100690"/>
    <w:rsid w:val="001018BB"/>
    <w:rsid w:val="00102F26"/>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15EB"/>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170"/>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838"/>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BA1"/>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4262"/>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4DAD"/>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9A4"/>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5D0"/>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13FF"/>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57338"/>
    <w:rsid w:val="00661029"/>
    <w:rsid w:val="00661559"/>
    <w:rsid w:val="006615A7"/>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04E"/>
    <w:rsid w:val="006A15C5"/>
    <w:rsid w:val="006A20F3"/>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8FE"/>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6722"/>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6159"/>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534"/>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762"/>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5CC"/>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4D75"/>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5FF0"/>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2764"/>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6D8B"/>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12A8"/>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595"/>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82A"/>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888"/>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356A"/>
    <w:rsid w:val="00D14F01"/>
    <w:rsid w:val="00D15877"/>
    <w:rsid w:val="00D15D5F"/>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4EE2"/>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703"/>
    <w:rsid w:val="00DA7DF5"/>
    <w:rsid w:val="00DB1876"/>
    <w:rsid w:val="00DB1A1A"/>
    <w:rsid w:val="00DB1AD8"/>
    <w:rsid w:val="00DB1DC4"/>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5C9"/>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2C21"/>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3CC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13170C7"/>
    <w:rsid w:val="01554AEA"/>
    <w:rsid w:val="016C5DB9"/>
    <w:rsid w:val="0175574C"/>
    <w:rsid w:val="01782DD9"/>
    <w:rsid w:val="01870754"/>
    <w:rsid w:val="01DB4FEB"/>
    <w:rsid w:val="01FA5D51"/>
    <w:rsid w:val="02991399"/>
    <w:rsid w:val="02B57280"/>
    <w:rsid w:val="02CF55CB"/>
    <w:rsid w:val="02D96E9C"/>
    <w:rsid w:val="041E2163"/>
    <w:rsid w:val="04417EB8"/>
    <w:rsid w:val="045D7B7F"/>
    <w:rsid w:val="046E49AD"/>
    <w:rsid w:val="04980C22"/>
    <w:rsid w:val="04FC2880"/>
    <w:rsid w:val="05970196"/>
    <w:rsid w:val="05F23F9E"/>
    <w:rsid w:val="0615112B"/>
    <w:rsid w:val="06240B17"/>
    <w:rsid w:val="062863C9"/>
    <w:rsid w:val="062C546A"/>
    <w:rsid w:val="067D1F18"/>
    <w:rsid w:val="069A6125"/>
    <w:rsid w:val="06B07493"/>
    <w:rsid w:val="06D07E7C"/>
    <w:rsid w:val="06F158BA"/>
    <w:rsid w:val="07032BC8"/>
    <w:rsid w:val="073E16B5"/>
    <w:rsid w:val="07D9532A"/>
    <w:rsid w:val="0817766E"/>
    <w:rsid w:val="086E3FA4"/>
    <w:rsid w:val="087A51EF"/>
    <w:rsid w:val="08DA6B3A"/>
    <w:rsid w:val="08E26D94"/>
    <w:rsid w:val="08E8282B"/>
    <w:rsid w:val="08F36FFF"/>
    <w:rsid w:val="09406EB8"/>
    <w:rsid w:val="09787FD3"/>
    <w:rsid w:val="09C2003A"/>
    <w:rsid w:val="09F7514D"/>
    <w:rsid w:val="0A81732A"/>
    <w:rsid w:val="0AD05FBA"/>
    <w:rsid w:val="0B0F3EAF"/>
    <w:rsid w:val="0B3C222D"/>
    <w:rsid w:val="0C27353B"/>
    <w:rsid w:val="0C7410DF"/>
    <w:rsid w:val="0C8177B9"/>
    <w:rsid w:val="0CA3372C"/>
    <w:rsid w:val="0CDE09C1"/>
    <w:rsid w:val="0CE622A7"/>
    <w:rsid w:val="0CEE43B0"/>
    <w:rsid w:val="0D234F27"/>
    <w:rsid w:val="0D6407D8"/>
    <w:rsid w:val="0DBC5A8F"/>
    <w:rsid w:val="0DDA2C30"/>
    <w:rsid w:val="0DEA1FFE"/>
    <w:rsid w:val="0E320BD4"/>
    <w:rsid w:val="0EDB5967"/>
    <w:rsid w:val="0F043B1F"/>
    <w:rsid w:val="0F3D090D"/>
    <w:rsid w:val="0F4A3D7D"/>
    <w:rsid w:val="0FDA2DA5"/>
    <w:rsid w:val="10115648"/>
    <w:rsid w:val="101A4443"/>
    <w:rsid w:val="1040121F"/>
    <w:rsid w:val="104677A9"/>
    <w:rsid w:val="106B45BE"/>
    <w:rsid w:val="106F6C1F"/>
    <w:rsid w:val="109115E9"/>
    <w:rsid w:val="10C23AED"/>
    <w:rsid w:val="10DB63A2"/>
    <w:rsid w:val="111250F6"/>
    <w:rsid w:val="11216537"/>
    <w:rsid w:val="115F795E"/>
    <w:rsid w:val="11C30A5F"/>
    <w:rsid w:val="12403CC3"/>
    <w:rsid w:val="126602EB"/>
    <w:rsid w:val="12734C17"/>
    <w:rsid w:val="12823B1E"/>
    <w:rsid w:val="12F233EC"/>
    <w:rsid w:val="13196194"/>
    <w:rsid w:val="13232C47"/>
    <w:rsid w:val="13521872"/>
    <w:rsid w:val="135A3E0C"/>
    <w:rsid w:val="137A69A0"/>
    <w:rsid w:val="13C226A9"/>
    <w:rsid w:val="13F26917"/>
    <w:rsid w:val="14117697"/>
    <w:rsid w:val="141315DE"/>
    <w:rsid w:val="145843D6"/>
    <w:rsid w:val="14CD6F19"/>
    <w:rsid w:val="15102186"/>
    <w:rsid w:val="15260040"/>
    <w:rsid w:val="154F5CC0"/>
    <w:rsid w:val="15FA5DE0"/>
    <w:rsid w:val="160509C6"/>
    <w:rsid w:val="164360AB"/>
    <w:rsid w:val="168F199E"/>
    <w:rsid w:val="16AE6365"/>
    <w:rsid w:val="16E121C7"/>
    <w:rsid w:val="17234B3E"/>
    <w:rsid w:val="178335F2"/>
    <w:rsid w:val="179761F3"/>
    <w:rsid w:val="184B7500"/>
    <w:rsid w:val="1866540E"/>
    <w:rsid w:val="18B606E4"/>
    <w:rsid w:val="18BC737D"/>
    <w:rsid w:val="19933513"/>
    <w:rsid w:val="19CE1C54"/>
    <w:rsid w:val="1A094EDD"/>
    <w:rsid w:val="1A5C3CEF"/>
    <w:rsid w:val="1A665AF4"/>
    <w:rsid w:val="1A775446"/>
    <w:rsid w:val="1AA83D19"/>
    <w:rsid w:val="1AFF48A0"/>
    <w:rsid w:val="1B0F3034"/>
    <w:rsid w:val="1B9C2A32"/>
    <w:rsid w:val="1BCC366E"/>
    <w:rsid w:val="1BD6664F"/>
    <w:rsid w:val="1BE26DA0"/>
    <w:rsid w:val="1C327510"/>
    <w:rsid w:val="1CAF7B8A"/>
    <w:rsid w:val="1CD9079B"/>
    <w:rsid w:val="1DA4263B"/>
    <w:rsid w:val="1E234AFE"/>
    <w:rsid w:val="1E5B3C92"/>
    <w:rsid w:val="1EC62975"/>
    <w:rsid w:val="1ED77C10"/>
    <w:rsid w:val="1F2D462E"/>
    <w:rsid w:val="1F640436"/>
    <w:rsid w:val="205E75C9"/>
    <w:rsid w:val="219E1358"/>
    <w:rsid w:val="21AF0E24"/>
    <w:rsid w:val="21DF06D5"/>
    <w:rsid w:val="22114E37"/>
    <w:rsid w:val="225425D1"/>
    <w:rsid w:val="229600D1"/>
    <w:rsid w:val="22BA711F"/>
    <w:rsid w:val="23095F49"/>
    <w:rsid w:val="23550F8C"/>
    <w:rsid w:val="236026AA"/>
    <w:rsid w:val="23A538FB"/>
    <w:rsid w:val="2408403F"/>
    <w:rsid w:val="24171C8A"/>
    <w:rsid w:val="24500D63"/>
    <w:rsid w:val="245933AF"/>
    <w:rsid w:val="24F4424C"/>
    <w:rsid w:val="25236084"/>
    <w:rsid w:val="252B5FC2"/>
    <w:rsid w:val="25354DDB"/>
    <w:rsid w:val="254E0A64"/>
    <w:rsid w:val="254F2443"/>
    <w:rsid w:val="25804016"/>
    <w:rsid w:val="25E37608"/>
    <w:rsid w:val="25F55100"/>
    <w:rsid w:val="261D394C"/>
    <w:rsid w:val="26415852"/>
    <w:rsid w:val="267F6708"/>
    <w:rsid w:val="269027FB"/>
    <w:rsid w:val="2699078F"/>
    <w:rsid w:val="26D71F19"/>
    <w:rsid w:val="27830210"/>
    <w:rsid w:val="27852689"/>
    <w:rsid w:val="278A7BF4"/>
    <w:rsid w:val="278C09C4"/>
    <w:rsid w:val="27965412"/>
    <w:rsid w:val="27B036DA"/>
    <w:rsid w:val="27CF69F2"/>
    <w:rsid w:val="28460664"/>
    <w:rsid w:val="287C7EC1"/>
    <w:rsid w:val="28BB7861"/>
    <w:rsid w:val="293F0D0F"/>
    <w:rsid w:val="29431DF5"/>
    <w:rsid w:val="29601090"/>
    <w:rsid w:val="2998246D"/>
    <w:rsid w:val="29BE4201"/>
    <w:rsid w:val="29CD2380"/>
    <w:rsid w:val="29E64B5A"/>
    <w:rsid w:val="2A4916AA"/>
    <w:rsid w:val="2A5F13A7"/>
    <w:rsid w:val="2A683C5C"/>
    <w:rsid w:val="2A756091"/>
    <w:rsid w:val="2A8C0D11"/>
    <w:rsid w:val="2AF560A3"/>
    <w:rsid w:val="2AF80D31"/>
    <w:rsid w:val="2B2C3506"/>
    <w:rsid w:val="2B407474"/>
    <w:rsid w:val="2BA77ACD"/>
    <w:rsid w:val="2BB6759E"/>
    <w:rsid w:val="2BE24CB3"/>
    <w:rsid w:val="2C1D6847"/>
    <w:rsid w:val="2C243E80"/>
    <w:rsid w:val="2C2D252B"/>
    <w:rsid w:val="2CFB41EA"/>
    <w:rsid w:val="2D3A453D"/>
    <w:rsid w:val="2D4B6F2A"/>
    <w:rsid w:val="2D9464C0"/>
    <w:rsid w:val="2D95466D"/>
    <w:rsid w:val="2E08737A"/>
    <w:rsid w:val="2E1E3D5D"/>
    <w:rsid w:val="2E223B82"/>
    <w:rsid w:val="2E3038C8"/>
    <w:rsid w:val="2E3E3820"/>
    <w:rsid w:val="2E4C13EA"/>
    <w:rsid w:val="2E550246"/>
    <w:rsid w:val="2E8E15EE"/>
    <w:rsid w:val="2F1211F2"/>
    <w:rsid w:val="2F2840D0"/>
    <w:rsid w:val="2F7D0C29"/>
    <w:rsid w:val="2F9F67D9"/>
    <w:rsid w:val="2FBA75DF"/>
    <w:rsid w:val="2FF43E05"/>
    <w:rsid w:val="30525399"/>
    <w:rsid w:val="30763125"/>
    <w:rsid w:val="30AD0CCF"/>
    <w:rsid w:val="30E420B7"/>
    <w:rsid w:val="315057E3"/>
    <w:rsid w:val="31731E86"/>
    <w:rsid w:val="31781E8C"/>
    <w:rsid w:val="317B3D11"/>
    <w:rsid w:val="31BA39E7"/>
    <w:rsid w:val="31E34C1E"/>
    <w:rsid w:val="32297FC8"/>
    <w:rsid w:val="32317D65"/>
    <w:rsid w:val="32406077"/>
    <w:rsid w:val="3282558C"/>
    <w:rsid w:val="3289393E"/>
    <w:rsid w:val="329F249C"/>
    <w:rsid w:val="32D83005"/>
    <w:rsid w:val="330F20C9"/>
    <w:rsid w:val="335A7960"/>
    <w:rsid w:val="33A93C1D"/>
    <w:rsid w:val="33B9042E"/>
    <w:rsid w:val="33D84283"/>
    <w:rsid w:val="34551D54"/>
    <w:rsid w:val="345F3141"/>
    <w:rsid w:val="35041505"/>
    <w:rsid w:val="35190580"/>
    <w:rsid w:val="351B7570"/>
    <w:rsid w:val="355405FD"/>
    <w:rsid w:val="36106061"/>
    <w:rsid w:val="361D0567"/>
    <w:rsid w:val="36557A4D"/>
    <w:rsid w:val="36611E27"/>
    <w:rsid w:val="369C252F"/>
    <w:rsid w:val="36E6417C"/>
    <w:rsid w:val="37304602"/>
    <w:rsid w:val="37782CA7"/>
    <w:rsid w:val="37FD7C7A"/>
    <w:rsid w:val="381C3960"/>
    <w:rsid w:val="38BB44C3"/>
    <w:rsid w:val="38C36755"/>
    <w:rsid w:val="391B6ABA"/>
    <w:rsid w:val="39346A07"/>
    <w:rsid w:val="399F7AD0"/>
    <w:rsid w:val="39C662A8"/>
    <w:rsid w:val="39CA1A7E"/>
    <w:rsid w:val="39CB0770"/>
    <w:rsid w:val="39EA7E85"/>
    <w:rsid w:val="3A9A4B54"/>
    <w:rsid w:val="3AE171E7"/>
    <w:rsid w:val="3B312BDA"/>
    <w:rsid w:val="3B37092D"/>
    <w:rsid w:val="3B3B7393"/>
    <w:rsid w:val="3B666714"/>
    <w:rsid w:val="3B7A510F"/>
    <w:rsid w:val="3BE302E3"/>
    <w:rsid w:val="3C674DD9"/>
    <w:rsid w:val="3C880AFC"/>
    <w:rsid w:val="3CC57180"/>
    <w:rsid w:val="3D254283"/>
    <w:rsid w:val="3D78431E"/>
    <w:rsid w:val="3DB339AA"/>
    <w:rsid w:val="3DE74BA9"/>
    <w:rsid w:val="3DF232D1"/>
    <w:rsid w:val="3E4A5E2D"/>
    <w:rsid w:val="3E4C43B4"/>
    <w:rsid w:val="3E820261"/>
    <w:rsid w:val="3ECF5E1E"/>
    <w:rsid w:val="3F5C58C3"/>
    <w:rsid w:val="3F625768"/>
    <w:rsid w:val="3F750840"/>
    <w:rsid w:val="3F8019BC"/>
    <w:rsid w:val="3F8C2B34"/>
    <w:rsid w:val="3FA45A3E"/>
    <w:rsid w:val="3FF853F5"/>
    <w:rsid w:val="402D65F0"/>
    <w:rsid w:val="40813BD8"/>
    <w:rsid w:val="408950D8"/>
    <w:rsid w:val="40A765B6"/>
    <w:rsid w:val="4157002E"/>
    <w:rsid w:val="41FC0B2F"/>
    <w:rsid w:val="4207772A"/>
    <w:rsid w:val="423E6FAD"/>
    <w:rsid w:val="42581C92"/>
    <w:rsid w:val="428B231C"/>
    <w:rsid w:val="42CA3365"/>
    <w:rsid w:val="42E32EF9"/>
    <w:rsid w:val="43374FA1"/>
    <w:rsid w:val="437826B9"/>
    <w:rsid w:val="438C7876"/>
    <w:rsid w:val="43D86912"/>
    <w:rsid w:val="43FA436A"/>
    <w:rsid w:val="44711BCF"/>
    <w:rsid w:val="44842986"/>
    <w:rsid w:val="453E67B5"/>
    <w:rsid w:val="455A6B89"/>
    <w:rsid w:val="456253A9"/>
    <w:rsid w:val="456A582D"/>
    <w:rsid w:val="45765A14"/>
    <w:rsid w:val="45925657"/>
    <w:rsid w:val="45FD5586"/>
    <w:rsid w:val="462C5ED1"/>
    <w:rsid w:val="464F0DCF"/>
    <w:rsid w:val="46615537"/>
    <w:rsid w:val="466337E2"/>
    <w:rsid w:val="46A4605B"/>
    <w:rsid w:val="46B2675B"/>
    <w:rsid w:val="46EE61F7"/>
    <w:rsid w:val="473F759D"/>
    <w:rsid w:val="47A14CAA"/>
    <w:rsid w:val="47DE386A"/>
    <w:rsid w:val="480A13E9"/>
    <w:rsid w:val="484D375C"/>
    <w:rsid w:val="48B72FDF"/>
    <w:rsid w:val="493D23AD"/>
    <w:rsid w:val="495444D4"/>
    <w:rsid w:val="496568E3"/>
    <w:rsid w:val="49900FE6"/>
    <w:rsid w:val="49F74E1C"/>
    <w:rsid w:val="4A601595"/>
    <w:rsid w:val="4A9C4E0A"/>
    <w:rsid w:val="4AA37417"/>
    <w:rsid w:val="4B6657CC"/>
    <w:rsid w:val="4B8C41F9"/>
    <w:rsid w:val="4BF5793A"/>
    <w:rsid w:val="4C524559"/>
    <w:rsid w:val="4C7F1079"/>
    <w:rsid w:val="4C9129A8"/>
    <w:rsid w:val="4CB907A4"/>
    <w:rsid w:val="4CD371F5"/>
    <w:rsid w:val="4CED2587"/>
    <w:rsid w:val="4D300E54"/>
    <w:rsid w:val="4DA03E00"/>
    <w:rsid w:val="4DDE1271"/>
    <w:rsid w:val="4E135A9E"/>
    <w:rsid w:val="4E4B309B"/>
    <w:rsid w:val="4E686007"/>
    <w:rsid w:val="4E951200"/>
    <w:rsid w:val="4EA25D4A"/>
    <w:rsid w:val="4F6668BF"/>
    <w:rsid w:val="4F70218E"/>
    <w:rsid w:val="4F86571D"/>
    <w:rsid w:val="4F8B369D"/>
    <w:rsid w:val="4FD5289B"/>
    <w:rsid w:val="50276223"/>
    <w:rsid w:val="513561EC"/>
    <w:rsid w:val="519D49A6"/>
    <w:rsid w:val="51B4466B"/>
    <w:rsid w:val="51FE09DF"/>
    <w:rsid w:val="522159A3"/>
    <w:rsid w:val="52A37768"/>
    <w:rsid w:val="5410371C"/>
    <w:rsid w:val="5438070C"/>
    <w:rsid w:val="544042A5"/>
    <w:rsid w:val="547B3292"/>
    <w:rsid w:val="54F63923"/>
    <w:rsid w:val="555C20B0"/>
    <w:rsid w:val="55BE42C8"/>
    <w:rsid w:val="56F9126E"/>
    <w:rsid w:val="570B20FD"/>
    <w:rsid w:val="572D33D7"/>
    <w:rsid w:val="57580D59"/>
    <w:rsid w:val="57E636D9"/>
    <w:rsid w:val="57ED4D68"/>
    <w:rsid w:val="57FC07F2"/>
    <w:rsid w:val="585B347F"/>
    <w:rsid w:val="58947689"/>
    <w:rsid w:val="589C052C"/>
    <w:rsid w:val="589D2613"/>
    <w:rsid w:val="58FE37B0"/>
    <w:rsid w:val="599E0D91"/>
    <w:rsid w:val="59A778E3"/>
    <w:rsid w:val="5A45693E"/>
    <w:rsid w:val="5A820290"/>
    <w:rsid w:val="5A8748F2"/>
    <w:rsid w:val="5AC271BE"/>
    <w:rsid w:val="5AD35AEB"/>
    <w:rsid w:val="5AE1388D"/>
    <w:rsid w:val="5AEC360D"/>
    <w:rsid w:val="5B051053"/>
    <w:rsid w:val="5B1B2EBC"/>
    <w:rsid w:val="5B1F4A2F"/>
    <w:rsid w:val="5B28242F"/>
    <w:rsid w:val="5B2E00B5"/>
    <w:rsid w:val="5B40481E"/>
    <w:rsid w:val="5BB21CB9"/>
    <w:rsid w:val="5BE06073"/>
    <w:rsid w:val="5C13385D"/>
    <w:rsid w:val="5C1A30BA"/>
    <w:rsid w:val="5C83620D"/>
    <w:rsid w:val="5D0E1DA3"/>
    <w:rsid w:val="5D1251CE"/>
    <w:rsid w:val="5D3A3B20"/>
    <w:rsid w:val="5D7F7876"/>
    <w:rsid w:val="5D9221E2"/>
    <w:rsid w:val="5DF319F5"/>
    <w:rsid w:val="5E441C23"/>
    <w:rsid w:val="5E55682D"/>
    <w:rsid w:val="5E89766F"/>
    <w:rsid w:val="5EED6BDB"/>
    <w:rsid w:val="5F2353B3"/>
    <w:rsid w:val="5F26010C"/>
    <w:rsid w:val="5FEB5A87"/>
    <w:rsid w:val="5FF71C4F"/>
    <w:rsid w:val="60090E62"/>
    <w:rsid w:val="601B0C63"/>
    <w:rsid w:val="601E2B14"/>
    <w:rsid w:val="60926E0C"/>
    <w:rsid w:val="613D74A8"/>
    <w:rsid w:val="61651A88"/>
    <w:rsid w:val="61B62F43"/>
    <w:rsid w:val="61CD118C"/>
    <w:rsid w:val="622C75C3"/>
    <w:rsid w:val="624A0B5E"/>
    <w:rsid w:val="62FF77AD"/>
    <w:rsid w:val="63281093"/>
    <w:rsid w:val="634B564C"/>
    <w:rsid w:val="638B2C06"/>
    <w:rsid w:val="63CE11F6"/>
    <w:rsid w:val="641C24AD"/>
    <w:rsid w:val="64AF12B4"/>
    <w:rsid w:val="64BD5C2D"/>
    <w:rsid w:val="64F91426"/>
    <w:rsid w:val="653A4D7A"/>
    <w:rsid w:val="65405E5B"/>
    <w:rsid w:val="6551380A"/>
    <w:rsid w:val="655B7BCE"/>
    <w:rsid w:val="659257C0"/>
    <w:rsid w:val="65BF522B"/>
    <w:rsid w:val="65DB5319"/>
    <w:rsid w:val="65DD004A"/>
    <w:rsid w:val="65F67D40"/>
    <w:rsid w:val="66452E90"/>
    <w:rsid w:val="66763764"/>
    <w:rsid w:val="66B24009"/>
    <w:rsid w:val="66C8070F"/>
    <w:rsid w:val="66D80480"/>
    <w:rsid w:val="671E12BA"/>
    <w:rsid w:val="675D2845"/>
    <w:rsid w:val="681A79B6"/>
    <w:rsid w:val="681F381D"/>
    <w:rsid w:val="68244975"/>
    <w:rsid w:val="682722B1"/>
    <w:rsid w:val="68390C87"/>
    <w:rsid w:val="68720836"/>
    <w:rsid w:val="687A5777"/>
    <w:rsid w:val="688151E5"/>
    <w:rsid w:val="6890349D"/>
    <w:rsid w:val="68B2666D"/>
    <w:rsid w:val="68F63A1C"/>
    <w:rsid w:val="694A7457"/>
    <w:rsid w:val="69E10A8F"/>
    <w:rsid w:val="6A0D7C41"/>
    <w:rsid w:val="6A815976"/>
    <w:rsid w:val="6A8D01C8"/>
    <w:rsid w:val="6AED1721"/>
    <w:rsid w:val="6AFB70A7"/>
    <w:rsid w:val="6B2A7A8B"/>
    <w:rsid w:val="6B2B7C2F"/>
    <w:rsid w:val="6B7312D6"/>
    <w:rsid w:val="6C67537E"/>
    <w:rsid w:val="6CA37E67"/>
    <w:rsid w:val="6CC85A53"/>
    <w:rsid w:val="6CF823CF"/>
    <w:rsid w:val="6E845A9D"/>
    <w:rsid w:val="6EF02FF3"/>
    <w:rsid w:val="6F34658A"/>
    <w:rsid w:val="6F927C7C"/>
    <w:rsid w:val="6FC9635A"/>
    <w:rsid w:val="6FDB6C87"/>
    <w:rsid w:val="70273ED1"/>
    <w:rsid w:val="70306175"/>
    <w:rsid w:val="703736E1"/>
    <w:rsid w:val="707970A0"/>
    <w:rsid w:val="70873147"/>
    <w:rsid w:val="71183585"/>
    <w:rsid w:val="71272AEC"/>
    <w:rsid w:val="71744B8E"/>
    <w:rsid w:val="7183321F"/>
    <w:rsid w:val="71CE6683"/>
    <w:rsid w:val="71EA57EA"/>
    <w:rsid w:val="72735549"/>
    <w:rsid w:val="728A0A7E"/>
    <w:rsid w:val="72C54B02"/>
    <w:rsid w:val="72F970D3"/>
    <w:rsid w:val="731004AA"/>
    <w:rsid w:val="732C725C"/>
    <w:rsid w:val="73554C4F"/>
    <w:rsid w:val="73CC3522"/>
    <w:rsid w:val="740118E2"/>
    <w:rsid w:val="74276CF9"/>
    <w:rsid w:val="74327526"/>
    <w:rsid w:val="744312D9"/>
    <w:rsid w:val="74495AA8"/>
    <w:rsid w:val="7491249D"/>
    <w:rsid w:val="74A10226"/>
    <w:rsid w:val="74AF373F"/>
    <w:rsid w:val="74B82954"/>
    <w:rsid w:val="74D35BC0"/>
    <w:rsid w:val="74E31148"/>
    <w:rsid w:val="75297AA2"/>
    <w:rsid w:val="752C188F"/>
    <w:rsid w:val="757D7034"/>
    <w:rsid w:val="7596349D"/>
    <w:rsid w:val="75C01CEA"/>
    <w:rsid w:val="75DF0BB5"/>
    <w:rsid w:val="7617147E"/>
    <w:rsid w:val="764B0E16"/>
    <w:rsid w:val="76970B0C"/>
    <w:rsid w:val="769F51D5"/>
    <w:rsid w:val="76C2115B"/>
    <w:rsid w:val="77010F03"/>
    <w:rsid w:val="771E06E8"/>
    <w:rsid w:val="772F023B"/>
    <w:rsid w:val="77506082"/>
    <w:rsid w:val="77D606BF"/>
    <w:rsid w:val="77D867A4"/>
    <w:rsid w:val="77EA3A4F"/>
    <w:rsid w:val="7820504F"/>
    <w:rsid w:val="786F4988"/>
    <w:rsid w:val="788C2878"/>
    <w:rsid w:val="79696BC8"/>
    <w:rsid w:val="79C71432"/>
    <w:rsid w:val="7A223A31"/>
    <w:rsid w:val="7A4D6CAA"/>
    <w:rsid w:val="7AB816CE"/>
    <w:rsid w:val="7ABE383B"/>
    <w:rsid w:val="7AF440F1"/>
    <w:rsid w:val="7B3022E5"/>
    <w:rsid w:val="7B457EE6"/>
    <w:rsid w:val="7B6404BC"/>
    <w:rsid w:val="7BB319B6"/>
    <w:rsid w:val="7BD4780C"/>
    <w:rsid w:val="7C2A67AD"/>
    <w:rsid w:val="7C5C41DA"/>
    <w:rsid w:val="7C820FD1"/>
    <w:rsid w:val="7C995CFB"/>
    <w:rsid w:val="7D535676"/>
    <w:rsid w:val="7D6A4640"/>
    <w:rsid w:val="7D8734A8"/>
    <w:rsid w:val="7DBF4A07"/>
    <w:rsid w:val="7DD12013"/>
    <w:rsid w:val="7E162AF5"/>
    <w:rsid w:val="7E2E6D43"/>
    <w:rsid w:val="7E4563D8"/>
    <w:rsid w:val="7E672F5B"/>
    <w:rsid w:val="7F134748"/>
    <w:rsid w:val="7F14353C"/>
    <w:rsid w:val="7F571FBB"/>
    <w:rsid w:val="7FA85A80"/>
    <w:rsid w:val="7FB13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after="64" w:line="317" w:lineRule="auto"/>
      <w:outlineLvl w:val="8"/>
    </w:pPr>
    <w:rPr>
      <w:rFonts w:ascii="Arial" w:hAnsi="Arial" w:eastAsia="黑体"/>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jc w:val="left"/>
    </w:pPr>
    <w:rPr>
      <w:kern w:val="0"/>
      <w:sz w:val="24"/>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字符"/>
    <w:link w:val="12"/>
    <w:qFormat/>
    <w:uiPriority w:val="0"/>
    <w:rPr>
      <w:kern w:val="2"/>
      <w:sz w:val="18"/>
      <w:szCs w:val="18"/>
    </w:rPr>
  </w:style>
  <w:style w:type="character" w:customStyle="1" w:styleId="35">
    <w:name w:val="正文文本 字符"/>
    <w:link w:val="7"/>
    <w:qFormat/>
    <w:uiPriority w:val="0"/>
    <w:rPr>
      <w:kern w:val="2"/>
      <w:sz w:val="21"/>
      <w:szCs w:val="24"/>
    </w:rPr>
  </w:style>
  <w:style w:type="character" w:customStyle="1" w:styleId="36">
    <w:name w:val="批注文字 字符"/>
    <w:link w:val="6"/>
    <w:qFormat/>
    <w:uiPriority w:val="0"/>
    <w:rPr>
      <w:kern w:val="2"/>
      <w:sz w:val="21"/>
      <w:szCs w:val="24"/>
    </w:rPr>
  </w:style>
  <w:style w:type="character" w:customStyle="1" w:styleId="37">
    <w:name w:val="批注主题 字符"/>
    <w:link w:val="16"/>
    <w:qFormat/>
    <w:uiPriority w:val="0"/>
    <w:rPr>
      <w:b/>
      <w:bCs/>
      <w:kern w:val="2"/>
      <w:sz w:val="21"/>
      <w:szCs w:val="24"/>
    </w:rPr>
  </w:style>
  <w:style w:type="character" w:customStyle="1" w:styleId="38">
    <w:name w:val="标题 1 字符"/>
    <w:link w:val="2"/>
    <w:qFormat/>
    <w:uiPriority w:val="0"/>
    <w:rPr>
      <w:b/>
      <w:bCs/>
      <w:kern w:val="44"/>
      <w:sz w:val="44"/>
      <w:szCs w:val="44"/>
    </w:rPr>
  </w:style>
  <w:style w:type="character" w:customStyle="1" w:styleId="39">
    <w:name w:val="正文文本首行缩进 字符"/>
    <w:basedOn w:val="35"/>
    <w:link w:val="17"/>
    <w:qFormat/>
    <w:uiPriority w:val="0"/>
    <w:rPr>
      <w:kern w:val="2"/>
      <w:sz w:val="21"/>
      <w:szCs w:val="24"/>
    </w:rPr>
  </w:style>
  <w:style w:type="character" w:customStyle="1" w:styleId="40">
    <w:name w:val="日期 字符"/>
    <w:link w:val="9"/>
    <w:qFormat/>
    <w:uiPriority w:val="0"/>
    <w:rPr>
      <w:kern w:val="2"/>
      <w:sz w:val="21"/>
      <w:szCs w:val="24"/>
    </w:rPr>
  </w:style>
  <w:style w:type="character" w:customStyle="1" w:styleId="41">
    <w:name w:val="批注框文本 字符"/>
    <w:link w:val="10"/>
    <w:qFormat/>
    <w:uiPriority w:val="0"/>
    <w:rPr>
      <w:kern w:val="2"/>
      <w:sz w:val="18"/>
      <w:szCs w:val="18"/>
    </w:rPr>
  </w:style>
  <w:style w:type="character" w:customStyle="1" w:styleId="42">
    <w:name w:val="页脚 字符"/>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g-button"/>
    <w:basedOn w:val="20"/>
    <w:qFormat/>
    <w:uiPriority w:val="0"/>
  </w:style>
  <w:style w:type="character" w:customStyle="1" w:styleId="48">
    <w:name w:val="compare"/>
    <w:basedOn w:val="20"/>
    <w:qFormat/>
    <w:uiPriority w:val="0"/>
  </w:style>
  <w:style w:type="character" w:customStyle="1" w:styleId="49">
    <w:name w:val="in"/>
    <w:basedOn w:val="20"/>
    <w:qFormat/>
    <w:uiPriority w:val="0"/>
    <w:rPr>
      <w:color w:val="FFFFFF"/>
      <w:shd w:val="clear" w:color="auto" w:fill="C0BDBA"/>
    </w:rPr>
  </w:style>
  <w:style w:type="character" w:customStyle="1" w:styleId="50">
    <w:name w:val="compare_added"/>
    <w:basedOn w:val="20"/>
    <w:qFormat/>
    <w:uiPriority w:val="0"/>
  </w:style>
  <w:style w:type="character" w:customStyle="1" w:styleId="51">
    <w:name w:val="g-input-selectbox"/>
    <w:basedOn w:val="20"/>
    <w:qFormat/>
    <w:uiPriority w:val="0"/>
  </w:style>
  <w:style w:type="character" w:customStyle="1" w:styleId="52">
    <w:name w:val="g-button-2-2"/>
    <w:basedOn w:val="20"/>
    <w:qFormat/>
    <w:uiPriority w:val="0"/>
  </w:style>
  <w:style w:type="character" w:customStyle="1" w:styleId="53">
    <w:name w:val="on"/>
    <w:basedOn w:val="20"/>
    <w:qFormat/>
    <w:uiPriority w:val="0"/>
    <w:rPr>
      <w:color w:val="FFFFFF"/>
      <w:shd w:val="clear" w:color="auto" w:fill="F17817"/>
    </w:rPr>
  </w:style>
  <w:style w:type="character" w:customStyle="1" w:styleId="54">
    <w:name w:val="font21"/>
    <w:basedOn w:val="20"/>
    <w:qFormat/>
    <w:uiPriority w:val="0"/>
    <w:rPr>
      <w:rFonts w:hint="eastAsia" w:ascii="宋体" w:hAnsi="宋体" w:eastAsia="宋体" w:cs="宋体"/>
      <w:color w:val="000000"/>
      <w:sz w:val="20"/>
      <w:szCs w:val="20"/>
      <w:u w:val="none"/>
    </w:rPr>
  </w:style>
  <w:style w:type="character" w:customStyle="1" w:styleId="55">
    <w:name w:val="font11"/>
    <w:basedOn w:val="20"/>
    <w:qFormat/>
    <w:uiPriority w:val="0"/>
    <w:rPr>
      <w:rFonts w:hint="eastAsia" w:ascii="宋体" w:hAnsi="宋体" w:eastAsia="宋体" w:cs="宋体"/>
      <w:color w:val="000000"/>
      <w:sz w:val="20"/>
      <w:szCs w:val="20"/>
      <w:u w:val="none"/>
    </w:rPr>
  </w:style>
  <w:style w:type="character" w:customStyle="1" w:styleId="56">
    <w:name w:val="font31"/>
    <w:basedOn w:val="20"/>
    <w:qFormat/>
    <w:uiPriority w:val="0"/>
    <w:rPr>
      <w:rFonts w:ascii="Arial" w:hAnsi="Arial" w:cs="Arial"/>
      <w:color w:val="000000"/>
      <w:sz w:val="20"/>
      <w:szCs w:val="20"/>
      <w:u w:val="none"/>
    </w:rPr>
  </w:style>
  <w:style w:type="character" w:customStyle="1" w:styleId="57">
    <w:name w:val="font51"/>
    <w:basedOn w:val="20"/>
    <w:qFormat/>
    <w:uiPriority w:val="0"/>
    <w:rPr>
      <w:rFonts w:ascii="Arial" w:hAnsi="Arial" w:cs="Arial"/>
      <w:color w:val="000000"/>
      <w:sz w:val="20"/>
      <w:szCs w:val="20"/>
      <w:u w:val="none"/>
    </w:rPr>
  </w:style>
  <w:style w:type="character" w:customStyle="1" w:styleId="58">
    <w:name w:val="font41"/>
    <w:basedOn w:val="20"/>
    <w:qFormat/>
    <w:uiPriority w:val="0"/>
    <w:rPr>
      <w:rFonts w:hint="eastAsia" w:ascii="宋体" w:hAnsi="宋体" w:eastAsia="宋体" w:cs="宋体"/>
      <w:color w:val="000000"/>
      <w:sz w:val="20"/>
      <w:szCs w:val="20"/>
      <w:u w:val="none"/>
    </w:rPr>
  </w:style>
  <w:style w:type="character" w:customStyle="1" w:styleId="59">
    <w:name w:val="font01"/>
    <w:basedOn w:val="20"/>
    <w:qFormat/>
    <w:uiPriority w:val="0"/>
    <w:rPr>
      <w:rFonts w:hint="eastAsia" w:ascii="宋体" w:hAnsi="宋体" w:eastAsia="宋体" w:cs="宋体"/>
      <w:color w:val="000000"/>
      <w:sz w:val="20"/>
      <w:szCs w:val="20"/>
      <w:u w:val="none"/>
    </w:r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WPSOffice手动目录 2"/>
    <w:qFormat/>
    <w:uiPriority w:val="0"/>
    <w:pPr>
      <w:ind w:leftChars="200"/>
    </w:pPr>
    <w:rPr>
      <w:rFonts w:ascii="Times New Roman" w:hAnsi="Times New Roman" w:eastAsia="宋体" w:cs="Times New Roman"/>
      <w:sz w:val="20"/>
      <w:szCs w:val="20"/>
    </w:rPr>
  </w:style>
  <w:style w:type="paragraph" w:customStyle="1" w:styleId="6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13987</Words>
  <Characters>20951</Characters>
  <Lines>171</Lines>
  <Paragraphs>48</Paragraphs>
  <TotalTime>4</TotalTime>
  <ScaleCrop>false</ScaleCrop>
  <LinksUpToDate>false</LinksUpToDate>
  <CharactersWithSpaces>21832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2020-10-22T03:04:00Z</dcterms:created>
  <dc:creator>walkinnet</dc:creator>
  <cp:lastModifiedBy>三十四度北</cp:lastModifiedBy>
  <cp:lastPrinted>2020-10-23T08:01:00Z</cp:lastPrinted>
  <dcterms:modified xsi:type="dcterms:W3CDTF">2021-02-07T09:56:42Z</dcterms:modified>
  <dc:title>信托计划监管报告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