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6570" w14:textId="77777777" w:rsidR="000025FA" w:rsidRDefault="00000000">
      <w:pPr>
        <w:spacing w:beforeLines="20" w:before="62" w:afterLines="20" w:after="62" w:line="400" w:lineRule="exact"/>
        <w:ind w:right="105" w:firstLine="708"/>
        <w:jc w:val="center"/>
        <w:rPr>
          <w:rFonts w:ascii="黑体" w:eastAsia="黑体" w:hAnsi="宋体" w:hint="eastAsia"/>
          <w:sz w:val="32"/>
          <w:szCs w:val="32"/>
        </w:rPr>
      </w:pPr>
      <w:r>
        <w:rPr>
          <w:rFonts w:ascii="黑体" w:eastAsia="黑体" w:hAnsi="宋体" w:cs="黑体" w:hint="eastAsia"/>
          <w:sz w:val="32"/>
          <w:szCs w:val="32"/>
        </w:rPr>
        <w:t>不动产估价委托合同</w:t>
      </w:r>
    </w:p>
    <w:p w14:paraId="0DB93DCD" w14:textId="4EC73A4B" w:rsidR="000025FA" w:rsidRDefault="00000000">
      <w:pPr>
        <w:spacing w:beforeLines="20" w:before="62" w:afterLines="20" w:after="62" w:line="400" w:lineRule="exact"/>
        <w:jc w:val="right"/>
        <w:rPr>
          <w:rFonts w:ascii="黑体" w:eastAsia="黑体" w:hAnsi="宋体" w:hint="eastAsia"/>
        </w:rPr>
      </w:pPr>
      <w:r>
        <w:rPr>
          <w:rFonts w:ascii="黑体" w:eastAsia="黑体" w:hAnsi="宋体" w:cs="黑体" w:hint="eastAsia"/>
        </w:rPr>
        <w:t>康正合字</w:t>
      </w:r>
      <w:r>
        <w:rPr>
          <w:rFonts w:ascii="黑体" w:eastAsia="黑体" w:hAnsi="宋体" w:cs="黑体" w:hint="eastAsia"/>
          <w:u w:val="single"/>
        </w:rPr>
        <w:t xml:space="preserve">   </w:t>
      </w:r>
      <w:r w:rsidR="00264914">
        <w:rPr>
          <w:rFonts w:ascii="黑体" w:eastAsia="黑体" w:hAnsi="宋体" w:cs="黑体" w:hint="eastAsia"/>
          <w:u w:val="single"/>
        </w:rPr>
        <w:t xml:space="preserve">   </w:t>
      </w:r>
      <w:r>
        <w:rPr>
          <w:rFonts w:ascii="黑体" w:eastAsia="黑体" w:hAnsi="宋体" w:cs="黑体" w:hint="eastAsia"/>
          <w:u w:val="single"/>
        </w:rPr>
        <w:t xml:space="preserve">   </w:t>
      </w:r>
      <w:r>
        <w:rPr>
          <w:rFonts w:ascii="黑体" w:eastAsia="黑体" w:hAnsi="宋体" w:cs="黑体" w:hint="eastAsia"/>
        </w:rPr>
        <w:t>号</w:t>
      </w:r>
    </w:p>
    <w:p w14:paraId="16849939" w14:textId="77777777" w:rsidR="000025FA" w:rsidRDefault="000025FA">
      <w:pPr>
        <w:tabs>
          <w:tab w:val="left" w:pos="7560"/>
        </w:tabs>
        <w:spacing w:beforeLines="20" w:before="62" w:afterLines="20" w:after="62" w:line="480" w:lineRule="auto"/>
        <w:ind w:firstLineChars="200" w:firstLine="482"/>
        <w:rPr>
          <w:rFonts w:ascii="宋体" w:cs="宋体"/>
          <w:b/>
          <w:bCs/>
          <w:sz w:val="24"/>
          <w:szCs w:val="24"/>
        </w:rPr>
      </w:pPr>
    </w:p>
    <w:p w14:paraId="77F6D893" w14:textId="77777777" w:rsidR="000025FA" w:rsidRDefault="00000000">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hint="eastAsia"/>
          <w:b/>
          <w:bCs/>
          <w:sz w:val="24"/>
          <w:szCs w:val="24"/>
          <w:u w:val="single"/>
        </w:rPr>
        <w:t>中国农业银行股份有限公司北京怀柔支行</w:t>
      </w:r>
    </w:p>
    <w:p w14:paraId="53DF7A6F" w14:textId="77777777" w:rsidR="000025FA" w:rsidRDefault="0000000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p>
    <w:p w14:paraId="3F68D80E" w14:textId="77777777" w:rsidR="000025FA" w:rsidRDefault="000025FA">
      <w:pPr>
        <w:spacing w:line="400" w:lineRule="exact"/>
        <w:ind w:firstLineChars="200" w:firstLine="480"/>
        <w:rPr>
          <w:rFonts w:ascii="宋体"/>
          <w:sz w:val="24"/>
          <w:szCs w:val="24"/>
        </w:rPr>
      </w:pPr>
    </w:p>
    <w:p w14:paraId="343561DC" w14:textId="77777777" w:rsidR="000025FA" w:rsidRDefault="00000000">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依照《中华人民共和国民法典》《中华人民共和国资产评估法》等法律、行政法规，经甲乙双方平等协商，特订立本合同，以资共同信守。</w:t>
      </w:r>
    </w:p>
    <w:p w14:paraId="7EF8076A" w14:textId="77777777" w:rsidR="000025FA" w:rsidRDefault="000025FA">
      <w:pPr>
        <w:spacing w:line="400" w:lineRule="exact"/>
        <w:ind w:firstLineChars="200" w:firstLine="480"/>
        <w:rPr>
          <w:rFonts w:ascii="宋体"/>
          <w:sz w:val="24"/>
          <w:szCs w:val="24"/>
          <w:u w:val="single"/>
        </w:rPr>
      </w:pPr>
    </w:p>
    <w:p w14:paraId="0C416D30" w14:textId="77777777" w:rsidR="000025FA" w:rsidRDefault="00000000">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sz w:val="24"/>
          <w:szCs w:val="24"/>
          <w:u w:val="single"/>
        </w:rPr>
        <w:t xml:space="preserve"> </w:t>
      </w:r>
      <w:r>
        <w:rPr>
          <w:rFonts w:ascii="宋体" w:hAnsi="宋体" w:cs="宋体" w:hint="eastAsia"/>
          <w:sz w:val="24"/>
          <w:szCs w:val="24"/>
          <w:u w:val="single"/>
        </w:rPr>
        <w:t>中国农业银行股份有限公司北京怀柔支行拟承租的位于北京市怀柔区安平路27号院1号楼2单元101，建筑面积：530.05平方米的商业用房房地产市场租金水平评估</w:t>
      </w:r>
    </w:p>
    <w:p w14:paraId="450691B2" w14:textId="77777777" w:rsidR="000025FA" w:rsidRDefault="0000000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sz w:val="24"/>
          <w:szCs w:val="24"/>
          <w:u w:val="single"/>
        </w:rPr>
        <w:t>为估价委托人了解估价对象于现状利用条件下的房地产市场租金水平提供参考依据</w:t>
      </w:r>
      <w:r>
        <w:rPr>
          <w:rFonts w:ascii="宋体" w:hAnsi="宋体" w:cs="宋体"/>
          <w:b/>
          <w:bCs/>
          <w:sz w:val="24"/>
          <w:szCs w:val="24"/>
          <w:u w:val="single"/>
        </w:rPr>
        <w:t xml:space="preserve"> </w:t>
      </w:r>
    </w:p>
    <w:p w14:paraId="2810298A" w14:textId="77777777" w:rsidR="000025FA" w:rsidRDefault="00000000">
      <w:pPr>
        <w:pStyle w:val="2"/>
        <w:spacing w:beforeLines="20" w:before="62" w:afterLines="20" w:after="62" w:line="480" w:lineRule="auto"/>
        <w:ind w:firstLineChars="200" w:firstLine="482"/>
        <w:rPr>
          <w:rFonts w:hint="eastAsia"/>
          <w:b w:val="0"/>
          <w:bCs w:val="0"/>
          <w:u w:val="single"/>
        </w:rPr>
      </w:pPr>
      <w:r>
        <w:rPr>
          <w:rFonts w:hint="eastAsia"/>
        </w:rPr>
        <w:t>三、估价对象和估价范围（或见附件）：</w:t>
      </w:r>
      <w:r>
        <w:rPr>
          <w:b w:val="0"/>
          <w:bCs w:val="0"/>
          <w:u w:val="single"/>
        </w:rPr>
        <w:t xml:space="preserve"> </w:t>
      </w:r>
      <w:r>
        <w:rPr>
          <w:rFonts w:hint="eastAsia"/>
          <w:u w:val="single"/>
        </w:rPr>
        <w:t>中国农业银行股份有限公司北京怀柔支行拟承租的位于北京市怀柔区安平路27号院1号楼2单元101，建筑面积：530.05平方米的商业用房房地产</w:t>
      </w:r>
      <w:r>
        <w:rPr>
          <w:b w:val="0"/>
          <w:bCs w:val="0"/>
          <w:u w:val="single"/>
        </w:rPr>
        <w:t xml:space="preserve">                                   </w:t>
      </w:r>
    </w:p>
    <w:p w14:paraId="0F165EBD" w14:textId="77777777" w:rsidR="000025FA"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20</w:t>
      </w:r>
      <w:r>
        <w:rPr>
          <w:rFonts w:ascii="宋体" w:hAnsi="宋体" w:cs="宋体" w:hint="eastAsia"/>
          <w:b/>
          <w:bCs/>
          <w:sz w:val="24"/>
          <w:szCs w:val="24"/>
          <w:u w:val="single"/>
        </w:rPr>
        <w:t>25</w:t>
      </w:r>
      <w:r>
        <w:rPr>
          <w:rFonts w:ascii="宋体" w:hAnsi="宋体" w:cs="宋体" w:hint="eastAsia"/>
          <w:b/>
          <w:bCs/>
          <w:sz w:val="24"/>
          <w:szCs w:val="24"/>
        </w:rPr>
        <w:t>年</w:t>
      </w:r>
      <w:r>
        <w:rPr>
          <w:rFonts w:ascii="宋体" w:hAnsi="宋体" w:cs="宋体" w:hint="eastAsia"/>
          <w:b/>
          <w:bCs/>
          <w:sz w:val="24"/>
          <w:szCs w:val="24"/>
          <w:u w:val="single"/>
        </w:rPr>
        <w:t>6</w:t>
      </w:r>
      <w:r>
        <w:rPr>
          <w:rFonts w:ascii="宋体" w:hAnsi="宋体" w:cs="宋体" w:hint="eastAsia"/>
          <w:b/>
          <w:bCs/>
          <w:sz w:val="24"/>
          <w:szCs w:val="24"/>
        </w:rPr>
        <w:t>月</w:t>
      </w:r>
      <w:r>
        <w:rPr>
          <w:rFonts w:ascii="宋体" w:hAnsi="宋体" w:cs="宋体" w:hint="eastAsia"/>
          <w:b/>
          <w:bCs/>
          <w:sz w:val="24"/>
          <w:szCs w:val="24"/>
          <w:u w:val="single"/>
        </w:rPr>
        <w:t>5</w:t>
      </w:r>
      <w:r>
        <w:rPr>
          <w:rFonts w:ascii="宋体" w:hAnsi="宋体" w:cs="宋体" w:hint="eastAsia"/>
          <w:b/>
          <w:bCs/>
          <w:sz w:val="24"/>
          <w:szCs w:val="24"/>
        </w:rPr>
        <w:t>日</w:t>
      </w:r>
    </w:p>
    <w:p w14:paraId="683D36B3" w14:textId="77777777" w:rsidR="000025FA"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hint="eastAsia"/>
          <w:b/>
          <w:bCs/>
          <w:sz w:val="24"/>
          <w:szCs w:val="24"/>
          <w:u w:val="single"/>
        </w:rPr>
        <w:t>房地产市场租金水平</w:t>
      </w:r>
      <w:r>
        <w:rPr>
          <w:rFonts w:ascii="宋体" w:hAnsi="宋体" w:cs="宋体"/>
          <w:b/>
          <w:bCs/>
          <w:sz w:val="24"/>
          <w:szCs w:val="24"/>
          <w:u w:val="single"/>
        </w:rPr>
        <w:t xml:space="preserve"> </w:t>
      </w:r>
    </w:p>
    <w:p w14:paraId="0F685A28" w14:textId="77777777" w:rsidR="000025FA" w:rsidRDefault="000025FA">
      <w:pPr>
        <w:spacing w:beforeLines="20" w:before="62" w:afterLines="20" w:after="62" w:line="400" w:lineRule="exact"/>
        <w:ind w:firstLineChars="200" w:firstLine="482"/>
        <w:rPr>
          <w:rFonts w:ascii="宋体"/>
          <w:b/>
          <w:bCs/>
          <w:sz w:val="24"/>
          <w:szCs w:val="24"/>
        </w:rPr>
      </w:pPr>
    </w:p>
    <w:p w14:paraId="31575DF0" w14:textId="77777777" w:rsidR="000025FA" w:rsidRDefault="00000000">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14:paraId="7FBB9CDF" w14:textId="77777777" w:rsidR="000025FA" w:rsidRDefault="00000000">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年/月/日以前将上述资料交给乙方。在正常情况下，乙方收到上述应提供的全部资</w:t>
      </w:r>
      <w:r>
        <w:rPr>
          <w:rFonts w:ascii="宋体" w:hAnsi="宋体" w:cs="宋体" w:hint="eastAsia"/>
          <w:sz w:val="24"/>
          <w:szCs w:val="24"/>
        </w:rPr>
        <w:lastRenderedPageBreak/>
        <w:t>料后，组织评估专业人员在十个工作日内完成甲方委托的评估工作，并向甲方提交《不动产估价报告书》。若甲方（含其指定不动产权利人、此次经济行为相关方）不能及时提供资料，乙方可以顺延提交报告的时间。</w:t>
      </w:r>
    </w:p>
    <w:p w14:paraId="5B7E0B4D" w14:textId="77777777" w:rsidR="000025FA" w:rsidRDefault="000025FA">
      <w:pPr>
        <w:tabs>
          <w:tab w:val="left" w:pos="720"/>
        </w:tabs>
        <w:spacing w:beforeLines="20" w:before="62" w:afterLines="20" w:after="62" w:line="400" w:lineRule="exact"/>
        <w:ind w:firstLineChars="200" w:firstLine="482"/>
        <w:rPr>
          <w:rFonts w:ascii="宋体"/>
          <w:b/>
          <w:bCs/>
          <w:sz w:val="24"/>
          <w:szCs w:val="24"/>
        </w:rPr>
      </w:pPr>
    </w:p>
    <w:p w14:paraId="0D845F38" w14:textId="77777777" w:rsidR="000025FA"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14:paraId="2A459D72" w14:textId="77777777" w:rsidR="000025FA" w:rsidRDefault="00000000">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hint="eastAsia"/>
          <w:sz w:val="24"/>
          <w:szCs w:val="24"/>
          <w:u w:val="single"/>
        </w:rPr>
        <w:t>（大写）陆仟元整人民币（小写：6000元）</w:t>
      </w:r>
      <w:r>
        <w:rPr>
          <w:rFonts w:ascii="宋体" w:hAnsi="宋体" w:cs="宋体" w:hint="eastAsia"/>
          <w:sz w:val="24"/>
          <w:szCs w:val="24"/>
        </w:rPr>
        <w:t>。含税</w:t>
      </w:r>
    </w:p>
    <w:p w14:paraId="4BB5D76F" w14:textId="77777777" w:rsidR="000025FA"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支付方式：甲方在收到乙方提交的正式《不动产估价报告书》及乙方提供的等额增值税专用发票后十五个工作日内，，一次性以转账方式支付给乙方0.6万元。</w:t>
      </w:r>
    </w:p>
    <w:p w14:paraId="1A169FEF" w14:textId="77777777" w:rsidR="000025FA"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w:t>
      </w:r>
      <w:r>
        <w:rPr>
          <w:rFonts w:ascii="宋体" w:hAnsi="宋体" w:cs="宋体"/>
          <w:sz w:val="24"/>
          <w:szCs w:val="24"/>
        </w:rPr>
        <w:t>.</w:t>
      </w:r>
      <w:r>
        <w:rPr>
          <w:rFonts w:ascii="宋体" w:hAnsi="宋体" w:cs="宋体" w:hint="eastAsia"/>
          <w:sz w:val="24"/>
          <w:szCs w:val="24"/>
        </w:rPr>
        <w:t>乙方账号如下：</w:t>
      </w:r>
    </w:p>
    <w:p w14:paraId="710248CC" w14:textId="77777777" w:rsidR="000025FA"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14:paraId="7FAFA40E" w14:textId="77777777" w:rsidR="000025FA"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1035A74C" w14:textId="77777777" w:rsidR="000025FA"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755FCBF9" w14:textId="77777777" w:rsidR="000025FA"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77210697" w14:textId="77777777" w:rsidR="000025FA"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行号：交224</w:t>
      </w:r>
    </w:p>
    <w:p w14:paraId="4906C7DD" w14:textId="77777777" w:rsidR="000025FA" w:rsidRDefault="00000000">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14:paraId="242E509D" w14:textId="77777777" w:rsidR="000025FA"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1FD75D05" w14:textId="77777777" w:rsidR="000025FA" w:rsidRDefault="00000000">
      <w:pPr>
        <w:numPr>
          <w:ilvl w:val="0"/>
          <w:numId w:val="1"/>
        </w:numPr>
        <w:tabs>
          <w:tab w:val="left" w:pos="720"/>
        </w:tabs>
        <w:spacing w:beforeLines="20" w:before="62" w:afterLines="20" w:after="62" w:line="400" w:lineRule="exact"/>
        <w:rPr>
          <w:rFonts w:ascii="宋体" w:hAnsi="宋体" w:cs="宋体" w:hint="eastAsia"/>
          <w:b/>
          <w:bCs/>
          <w:sz w:val="24"/>
          <w:szCs w:val="24"/>
        </w:rPr>
      </w:pPr>
      <w:r>
        <w:rPr>
          <w:rFonts w:ascii="宋体" w:hAnsi="宋体" w:cs="宋体" w:hint="eastAsia"/>
          <w:b/>
          <w:bCs/>
          <w:sz w:val="24"/>
          <w:szCs w:val="24"/>
        </w:rPr>
        <w:t>增值税发票有关规定</w:t>
      </w:r>
    </w:p>
    <w:p w14:paraId="24185552" w14:textId="77777777" w:rsidR="000025FA" w:rsidRDefault="00000000">
      <w:pPr>
        <w:tabs>
          <w:tab w:val="left" w:pos="720"/>
        </w:tabs>
        <w:spacing w:beforeLines="20" w:before="62" w:afterLines="20" w:after="62" w:line="400" w:lineRule="exact"/>
        <w:ind w:firstLineChars="200" w:firstLine="480"/>
        <w:jc w:val="left"/>
        <w:rPr>
          <w:rFonts w:ascii="宋体" w:hAnsi="宋体" w:cs="宋体" w:hint="eastAsia"/>
          <w:sz w:val="24"/>
          <w:szCs w:val="24"/>
        </w:rPr>
      </w:pPr>
      <w:r>
        <w:rPr>
          <w:rFonts w:ascii="宋体" w:hAnsi="宋体" w:cs="宋体" w:hint="eastAsia"/>
          <w:sz w:val="24"/>
          <w:szCs w:val="24"/>
        </w:rPr>
        <w:t>（一）甲方需向乙方支付的款项中已经包含增值税税款。乙方因本协议项下服务/货物而须支付的其他各项税费（包括但不限于增值税、城市维护建设税、教育费附加及地方教育费附加、印花税、及企业所得税等其他各项税费)应由乙方自行承担，不再向甲方收取。乙方保证协议各项标的对应的税率符合国家规定，且与最终付款时提供的发票税率一致。甲方如需履行代扣代缴义务，甲方将依据国家税收相关法律法规的规定履行代扣代缴义务，最终实际向乙方支付的款项为扣除增值税税款及附加税费后的数额。</w:t>
      </w:r>
    </w:p>
    <w:p w14:paraId="548DEFB9" w14:textId="77777777" w:rsidR="000025FA" w:rsidRDefault="00000000">
      <w:pPr>
        <w:tabs>
          <w:tab w:val="left" w:pos="720"/>
        </w:tabs>
        <w:spacing w:beforeLines="20" w:before="62" w:afterLines="20" w:after="62" w:line="400" w:lineRule="exact"/>
        <w:ind w:firstLineChars="200" w:firstLine="480"/>
        <w:rPr>
          <w:rFonts w:ascii="宋体" w:hAnsi="宋体" w:cs="宋体" w:hint="eastAsia"/>
          <w:sz w:val="24"/>
          <w:szCs w:val="24"/>
        </w:rPr>
      </w:pPr>
      <w:r>
        <w:rPr>
          <w:rFonts w:ascii="宋体" w:hAnsi="宋体" w:cs="宋体" w:hint="eastAsia"/>
          <w:sz w:val="24"/>
          <w:szCs w:val="24"/>
        </w:rPr>
        <w:t>（二）除特别说明外，乙方向甲方开具的发票指增值税专用发票，国家规定</w:t>
      </w:r>
      <w:r>
        <w:rPr>
          <w:rFonts w:ascii="宋体" w:hAnsi="宋体" w:cs="宋体" w:hint="eastAsia"/>
          <w:sz w:val="24"/>
          <w:szCs w:val="24"/>
        </w:rPr>
        <w:lastRenderedPageBreak/>
        <w:t>不能开具增值税专用发票的增值税纳税人，应向税务机关申请代开增值税专用发票。乙方应保证发票真实、合法，各项信息全面、完整。乙方开具的增值税专用发票符合以下情形之一的，甲方有权延迟支付应付款项，并要求乙方重新提供，且甲方不承担任何违约责任：</w:t>
      </w:r>
    </w:p>
    <w:p w14:paraId="64326A3D" w14:textId="77777777" w:rsidR="000025FA" w:rsidRDefault="00000000">
      <w:pPr>
        <w:tabs>
          <w:tab w:val="left" w:pos="720"/>
        </w:tabs>
        <w:spacing w:beforeLines="20" w:before="62" w:afterLines="20" w:after="62" w:line="400" w:lineRule="exact"/>
        <w:ind w:firstLineChars="200" w:firstLine="480"/>
        <w:rPr>
          <w:rFonts w:ascii="宋体" w:hAnsi="宋体" w:cs="宋体" w:hint="eastAsia"/>
          <w:sz w:val="24"/>
          <w:szCs w:val="24"/>
        </w:rPr>
      </w:pPr>
      <w:r>
        <w:rPr>
          <w:rFonts w:ascii="宋体" w:hAnsi="宋体" w:cs="宋体" w:hint="eastAsia"/>
          <w:sz w:val="24"/>
          <w:szCs w:val="24"/>
        </w:rPr>
        <w:t>1.提供作废、无效发票或因违反国家法律法规开具、提供发票的；</w:t>
      </w:r>
    </w:p>
    <w:p w14:paraId="7D22A4C9" w14:textId="77777777" w:rsidR="000025FA" w:rsidRDefault="00000000">
      <w:pPr>
        <w:tabs>
          <w:tab w:val="left" w:pos="720"/>
        </w:tabs>
        <w:spacing w:beforeLines="20" w:before="62" w:afterLines="20" w:after="62" w:line="400" w:lineRule="exact"/>
        <w:ind w:firstLineChars="200" w:firstLine="480"/>
        <w:rPr>
          <w:rFonts w:ascii="宋体" w:hAnsi="宋体" w:cs="宋体" w:hint="eastAsia"/>
          <w:sz w:val="24"/>
          <w:szCs w:val="24"/>
        </w:rPr>
      </w:pPr>
      <w:r>
        <w:rPr>
          <w:rFonts w:ascii="宋体" w:hAnsi="宋体" w:cs="宋体" w:hint="eastAsia"/>
          <w:sz w:val="24"/>
          <w:szCs w:val="24"/>
        </w:rPr>
        <w:t>2.开具发票种类错误，开具发票税率与协议约定不符；</w:t>
      </w:r>
    </w:p>
    <w:p w14:paraId="3518B22D" w14:textId="77777777" w:rsidR="000025FA" w:rsidRDefault="00000000">
      <w:pPr>
        <w:tabs>
          <w:tab w:val="left" w:pos="720"/>
        </w:tabs>
        <w:spacing w:beforeLines="20" w:before="62" w:afterLines="20" w:after="62" w:line="400" w:lineRule="exact"/>
        <w:ind w:firstLineChars="200" w:firstLine="480"/>
        <w:rPr>
          <w:rFonts w:ascii="宋体" w:hAnsi="宋体" w:cs="宋体" w:hint="eastAsia"/>
          <w:sz w:val="24"/>
          <w:szCs w:val="24"/>
        </w:rPr>
      </w:pPr>
      <w:r>
        <w:rPr>
          <w:rFonts w:ascii="宋体" w:hAnsi="宋体" w:cs="宋体" w:hint="eastAsia"/>
          <w:sz w:val="24"/>
          <w:szCs w:val="24"/>
        </w:rPr>
        <w:t>3.发票上的信息错误的；</w:t>
      </w:r>
    </w:p>
    <w:p w14:paraId="0F782545" w14:textId="77777777" w:rsidR="000025FA" w:rsidRDefault="00000000">
      <w:pPr>
        <w:tabs>
          <w:tab w:val="left" w:pos="720"/>
        </w:tabs>
        <w:spacing w:beforeLines="20" w:before="62" w:afterLines="20" w:after="62" w:line="400" w:lineRule="exact"/>
        <w:ind w:firstLineChars="200" w:firstLine="480"/>
        <w:rPr>
          <w:rFonts w:ascii="宋体" w:hAnsi="宋体" w:cs="宋体" w:hint="eastAsia"/>
          <w:sz w:val="24"/>
          <w:szCs w:val="24"/>
        </w:rPr>
      </w:pPr>
      <w:r>
        <w:rPr>
          <w:rFonts w:ascii="宋体" w:hAnsi="宋体" w:cs="宋体" w:hint="eastAsia"/>
          <w:sz w:val="24"/>
          <w:szCs w:val="24"/>
        </w:rPr>
        <w:t>4.因乙方延迟送达、开具错误等原因造成发票认证失败等其他情况；如乙方拒绝重新提供或提供的发票仍不符合法律法规和监管规定的要求，甲方有权解除本协议，并要求乙方承担由此对甲方造成的全部损失。</w:t>
      </w:r>
    </w:p>
    <w:p w14:paraId="0F3A6F08" w14:textId="77777777" w:rsidR="000025FA" w:rsidRDefault="00000000">
      <w:pPr>
        <w:tabs>
          <w:tab w:val="left" w:pos="720"/>
        </w:tabs>
        <w:spacing w:beforeLines="20" w:before="62" w:afterLines="20" w:after="62" w:line="400" w:lineRule="exact"/>
        <w:ind w:firstLineChars="200" w:firstLine="480"/>
        <w:rPr>
          <w:rFonts w:ascii="宋体" w:hAnsi="宋体" w:cs="宋体" w:hint="eastAsia"/>
          <w:sz w:val="24"/>
          <w:szCs w:val="24"/>
        </w:rPr>
      </w:pPr>
      <w:r>
        <w:rPr>
          <w:rFonts w:ascii="宋体" w:hAnsi="宋体" w:cs="宋体" w:hint="eastAsia"/>
          <w:sz w:val="24"/>
          <w:szCs w:val="24"/>
        </w:rPr>
        <w:t>（三）如果乙方向甲方开具虚假发票，甲方有权拒付协议款项、要求赔偿损失或解除本协议。</w:t>
      </w:r>
    </w:p>
    <w:p w14:paraId="4FC24AC4" w14:textId="77777777" w:rsidR="000025FA" w:rsidRDefault="00000000">
      <w:pPr>
        <w:tabs>
          <w:tab w:val="left" w:pos="720"/>
        </w:tabs>
        <w:spacing w:beforeLines="20" w:before="62" w:afterLines="20" w:after="62" w:line="400" w:lineRule="exact"/>
        <w:ind w:firstLineChars="200" w:firstLine="480"/>
        <w:rPr>
          <w:rFonts w:ascii="宋体" w:hAnsi="宋体" w:cs="宋体" w:hint="eastAsia"/>
          <w:sz w:val="24"/>
          <w:szCs w:val="24"/>
        </w:rPr>
      </w:pPr>
      <w:r>
        <w:rPr>
          <w:rFonts w:ascii="宋体" w:hAnsi="宋体" w:cs="宋体" w:hint="eastAsia"/>
          <w:sz w:val="24"/>
          <w:szCs w:val="24"/>
        </w:rPr>
        <w:t>（四）因乙方未按协议约定提供增值税专用发票或未及时开具提供增值税专用发票，而造成甲方无法抵扣增值税税额，甲方有权从未支付的协议款项中直接扣除甲方可抵扣税额。</w:t>
      </w:r>
    </w:p>
    <w:p w14:paraId="6BBB1844" w14:textId="77777777" w:rsidR="000025FA" w:rsidRDefault="00000000">
      <w:pPr>
        <w:tabs>
          <w:tab w:val="left" w:pos="720"/>
        </w:tabs>
        <w:spacing w:beforeLines="20" w:before="62" w:afterLines="20" w:after="62" w:line="400" w:lineRule="exact"/>
        <w:ind w:firstLineChars="200" w:firstLine="480"/>
        <w:rPr>
          <w:rFonts w:ascii="宋体" w:hAnsi="宋体" w:cs="宋体" w:hint="eastAsia"/>
          <w:sz w:val="24"/>
          <w:szCs w:val="24"/>
        </w:rPr>
      </w:pPr>
      <w:r>
        <w:rPr>
          <w:rFonts w:ascii="宋体" w:hAnsi="宋体" w:cs="宋体" w:hint="eastAsia"/>
          <w:sz w:val="24"/>
          <w:szCs w:val="24"/>
        </w:rPr>
        <w:t>（五）因乙方发票税率与协议约定税率不一致导致税额不一致，并有损甲方权益的，甲方有权将税额差额从未支付的协议款项中予以直接扣除。</w:t>
      </w:r>
    </w:p>
    <w:p w14:paraId="039EEB75" w14:textId="77777777" w:rsidR="000025FA" w:rsidRDefault="00000000">
      <w:pPr>
        <w:tabs>
          <w:tab w:val="left" w:pos="720"/>
        </w:tabs>
        <w:spacing w:beforeLines="20" w:before="62" w:afterLines="20" w:after="62" w:line="400" w:lineRule="exact"/>
        <w:ind w:firstLineChars="200" w:firstLine="480"/>
        <w:rPr>
          <w:rFonts w:ascii="宋体" w:hAnsi="宋体" w:cs="宋体" w:hint="eastAsia"/>
          <w:sz w:val="24"/>
          <w:szCs w:val="24"/>
        </w:rPr>
      </w:pPr>
      <w:r>
        <w:rPr>
          <w:rFonts w:ascii="宋体" w:hAnsi="宋体" w:cs="宋体" w:hint="eastAsia"/>
          <w:sz w:val="24"/>
          <w:szCs w:val="24"/>
        </w:rPr>
        <w:t>（六）若出现退款的，对于需要进行作废处理或开具红字发票的情况，乙方有义务配合甲方完成相关发票的处理事宜。</w:t>
      </w:r>
    </w:p>
    <w:p w14:paraId="02BB99A3" w14:textId="77777777" w:rsidR="000025FA" w:rsidRDefault="00000000">
      <w:pPr>
        <w:tabs>
          <w:tab w:val="left" w:pos="720"/>
        </w:tabs>
        <w:spacing w:beforeLines="20" w:before="62" w:afterLines="20" w:after="62" w:line="400" w:lineRule="exact"/>
        <w:ind w:firstLineChars="200" w:firstLine="482"/>
        <w:rPr>
          <w:rFonts w:ascii="宋体"/>
          <w:b/>
          <w:bCs/>
        </w:rPr>
      </w:pPr>
      <w:r>
        <w:rPr>
          <w:rFonts w:ascii="宋体" w:hAnsi="宋体" w:cs="宋体" w:hint="eastAsia"/>
          <w:b/>
          <w:bCs/>
          <w:sz w:val="24"/>
          <w:szCs w:val="24"/>
        </w:rPr>
        <w:t>九、双方的权利与</w:t>
      </w:r>
      <w:r>
        <w:rPr>
          <w:rFonts w:ascii="宋体" w:hAnsi="宋体" w:cs="宋体" w:hint="eastAsia"/>
          <w:b/>
          <w:bCs/>
        </w:rPr>
        <w:t>义务</w:t>
      </w:r>
    </w:p>
    <w:p w14:paraId="7201A32E" w14:textId="77777777" w:rsidR="000025FA" w:rsidRDefault="00000000">
      <w:pPr>
        <w:tabs>
          <w:tab w:val="left" w:pos="720"/>
        </w:tabs>
        <w:spacing w:beforeLines="20" w:before="62" w:afterLines="20" w:after="62" w:line="360" w:lineRule="auto"/>
        <w:ind w:firstLineChars="200" w:firstLine="420"/>
        <w:outlineLvl w:val="0"/>
        <w:rPr>
          <w:rFonts w:ascii="宋体"/>
        </w:rPr>
      </w:pPr>
      <w:r>
        <w:rPr>
          <w:rFonts w:ascii="宋体" w:hAnsi="宋体" w:cs="宋体" w:hint="eastAsia"/>
        </w:rPr>
        <w:t>（一）</w:t>
      </w:r>
      <w:r>
        <w:rPr>
          <w:rFonts w:ascii="宋体" w:hAnsi="宋体" w:cs="宋体"/>
        </w:rPr>
        <w:t xml:space="preserve"> </w:t>
      </w:r>
      <w:r>
        <w:rPr>
          <w:rFonts w:ascii="宋体" w:hAnsi="宋体" w:cs="宋体" w:hint="eastAsia"/>
        </w:rPr>
        <w:t>甲方</w:t>
      </w:r>
    </w:p>
    <w:p w14:paraId="43DE18EB" w14:textId="77777777" w:rsidR="000025FA" w:rsidRDefault="00000000">
      <w:pPr>
        <w:tabs>
          <w:tab w:val="left" w:pos="720"/>
        </w:tabs>
        <w:spacing w:beforeLines="20" w:before="62" w:afterLines="20" w:after="62" w:line="360" w:lineRule="auto"/>
        <w:ind w:firstLineChars="200" w:firstLine="420"/>
        <w:outlineLvl w:val="0"/>
        <w:rPr>
          <w:rFonts w:ascii="宋体"/>
        </w:rPr>
      </w:pPr>
      <w:r>
        <w:rPr>
          <w:rFonts w:ascii="宋体" w:hAnsi="宋体" w:cs="宋体"/>
        </w:rPr>
        <w:t>1.</w:t>
      </w:r>
      <w:r>
        <w:rPr>
          <w:rFonts w:ascii="宋体" w:hAnsi="宋体" w:cs="宋体" w:hint="eastAsia"/>
        </w:rPr>
        <w:t>甲方应当对其（包括其指定的不动产权利人、此次经济行为相关方）提供的权属证明、财务会计信息和其他资料的真实性、完整性和合法性负责，按合同约定及时提供。</w:t>
      </w:r>
    </w:p>
    <w:p w14:paraId="3A6ECDDB" w14:textId="77777777" w:rsidR="000025FA"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47DC2645" w14:textId="77777777" w:rsidR="000025FA"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甲方有权随时了解乙方工作进展情况，对估价初步结论提出意见和质询，对于评估价格明显偏离市场价格，或评估结果与实际不符的，甲方有权要求乙方无偿重新评估或更换评估人员。</w:t>
      </w:r>
    </w:p>
    <w:p w14:paraId="63B50B7E" w14:textId="77777777" w:rsidR="000025FA" w:rsidRDefault="00000000">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3386C63A" w14:textId="77777777" w:rsidR="000025FA"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lastRenderedPageBreak/>
        <w:t>5. 甲方有义务正确、恰当地使用《不动产估价报告书》。</w:t>
      </w:r>
    </w:p>
    <w:p w14:paraId="546F76A9" w14:textId="77777777" w:rsidR="000025FA"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53281832" w14:textId="77777777" w:rsidR="000025FA"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14:paraId="44351818" w14:textId="77777777" w:rsidR="000025FA"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14:paraId="43EA3A11" w14:textId="77777777" w:rsidR="000025FA"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14:paraId="0BC286DB" w14:textId="77777777" w:rsidR="000025FA"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14:paraId="40BC2985" w14:textId="77777777" w:rsidR="000025FA" w:rsidRDefault="000025FA">
      <w:pPr>
        <w:pStyle w:val="a5"/>
        <w:spacing w:beforeLines="20" w:before="62" w:afterLines="20" w:after="62"/>
        <w:ind w:firstLineChars="200" w:firstLine="480"/>
        <w:rPr>
          <w:rFonts w:ascii="宋体" w:eastAsia="宋体" w:hAnsi="宋体" w:hint="eastAsia"/>
        </w:rPr>
      </w:pPr>
    </w:p>
    <w:p w14:paraId="0D91A25F" w14:textId="77777777" w:rsidR="000025FA" w:rsidRDefault="00000000">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十、不动产估价报告书的使用者及使用范围</w:t>
      </w:r>
    </w:p>
    <w:p w14:paraId="270EBBD4" w14:textId="77777777" w:rsidR="000025FA" w:rsidRDefault="00000000">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14:paraId="7B487905" w14:textId="77777777" w:rsidR="000025FA" w:rsidRDefault="00000000">
      <w:pPr>
        <w:tabs>
          <w:tab w:val="left" w:pos="720"/>
        </w:tabs>
        <w:spacing w:beforeLines="20" w:before="62" w:afterLines="20" w:after="62" w:line="360" w:lineRule="auto"/>
        <w:ind w:firstLineChars="200" w:firstLine="480"/>
        <w:rPr>
          <w:rFonts w:ascii="宋体"/>
          <w:b/>
          <w:bCs/>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2657C02F" w14:textId="77777777" w:rsidR="000025FA" w:rsidRDefault="000025FA">
      <w:pPr>
        <w:tabs>
          <w:tab w:val="left" w:pos="720"/>
        </w:tabs>
        <w:spacing w:beforeLines="20" w:before="62" w:afterLines="20" w:after="62" w:line="400" w:lineRule="exact"/>
        <w:ind w:firstLineChars="200" w:firstLine="482"/>
        <w:rPr>
          <w:rFonts w:ascii="宋体" w:hAnsi="宋体" w:cs="宋体" w:hint="eastAsia"/>
          <w:b/>
          <w:bCs/>
          <w:sz w:val="24"/>
          <w:szCs w:val="24"/>
        </w:rPr>
      </w:pPr>
    </w:p>
    <w:p w14:paraId="0F749F39" w14:textId="77777777" w:rsidR="000025FA"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十一、违约责任</w:t>
      </w:r>
    </w:p>
    <w:p w14:paraId="080D0083" w14:textId="77777777" w:rsidR="000025FA"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75D95AE8" w14:textId="77777777" w:rsidR="000025FA"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14:paraId="2E8174C3" w14:textId="77777777" w:rsidR="000025FA"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甲方如未按上述条款规定的日期向乙方提供具备真实性、完整性和合法性要求的估价所必需资料，乙方可按甲方耽误的时间顺延《不动产估价报告书》的交付时间。</w:t>
      </w:r>
    </w:p>
    <w:p w14:paraId="376927B2" w14:textId="77777777" w:rsidR="000025FA"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w:t>
      </w:r>
    </w:p>
    <w:p w14:paraId="58249CBF" w14:textId="77777777" w:rsidR="000025FA"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lastRenderedPageBreak/>
        <w:t>3.甲方如未按上述条款规定的时间向乙方支付估价服务费，以甲方应付款项为基数，从逾期之日起，每逾期一日，甲方向乙方支付应付款项的万分之五作为违约金。</w:t>
      </w:r>
    </w:p>
    <w:p w14:paraId="0F9E375D" w14:textId="77777777" w:rsidR="000025FA"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4.乙方如无正当理由，逾期交付《不动产估价报告书》，每逾期一日，乙方向甲方支付估价服务费的万分之五作为违约金。</w:t>
      </w:r>
    </w:p>
    <w:p w14:paraId="43BE9472" w14:textId="77777777" w:rsidR="000025FA"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（三）经甲乙双方协商一致，可以解除本合同。有以下情形之一的，甲方有权解除合同：</w:t>
      </w:r>
    </w:p>
    <w:p w14:paraId="0151B2F5" w14:textId="77777777" w:rsidR="000025FA"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1.评估结果与同类资产市场价格明显偏离的；</w:t>
      </w:r>
    </w:p>
    <w:p w14:paraId="364B16CE" w14:textId="77777777" w:rsidR="000025FA"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2.乙方擅自将该评估项目转包给第三人的；</w:t>
      </w:r>
    </w:p>
    <w:p w14:paraId="79B6A058" w14:textId="77777777" w:rsidR="000025FA"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3.乙方或其评估人员在评估过程中违反职业道德，存在泄密、舞弊等行为的；</w:t>
      </w:r>
    </w:p>
    <w:p w14:paraId="6E324E85" w14:textId="77777777" w:rsidR="000025FA"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4.乙方违反本合同其他条款的。</w:t>
      </w:r>
    </w:p>
    <w:p w14:paraId="1AFB3C94" w14:textId="77777777" w:rsidR="000025FA" w:rsidRDefault="000025FA">
      <w:pPr>
        <w:tabs>
          <w:tab w:val="left" w:pos="720"/>
        </w:tabs>
        <w:spacing w:beforeLines="20" w:before="62" w:afterLines="20" w:after="62" w:line="400" w:lineRule="exact"/>
        <w:ind w:firstLineChars="200" w:firstLine="482"/>
        <w:rPr>
          <w:rFonts w:ascii="宋体"/>
          <w:b/>
          <w:bCs/>
          <w:sz w:val="24"/>
          <w:szCs w:val="24"/>
        </w:rPr>
      </w:pPr>
    </w:p>
    <w:p w14:paraId="334FC1C6" w14:textId="77777777" w:rsidR="000025FA"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十二、保密条款</w:t>
      </w:r>
    </w:p>
    <w:p w14:paraId="15C991C3" w14:textId="77777777" w:rsidR="000025FA"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70E9AE98" w14:textId="77777777" w:rsidR="000025FA" w:rsidRDefault="000025FA">
      <w:pPr>
        <w:tabs>
          <w:tab w:val="left" w:pos="720"/>
        </w:tabs>
        <w:spacing w:beforeLines="20" w:before="62" w:afterLines="20" w:after="62" w:line="400" w:lineRule="exact"/>
        <w:ind w:firstLineChars="200" w:firstLine="482"/>
        <w:rPr>
          <w:rFonts w:ascii="宋体"/>
          <w:b/>
          <w:bCs/>
          <w:sz w:val="24"/>
          <w:szCs w:val="24"/>
        </w:rPr>
      </w:pPr>
    </w:p>
    <w:p w14:paraId="4FDBE55E" w14:textId="77777777" w:rsidR="000025FA"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十三、合同的变更、中止、解除</w:t>
      </w:r>
    </w:p>
    <w:p w14:paraId="41FB3392" w14:textId="77777777" w:rsidR="000025FA"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14:paraId="5CF63B82" w14:textId="77777777" w:rsidR="000025FA" w:rsidRDefault="00000000">
      <w:pPr>
        <w:pStyle w:val="a3"/>
        <w:snapToGrid w:val="0"/>
        <w:spacing w:beforeLines="20" w:before="62" w:afterLines="20" w:after="62" w:line="360" w:lineRule="auto"/>
        <w:ind w:firstLineChars="200" w:firstLine="480"/>
        <w:jc w:val="both"/>
        <w:rPr>
          <w:rFonts w:ascii="宋体" w:eastAsia="宋体" w:hAnsi="宋体" w:cs="宋体" w:hint="eastAsia"/>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14:paraId="6D55D166" w14:textId="77777777" w:rsidR="000025FA"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104F3AD5" w14:textId="77777777" w:rsidR="000025FA"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4A90ABC2" w14:textId="77777777" w:rsidR="000025FA"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w:t>
      </w:r>
      <w:r>
        <w:rPr>
          <w:rFonts w:ascii="宋体" w:hAnsi="宋体" w:cs="宋体" w:hint="eastAsia"/>
          <w:sz w:val="24"/>
          <w:szCs w:val="24"/>
        </w:rPr>
        <w:lastRenderedPageBreak/>
        <w:t>估服务费。</w:t>
      </w:r>
    </w:p>
    <w:p w14:paraId="2B1A1C07" w14:textId="77777777" w:rsidR="000025FA" w:rsidRDefault="000025FA">
      <w:pPr>
        <w:tabs>
          <w:tab w:val="left" w:pos="720"/>
        </w:tabs>
        <w:spacing w:beforeLines="20" w:before="62" w:afterLines="20" w:after="62" w:line="400" w:lineRule="exact"/>
        <w:ind w:firstLineChars="200" w:firstLine="482"/>
        <w:rPr>
          <w:rFonts w:ascii="宋体"/>
          <w:b/>
          <w:bCs/>
          <w:sz w:val="24"/>
          <w:szCs w:val="24"/>
        </w:rPr>
      </w:pPr>
    </w:p>
    <w:p w14:paraId="23B1F743" w14:textId="77777777" w:rsidR="000025FA"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十四、争议的解决</w:t>
      </w:r>
    </w:p>
    <w:p w14:paraId="7D677A16" w14:textId="77777777" w:rsidR="000025FA"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凡因本合同或与本合同有关的一切争议，甲、乙双方应友好协商解决；协商不成的，任何一方均有权向甲方住所地人民法院提起诉讼。</w:t>
      </w:r>
    </w:p>
    <w:p w14:paraId="05C39967" w14:textId="77777777" w:rsidR="000025FA" w:rsidRDefault="000025FA">
      <w:pPr>
        <w:tabs>
          <w:tab w:val="left" w:pos="720"/>
          <w:tab w:val="left" w:pos="5595"/>
        </w:tabs>
        <w:spacing w:beforeLines="20" w:before="62" w:afterLines="20" w:after="62" w:line="400" w:lineRule="exact"/>
        <w:ind w:firstLineChars="200" w:firstLine="482"/>
        <w:rPr>
          <w:rFonts w:ascii="宋体"/>
          <w:b/>
          <w:bCs/>
          <w:sz w:val="24"/>
          <w:szCs w:val="24"/>
        </w:rPr>
      </w:pPr>
    </w:p>
    <w:p w14:paraId="3BE0BE30" w14:textId="77777777" w:rsidR="000025FA" w:rsidRDefault="00000000">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十五、合同有效期限</w:t>
      </w:r>
      <w:r>
        <w:rPr>
          <w:rFonts w:ascii="宋体"/>
          <w:b/>
          <w:bCs/>
          <w:sz w:val="24"/>
          <w:szCs w:val="24"/>
        </w:rPr>
        <w:tab/>
      </w:r>
    </w:p>
    <w:p w14:paraId="37ED1300" w14:textId="77777777" w:rsidR="000025FA" w:rsidRDefault="00000000">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14:paraId="1CFEBF7E" w14:textId="77777777" w:rsidR="000025FA" w:rsidRDefault="000025FA">
      <w:pPr>
        <w:tabs>
          <w:tab w:val="left" w:pos="720"/>
        </w:tabs>
        <w:spacing w:beforeLines="20" w:before="62" w:afterLines="20" w:after="62" w:line="400" w:lineRule="exact"/>
        <w:ind w:firstLineChars="200" w:firstLine="482"/>
        <w:rPr>
          <w:rFonts w:ascii="宋体"/>
          <w:b/>
          <w:bCs/>
          <w:sz w:val="24"/>
          <w:szCs w:val="24"/>
        </w:rPr>
      </w:pPr>
    </w:p>
    <w:p w14:paraId="74050C1A" w14:textId="77777777" w:rsidR="000025FA" w:rsidRDefault="00000000">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十六、对其他有关事项的约定</w:t>
      </w:r>
    </w:p>
    <w:p w14:paraId="00AE3EA8" w14:textId="77777777" w:rsidR="000025FA"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hint="eastAsia"/>
          <w:sz w:val="24"/>
          <w:szCs w:val="24"/>
          <w:u w:val="single"/>
        </w:rPr>
        <w:t>壹</w:t>
      </w:r>
      <w:r>
        <w:rPr>
          <w:rFonts w:ascii="宋体" w:hAnsi="宋体" w:cs="宋体" w:hint="eastAsia"/>
          <w:sz w:val="24"/>
          <w:szCs w:val="24"/>
        </w:rPr>
        <w:t>份，乙方持</w:t>
      </w:r>
      <w:r>
        <w:rPr>
          <w:rFonts w:ascii="宋体" w:hAnsi="宋体" w:cs="宋体"/>
          <w:sz w:val="24"/>
          <w:szCs w:val="24"/>
          <w:u w:val="single"/>
        </w:rPr>
        <w:t xml:space="preserve"> </w:t>
      </w:r>
      <w:r>
        <w:rPr>
          <w:rFonts w:ascii="宋体" w:hAnsi="宋体" w:cs="宋体" w:hint="eastAsia"/>
          <w:sz w:val="24"/>
          <w:szCs w:val="24"/>
          <w:u w:val="single"/>
        </w:rPr>
        <w:t>壹</w:t>
      </w:r>
      <w:r>
        <w:rPr>
          <w:rFonts w:ascii="宋体" w:hAnsi="宋体" w:cs="宋体" w:hint="eastAsia"/>
          <w:sz w:val="24"/>
          <w:szCs w:val="24"/>
        </w:rPr>
        <w:t>份，具有同等法律效力。</w:t>
      </w:r>
    </w:p>
    <w:p w14:paraId="37A6543A" w14:textId="77777777" w:rsidR="000025FA"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14:paraId="02F9FA76" w14:textId="77777777" w:rsidR="000025FA" w:rsidRDefault="00000000">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rFonts w:ascii="宋体" w:hAnsi="宋体" w:hint="eastAsia"/>
          <w:b/>
          <w:bCs/>
          <w:sz w:val="24"/>
          <w:szCs w:val="24"/>
          <w:u w:val="single"/>
        </w:rPr>
        <w:t>中国农业银行股份有限公司北京怀柔支行</w:t>
      </w:r>
      <w:r>
        <w:rPr>
          <w:sz w:val="24"/>
          <w:szCs w:val="24"/>
        </w:rPr>
        <w:t xml:space="preserve">                     </w:t>
      </w:r>
    </w:p>
    <w:p w14:paraId="4B0A2116" w14:textId="77777777" w:rsidR="000025FA" w:rsidRDefault="00000000">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14:paraId="5EA426E1" w14:textId="77777777" w:rsidR="000025FA" w:rsidRDefault="00000000">
      <w:pPr>
        <w:spacing w:line="480" w:lineRule="auto"/>
        <w:ind w:right="108" w:firstLine="493"/>
        <w:rPr>
          <w:sz w:val="24"/>
          <w:szCs w:val="24"/>
        </w:rPr>
      </w:pPr>
      <w:r>
        <w:rPr>
          <w:rFonts w:cs="宋体" w:hint="eastAsia"/>
          <w:sz w:val="24"/>
          <w:szCs w:val="24"/>
        </w:rPr>
        <w:t>联系地址：</w:t>
      </w:r>
      <w:r>
        <w:rPr>
          <w:sz w:val="24"/>
          <w:szCs w:val="24"/>
        </w:rPr>
        <w:t xml:space="preserve">                      </w:t>
      </w:r>
    </w:p>
    <w:p w14:paraId="5A746712" w14:textId="77777777" w:rsidR="000025FA" w:rsidRDefault="00000000">
      <w:pPr>
        <w:spacing w:line="480" w:lineRule="auto"/>
        <w:ind w:right="108" w:firstLine="493"/>
        <w:rPr>
          <w:sz w:val="24"/>
          <w:szCs w:val="24"/>
        </w:rPr>
      </w:pPr>
      <w:r>
        <w:rPr>
          <w:rFonts w:cs="宋体" w:hint="eastAsia"/>
          <w:sz w:val="24"/>
          <w:szCs w:val="24"/>
        </w:rPr>
        <w:t>电话：</w:t>
      </w:r>
      <w:r>
        <w:rPr>
          <w:sz w:val="24"/>
          <w:szCs w:val="24"/>
        </w:rPr>
        <w:t xml:space="preserve">                          </w:t>
      </w:r>
    </w:p>
    <w:p w14:paraId="3EA2F581" w14:textId="77777777" w:rsidR="000025FA" w:rsidRDefault="00000000">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14:paraId="0CB13926" w14:textId="77777777" w:rsidR="000025FA" w:rsidRDefault="00000000">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roofErr w:type="gramStart"/>
      <w:r>
        <w:rPr>
          <w:rFonts w:ascii="宋体" w:hAnsi="宋体" w:hint="eastAsia"/>
          <w:b/>
          <w:sz w:val="24"/>
          <w:szCs w:val="24"/>
          <w:u w:val="single"/>
        </w:rPr>
        <w:t>北京</w:t>
      </w:r>
      <w:r>
        <w:rPr>
          <w:rFonts w:ascii="宋体" w:hAnsi="宋体" w:hint="eastAsia"/>
          <w:b/>
          <w:bCs/>
          <w:sz w:val="24"/>
          <w:szCs w:val="24"/>
          <w:u w:val="single"/>
        </w:rPr>
        <w:t>康正宏</w:t>
      </w:r>
      <w:proofErr w:type="gramEnd"/>
      <w:r>
        <w:rPr>
          <w:rFonts w:ascii="宋体" w:hAnsi="宋体" w:hint="eastAsia"/>
          <w:b/>
          <w:bCs/>
          <w:sz w:val="24"/>
          <w:szCs w:val="24"/>
          <w:u w:val="single"/>
        </w:rPr>
        <w:t>基房地产评估有限公司</w:t>
      </w:r>
    </w:p>
    <w:p w14:paraId="05EA0DC5" w14:textId="77777777" w:rsidR="000025FA" w:rsidRDefault="00000000">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14:paraId="7F1F036C" w14:textId="77777777" w:rsidR="000025FA" w:rsidRDefault="00000000">
      <w:pPr>
        <w:spacing w:line="480" w:lineRule="auto"/>
        <w:ind w:right="108" w:firstLine="493"/>
        <w:rPr>
          <w:sz w:val="24"/>
          <w:szCs w:val="24"/>
        </w:rPr>
      </w:pPr>
      <w:r>
        <w:rPr>
          <w:rFonts w:cs="宋体" w:hint="eastAsia"/>
          <w:sz w:val="24"/>
          <w:szCs w:val="24"/>
        </w:rPr>
        <w:t>联系地址：</w:t>
      </w:r>
    </w:p>
    <w:p w14:paraId="63D343AA" w14:textId="77777777" w:rsidR="000025FA" w:rsidRDefault="00000000">
      <w:pPr>
        <w:spacing w:line="480" w:lineRule="auto"/>
        <w:ind w:right="108" w:firstLine="493"/>
        <w:rPr>
          <w:sz w:val="24"/>
          <w:szCs w:val="24"/>
        </w:rPr>
      </w:pPr>
      <w:r>
        <w:rPr>
          <w:rFonts w:cs="宋体" w:hint="eastAsia"/>
          <w:sz w:val="24"/>
          <w:szCs w:val="24"/>
        </w:rPr>
        <w:t>电话：</w:t>
      </w:r>
    </w:p>
    <w:p w14:paraId="3AD7AD4B" w14:textId="77777777" w:rsidR="000025FA" w:rsidRDefault="00000000">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0025F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EDD6" w14:textId="77777777" w:rsidR="00277CC2" w:rsidRDefault="00277CC2">
      <w:r>
        <w:separator/>
      </w:r>
    </w:p>
  </w:endnote>
  <w:endnote w:type="continuationSeparator" w:id="0">
    <w:p w14:paraId="36EC4B1D" w14:textId="77777777" w:rsidR="00277CC2" w:rsidRDefault="0027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AFD0" w14:textId="77777777" w:rsidR="000025FA" w:rsidRDefault="00000000">
    <w:pPr>
      <w:pStyle w:val="ab"/>
      <w:jc w:val="center"/>
    </w:pPr>
    <w:r>
      <w:rPr>
        <w:lang w:val="zh-CN"/>
      </w:rPr>
      <w:t xml:space="preserve"> </w:t>
    </w:r>
    <w:r>
      <w:rPr>
        <w:b/>
        <w:bCs/>
      </w:rPr>
      <w:fldChar w:fldCharType="begin"/>
    </w:r>
    <w:r>
      <w:rPr>
        <w:b/>
        <w:bCs/>
      </w:rPr>
      <w:instrText>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5</w:t>
    </w:r>
    <w:r>
      <w:rPr>
        <w:b/>
        <w:bCs/>
      </w:rPr>
      <w:fldChar w:fldCharType="end"/>
    </w:r>
  </w:p>
  <w:p w14:paraId="43907B8E" w14:textId="77777777" w:rsidR="000025FA" w:rsidRDefault="000025F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2158" w14:textId="77777777" w:rsidR="00277CC2" w:rsidRDefault="00277CC2">
      <w:r>
        <w:separator/>
      </w:r>
    </w:p>
  </w:footnote>
  <w:footnote w:type="continuationSeparator" w:id="0">
    <w:p w14:paraId="0BC6BE99" w14:textId="77777777" w:rsidR="00277CC2" w:rsidRDefault="00277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F04FD2"/>
    <w:multiLevelType w:val="singleLevel"/>
    <w:tmpl w:val="CEF04FD2"/>
    <w:lvl w:ilvl="0">
      <w:start w:val="8"/>
      <w:numFmt w:val="chineseCounting"/>
      <w:suff w:val="nothing"/>
      <w:lvlText w:val="%1、"/>
      <w:lvlJc w:val="left"/>
      <w:pPr>
        <w:ind w:left="481" w:firstLine="0"/>
      </w:pPr>
      <w:rPr>
        <w:rFonts w:hint="eastAsia"/>
      </w:rPr>
    </w:lvl>
  </w:abstractNum>
  <w:num w:numId="1" w16cid:durableId="109991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BFCF0A2B"/>
    <w:rsid w:val="FED3E53D"/>
    <w:rsid w:val="000025FA"/>
    <w:rsid w:val="0002064F"/>
    <w:rsid w:val="00031004"/>
    <w:rsid w:val="000366A2"/>
    <w:rsid w:val="0009219B"/>
    <w:rsid w:val="00095788"/>
    <w:rsid w:val="000A1092"/>
    <w:rsid w:val="000A263A"/>
    <w:rsid w:val="00116144"/>
    <w:rsid w:val="0013379B"/>
    <w:rsid w:val="00153732"/>
    <w:rsid w:val="001570D8"/>
    <w:rsid w:val="001635AC"/>
    <w:rsid w:val="00181B6C"/>
    <w:rsid w:val="001E3BE6"/>
    <w:rsid w:val="001E3C50"/>
    <w:rsid w:val="001F06B8"/>
    <w:rsid w:val="001F2B9D"/>
    <w:rsid w:val="00204E87"/>
    <w:rsid w:val="00264914"/>
    <w:rsid w:val="00277CC2"/>
    <w:rsid w:val="002C32D3"/>
    <w:rsid w:val="002E52E4"/>
    <w:rsid w:val="002F4241"/>
    <w:rsid w:val="003952FC"/>
    <w:rsid w:val="003C4C14"/>
    <w:rsid w:val="003F2A53"/>
    <w:rsid w:val="00427355"/>
    <w:rsid w:val="00447328"/>
    <w:rsid w:val="00451C40"/>
    <w:rsid w:val="00462F6F"/>
    <w:rsid w:val="00463A0A"/>
    <w:rsid w:val="004839FA"/>
    <w:rsid w:val="004E5FFC"/>
    <w:rsid w:val="00534F27"/>
    <w:rsid w:val="00543A6A"/>
    <w:rsid w:val="005500BE"/>
    <w:rsid w:val="0057646B"/>
    <w:rsid w:val="00594DD6"/>
    <w:rsid w:val="005A0132"/>
    <w:rsid w:val="005B6011"/>
    <w:rsid w:val="005E2C87"/>
    <w:rsid w:val="00656665"/>
    <w:rsid w:val="006926F5"/>
    <w:rsid w:val="00697B34"/>
    <w:rsid w:val="006E03AC"/>
    <w:rsid w:val="006F58FB"/>
    <w:rsid w:val="00754E00"/>
    <w:rsid w:val="00781AB2"/>
    <w:rsid w:val="007A2139"/>
    <w:rsid w:val="007D0891"/>
    <w:rsid w:val="007D2EC2"/>
    <w:rsid w:val="00830975"/>
    <w:rsid w:val="00834F20"/>
    <w:rsid w:val="0084182F"/>
    <w:rsid w:val="008B00A9"/>
    <w:rsid w:val="008D17CE"/>
    <w:rsid w:val="008D4FDE"/>
    <w:rsid w:val="008E11D1"/>
    <w:rsid w:val="00904818"/>
    <w:rsid w:val="009117F5"/>
    <w:rsid w:val="00916583"/>
    <w:rsid w:val="00987C8A"/>
    <w:rsid w:val="009A161C"/>
    <w:rsid w:val="00A22AF2"/>
    <w:rsid w:val="00A500BC"/>
    <w:rsid w:val="00A70DF1"/>
    <w:rsid w:val="00A7312D"/>
    <w:rsid w:val="00A94915"/>
    <w:rsid w:val="00AD57DD"/>
    <w:rsid w:val="00AE1B0C"/>
    <w:rsid w:val="00B21F76"/>
    <w:rsid w:val="00B24D57"/>
    <w:rsid w:val="00B44E79"/>
    <w:rsid w:val="00B45DD9"/>
    <w:rsid w:val="00B656EF"/>
    <w:rsid w:val="00B70428"/>
    <w:rsid w:val="00B7192D"/>
    <w:rsid w:val="00B86ADD"/>
    <w:rsid w:val="00BA155F"/>
    <w:rsid w:val="00BD70E7"/>
    <w:rsid w:val="00C13A31"/>
    <w:rsid w:val="00C13CAA"/>
    <w:rsid w:val="00C205DD"/>
    <w:rsid w:val="00C21946"/>
    <w:rsid w:val="00C30D76"/>
    <w:rsid w:val="00C36759"/>
    <w:rsid w:val="00C84E2D"/>
    <w:rsid w:val="00C852CB"/>
    <w:rsid w:val="00CB09B2"/>
    <w:rsid w:val="00CD651E"/>
    <w:rsid w:val="00D12FF7"/>
    <w:rsid w:val="00D818CD"/>
    <w:rsid w:val="00D833FD"/>
    <w:rsid w:val="00DA5951"/>
    <w:rsid w:val="00DD0F6E"/>
    <w:rsid w:val="00E3211C"/>
    <w:rsid w:val="00E50DCF"/>
    <w:rsid w:val="00E67C37"/>
    <w:rsid w:val="00EB447A"/>
    <w:rsid w:val="00EB48DF"/>
    <w:rsid w:val="00EC0CFD"/>
    <w:rsid w:val="00F3596D"/>
    <w:rsid w:val="00F51D7A"/>
    <w:rsid w:val="00FC4782"/>
    <w:rsid w:val="00FD0271"/>
    <w:rsid w:val="00FE49CB"/>
    <w:rsid w:val="00FE61C6"/>
    <w:rsid w:val="00FF584C"/>
    <w:rsid w:val="4D2515D1"/>
    <w:rsid w:val="5B645FE7"/>
    <w:rsid w:val="69337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2E46B9"/>
  <w15:docId w15:val="{616CDE42-463C-475D-8D3B-93DD5682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rFonts w:eastAsia="仿宋_GB2312"/>
      <w:sz w:val="30"/>
      <w:szCs w:val="30"/>
    </w:rPr>
  </w:style>
  <w:style w:type="paragraph" w:styleId="a5">
    <w:name w:val="Body Text"/>
    <w:basedOn w:val="a"/>
    <w:link w:val="a6"/>
    <w:uiPriority w:val="99"/>
    <w:qFormat/>
    <w:pPr>
      <w:spacing w:before="120" w:after="120" w:line="400" w:lineRule="exact"/>
    </w:pPr>
    <w:rPr>
      <w:rFonts w:eastAsia="仿宋_GB2312"/>
      <w:sz w:val="24"/>
      <w:szCs w:val="24"/>
    </w:rPr>
  </w:style>
  <w:style w:type="paragraph" w:styleId="a7">
    <w:name w:val="Body Text Indent"/>
    <w:basedOn w:val="a"/>
    <w:link w:val="a8"/>
    <w:uiPriority w:val="99"/>
    <w:qFormat/>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qFormat/>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qFormat/>
    <w:rPr>
      <w:rFonts w:eastAsia="宋体"/>
      <w:b/>
      <w:bCs/>
      <w:sz w:val="21"/>
      <w:szCs w:val="21"/>
    </w:rPr>
  </w:style>
  <w:style w:type="character" w:styleId="af1">
    <w:name w:val="annotation reference"/>
    <w:uiPriority w:val="99"/>
    <w:semiHidden/>
    <w:unhideWhenUsed/>
    <w:qFormat/>
    <w:rPr>
      <w:sz w:val="21"/>
      <w:szCs w:val="21"/>
    </w:rPr>
  </w:style>
  <w:style w:type="character" w:customStyle="1" w:styleId="10">
    <w:name w:val="标题 1 字符"/>
    <w:link w:val="1"/>
    <w:uiPriority w:val="99"/>
    <w:qFormat/>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qFormat/>
    <w:locked/>
    <w:rPr>
      <w:rFonts w:ascii="Times New Roman" w:eastAsia="仿宋_GB2312" w:hAnsi="Times New Roman" w:cs="Times New Roman"/>
      <w:sz w:val="20"/>
      <w:szCs w:val="20"/>
    </w:rPr>
  </w:style>
  <w:style w:type="character" w:customStyle="1" w:styleId="a6">
    <w:name w:val="正文文本 字符"/>
    <w:link w:val="a5"/>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qFormat/>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qFormat/>
    <w:locked/>
    <w:rPr>
      <w:rFonts w:ascii="Times New Roman" w:eastAsia="宋体" w:hAnsi="Times New Roman" w:cs="Times New Roman"/>
      <w:sz w:val="18"/>
      <w:szCs w:val="18"/>
    </w:rPr>
  </w:style>
  <w:style w:type="character" w:customStyle="1" w:styleId="af0">
    <w:name w:val="批注主题 字符"/>
    <w:link w:val="af"/>
    <w:uiPriority w:val="99"/>
    <w:semiHidden/>
    <w:qFormat/>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qFormat/>
    <w:rPr>
      <w:rFonts w:ascii="Times New Roman" w:hAnsi="Times New Roman"/>
      <w:kern w:val="2"/>
      <w:sz w:val="18"/>
      <w:szCs w:val="18"/>
    </w:rPr>
  </w:style>
  <w:style w:type="paragraph" w:customStyle="1" w:styleId="11">
    <w:name w:val="修订1"/>
    <w:hidden/>
    <w:uiPriority w:val="99"/>
    <w:semiHidden/>
    <w:qFormat/>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583</Words>
  <Characters>3326</Characters>
  <Application>Microsoft Office Word</Application>
  <DocSecurity>0</DocSecurity>
  <Lines>27</Lines>
  <Paragraphs>7</Paragraphs>
  <ScaleCrop>false</ScaleCrop>
  <Company>CHINA</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cp:lastModifiedBy>
  <cp:revision>23</cp:revision>
  <cp:lastPrinted>2025-06-12T04:26:00Z</cp:lastPrinted>
  <dcterms:created xsi:type="dcterms:W3CDTF">2024-11-22T00:01:00Z</dcterms:created>
  <dcterms:modified xsi:type="dcterms:W3CDTF">2025-06-12T04:26:00Z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eyJoZGlkIjoiZTdjMDgxMmM0Yzg2MTdlMmYyM2QxZWFiYzAxNGVhOWEiLCJ1c2VySWQiOiIzNDU1ODg5NzcifQ==</vt:lpwstr>
  </property>
  <property fmtid="{D5CDD505-2E9C-101B-9397-08002B2CF9AE}" pid="3" name="KSOProductBuildVer">
    <vt:lpwstr>2052-11.8.2.12313</vt:lpwstr>
  </property>
  <property fmtid="{D5CDD505-2E9C-101B-9397-08002B2CF9AE}" pid="4" name="ICV">
    <vt:lpwstr>8088B089F4504F32AB31EAE66AE18433_12</vt:lpwstr>
  </property>
</Properties>
</file>