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仿宋_GB2312" w:hAnsi="仿宋_GB2312" w:eastAsia="仿宋_GB2312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val="en-US" w:eastAsia="zh-Hans"/>
        </w:rPr>
        <w:t>桂冠</w:t>
      </w:r>
      <w:r>
        <w:rPr>
          <w:rFonts w:hint="default" w:ascii="仿宋" w:hAnsi="仿宋" w:eastAsia="仿宋" w:cs="仿宋"/>
          <w:b/>
          <w:sz w:val="36"/>
          <w:szCs w:val="36"/>
          <w:lang w:eastAsia="zh-Hans"/>
        </w:rPr>
        <w:t>10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Hans"/>
        </w:rPr>
        <w:t>号</w:t>
      </w:r>
      <w:r>
        <w:rPr>
          <w:rFonts w:hint="eastAsia" w:ascii="仿宋" w:hAnsi="仿宋" w:eastAsia="仿宋" w:cs="仿宋"/>
          <w:b/>
          <w:sz w:val="36"/>
          <w:szCs w:val="36"/>
          <w:lang w:eastAsia="zh-Hans"/>
        </w:rPr>
        <w:t>第Ⅱ期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项目一般事项审批单-2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ascii="仿宋_GB2312" w:hAnsi="仿宋_GB2312" w:eastAsia="仿宋_GB2312"/>
          <w:lang w:eastAsia="zh-CN"/>
        </w:rPr>
      </w:pPr>
      <w:r>
        <w:rPr>
          <w:rFonts w:ascii="仿宋_GB2312" w:hAnsi="仿宋_GB2312" w:eastAsia="仿宋_GB2312"/>
          <w:lang w:eastAsia="zh-CN"/>
        </w:rPr>
        <w:t xml:space="preserve">      </w:t>
      </w:r>
      <w:r>
        <w:rPr>
          <w:rFonts w:hint="eastAsia" w:ascii="仿宋_GB2312" w:hAnsi="仿宋_GB2312" w:eastAsia="仿宋_GB2312"/>
          <w:lang w:eastAsia="zh-CN"/>
        </w:rPr>
        <w:t xml:space="preserve">   </w:t>
      </w:r>
      <w:r>
        <w:rPr>
          <w:rFonts w:hint="default" w:ascii="仿宋_GB2312" w:hAnsi="仿宋_GB2312" w:eastAsia="仿宋_GB2312"/>
          <w:lang w:eastAsia="zh-CN"/>
        </w:rPr>
        <w:t xml:space="preserve">   </w:t>
      </w:r>
      <w:r>
        <w:rPr>
          <w:rFonts w:hint="eastAsia" w:ascii="仿宋_GB2312" w:hAnsi="仿宋_GB2312" w:eastAsia="仿宋_GB2312"/>
          <w:lang w:eastAsia="zh-CN"/>
        </w:rPr>
        <w:t>编号：一般事项第0</w:t>
      </w:r>
      <w:r>
        <w:rPr>
          <w:rFonts w:hint="eastAsia" w:ascii="仿宋_GB2312" w:hAnsi="仿宋_GB2312" w:eastAsia="仿宋_GB2312"/>
          <w:lang w:val="en-US" w:eastAsia="zh-CN"/>
        </w:rPr>
        <w:t>08</w:t>
      </w:r>
      <w:r>
        <w:rPr>
          <w:rFonts w:hint="eastAsia" w:ascii="仿宋_GB2312" w:hAnsi="仿宋_GB2312" w:eastAsia="仿宋_GB2312"/>
          <w:lang w:eastAsia="zh-CN"/>
        </w:rPr>
        <w:t>号</w:t>
      </w:r>
    </w:p>
    <w:tbl>
      <w:tblPr>
        <w:tblStyle w:val="11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72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930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发起人员：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桂冠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Hans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Hans"/>
              </w:rPr>
              <w:t>第Ⅱ期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项目现场监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管张小敏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    日期：202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</w:t>
            </w:r>
            <w:commentRangeStart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commentRange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0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3月25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37" w:hRule="atLeast"/>
          <w:jc w:val="center"/>
        </w:trPr>
        <w:tc>
          <w:tcPr>
            <w:tcW w:w="9300" w:type="dxa"/>
            <w:gridSpan w:val="2"/>
            <w:vAlign w:val="center"/>
          </w:tcPr>
          <w:p>
            <w:pPr>
              <w:spacing w:line="360" w:lineRule="auto"/>
              <w:ind w:left="1440" w:hanging="1260" w:hangingChars="6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审批单标题：</w:t>
            </w:r>
            <w:commentRangeStart w:id="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关于杭州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光置业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外携印章办理新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章程备案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事宜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申请</w:t>
            </w:r>
            <w:commentRangeEnd w:id="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42" w:hRule="atLeast"/>
          <w:jc w:val="center"/>
        </w:trPr>
        <w:tc>
          <w:tcPr>
            <w:tcW w:w="9300" w:type="dxa"/>
            <w:gridSpan w:val="2"/>
            <w:vAlign w:val="center"/>
          </w:tcPr>
          <w:p>
            <w:pPr>
              <w:spacing w:line="360" w:lineRule="auto"/>
              <w:ind w:left="7200" w:hanging="6300" w:hangingChars="30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是否用印：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用印类型: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 xml:space="preserve">用款金额：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220" w:hRule="atLeast"/>
          <w:jc w:val="center"/>
        </w:trPr>
        <w:tc>
          <w:tcPr>
            <w:tcW w:w="9300" w:type="dxa"/>
            <w:gridSpan w:val="2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事由：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commentRangeStart w:id="2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光置业有限公司</w:t>
            </w:r>
            <w:commentRangeEnd w:id="2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2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于2021年</w:t>
            </w:r>
            <w:commentRangeStart w:id="3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0</w:t>
            </w:r>
            <w:commentRangeEnd w:id="3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3月25日提交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关于杭州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光置业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有限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外携印章办理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工商章程备案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事宜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Hans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拟外携印章为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杭州橙光及杭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州莹光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公章，拟用印资料为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新章程（备案）及相关申请资料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TW" w:eastAsia="zh-CN" w:bidi="ar-SA"/>
              </w:rPr>
              <w:t>附件：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840" w:firstLineChars="4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外携印章办理新章程备案</w:t>
            </w:r>
            <w:commentRangeStart w:id="4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事宜</w:t>
            </w:r>
            <w:commentRangeEnd w:id="4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4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的审批流程</w:t>
            </w:r>
          </w:p>
          <w:p>
            <w:pPr>
              <w:spacing w:line="360" w:lineRule="auto"/>
              <w:ind w:firstLine="840" w:firstLineChars="400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新章程备案资料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  <w:jc w:val="center"/>
        </w:trPr>
        <w:tc>
          <w:tcPr>
            <w:tcW w:w="2065" w:type="dxa"/>
            <w:vMerge w:val="restart"/>
            <w:vAlign w:val="center"/>
          </w:tcPr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监管中介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评审意见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项目公司于2021年</w:t>
            </w:r>
            <w:commentRangeStart w:id="5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</w:t>
            </w:r>
            <w:commentRangeEnd w:id="5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5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3月25日提交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关于杭州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光置业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外携印章办理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工商章程备案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事宜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，申请借用杭州橙光及杭州莹光公章。我司驻场监管人员对申请流程及其附件进行了审核，审核意见如下：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附件1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外携印章办理新章程备案事宜的审批流程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》显示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：</w:t>
            </w:r>
            <w:commentRangeStart w:id="6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杭州莹光置业有限公司</w:t>
            </w:r>
            <w:commentRangeEnd w:id="6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6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计划于2021年3月26日外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携</w:t>
            </w:r>
            <w:commentRangeStart w:id="7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印章</w:t>
            </w:r>
            <w:commentRangeEnd w:id="7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7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办理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杭州莹光置业有限公司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新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章程备案。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该附件审批流程仅限于办理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杭州莹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光新章程备案，其他事项不在本审批范围内；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《附件2 杭州橙光新章程备案资料》为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拟备案新章程，章程备案格式、内容</w:t>
            </w:r>
            <w:commentRangeStart w:id="8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符合当地</w:t>
            </w:r>
            <w:commentRangeEnd w:id="8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8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市场（工商）部门要求；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Hans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 w:bidi="ar-SA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附件1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 w:bidi="ar-SA"/>
              </w:rPr>
              <w:t>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 w:bidi="ar-SA"/>
              </w:rPr>
              <w:t>光置业有限公司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Hans" w:bidi="ar-SA"/>
              </w:rPr>
              <w:t>外携印章办理新章程备案的审批流程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》的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审批流程末端显示为审批中，根据向企业对接人了解，末端的审批中状态是办理事项后上传补充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资料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环节，流程内显示事项审批已获通过，后期办理事项后将及时上传资料。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 w:bidi="ar-SA"/>
              </w:rPr>
              <w:t>综上，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本审批仅限于申请外携印章办理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杭州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光置业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有限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新章程备案事宜，不含新章程的修改审批，我司认为项目公司外携印章办理新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章程备案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Hans"/>
              </w:rPr>
              <w:t>事宜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合理，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审批流程齐全、完整，我司拟同意项目公司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携</w:t>
            </w:r>
            <w:commentRangeStart w:id="9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印章（公章）</w:t>
            </w:r>
            <w:commentRangeEnd w:id="9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9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办理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杭州莹光置业有限公司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新章程备案</w:t>
            </w:r>
            <w:commentRangeStart w:id="1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事宜</w:t>
            </w:r>
            <w:commentRangeEnd w:id="10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0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。</w:t>
            </w:r>
            <w:commentRangeStart w:id="1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待</w:t>
            </w:r>
            <w:commentRangeEnd w:id="11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1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审批通过后，我司驻场人员将陪同企业赴</w:t>
            </w:r>
            <w:commentRangeStart w:id="12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工商</w:t>
            </w:r>
            <w:commentRangeEnd w:id="12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2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办理</w:t>
            </w:r>
            <w:commentRangeStart w:id="13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工商章程</w:t>
            </w:r>
            <w:commentRangeEnd w:id="13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3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备案</w:t>
            </w:r>
            <w:commentRangeStart w:id="14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的</w:t>
            </w:r>
            <w:commentRangeEnd w:id="14"/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commentReference w:id="14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Hans"/>
              </w:rPr>
              <w:t>事项，用印前将甄别用印文件的合理、合规性，并按监管协议及方案要求做好影像留存工作。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111111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妥否？恳请各位领导批示！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02" w:hRule="atLeast"/>
          <w:jc w:val="center"/>
        </w:trPr>
        <w:tc>
          <w:tcPr>
            <w:tcW w:w="206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审核人：             复核人：             审定人：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78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信托项目业务部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经办人意见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091" w:hRule="atLeast"/>
          <w:jc w:val="center"/>
        </w:trPr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0" w:leftChars="-50" w:right="-12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信托项目业务部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0" w:leftChars="-50" w:right="-12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总经理或授权人意见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运营管理总部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主审意见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运营管理总部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副总经理意见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  <w:jc w:val="center"/>
        </w:trPr>
        <w:tc>
          <w:tcPr>
            <w:tcW w:w="2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0" w:leftChars="-50" w:right="-12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运营管理总部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20" w:leftChars="-50" w:right="-120" w:rightChars="-5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总经理意见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  <w:jc w:val="center"/>
        </w:trPr>
        <w:tc>
          <w:tcPr>
            <w:tcW w:w="2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运管管理总部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分管领导意见</w:t>
            </w:r>
          </w:p>
        </w:tc>
        <w:tc>
          <w:tcPr>
            <w:tcW w:w="72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吴国军" w:date="2021-03-25T20:37:49Z" w:initials="">
    <w:p w14:paraId="DF99F2BF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删除，下同</w:t>
      </w:r>
    </w:p>
  </w:comment>
  <w:comment w:id="1" w:author="吴国军" w:date="2021-03-25T20:38:06Z" w:initials="">
    <w:p w14:paraId="7ABF677C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关于外携印章办理杭州莹光置业有限公司新章程备案的用印申请</w:t>
      </w:r>
      <w:r>
        <w:rPr>
          <w:rFonts w:hint="default"/>
          <w:lang w:eastAsia="zh-Hans"/>
        </w:rPr>
        <w:t xml:space="preserve">   </w:t>
      </w:r>
      <w:r>
        <w:rPr>
          <w:rFonts w:hint="eastAsia"/>
          <w:lang w:val="en-US" w:eastAsia="zh-Hans"/>
        </w:rPr>
        <w:t>下同</w:t>
      </w:r>
    </w:p>
  </w:comment>
  <w:comment w:id="2" w:author="吴国军" w:date="2021-03-25T20:56:50Z" w:initials="">
    <w:p w14:paraId="FDEC46CF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改成橙光，下同</w:t>
      </w:r>
    </w:p>
  </w:comment>
  <w:comment w:id="3" w:author="吴国军" w:date="2021-03-25T20:56:12Z" w:initials="">
    <w:p w14:paraId="7BBFD6EF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</w:t>
      </w:r>
    </w:p>
  </w:comment>
  <w:comment w:id="4" w:author="吴国军" w:date="2021-03-25T20:57:29Z" w:initials="">
    <w:p w14:paraId="F36D539D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删除，附件文件事宜二字均删除，下同</w:t>
      </w:r>
    </w:p>
  </w:comment>
  <w:comment w:id="5" w:author="吴国军" w:date="2021-03-25T20:57:57Z" w:initials="">
    <w:p w14:paraId="7BFD8283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</w:t>
      </w:r>
    </w:p>
  </w:comment>
  <w:comment w:id="6" w:author="吴国军" w:date="2021-03-25T20:58:27Z" w:initials="">
    <w:p w14:paraId="75F1D96C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橙光</w:t>
      </w:r>
    </w:p>
  </w:comment>
  <w:comment w:id="7" w:author="吴国军" w:date="2021-03-25T20:58:47Z" w:initials="">
    <w:p w14:paraId="777D1838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橙光、莹光公章</w:t>
      </w:r>
    </w:p>
  </w:comment>
  <w:comment w:id="8" w:author="吴国军" w:date="2021-03-25T20:59:44Z" w:initials="">
    <w:p w14:paraId="7FBD4DC6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为杭州本地</w:t>
      </w:r>
    </w:p>
  </w:comment>
  <w:comment w:id="9" w:author="吴国军" w:date="2021-03-25T21:00:21Z" w:initials="">
    <w:p w14:paraId="47EF6AE6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橙光、莹光公章</w:t>
      </w:r>
    </w:p>
  </w:comment>
  <w:comment w:id="10" w:author="吴国军" w:date="2021-03-25T21:00:34Z" w:initials="">
    <w:p w14:paraId="7DF51962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事项</w:t>
      </w:r>
    </w:p>
  </w:comment>
  <w:comment w:id="11" w:author="吴国军" w:date="2021-03-25T21:00:38Z" w:initials="">
    <w:p w14:paraId="3EC36319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</w:t>
      </w:r>
    </w:p>
  </w:comment>
  <w:comment w:id="12" w:author="吴国军" w:date="2021-03-25T21:00:56Z" w:initials="">
    <w:p w14:paraId="0F5B5A57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市场（工商）</w:t>
      </w:r>
    </w:p>
  </w:comment>
  <w:comment w:id="13" w:author="吴国军" w:date="2021-03-25T21:01:12Z" w:initials="">
    <w:p w14:paraId="5F8F2725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新章程</w:t>
      </w:r>
    </w:p>
  </w:comment>
  <w:comment w:id="14" w:author="吴国军" w:date="2021-03-25T21:01:20Z" w:initials="">
    <w:p w14:paraId="FDFFEE6F">
      <w:pPr>
        <w:pStyle w:val="5"/>
        <w:rPr>
          <w:rFonts w:hint="eastAsia" w:eastAsia="Microsoft JhengHei Light"/>
          <w:lang w:val="en-US" w:eastAsia="zh-Hans"/>
        </w:rPr>
      </w:pPr>
      <w:r>
        <w:rPr>
          <w:rFonts w:hint="eastAsia"/>
          <w:lang w:val="en-US" w:eastAsia="zh-Hans"/>
        </w:rPr>
        <w:t>删除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DF99F2BF" w15:done="0"/>
  <w15:commentEx w15:paraId="7ABF677C" w15:done="0"/>
  <w15:commentEx w15:paraId="FDEC46CF" w15:done="0"/>
  <w15:commentEx w15:paraId="7BBFD6EF" w15:done="0"/>
  <w15:commentEx w15:paraId="F36D539D" w15:done="0"/>
  <w15:commentEx w15:paraId="7BFD8283" w15:done="0"/>
  <w15:commentEx w15:paraId="75F1D96C" w15:done="0"/>
  <w15:commentEx w15:paraId="777D1838" w15:done="0"/>
  <w15:commentEx w15:paraId="7FBD4DC6" w15:done="0"/>
  <w15:commentEx w15:paraId="47EF6AE6" w15:done="0"/>
  <w15:commentEx w15:paraId="7DF51962" w15:done="0"/>
  <w15:commentEx w15:paraId="3EC36319" w15:done="0"/>
  <w15:commentEx w15:paraId="0F5B5A57" w15:done="0"/>
  <w15:commentEx w15:paraId="5F8F2725" w15:done="0"/>
  <w15:commentEx w15:paraId="FDFFEE6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 Light">
    <w:altName w:val="苹方-简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幼圆">
    <w:altName w:val="华文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crosoft JhengHei UI">
    <w:altName w:val="苹方-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2E5855"/>
    <w:multiLevelType w:val="singleLevel"/>
    <w:tmpl w:val="BC2E585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050F58"/>
    <w:multiLevelType w:val="singleLevel"/>
    <w:tmpl w:val="60050F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吴国军">
    <w15:presenceInfo w15:providerId="WPS Office" w15:userId="1279594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97"/>
    <w:rsid w:val="00025FF4"/>
    <w:rsid w:val="000424F6"/>
    <w:rsid w:val="00043643"/>
    <w:rsid w:val="000462A9"/>
    <w:rsid w:val="000B6CEE"/>
    <w:rsid w:val="000C61D7"/>
    <w:rsid w:val="000E3C15"/>
    <w:rsid w:val="000F357C"/>
    <w:rsid w:val="0010199A"/>
    <w:rsid w:val="0010290D"/>
    <w:rsid w:val="00103068"/>
    <w:rsid w:val="00123D3E"/>
    <w:rsid w:val="0012575A"/>
    <w:rsid w:val="00137B42"/>
    <w:rsid w:val="00167691"/>
    <w:rsid w:val="00182679"/>
    <w:rsid w:val="001833A0"/>
    <w:rsid w:val="00196081"/>
    <w:rsid w:val="001A2EDB"/>
    <w:rsid w:val="001A4F52"/>
    <w:rsid w:val="001C74F8"/>
    <w:rsid w:val="002102EC"/>
    <w:rsid w:val="002548C7"/>
    <w:rsid w:val="00264EAE"/>
    <w:rsid w:val="002718F1"/>
    <w:rsid w:val="002A0119"/>
    <w:rsid w:val="002B71C1"/>
    <w:rsid w:val="002C7A21"/>
    <w:rsid w:val="002D3EB0"/>
    <w:rsid w:val="002D7F46"/>
    <w:rsid w:val="002E7031"/>
    <w:rsid w:val="0030287F"/>
    <w:rsid w:val="00310898"/>
    <w:rsid w:val="0032601B"/>
    <w:rsid w:val="0033562D"/>
    <w:rsid w:val="00337930"/>
    <w:rsid w:val="003407FE"/>
    <w:rsid w:val="0034149E"/>
    <w:rsid w:val="003544D4"/>
    <w:rsid w:val="00357C40"/>
    <w:rsid w:val="00367D5A"/>
    <w:rsid w:val="0039384D"/>
    <w:rsid w:val="003A033E"/>
    <w:rsid w:val="003B39F2"/>
    <w:rsid w:val="003B4284"/>
    <w:rsid w:val="003C447E"/>
    <w:rsid w:val="003F4A5C"/>
    <w:rsid w:val="00402720"/>
    <w:rsid w:val="0041007C"/>
    <w:rsid w:val="00413471"/>
    <w:rsid w:val="00472C3F"/>
    <w:rsid w:val="00487B84"/>
    <w:rsid w:val="00495CD0"/>
    <w:rsid w:val="005030F8"/>
    <w:rsid w:val="00505439"/>
    <w:rsid w:val="0051234C"/>
    <w:rsid w:val="0053249B"/>
    <w:rsid w:val="00544576"/>
    <w:rsid w:val="005670FA"/>
    <w:rsid w:val="005877DA"/>
    <w:rsid w:val="005B5407"/>
    <w:rsid w:val="005B644C"/>
    <w:rsid w:val="005B6646"/>
    <w:rsid w:val="005D15E5"/>
    <w:rsid w:val="005E73F1"/>
    <w:rsid w:val="006423B3"/>
    <w:rsid w:val="00660921"/>
    <w:rsid w:val="00661B54"/>
    <w:rsid w:val="00670D01"/>
    <w:rsid w:val="0073286A"/>
    <w:rsid w:val="00743FB2"/>
    <w:rsid w:val="00744BDD"/>
    <w:rsid w:val="007816F9"/>
    <w:rsid w:val="007914F7"/>
    <w:rsid w:val="007C36B1"/>
    <w:rsid w:val="007E4DEE"/>
    <w:rsid w:val="00800C4C"/>
    <w:rsid w:val="008035FC"/>
    <w:rsid w:val="00805A9B"/>
    <w:rsid w:val="00852BB1"/>
    <w:rsid w:val="00854A27"/>
    <w:rsid w:val="0086633D"/>
    <w:rsid w:val="00897E53"/>
    <w:rsid w:val="008A4A77"/>
    <w:rsid w:val="008F225E"/>
    <w:rsid w:val="0094152F"/>
    <w:rsid w:val="0095304B"/>
    <w:rsid w:val="00961024"/>
    <w:rsid w:val="009A3562"/>
    <w:rsid w:val="009D1D70"/>
    <w:rsid w:val="009D7467"/>
    <w:rsid w:val="009E759F"/>
    <w:rsid w:val="00A04BF0"/>
    <w:rsid w:val="00A1219B"/>
    <w:rsid w:val="00A27F04"/>
    <w:rsid w:val="00A516AF"/>
    <w:rsid w:val="00A51EDF"/>
    <w:rsid w:val="00A62C69"/>
    <w:rsid w:val="00A74915"/>
    <w:rsid w:val="00AB1B18"/>
    <w:rsid w:val="00AB200E"/>
    <w:rsid w:val="00AF1C05"/>
    <w:rsid w:val="00B22BFB"/>
    <w:rsid w:val="00B26ACE"/>
    <w:rsid w:val="00B67D5E"/>
    <w:rsid w:val="00B913C6"/>
    <w:rsid w:val="00B91FCC"/>
    <w:rsid w:val="00B9209D"/>
    <w:rsid w:val="00B9589D"/>
    <w:rsid w:val="00B97025"/>
    <w:rsid w:val="00B97449"/>
    <w:rsid w:val="00BD681A"/>
    <w:rsid w:val="00BE4122"/>
    <w:rsid w:val="00C16498"/>
    <w:rsid w:val="00C56DCC"/>
    <w:rsid w:val="00C84CC8"/>
    <w:rsid w:val="00C95944"/>
    <w:rsid w:val="00CC222A"/>
    <w:rsid w:val="00CC5869"/>
    <w:rsid w:val="00CF4EC2"/>
    <w:rsid w:val="00D07C0B"/>
    <w:rsid w:val="00D318A7"/>
    <w:rsid w:val="00D400D8"/>
    <w:rsid w:val="00D51F4E"/>
    <w:rsid w:val="00D64A3E"/>
    <w:rsid w:val="00D920EF"/>
    <w:rsid w:val="00DA2691"/>
    <w:rsid w:val="00DC1149"/>
    <w:rsid w:val="00DD7E97"/>
    <w:rsid w:val="00DF103F"/>
    <w:rsid w:val="00E1213C"/>
    <w:rsid w:val="00EA1A99"/>
    <w:rsid w:val="00EA6CC5"/>
    <w:rsid w:val="00EB2DED"/>
    <w:rsid w:val="00EC2152"/>
    <w:rsid w:val="00EE56C6"/>
    <w:rsid w:val="00EF3CA6"/>
    <w:rsid w:val="00EF4834"/>
    <w:rsid w:val="00F20F3F"/>
    <w:rsid w:val="00F25989"/>
    <w:rsid w:val="00F300D1"/>
    <w:rsid w:val="00F32F41"/>
    <w:rsid w:val="00F52B97"/>
    <w:rsid w:val="00F530DA"/>
    <w:rsid w:val="00F61B88"/>
    <w:rsid w:val="00F65468"/>
    <w:rsid w:val="00F6552D"/>
    <w:rsid w:val="00F82502"/>
    <w:rsid w:val="00F87E36"/>
    <w:rsid w:val="00F978AD"/>
    <w:rsid w:val="00FA1C83"/>
    <w:rsid w:val="00FB3174"/>
    <w:rsid w:val="00FE25D3"/>
    <w:rsid w:val="00FE2743"/>
    <w:rsid w:val="00FE7ABA"/>
    <w:rsid w:val="0CF71E21"/>
    <w:rsid w:val="12311F73"/>
    <w:rsid w:val="140D640F"/>
    <w:rsid w:val="1EC86EBC"/>
    <w:rsid w:val="223D628D"/>
    <w:rsid w:val="2A1D2EF2"/>
    <w:rsid w:val="2A226A21"/>
    <w:rsid w:val="2BF7B5D6"/>
    <w:rsid w:val="2CA32AC0"/>
    <w:rsid w:val="2F7C76EC"/>
    <w:rsid w:val="2FEAF85F"/>
    <w:rsid w:val="38B72DB6"/>
    <w:rsid w:val="3B421065"/>
    <w:rsid w:val="3DCE6EF3"/>
    <w:rsid w:val="3E1B3E4F"/>
    <w:rsid w:val="3F3E1BC1"/>
    <w:rsid w:val="4E3C44F5"/>
    <w:rsid w:val="512E301B"/>
    <w:rsid w:val="527EDEC4"/>
    <w:rsid w:val="55843A0E"/>
    <w:rsid w:val="5DC52FC8"/>
    <w:rsid w:val="5E7546E0"/>
    <w:rsid w:val="64A60973"/>
    <w:rsid w:val="6CC97625"/>
    <w:rsid w:val="6CDC7F5D"/>
    <w:rsid w:val="6F6F47F6"/>
    <w:rsid w:val="6F7345F7"/>
    <w:rsid w:val="7C6B6A27"/>
    <w:rsid w:val="7EDE9C73"/>
    <w:rsid w:val="7F7A4A63"/>
    <w:rsid w:val="8B6A026A"/>
    <w:rsid w:val="927FBAD7"/>
    <w:rsid w:val="BEBF4481"/>
    <w:rsid w:val="CDFF1474"/>
    <w:rsid w:val="DEAB7170"/>
    <w:rsid w:val="FDAA804E"/>
    <w:rsid w:val="FF37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zh-TW" w:eastAsia="zh-TW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hanging="210"/>
    </w:pPr>
    <w:rPr>
      <w:rFonts w:ascii="幼圆" w:hAnsi="宋体" w:eastAsia="幼圆"/>
      <w:color w:val="000000"/>
      <w:sz w:val="20"/>
      <w:szCs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annotation text"/>
    <w:basedOn w:val="1"/>
    <w:link w:val="15"/>
    <w:unhideWhenUsed/>
    <w:qFormat/>
    <w:uiPriority w:val="99"/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val="en-US" w:eastAsia="zh-CN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  <w:lang w:val="en-US" w:eastAsia="zh-CN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5"/>
    <w:semiHidden/>
    <w:qFormat/>
    <w:uiPriority w:val="99"/>
    <w:rPr>
      <w:rFonts w:ascii="Microsoft JhengHei Light" w:hAnsi="Microsoft JhengHei Light" w:eastAsia="Microsoft JhengHei Light" w:cs="Microsoft JhengHei Light"/>
      <w:color w:val="000000"/>
      <w:kern w:val="0"/>
      <w:sz w:val="24"/>
      <w:szCs w:val="24"/>
      <w:lang w:val="zh-TW" w:eastAsia="zh-TW"/>
    </w:rPr>
  </w:style>
  <w:style w:type="character" w:customStyle="1" w:styleId="16">
    <w:name w:val="批注框文本 Char"/>
    <w:basedOn w:val="9"/>
    <w:link w:val="6"/>
    <w:semiHidden/>
    <w:qFormat/>
    <w:uiPriority w:val="99"/>
    <w:rPr>
      <w:rFonts w:ascii="Microsoft JhengHei Light" w:hAnsi="Microsoft JhengHei Light" w:eastAsia="Microsoft JhengHei Light" w:cs="Microsoft JhengHei Light"/>
      <w:color w:val="000000"/>
      <w:kern w:val="0"/>
      <w:sz w:val="18"/>
      <w:szCs w:val="18"/>
      <w:lang w:val="zh-TW" w:eastAsia="zh-TW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balance-show1"/>
    <w:basedOn w:val="9"/>
    <w:qFormat/>
    <w:uiPriority w:val="0"/>
    <w:rPr>
      <w:b/>
      <w:bCs/>
      <w:color w:val="E9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1226</Words>
  <Characters>1246</Characters>
  <Lines>6</Lines>
  <Paragraphs>1</Paragraphs>
  <TotalTime>0</TotalTime>
  <ScaleCrop>false</ScaleCrop>
  <LinksUpToDate>false</LinksUpToDate>
  <CharactersWithSpaces>1360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2020-07-10T23:48:00Z</dcterms:created>
  <dc:creator>China</dc:creator>
  <cp:lastModifiedBy>吴国军</cp:lastModifiedBy>
  <dcterms:modified xsi:type="dcterms:W3CDTF">2021-03-25T21:02:50Z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