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rPr>
        <w:t>6</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6</w:t>
      </w:r>
      <w:r>
        <w:rPr>
          <w:rFonts w:ascii="宋体" w:hAnsi="宋体"/>
          <w:sz w:val="24"/>
          <w:szCs w:val="24"/>
        </w:rPr>
        <w:t>月</w:t>
      </w:r>
      <w:r>
        <w:rPr>
          <w:rFonts w:hint="eastAsia" w:ascii="宋体" w:hAnsi="宋体"/>
          <w:sz w:val="24"/>
          <w:szCs w:val="24"/>
        </w:rPr>
        <w:t>4</w:t>
      </w:r>
      <w:r>
        <w:rPr>
          <w:rFonts w:ascii="宋体" w:hAnsi="宋体"/>
          <w:sz w:val="24"/>
          <w:szCs w:val="24"/>
        </w:rPr>
        <w:t>日</w:t>
      </w:r>
      <w:r>
        <w:rPr>
          <w:rFonts w:hint="eastAsia" w:ascii="宋体" w:hAnsi="宋体"/>
          <w:sz w:val="24"/>
          <w:szCs w:val="24"/>
        </w:rPr>
        <w:t>提交了《海盐恒大都汇华庭2021年6月支付计划》</w:t>
      </w:r>
      <w:r>
        <w:rPr>
          <w:rFonts w:hint="eastAsia" w:ascii="Arial" w:hAnsi="Arial" w:cs="Arial" w:eastAsiaTheme="minorEastAsia"/>
          <w:sz w:val="24"/>
          <w:szCs w:val="24"/>
        </w:rPr>
        <w:t>，</w:t>
      </w:r>
      <w:r>
        <w:rPr>
          <w:rFonts w:hint="eastAsia" w:ascii="宋体" w:hAnsi="宋体"/>
          <w:sz w:val="24"/>
          <w:szCs w:val="24"/>
        </w:rPr>
        <w:t>我司对项目公司申</w:t>
      </w:r>
      <w:bookmarkStart w:id="1" w:name="_GoBack"/>
      <w:bookmarkEnd w:id="1"/>
      <w:r>
        <w:rPr>
          <w:rFonts w:hint="eastAsia" w:ascii="宋体" w:hAnsi="宋体"/>
          <w:sz w:val="24"/>
          <w:szCs w:val="24"/>
        </w:rPr>
        <w:t>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海盐恒大都汇华庭项目2021年6月资金汇总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6</w:t>
      </w:r>
      <w:r>
        <w:rPr>
          <w:rFonts w:ascii="宋体" w:hAnsi="宋体"/>
          <w:sz w:val="24"/>
          <w:szCs w:val="24"/>
        </w:rPr>
        <w:t>月</w:t>
      </w:r>
      <w:r>
        <w:rPr>
          <w:rFonts w:hint="eastAsia" w:ascii="宋体" w:hAnsi="宋体"/>
          <w:sz w:val="24"/>
          <w:szCs w:val="24"/>
        </w:rPr>
        <w:t>4</w:t>
      </w:r>
      <w:r>
        <w:rPr>
          <w:rFonts w:ascii="宋体" w:hAnsi="宋体"/>
          <w:sz w:val="24"/>
          <w:szCs w:val="24"/>
        </w:rPr>
        <w:t>日</w:t>
      </w:r>
      <w:r>
        <w:rPr>
          <w:rFonts w:hint="eastAsia" w:ascii="宋体" w:hAnsi="宋体"/>
          <w:sz w:val="24"/>
          <w:szCs w:val="24"/>
        </w:rPr>
        <w:t>提交的2021年6月资金支出计划，合计</w:t>
      </w:r>
      <w:r>
        <w:rPr>
          <w:rFonts w:hint="eastAsia" w:ascii="宋体" w:hAnsi="宋体" w:cs="宋体"/>
          <w:color w:val="000000"/>
          <w:kern w:val="0"/>
          <w:sz w:val="24"/>
          <w:szCs w:val="24"/>
          <w:lang w:bidi="ar"/>
        </w:rPr>
        <w:t>5</w:t>
      </w:r>
      <w:r>
        <w:rPr>
          <w:rFonts w:hint="eastAsia" w:ascii="宋体" w:hAnsi="宋体" w:cs="宋体"/>
          <w:color w:val="000000"/>
          <w:kern w:val="0"/>
          <w:sz w:val="24"/>
          <w:szCs w:val="24"/>
          <w:lang w:val="en-US" w:eastAsia="zh-CN" w:bidi="ar"/>
        </w:rPr>
        <w:t>,</w:t>
      </w:r>
      <w:r>
        <w:rPr>
          <w:rFonts w:hint="eastAsia" w:ascii="宋体" w:hAnsi="宋体" w:cs="宋体"/>
          <w:color w:val="000000"/>
          <w:kern w:val="0"/>
          <w:sz w:val="24"/>
          <w:szCs w:val="24"/>
          <w:lang w:bidi="ar"/>
        </w:rPr>
        <w:t>650.06</w:t>
      </w:r>
      <w:r>
        <w:rPr>
          <w:rFonts w:hint="eastAsia" w:ascii="宋体" w:hAnsi="宋体"/>
          <w:sz w:val="24"/>
          <w:szCs w:val="24"/>
        </w:rPr>
        <w:t>万元。根据尽调报告中的目标成本分类方式，我司对资金计划中的支付项进行整理、分类，其中：前期费用支出约</w:t>
      </w:r>
      <w:r>
        <w:rPr>
          <w:rFonts w:hint="eastAsia" w:ascii="宋体" w:hAnsi="宋体" w:cs="宋体"/>
          <w:color w:val="000000"/>
          <w:kern w:val="0"/>
          <w:sz w:val="24"/>
          <w:szCs w:val="24"/>
          <w:lang w:bidi="ar"/>
        </w:rPr>
        <w:t>369.84</w:t>
      </w:r>
      <w:r>
        <w:rPr>
          <w:rFonts w:hint="eastAsia" w:ascii="宋体" w:hAnsi="宋体"/>
          <w:sz w:val="24"/>
          <w:szCs w:val="24"/>
        </w:rPr>
        <w:t>万元，工程费用支出</w:t>
      </w:r>
      <w:r>
        <w:rPr>
          <w:rFonts w:hint="eastAsia" w:ascii="宋体" w:hAnsi="宋体" w:cs="宋体"/>
          <w:color w:val="000000"/>
          <w:kern w:val="0"/>
          <w:sz w:val="22"/>
          <w:lang w:bidi="ar"/>
        </w:rPr>
        <w:t>3,415.73</w:t>
      </w:r>
      <w:r>
        <w:rPr>
          <w:rFonts w:hint="eastAsia" w:ascii="宋体" w:hAnsi="宋体"/>
          <w:sz w:val="24"/>
          <w:szCs w:val="24"/>
        </w:rPr>
        <w:t>万元，管理费支出</w:t>
      </w:r>
      <w:r>
        <w:rPr>
          <w:rFonts w:hint="eastAsia" w:ascii="宋体" w:hAnsi="宋体" w:cs="宋体"/>
          <w:kern w:val="0"/>
          <w:sz w:val="24"/>
          <w:szCs w:val="24"/>
          <w:lang w:bidi="ar"/>
        </w:rPr>
        <w:t>32.00</w:t>
      </w:r>
      <w:r>
        <w:rPr>
          <w:rFonts w:hint="eastAsia" w:ascii="宋体" w:hAnsi="宋体"/>
          <w:sz w:val="24"/>
          <w:szCs w:val="24"/>
        </w:rPr>
        <w:t>万元,营销费支出</w:t>
      </w:r>
      <w:r>
        <w:rPr>
          <w:rFonts w:hint="eastAsia" w:ascii="宋体" w:hAnsi="宋体" w:cs="宋体"/>
          <w:color w:val="000000"/>
          <w:kern w:val="0"/>
          <w:sz w:val="22"/>
          <w:lang w:bidi="ar"/>
        </w:rPr>
        <w:t>1,072.49</w:t>
      </w:r>
      <w:r>
        <w:rPr>
          <w:rFonts w:hint="eastAsia" w:ascii="宋体" w:hAnsi="宋体"/>
          <w:sz w:val="24"/>
          <w:szCs w:val="24"/>
        </w:rPr>
        <w:t>万元，财务费用支出</w:t>
      </w:r>
      <w:r>
        <w:rPr>
          <w:rFonts w:hint="eastAsia" w:ascii="宋体" w:hAnsi="宋体" w:cs="宋体"/>
          <w:color w:val="000000"/>
          <w:kern w:val="0"/>
          <w:sz w:val="24"/>
          <w:szCs w:val="24"/>
          <w:lang w:bidi="ar"/>
        </w:rPr>
        <w:t>400.00</w:t>
      </w:r>
      <w:r>
        <w:rPr>
          <w:rFonts w:hint="eastAsia" w:ascii="宋体" w:hAnsi="宋体"/>
          <w:sz w:val="24"/>
          <w:szCs w:val="24"/>
        </w:rPr>
        <w:t>万元，其他支出</w:t>
      </w:r>
      <w:r>
        <w:rPr>
          <w:rFonts w:hint="eastAsia" w:ascii="宋体" w:hAnsi="宋体" w:cs="宋体"/>
          <w:color w:val="000000"/>
          <w:kern w:val="0"/>
          <w:sz w:val="24"/>
          <w:szCs w:val="24"/>
          <w:lang w:bidi="ar"/>
        </w:rPr>
        <w:t>360.00</w:t>
      </w:r>
      <w:r>
        <w:rPr>
          <w:rFonts w:hint="eastAsia" w:ascii="宋体" w:hAnsi="宋体"/>
          <w:sz w:val="24"/>
          <w:szCs w:val="24"/>
        </w:rPr>
        <w:t>万元（其中其他业务支出60.00万元，不可预见费300.00万元）。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ascii="宋体" w:hAnsi="宋体"/>
                <w:b/>
                <w:bCs/>
                <w:sz w:val="24"/>
                <w:szCs w:val="24"/>
              </w:rPr>
            </w:pPr>
            <w:r>
              <w:rPr>
                <w:rFonts w:hint="eastAsia" w:ascii="宋体" w:hAnsi="宋体"/>
                <w:b/>
                <w:bCs/>
                <w:sz w:val="24"/>
                <w:szCs w:val="24"/>
              </w:rPr>
              <w:t>-海盐恒大都汇华庭项目6月度资金使用计划（2021年6月份）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资金类别</w:t>
            </w:r>
          </w:p>
        </w:tc>
        <w:tc>
          <w:tcPr>
            <w:tcW w:w="2693"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合同金额</w:t>
            </w:r>
          </w:p>
        </w:tc>
        <w:tc>
          <w:tcPr>
            <w:tcW w:w="2552"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实际累计已付款</w:t>
            </w:r>
          </w:p>
        </w:tc>
        <w:tc>
          <w:tcPr>
            <w:tcW w:w="2429" w:type="dxa"/>
            <w:shd w:val="clear" w:color="auto" w:fill="DCD8C2"/>
          </w:tcPr>
          <w:p>
            <w:pPr>
              <w:spacing w:line="360" w:lineRule="auto"/>
              <w:jc w:val="center"/>
              <w:rPr>
                <w:rFonts w:ascii="宋体" w:hAnsi="宋体"/>
                <w:b/>
                <w:bCs/>
                <w:sz w:val="24"/>
                <w:szCs w:val="24"/>
              </w:rPr>
            </w:pPr>
            <w:r>
              <w:rPr>
                <w:rFonts w:hint="eastAsia" w:ascii="宋体" w:hAnsi="宋体"/>
                <w:b/>
                <w:bCs/>
                <w:sz w:val="24"/>
                <w:szCs w:val="24"/>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前期费用</w:t>
            </w:r>
          </w:p>
        </w:tc>
        <w:tc>
          <w:tcPr>
            <w:tcW w:w="2693"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2,824.33 </w:t>
            </w:r>
          </w:p>
        </w:tc>
        <w:tc>
          <w:tcPr>
            <w:tcW w:w="255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784.17 </w:t>
            </w:r>
          </w:p>
        </w:tc>
        <w:tc>
          <w:tcPr>
            <w:tcW w:w="2429" w:type="dxa"/>
            <w:vAlign w:val="center"/>
          </w:tcPr>
          <w:p>
            <w:pPr>
              <w:widowControl/>
              <w:jc w:val="right"/>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369.84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工程费用</w:t>
            </w:r>
          </w:p>
        </w:tc>
        <w:tc>
          <w:tcPr>
            <w:tcW w:w="2693"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38,925.23 </w:t>
            </w:r>
          </w:p>
        </w:tc>
        <w:tc>
          <w:tcPr>
            <w:tcW w:w="255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1,977.92 </w:t>
            </w:r>
          </w:p>
        </w:tc>
        <w:tc>
          <w:tcPr>
            <w:tcW w:w="2429"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3,415.73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管理费用</w:t>
            </w:r>
          </w:p>
        </w:tc>
        <w:tc>
          <w:tcPr>
            <w:tcW w:w="2693" w:type="dxa"/>
          </w:tcPr>
          <w:p>
            <w:pPr>
              <w:widowControl/>
              <w:jc w:val="right"/>
              <w:textAlignment w:val="top"/>
              <w:rPr>
                <w:rFonts w:ascii="宋体" w:hAnsi="宋体"/>
                <w:sz w:val="24"/>
                <w:szCs w:val="24"/>
              </w:rPr>
            </w:pPr>
            <w:r>
              <w:rPr>
                <w:rFonts w:hint="eastAsia" w:ascii="宋体" w:hAnsi="宋体" w:cs="宋体"/>
                <w:color w:val="000000"/>
                <w:kern w:val="0"/>
                <w:sz w:val="24"/>
                <w:szCs w:val="24"/>
                <w:lang w:bidi="ar"/>
              </w:rPr>
              <w:t xml:space="preserve">1,685.48 </w:t>
            </w:r>
          </w:p>
        </w:tc>
        <w:tc>
          <w:tcPr>
            <w:tcW w:w="255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159.69 </w:t>
            </w:r>
          </w:p>
        </w:tc>
        <w:tc>
          <w:tcPr>
            <w:tcW w:w="2429"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营销费用</w:t>
            </w:r>
          </w:p>
        </w:tc>
        <w:tc>
          <w:tcPr>
            <w:tcW w:w="2693"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1,653.09 </w:t>
            </w:r>
          </w:p>
        </w:tc>
        <w:tc>
          <w:tcPr>
            <w:tcW w:w="255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363.38 </w:t>
            </w:r>
          </w:p>
        </w:tc>
        <w:tc>
          <w:tcPr>
            <w:tcW w:w="2429"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1,072.49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rPr>
            </w:pPr>
            <w:r>
              <w:rPr>
                <w:rFonts w:hint="eastAsia" w:ascii="宋体" w:hAnsi="宋体"/>
                <w:sz w:val="24"/>
                <w:szCs w:val="24"/>
              </w:rPr>
              <w:t>财务费用</w:t>
            </w:r>
          </w:p>
        </w:tc>
        <w:tc>
          <w:tcPr>
            <w:tcW w:w="2693" w:type="dxa"/>
          </w:tcPr>
          <w:p>
            <w:pPr>
              <w:widowControl/>
              <w:jc w:val="right"/>
              <w:textAlignment w:val="top"/>
              <w:rPr>
                <w:rFonts w:ascii="宋体" w:hAnsi="宋体"/>
                <w:sz w:val="24"/>
                <w:szCs w:val="24"/>
              </w:rPr>
            </w:pPr>
            <w:r>
              <w:rPr>
                <w:rFonts w:hint="eastAsia" w:ascii="宋体" w:hAnsi="宋体" w:cs="宋体"/>
                <w:color w:val="000000"/>
                <w:kern w:val="0"/>
                <w:sz w:val="24"/>
                <w:szCs w:val="24"/>
                <w:lang w:bidi="ar"/>
              </w:rPr>
              <w:t xml:space="preserve">0.00 </w:t>
            </w:r>
          </w:p>
        </w:tc>
        <w:tc>
          <w:tcPr>
            <w:tcW w:w="255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767.98 </w:t>
            </w:r>
          </w:p>
        </w:tc>
        <w:tc>
          <w:tcPr>
            <w:tcW w:w="2429"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980" w:type="dxa"/>
          </w:tcPr>
          <w:p>
            <w:pPr>
              <w:spacing w:line="360" w:lineRule="auto"/>
              <w:jc w:val="center"/>
              <w:rPr>
                <w:rFonts w:ascii="宋体" w:hAnsi="宋体"/>
                <w:sz w:val="24"/>
                <w:szCs w:val="24"/>
              </w:rPr>
            </w:pPr>
            <w:r>
              <w:rPr>
                <w:rFonts w:hint="eastAsia" w:ascii="宋体" w:hAnsi="宋体"/>
                <w:sz w:val="24"/>
                <w:szCs w:val="24"/>
              </w:rPr>
              <w:t>其他费用</w:t>
            </w:r>
          </w:p>
        </w:tc>
        <w:tc>
          <w:tcPr>
            <w:tcW w:w="2693" w:type="dxa"/>
          </w:tcPr>
          <w:p>
            <w:pPr>
              <w:widowControl/>
              <w:jc w:val="right"/>
              <w:textAlignment w:val="top"/>
              <w:rPr>
                <w:rFonts w:ascii="宋体" w:hAnsi="宋体"/>
                <w:sz w:val="24"/>
                <w:szCs w:val="24"/>
              </w:rPr>
            </w:pPr>
            <w:r>
              <w:rPr>
                <w:rFonts w:hint="eastAsia" w:ascii="宋体" w:hAnsi="宋体" w:cs="宋体"/>
                <w:color w:val="000000"/>
                <w:kern w:val="0"/>
                <w:sz w:val="24"/>
                <w:szCs w:val="24"/>
                <w:lang w:bidi="ar"/>
              </w:rPr>
              <w:t xml:space="preserve">0.00 </w:t>
            </w:r>
          </w:p>
        </w:tc>
        <w:tc>
          <w:tcPr>
            <w:tcW w:w="255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1,028.93 </w:t>
            </w:r>
          </w:p>
        </w:tc>
        <w:tc>
          <w:tcPr>
            <w:tcW w:w="2429"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b/>
                <w:bCs/>
                <w:sz w:val="24"/>
                <w:szCs w:val="24"/>
              </w:rPr>
            </w:pPr>
            <w:r>
              <w:rPr>
                <w:rFonts w:hint="eastAsia" w:ascii="宋体" w:hAnsi="宋体"/>
                <w:b/>
                <w:bCs/>
                <w:sz w:val="24"/>
                <w:szCs w:val="24"/>
              </w:rPr>
              <w:t>总计</w:t>
            </w:r>
          </w:p>
        </w:tc>
        <w:tc>
          <w:tcPr>
            <w:tcW w:w="2693" w:type="dxa"/>
            <w:vAlign w:val="center"/>
          </w:tcPr>
          <w:p>
            <w:pPr>
              <w:widowControl/>
              <w:jc w:val="right"/>
              <w:textAlignment w:val="center"/>
              <w:rPr>
                <w:rFonts w:ascii="宋体" w:hAnsi="宋体"/>
                <w:b/>
                <w:bCs/>
                <w:sz w:val="24"/>
                <w:szCs w:val="24"/>
              </w:rPr>
            </w:pPr>
            <w:r>
              <w:rPr>
                <w:rFonts w:hint="eastAsia" w:ascii="宋体" w:hAnsi="宋体" w:cs="宋体"/>
                <w:b/>
                <w:bCs/>
                <w:color w:val="000000"/>
                <w:kern w:val="0"/>
                <w:sz w:val="24"/>
                <w:szCs w:val="24"/>
                <w:lang w:bidi="ar"/>
              </w:rPr>
              <w:t xml:space="preserve">45,088.14 </w:t>
            </w:r>
          </w:p>
        </w:tc>
        <w:tc>
          <w:tcPr>
            <w:tcW w:w="2552" w:type="dxa"/>
            <w:vAlign w:val="center"/>
          </w:tcPr>
          <w:p>
            <w:pPr>
              <w:widowControl/>
              <w:jc w:val="right"/>
              <w:textAlignment w:val="center"/>
              <w:rPr>
                <w:rFonts w:ascii="宋体" w:hAnsi="宋体"/>
                <w:b/>
                <w:bCs/>
                <w:sz w:val="24"/>
                <w:szCs w:val="24"/>
              </w:rPr>
            </w:pPr>
            <w:r>
              <w:rPr>
                <w:rFonts w:hint="eastAsia" w:ascii="宋体" w:hAnsi="宋体" w:cs="宋体"/>
                <w:b/>
                <w:bCs/>
                <w:color w:val="000000"/>
                <w:kern w:val="0"/>
                <w:sz w:val="24"/>
                <w:szCs w:val="24"/>
                <w:lang w:bidi="ar"/>
              </w:rPr>
              <w:t xml:space="preserve">5,082.07 </w:t>
            </w:r>
          </w:p>
        </w:tc>
        <w:tc>
          <w:tcPr>
            <w:tcW w:w="2429" w:type="dxa"/>
            <w:vAlign w:val="center"/>
          </w:tcPr>
          <w:p>
            <w:pPr>
              <w:widowControl/>
              <w:jc w:val="righ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 xml:space="preserve">5,650.06 </w:t>
            </w:r>
          </w:p>
        </w:tc>
      </w:tr>
      <w:bookmarkEnd w:id="0"/>
    </w:tbl>
    <w:p>
      <w:pPr>
        <w:pStyle w:val="10"/>
        <w:spacing w:before="156" w:beforeLines="50" w:after="156" w:afterLines="50" w:line="360" w:lineRule="auto"/>
        <w:ind w:firstLine="0" w:firstLineChars="0"/>
        <w:rPr>
          <w:rFonts w:ascii="Arial" w:hAnsi="Arial" w:cs="Arial"/>
          <w:bCs/>
          <w:sz w:val="15"/>
          <w:szCs w:val="13"/>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241" w:firstLineChars="100"/>
        <w:rPr>
          <w:rFonts w:ascii="宋体" w:hAnsi="宋体" w:cs="宋体"/>
          <w:b/>
          <w:sz w:val="24"/>
          <w:szCs w:val="24"/>
        </w:rPr>
      </w:pPr>
      <w:r>
        <w:rPr>
          <w:rFonts w:hint="eastAsia" w:ascii="宋体" w:hAnsi="宋体"/>
          <w:b/>
          <w:sz w:val="24"/>
          <w:szCs w:val="24"/>
          <w:lang w:bidi="zh-CN"/>
        </w:rPr>
        <w:t>二、</w:t>
      </w:r>
      <w:r>
        <w:rPr>
          <w:rFonts w:hint="eastAsia" w:ascii="宋体" w:hAnsi="宋体" w:cs="宋体"/>
          <w:b/>
          <w:sz w:val="24"/>
          <w:szCs w:val="24"/>
        </w:rPr>
        <w:t>5月份资</w:t>
      </w:r>
      <w:r>
        <w:rPr>
          <w:rFonts w:ascii="宋体" w:hAnsi="宋体" w:cs="宋体"/>
          <w:b/>
          <w:sz w:val="24"/>
          <w:szCs w:val="24"/>
        </w:rPr>
        <w:t>金计划使用情况</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ascii="宋体" w:hAnsi="宋体"/>
          <w:sz w:val="24"/>
          <w:szCs w:val="24"/>
        </w:rPr>
        <w:t>202</w:t>
      </w:r>
      <w:r>
        <w:rPr>
          <w:rFonts w:hint="eastAsia" w:ascii="宋体" w:hAnsi="宋体"/>
          <w:sz w:val="24"/>
          <w:szCs w:val="24"/>
        </w:rPr>
        <w:t>1年5</w:t>
      </w:r>
      <w:r>
        <w:rPr>
          <w:rFonts w:ascii="宋体" w:hAnsi="宋体"/>
          <w:sz w:val="24"/>
          <w:szCs w:val="24"/>
        </w:rPr>
        <w:t>月资金支出计划</w:t>
      </w:r>
      <w:r>
        <w:rPr>
          <w:rFonts w:hint="eastAsia" w:ascii="宋体" w:hAnsi="宋体" w:cs="宋体"/>
          <w:color w:val="000000"/>
          <w:kern w:val="0"/>
          <w:sz w:val="24"/>
          <w:szCs w:val="24"/>
          <w:lang w:bidi="ar"/>
        </w:rPr>
        <w:t>3,616.75</w:t>
      </w:r>
      <w:r>
        <w:rPr>
          <w:rFonts w:hint="eastAsia" w:ascii="宋体" w:hAnsi="宋体"/>
          <w:bCs/>
          <w:sz w:val="24"/>
          <w:szCs w:val="24"/>
        </w:rPr>
        <w:t>万元，</w:t>
      </w:r>
      <w:r>
        <w:rPr>
          <w:rFonts w:hint="eastAsia" w:ascii="宋体" w:hAnsi="宋体"/>
          <w:sz w:val="24"/>
          <w:szCs w:val="24"/>
        </w:rPr>
        <w:t>实际资金支付</w:t>
      </w:r>
      <w:r>
        <w:rPr>
          <w:rFonts w:hint="eastAsia" w:ascii="宋体" w:hAnsi="宋体" w:cs="宋体"/>
          <w:color w:val="000000"/>
          <w:kern w:val="0"/>
          <w:sz w:val="24"/>
          <w:szCs w:val="24"/>
          <w:lang w:bidi="ar"/>
        </w:rPr>
        <w:t>8,130.82</w:t>
      </w:r>
      <w:r>
        <w:rPr>
          <w:rFonts w:hint="eastAsia" w:ascii="宋体" w:hAnsi="宋体"/>
          <w:sz w:val="24"/>
          <w:szCs w:val="24"/>
        </w:rPr>
        <w:t>万元，其中：前期费用</w:t>
      </w:r>
      <w:r>
        <w:rPr>
          <w:rFonts w:hint="eastAsia" w:ascii="宋体" w:hAnsi="宋体" w:cs="宋体"/>
          <w:color w:val="000000"/>
          <w:kern w:val="0"/>
          <w:sz w:val="24"/>
          <w:szCs w:val="24"/>
          <w:lang w:bidi="ar"/>
        </w:rPr>
        <w:t xml:space="preserve">94.32 </w:t>
      </w:r>
      <w:r>
        <w:rPr>
          <w:rFonts w:hint="eastAsia" w:ascii="宋体" w:hAnsi="宋体"/>
          <w:sz w:val="24"/>
          <w:szCs w:val="24"/>
        </w:rPr>
        <w:t>万元；工程费用支出</w:t>
      </w:r>
      <w:r>
        <w:rPr>
          <w:rFonts w:hint="eastAsia" w:ascii="宋体" w:hAnsi="宋体" w:cs="宋体"/>
          <w:color w:val="000000"/>
          <w:kern w:val="0"/>
          <w:sz w:val="24"/>
          <w:szCs w:val="24"/>
          <w:lang w:bidi="ar"/>
        </w:rPr>
        <w:t>53.58</w:t>
      </w:r>
      <w:r>
        <w:rPr>
          <w:rFonts w:hint="eastAsia" w:ascii="宋体" w:hAnsi="宋体"/>
          <w:sz w:val="24"/>
          <w:szCs w:val="24"/>
        </w:rPr>
        <w:t>万元；管理费用支出</w:t>
      </w:r>
      <w:r>
        <w:rPr>
          <w:rFonts w:hint="eastAsia" w:ascii="宋体" w:hAnsi="宋体" w:cs="宋体"/>
          <w:color w:val="000000"/>
          <w:kern w:val="0"/>
          <w:sz w:val="24"/>
          <w:szCs w:val="24"/>
          <w:lang w:bidi="ar"/>
        </w:rPr>
        <w:t>26.26</w:t>
      </w:r>
      <w:r>
        <w:rPr>
          <w:rFonts w:hint="eastAsia" w:ascii="宋体" w:hAnsi="宋体"/>
          <w:sz w:val="24"/>
          <w:szCs w:val="24"/>
        </w:rPr>
        <w:t>万元；财务费用支出</w:t>
      </w:r>
      <w:r>
        <w:rPr>
          <w:rFonts w:hint="eastAsia" w:ascii="宋体" w:hAnsi="宋体" w:cs="宋体"/>
          <w:color w:val="000000"/>
          <w:kern w:val="0"/>
          <w:sz w:val="24"/>
          <w:szCs w:val="24"/>
          <w:lang w:bidi="ar"/>
        </w:rPr>
        <w:t xml:space="preserve">348.66 </w:t>
      </w:r>
      <w:r>
        <w:rPr>
          <w:rFonts w:hint="eastAsia" w:ascii="宋体" w:hAnsi="宋体"/>
          <w:sz w:val="24"/>
          <w:szCs w:val="24"/>
        </w:rPr>
        <w:t>万元；营销费用</w:t>
      </w:r>
      <w:r>
        <w:rPr>
          <w:rFonts w:hint="eastAsia" w:ascii="宋体" w:hAnsi="宋体" w:cs="宋体"/>
          <w:color w:val="000000"/>
          <w:kern w:val="0"/>
          <w:sz w:val="24"/>
          <w:szCs w:val="24"/>
          <w:lang w:bidi="ar"/>
        </w:rPr>
        <w:t>37.55</w:t>
      </w:r>
      <w:r>
        <w:rPr>
          <w:rFonts w:hint="eastAsia" w:ascii="宋体" w:hAnsi="宋体"/>
          <w:sz w:val="24"/>
          <w:szCs w:val="24"/>
        </w:rPr>
        <w:t>万元，其他费用</w:t>
      </w:r>
      <w:r>
        <w:rPr>
          <w:rFonts w:hint="eastAsia" w:ascii="宋体" w:hAnsi="宋体" w:cs="宋体"/>
          <w:color w:val="000000"/>
          <w:kern w:val="0"/>
          <w:sz w:val="24"/>
          <w:szCs w:val="24"/>
          <w:lang w:bidi="ar"/>
        </w:rPr>
        <w:t xml:space="preserve">224.15 </w:t>
      </w:r>
      <w:r>
        <w:rPr>
          <w:rFonts w:hint="eastAsia" w:ascii="宋体" w:hAnsi="宋体"/>
          <w:sz w:val="24"/>
          <w:szCs w:val="24"/>
        </w:rPr>
        <w:t>万元，往来款</w:t>
      </w:r>
      <w:r>
        <w:rPr>
          <w:rFonts w:hint="eastAsia" w:ascii="宋体" w:hAnsi="宋体" w:cs="宋体"/>
          <w:color w:val="000000"/>
          <w:kern w:val="0"/>
          <w:sz w:val="24"/>
          <w:szCs w:val="24"/>
          <w:lang w:bidi="ar"/>
        </w:rPr>
        <w:t>7,346.30 万元</w:t>
      </w:r>
      <w:r>
        <w:rPr>
          <w:rFonts w:hint="eastAsia" w:ascii="宋体" w:hAnsi="宋体"/>
          <w:sz w:val="24"/>
          <w:szCs w:val="24"/>
        </w:rPr>
        <w:t>。5</w:t>
      </w:r>
      <w:r>
        <w:rPr>
          <w:rFonts w:ascii="宋体" w:hAnsi="宋体" w:cs="宋体"/>
          <w:sz w:val="24"/>
          <w:szCs w:val="24"/>
          <w:lang w:bidi="zh-CN"/>
        </w:rPr>
        <w:t>月</w:t>
      </w:r>
      <w:r>
        <w:rPr>
          <w:rFonts w:hint="eastAsia" w:ascii="宋体" w:hAnsi="宋体" w:cs="宋体"/>
          <w:sz w:val="24"/>
          <w:szCs w:val="24"/>
          <w:lang w:bidi="zh-CN"/>
        </w:rPr>
        <w:t>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bidi="ar"/>
        </w:rPr>
        <w:t>5</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57"/>
        <w:gridCol w:w="1732"/>
        <w:gridCol w:w="1527"/>
        <w:gridCol w:w="4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457"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5</w:t>
            </w:r>
            <w:r>
              <w:rPr>
                <w:rFonts w:ascii="宋体" w:hAnsi="宋体" w:cs="宋体"/>
                <w:b/>
                <w:bCs/>
                <w:kern w:val="0"/>
                <w:sz w:val="22"/>
                <w:lang w:bidi="ar"/>
              </w:rPr>
              <w:t>月份资金计划</w:t>
            </w:r>
            <w:r>
              <w:rPr>
                <w:rFonts w:hint="eastAsia" w:ascii="宋体" w:hAnsi="宋体" w:cs="宋体"/>
                <w:b/>
                <w:bCs/>
                <w:kern w:val="0"/>
                <w:sz w:val="22"/>
                <w:lang w:bidi="ar"/>
              </w:rPr>
              <w:t>申请金额（万元）</w:t>
            </w:r>
          </w:p>
        </w:tc>
        <w:tc>
          <w:tcPr>
            <w:tcW w:w="1732"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5</w:t>
            </w:r>
            <w:r>
              <w:rPr>
                <w:rFonts w:ascii="宋体" w:hAnsi="宋体" w:cs="宋体"/>
                <w:b/>
                <w:bCs/>
                <w:kern w:val="0"/>
                <w:sz w:val="22"/>
                <w:lang w:bidi="ar"/>
              </w:rPr>
              <w:t>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527"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332"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前期费用</w:t>
            </w:r>
          </w:p>
        </w:tc>
        <w:tc>
          <w:tcPr>
            <w:tcW w:w="145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411.32 </w:t>
            </w:r>
          </w:p>
        </w:tc>
        <w:tc>
          <w:tcPr>
            <w:tcW w:w="173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94.32 </w:t>
            </w:r>
          </w:p>
        </w:tc>
        <w:tc>
          <w:tcPr>
            <w:tcW w:w="1527" w:type="dxa"/>
            <w:vAlign w:val="center"/>
          </w:tcPr>
          <w:p>
            <w:pPr>
              <w:widowControl/>
              <w:jc w:val="right"/>
              <w:textAlignment w:val="center"/>
              <w:rPr>
                <w:rFonts w:ascii="宋体" w:hAnsi="宋体" w:cs="宋体"/>
                <w:kern w:val="0"/>
                <w:sz w:val="24"/>
                <w:szCs w:val="24"/>
                <w:lang w:bidi="ar"/>
              </w:rPr>
            </w:pPr>
            <w:r>
              <w:rPr>
                <w:rFonts w:hint="eastAsia" w:ascii="宋体" w:hAnsi="宋体" w:cs="宋体"/>
                <w:color w:val="000000"/>
                <w:kern w:val="0"/>
                <w:sz w:val="24"/>
                <w:szCs w:val="24"/>
                <w:lang w:bidi="ar"/>
              </w:rPr>
              <w:t>22.93%</w:t>
            </w:r>
          </w:p>
        </w:tc>
        <w:tc>
          <w:tcPr>
            <w:tcW w:w="4332" w:type="dxa"/>
            <w:vAlign w:val="center"/>
          </w:tcPr>
          <w:p>
            <w:pPr>
              <w:widowControl/>
              <w:textAlignment w:val="center"/>
              <w:rPr>
                <w:rFonts w:ascii="宋体" w:hAnsi="宋体" w:cs="宋体"/>
                <w:kern w:val="0"/>
                <w:sz w:val="24"/>
                <w:szCs w:val="24"/>
                <w:lang w:bidi="ar"/>
              </w:rPr>
            </w:pPr>
            <w:r>
              <w:rPr>
                <w:rFonts w:hint="eastAsia" w:ascii="宋体" w:hAnsi="宋体" w:cs="宋体"/>
                <w:color w:val="000000"/>
                <w:kern w:val="0"/>
                <w:sz w:val="24"/>
                <w:szCs w:val="24"/>
                <w:lang w:bidi="ar"/>
              </w:rPr>
              <w:t>设计费、咨询费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工程费用</w:t>
            </w:r>
          </w:p>
        </w:tc>
        <w:tc>
          <w:tcPr>
            <w:tcW w:w="145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1,340.79 </w:t>
            </w:r>
          </w:p>
        </w:tc>
        <w:tc>
          <w:tcPr>
            <w:tcW w:w="173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53.58 </w:t>
            </w:r>
          </w:p>
        </w:tc>
        <w:tc>
          <w:tcPr>
            <w:tcW w:w="1527" w:type="dxa"/>
            <w:vAlign w:val="center"/>
          </w:tcPr>
          <w:p>
            <w:pPr>
              <w:widowControl/>
              <w:jc w:val="right"/>
              <w:textAlignment w:val="center"/>
              <w:rPr>
                <w:rFonts w:ascii="宋体" w:hAnsi="宋体" w:cs="宋体"/>
                <w:kern w:val="0"/>
                <w:sz w:val="24"/>
                <w:szCs w:val="24"/>
                <w:lang w:bidi="ar"/>
              </w:rPr>
            </w:pPr>
            <w:r>
              <w:rPr>
                <w:rFonts w:hint="eastAsia" w:ascii="宋体" w:hAnsi="宋体" w:cs="宋体"/>
                <w:color w:val="000000"/>
                <w:kern w:val="0"/>
                <w:sz w:val="24"/>
                <w:szCs w:val="24"/>
                <w:lang w:bidi="ar"/>
              </w:rPr>
              <w:t>4.00%</w:t>
            </w:r>
          </w:p>
        </w:tc>
        <w:tc>
          <w:tcPr>
            <w:tcW w:w="4332" w:type="dxa"/>
            <w:vAlign w:val="center"/>
          </w:tcPr>
          <w:p>
            <w:pPr>
              <w:widowControl/>
              <w:textAlignment w:val="center"/>
              <w:rPr>
                <w:rFonts w:ascii="宋体" w:hAnsi="宋体" w:cs="宋体"/>
                <w:kern w:val="0"/>
                <w:sz w:val="24"/>
                <w:szCs w:val="24"/>
                <w:lang w:bidi="ar"/>
              </w:rPr>
            </w:pPr>
            <w:r>
              <w:rPr>
                <w:rFonts w:hint="eastAsia" w:ascii="宋体" w:hAnsi="宋体" w:cs="宋体"/>
                <w:color w:val="000000"/>
                <w:kern w:val="0"/>
                <w:sz w:val="24"/>
                <w:szCs w:val="24"/>
                <w:lang w:bidi="ar"/>
              </w:rPr>
              <w:t>工程结算款、电梯款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管理费用</w:t>
            </w:r>
          </w:p>
        </w:tc>
        <w:tc>
          <w:tcPr>
            <w:tcW w:w="145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32.00 </w:t>
            </w:r>
          </w:p>
        </w:tc>
        <w:tc>
          <w:tcPr>
            <w:tcW w:w="173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26.26 </w:t>
            </w:r>
          </w:p>
        </w:tc>
        <w:tc>
          <w:tcPr>
            <w:tcW w:w="1527" w:type="dxa"/>
            <w:vAlign w:val="center"/>
          </w:tcPr>
          <w:p>
            <w:pPr>
              <w:widowControl/>
              <w:jc w:val="right"/>
              <w:textAlignment w:val="center"/>
              <w:rPr>
                <w:rFonts w:ascii="宋体" w:hAnsi="宋体" w:cs="宋体"/>
                <w:kern w:val="0"/>
                <w:sz w:val="24"/>
                <w:szCs w:val="24"/>
                <w:lang w:bidi="ar"/>
              </w:rPr>
            </w:pPr>
            <w:r>
              <w:rPr>
                <w:rFonts w:hint="eastAsia" w:ascii="宋体" w:hAnsi="宋体" w:cs="宋体"/>
                <w:color w:val="000000"/>
                <w:kern w:val="0"/>
                <w:sz w:val="24"/>
                <w:szCs w:val="24"/>
                <w:lang w:bidi="ar"/>
              </w:rPr>
              <w:t>82.06%</w:t>
            </w:r>
          </w:p>
        </w:tc>
        <w:tc>
          <w:tcPr>
            <w:tcW w:w="4332" w:type="dxa"/>
            <w:vAlign w:val="center"/>
          </w:tcPr>
          <w:p>
            <w:pPr>
              <w:widowControl/>
              <w:textAlignment w:val="center"/>
              <w:rPr>
                <w:rFonts w:ascii="宋体" w:hAnsi="宋体" w:cs="宋体"/>
                <w:kern w:val="0"/>
                <w:sz w:val="24"/>
                <w:szCs w:val="24"/>
                <w:lang w:bidi="ar"/>
              </w:rPr>
            </w:pPr>
            <w:r>
              <w:rPr>
                <w:rFonts w:hint="eastAsia" w:ascii="宋体" w:hAnsi="宋体" w:cs="宋体"/>
                <w:color w:val="000000"/>
                <w:kern w:val="0"/>
                <w:sz w:val="24"/>
                <w:szCs w:val="24"/>
                <w:lang w:bidi="ar"/>
              </w:rPr>
              <w:t>工资、社保公积金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营销费用</w:t>
            </w:r>
          </w:p>
        </w:tc>
        <w:tc>
          <w:tcPr>
            <w:tcW w:w="145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1,102.64 </w:t>
            </w:r>
          </w:p>
        </w:tc>
        <w:tc>
          <w:tcPr>
            <w:tcW w:w="173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37.55 </w:t>
            </w:r>
          </w:p>
        </w:tc>
        <w:tc>
          <w:tcPr>
            <w:tcW w:w="1527" w:type="dxa"/>
            <w:vAlign w:val="center"/>
          </w:tcPr>
          <w:p>
            <w:pPr>
              <w:widowControl/>
              <w:jc w:val="right"/>
              <w:textAlignment w:val="center"/>
              <w:rPr>
                <w:rFonts w:ascii="宋体" w:hAnsi="宋体" w:cs="宋体"/>
                <w:kern w:val="0"/>
                <w:sz w:val="24"/>
                <w:szCs w:val="24"/>
                <w:lang w:bidi="ar"/>
              </w:rPr>
            </w:pPr>
            <w:r>
              <w:rPr>
                <w:rFonts w:hint="eastAsia" w:ascii="宋体" w:hAnsi="宋体" w:cs="宋体"/>
                <w:color w:val="000000"/>
                <w:kern w:val="0"/>
                <w:sz w:val="24"/>
                <w:szCs w:val="24"/>
                <w:lang w:bidi="ar"/>
              </w:rPr>
              <w:t>3.41%</w:t>
            </w:r>
          </w:p>
        </w:tc>
        <w:tc>
          <w:tcPr>
            <w:tcW w:w="4332" w:type="dxa"/>
            <w:vAlign w:val="center"/>
          </w:tcPr>
          <w:p>
            <w:pPr>
              <w:widowControl/>
              <w:textAlignment w:val="center"/>
              <w:rPr>
                <w:rFonts w:ascii="宋体" w:hAnsi="宋体" w:cs="宋体"/>
                <w:kern w:val="0"/>
                <w:sz w:val="24"/>
                <w:szCs w:val="24"/>
                <w:lang w:bidi="ar"/>
              </w:rPr>
            </w:pPr>
            <w:r>
              <w:rPr>
                <w:rFonts w:hint="eastAsia" w:ascii="宋体" w:hAnsi="宋体" w:cs="宋体"/>
                <w:color w:val="000000"/>
                <w:kern w:val="0"/>
                <w:sz w:val="24"/>
                <w:szCs w:val="24"/>
                <w:lang w:bidi="ar"/>
              </w:rPr>
              <w:t>包装费、广告费、印刷费、活动物料费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财务费用</w:t>
            </w:r>
          </w:p>
        </w:tc>
        <w:tc>
          <w:tcPr>
            <w:tcW w:w="145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590.00 </w:t>
            </w:r>
          </w:p>
        </w:tc>
        <w:tc>
          <w:tcPr>
            <w:tcW w:w="173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348.66 </w:t>
            </w:r>
          </w:p>
        </w:tc>
        <w:tc>
          <w:tcPr>
            <w:tcW w:w="152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59.09%</w:t>
            </w:r>
          </w:p>
        </w:tc>
        <w:tc>
          <w:tcPr>
            <w:tcW w:w="4332" w:type="dxa"/>
            <w:vAlign w:val="center"/>
          </w:tcPr>
          <w:p>
            <w:pPr>
              <w:widowControl/>
              <w:textAlignment w:val="center"/>
              <w:rPr>
                <w:rFonts w:ascii="宋体" w:hAnsi="宋体" w:cs="宋体"/>
                <w:kern w:val="0"/>
                <w:sz w:val="24"/>
                <w:szCs w:val="24"/>
                <w:lang w:bidi="ar"/>
              </w:rPr>
            </w:pPr>
            <w:r>
              <w:rPr>
                <w:rFonts w:hint="eastAsia" w:ascii="宋体" w:hAnsi="宋体" w:cs="宋体"/>
                <w:color w:val="000000"/>
                <w:kern w:val="0"/>
                <w:sz w:val="24"/>
                <w:szCs w:val="24"/>
                <w:lang w:bidi="ar"/>
              </w:rPr>
              <w:t>税费、手续费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241" w:type="dxa"/>
            <w:vAlign w:val="center"/>
          </w:tcPr>
          <w:p>
            <w:pPr>
              <w:widowControl/>
              <w:jc w:val="center"/>
              <w:textAlignment w:val="center"/>
              <w:rPr>
                <w:rFonts w:ascii="宋体" w:hAnsi="宋体"/>
                <w:sz w:val="24"/>
                <w:szCs w:val="24"/>
              </w:rPr>
            </w:pPr>
            <w:r>
              <w:rPr>
                <w:rFonts w:hint="eastAsia" w:ascii="宋体" w:hAnsi="宋体" w:cs="宋体"/>
                <w:color w:val="000000"/>
                <w:kern w:val="0"/>
                <w:sz w:val="24"/>
                <w:szCs w:val="24"/>
                <w:lang w:bidi="ar"/>
              </w:rPr>
              <w:t>其他费用</w:t>
            </w:r>
          </w:p>
        </w:tc>
        <w:tc>
          <w:tcPr>
            <w:tcW w:w="1457"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140.00 </w:t>
            </w:r>
          </w:p>
        </w:tc>
        <w:tc>
          <w:tcPr>
            <w:tcW w:w="1732" w:type="dxa"/>
            <w:vAlign w:val="center"/>
          </w:tcPr>
          <w:p>
            <w:pPr>
              <w:widowControl/>
              <w:jc w:val="right"/>
              <w:textAlignment w:val="center"/>
              <w:rPr>
                <w:rFonts w:ascii="宋体" w:hAnsi="宋体"/>
                <w:sz w:val="24"/>
                <w:szCs w:val="24"/>
              </w:rPr>
            </w:pPr>
            <w:r>
              <w:rPr>
                <w:rFonts w:hint="eastAsia" w:ascii="宋体" w:hAnsi="宋体" w:cs="宋体"/>
                <w:color w:val="000000"/>
                <w:kern w:val="0"/>
                <w:sz w:val="24"/>
                <w:szCs w:val="24"/>
                <w:lang w:bidi="ar"/>
              </w:rPr>
              <w:t xml:space="preserve">224.15 </w:t>
            </w:r>
          </w:p>
        </w:tc>
        <w:tc>
          <w:tcPr>
            <w:tcW w:w="1527" w:type="dxa"/>
            <w:vAlign w:val="center"/>
          </w:tcPr>
          <w:p>
            <w:pPr>
              <w:widowControl/>
              <w:jc w:val="right"/>
              <w:textAlignment w:val="center"/>
              <w:rPr>
                <w:rFonts w:ascii="宋体" w:hAnsi="宋体" w:cs="宋体"/>
                <w:kern w:val="0"/>
                <w:sz w:val="24"/>
                <w:szCs w:val="24"/>
                <w:lang w:bidi="ar"/>
              </w:rPr>
            </w:pPr>
            <w:r>
              <w:rPr>
                <w:rFonts w:hint="eastAsia" w:ascii="宋体" w:hAnsi="宋体" w:cs="宋体"/>
                <w:color w:val="000000"/>
                <w:kern w:val="0"/>
                <w:sz w:val="24"/>
                <w:szCs w:val="24"/>
                <w:lang w:bidi="ar"/>
              </w:rPr>
              <w:t>160.11%</w:t>
            </w:r>
          </w:p>
        </w:tc>
        <w:tc>
          <w:tcPr>
            <w:tcW w:w="4332" w:type="dxa"/>
            <w:vAlign w:val="center"/>
          </w:tcPr>
          <w:p>
            <w:pPr>
              <w:widowControl/>
              <w:textAlignment w:val="center"/>
              <w:rPr>
                <w:rFonts w:ascii="宋体" w:hAnsi="宋体" w:cs="宋体"/>
                <w:kern w:val="0"/>
                <w:sz w:val="24"/>
                <w:szCs w:val="24"/>
                <w:lang w:bidi="ar"/>
              </w:rPr>
            </w:pPr>
            <w:r>
              <w:rPr>
                <w:rFonts w:hint="eastAsia" w:ascii="宋体" w:hAnsi="宋体" w:cs="宋体"/>
                <w:color w:val="000000"/>
                <w:kern w:val="0"/>
                <w:sz w:val="24"/>
                <w:szCs w:val="24"/>
                <w:lang w:bidi="ar"/>
              </w:rPr>
              <w:t>退筹金、息差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color w:val="000000"/>
                <w:kern w:val="0"/>
                <w:sz w:val="24"/>
                <w:szCs w:val="24"/>
                <w:lang w:bidi="ar"/>
              </w:rPr>
              <w:t>往来款</w:t>
            </w:r>
          </w:p>
        </w:tc>
        <w:tc>
          <w:tcPr>
            <w:tcW w:w="1457" w:type="dxa"/>
            <w:vAlign w:val="center"/>
          </w:tcPr>
          <w:p>
            <w:pPr>
              <w:widowControl/>
              <w:jc w:val="right"/>
              <w:textAlignment w:val="center"/>
              <w:rPr>
                <w:rFonts w:ascii="宋体" w:hAnsi="宋体" w:cs="宋体"/>
                <w:b/>
                <w:bCs/>
                <w:kern w:val="0"/>
                <w:sz w:val="24"/>
                <w:szCs w:val="24"/>
                <w:lang w:bidi="ar"/>
              </w:rPr>
            </w:pPr>
            <w:r>
              <w:rPr>
                <w:rFonts w:hint="eastAsia" w:ascii="宋体" w:hAnsi="宋体" w:cs="宋体"/>
                <w:color w:val="000000"/>
                <w:kern w:val="0"/>
                <w:sz w:val="24"/>
                <w:szCs w:val="24"/>
                <w:lang w:bidi="ar"/>
              </w:rPr>
              <w:t xml:space="preserve">0.00 </w:t>
            </w:r>
          </w:p>
        </w:tc>
        <w:tc>
          <w:tcPr>
            <w:tcW w:w="1732" w:type="dxa"/>
            <w:vAlign w:val="center"/>
          </w:tcPr>
          <w:p>
            <w:pPr>
              <w:widowControl/>
              <w:jc w:val="right"/>
              <w:textAlignment w:val="center"/>
              <w:rPr>
                <w:rFonts w:ascii="宋体" w:hAnsi="宋体"/>
                <w:b/>
                <w:bCs/>
                <w:sz w:val="24"/>
                <w:szCs w:val="24"/>
              </w:rPr>
            </w:pPr>
            <w:r>
              <w:rPr>
                <w:rFonts w:hint="eastAsia" w:ascii="宋体" w:hAnsi="宋体" w:cs="宋体"/>
                <w:color w:val="000000"/>
                <w:kern w:val="0"/>
                <w:sz w:val="24"/>
                <w:szCs w:val="24"/>
                <w:lang w:bidi="ar"/>
              </w:rPr>
              <w:t xml:space="preserve">7,346.30 </w:t>
            </w:r>
          </w:p>
        </w:tc>
        <w:tc>
          <w:tcPr>
            <w:tcW w:w="1527" w:type="dxa"/>
            <w:vAlign w:val="center"/>
          </w:tcPr>
          <w:p>
            <w:pPr>
              <w:widowControl/>
              <w:jc w:val="right"/>
              <w:textAlignment w:val="center"/>
              <w:rPr>
                <w:rFonts w:ascii="宋体" w:hAnsi="宋体" w:cs="宋体"/>
                <w:b/>
                <w:kern w:val="0"/>
                <w:sz w:val="24"/>
                <w:szCs w:val="24"/>
                <w:lang w:bidi="ar"/>
              </w:rPr>
            </w:pPr>
            <w:r>
              <w:rPr>
                <w:rFonts w:hint="eastAsia" w:ascii="宋体" w:hAnsi="宋体" w:cs="宋体"/>
                <w:color w:val="000000"/>
                <w:kern w:val="0"/>
                <w:sz w:val="24"/>
                <w:szCs w:val="24"/>
                <w:lang w:bidi="ar"/>
              </w:rPr>
              <w:t>-</w:t>
            </w:r>
          </w:p>
        </w:tc>
        <w:tc>
          <w:tcPr>
            <w:tcW w:w="4332" w:type="dxa"/>
            <w:vAlign w:val="center"/>
          </w:tcPr>
          <w:p>
            <w:pPr>
              <w:widowControl/>
              <w:textAlignment w:val="center"/>
              <w:rPr>
                <w:rFonts w:ascii="宋体" w:hAnsi="宋体" w:cs="宋体"/>
                <w:b/>
                <w:kern w:val="0"/>
                <w:sz w:val="24"/>
                <w:szCs w:val="24"/>
                <w:lang w:bidi="ar"/>
              </w:rPr>
            </w:pPr>
            <w:r>
              <w:rPr>
                <w:rFonts w:hint="eastAsia" w:ascii="宋体" w:hAnsi="宋体" w:cs="宋体"/>
                <w:color w:val="000000"/>
                <w:kern w:val="0"/>
                <w:sz w:val="24"/>
                <w:szCs w:val="24"/>
                <w:lang w:bidi="ar"/>
              </w:rPr>
              <w:t>投资收益分配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b/>
                <w:bCs/>
                <w:color w:val="000000"/>
                <w:kern w:val="0"/>
                <w:sz w:val="24"/>
                <w:szCs w:val="24"/>
                <w:lang w:bidi="ar"/>
              </w:rPr>
              <w:t>合计</w:t>
            </w:r>
          </w:p>
        </w:tc>
        <w:tc>
          <w:tcPr>
            <w:tcW w:w="1457" w:type="dxa"/>
            <w:vAlign w:val="center"/>
          </w:tcPr>
          <w:p>
            <w:pPr>
              <w:widowControl/>
              <w:jc w:val="right"/>
              <w:textAlignment w:val="center"/>
              <w:rPr>
                <w:rFonts w:ascii="宋体" w:hAnsi="宋体" w:cs="宋体"/>
                <w:b/>
                <w:bCs/>
                <w:kern w:val="0"/>
                <w:sz w:val="24"/>
                <w:szCs w:val="24"/>
                <w:lang w:bidi="ar"/>
              </w:rPr>
            </w:pPr>
            <w:r>
              <w:rPr>
                <w:rFonts w:hint="eastAsia" w:ascii="宋体" w:hAnsi="宋体" w:cs="宋体"/>
                <w:b/>
                <w:bCs/>
                <w:color w:val="000000"/>
                <w:kern w:val="0"/>
                <w:sz w:val="24"/>
                <w:szCs w:val="24"/>
                <w:lang w:bidi="ar"/>
              </w:rPr>
              <w:t xml:space="preserve">3,616.75 </w:t>
            </w:r>
          </w:p>
        </w:tc>
        <w:tc>
          <w:tcPr>
            <w:tcW w:w="1732" w:type="dxa"/>
            <w:vAlign w:val="center"/>
          </w:tcPr>
          <w:p>
            <w:pPr>
              <w:widowControl/>
              <w:jc w:val="right"/>
              <w:textAlignment w:val="center"/>
              <w:rPr>
                <w:rFonts w:ascii="宋体" w:hAnsi="宋体"/>
                <w:b/>
                <w:bCs/>
                <w:sz w:val="24"/>
                <w:szCs w:val="24"/>
              </w:rPr>
            </w:pPr>
            <w:r>
              <w:rPr>
                <w:rFonts w:hint="eastAsia" w:ascii="宋体" w:hAnsi="宋体" w:cs="宋体"/>
                <w:b/>
                <w:bCs/>
                <w:color w:val="000000"/>
                <w:kern w:val="0"/>
                <w:sz w:val="24"/>
                <w:szCs w:val="24"/>
                <w:lang w:bidi="ar"/>
              </w:rPr>
              <w:t xml:space="preserve">8,130.82 </w:t>
            </w:r>
          </w:p>
        </w:tc>
        <w:tc>
          <w:tcPr>
            <w:tcW w:w="1527" w:type="dxa"/>
            <w:vAlign w:val="center"/>
          </w:tcPr>
          <w:p>
            <w:pPr>
              <w:widowControl/>
              <w:jc w:val="right"/>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224.81%</w:t>
            </w:r>
          </w:p>
        </w:tc>
        <w:tc>
          <w:tcPr>
            <w:tcW w:w="4332" w:type="dxa"/>
            <w:vAlign w:val="center"/>
          </w:tcPr>
          <w:p>
            <w:pPr>
              <w:rPr>
                <w:rFonts w:ascii="宋体" w:hAnsi="宋体" w:cs="宋体"/>
                <w:b/>
                <w:kern w:val="0"/>
                <w:sz w:val="24"/>
                <w:szCs w:val="24"/>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sz w:val="24"/>
          <w:szCs w:val="24"/>
          <w:lang w:bidi="zh-CN"/>
        </w:rPr>
        <w:t>根据《5月份资金计划金额与执行情况对比表》显示，除往来款（投资收益分配）和其他费用支出外，实际支付基本符合项目公司的资金计划。</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numPr>
          <w:ilvl w:val="0"/>
          <w:numId w:val="2"/>
        </w:numPr>
        <w:spacing w:before="156" w:beforeLines="50" w:after="156" w:afterLines="50" w:line="360" w:lineRule="auto"/>
        <w:rPr>
          <w:rFonts w:ascii="宋体" w:hAnsi="宋体"/>
          <w:bCs/>
          <w:sz w:val="24"/>
          <w:szCs w:val="24"/>
          <w:lang w:bidi="zh-CN"/>
        </w:rPr>
      </w:pPr>
      <w:r>
        <w:rPr>
          <w:rFonts w:hint="eastAsia" w:ascii="宋体" w:hAnsi="宋体"/>
          <w:b/>
          <w:sz w:val="24"/>
          <w:szCs w:val="24"/>
          <w:lang w:bidi="zh-CN"/>
        </w:rPr>
        <w:t>前期费用支出计划说明</w:t>
      </w:r>
    </w:p>
    <w:p>
      <w:pPr>
        <w:spacing w:before="156" w:beforeLines="50" w:after="156" w:afterLines="50" w:line="360" w:lineRule="auto"/>
        <w:ind w:left="225" w:firstLine="480" w:firstLineChars="200"/>
        <w:rPr>
          <w:rFonts w:ascii="宋体" w:hAnsi="宋体" w:cs="宋体"/>
          <w:bCs/>
          <w:sz w:val="24"/>
          <w:szCs w:val="24"/>
          <w:lang w:bidi="zh-CN"/>
        </w:rPr>
      </w:pPr>
      <w:r>
        <w:rPr>
          <w:rFonts w:hint="eastAsia" w:ascii="宋体" w:hAnsi="宋体" w:cs="宋体"/>
          <w:bCs/>
          <w:sz w:val="24"/>
          <w:szCs w:val="24"/>
          <w:lang w:bidi="zh-CN"/>
        </w:rPr>
        <w:t>项目公司在2021年6月前期费用计划支出金额共计</w:t>
      </w:r>
      <w:r>
        <w:rPr>
          <w:rFonts w:hint="eastAsia" w:ascii="宋体" w:hAnsi="宋体" w:cs="宋体"/>
          <w:color w:val="000000"/>
          <w:kern w:val="0"/>
          <w:sz w:val="24"/>
          <w:szCs w:val="24"/>
          <w:lang w:bidi="ar"/>
        </w:rPr>
        <w:t>369.84</w:t>
      </w:r>
      <w:r>
        <w:rPr>
          <w:rFonts w:hint="eastAsia" w:ascii="宋体" w:hAnsi="宋体" w:cs="宋体"/>
          <w:bCs/>
          <w:sz w:val="24"/>
          <w:szCs w:val="24"/>
          <w:lang w:bidi="zh-CN"/>
        </w:rPr>
        <w:t>万元，具体分析如下：</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sz w:val="24"/>
          <w:szCs w:val="24"/>
        </w:rPr>
        <w:t>预计6月项目方向嘉兴市国华建设工程造价咨询有限公司海盐分公司计划支付造价咨询编制费用4.8万元，经核查，该合同尚未签订，此金额为项目公司预估金额，实际支付时，我</w:t>
      </w:r>
      <w:r>
        <w:rPr>
          <w:rFonts w:hint="eastAsia" w:ascii="宋体" w:hAnsi="宋体" w:cs="宋体"/>
          <w:sz w:val="24"/>
          <w:szCs w:val="24"/>
          <w:lang w:bidi="zh-CN"/>
        </w:rPr>
        <w:t>司会严格审核付款资料据实支付。</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预计6月项目方向嘉兴智联环保技术服务有限公司计划支付噪声检测费0.6万元，经核查，该合同尚未签订，此金额为项目公司预估金额，实际支付时，我</w:t>
      </w:r>
      <w:r>
        <w:rPr>
          <w:rFonts w:hint="eastAsia" w:ascii="宋体" w:hAnsi="宋体" w:cs="宋体"/>
          <w:color w:val="000000" w:themeColor="text1"/>
          <w:sz w:val="24"/>
          <w:szCs w:val="24"/>
          <w:lang w:bidi="zh-CN"/>
          <w14:textFill>
            <w14:solidFill>
              <w14:schemeClr w14:val="tx1"/>
            </w14:solidFill>
          </w14:textFill>
        </w:rPr>
        <w:t>司会严格审核付款资料据实支付。</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公司依据与江苏博森建筑设计有限公司签订的《海盐恒大都汇华庭项目施工图设计合同》，合同总价为431.57万元。截至5月31日，项目公司累计已开商承89.57万元，本月预计支付291.04万元。本月支付完成后，项目公司累计支付合同金额占合同总价的88.19%。实际支付时，我</w:t>
      </w:r>
      <w:r>
        <w:rPr>
          <w:rFonts w:hint="eastAsia" w:ascii="宋体" w:hAnsi="宋体" w:cs="宋体"/>
          <w:color w:val="000000" w:themeColor="text1"/>
          <w:sz w:val="24"/>
          <w:szCs w:val="24"/>
          <w:lang w:bidi="zh-CN"/>
          <w14:textFill>
            <w14:solidFill>
              <w14:schemeClr w14:val="tx1"/>
            </w14:solidFill>
          </w14:textFill>
        </w:rPr>
        <w:t>司会严格审核付款资料，并按合同条款进行支付。</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预计6月项目方向上海康业建筑装饰工程有限公司支付施工图设计费15.31万元，经核查，该合同尚未签订，此金额为项目公司预估金额，实际支付时，我</w:t>
      </w:r>
      <w:r>
        <w:rPr>
          <w:rFonts w:hint="eastAsia" w:ascii="宋体" w:hAnsi="宋体" w:cs="宋体"/>
          <w:color w:val="000000" w:themeColor="text1"/>
          <w:sz w:val="24"/>
          <w:szCs w:val="24"/>
          <w:lang w:bidi="zh-CN"/>
          <w14:textFill>
            <w14:solidFill>
              <w14:schemeClr w14:val="tx1"/>
            </w14:solidFill>
          </w14:textFill>
        </w:rPr>
        <w:t>司会严格审核付款资料据实支付。</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公司依据与上海联创建筑设计集团股份有限公司签订的《海盐恒大都汇华庭项目园林综合设计合同》，合同总价为32.46万元。截至5月31日，项目公司累计已付0.00元，本月预计支付海盐恒大都汇华庭项目园林综合设计预付款4.54万元。本月支付完成后，项目公司累计支付合同金额占合同总价的14%。实际支付时，我</w:t>
      </w:r>
      <w:r>
        <w:rPr>
          <w:rFonts w:hint="eastAsia" w:ascii="宋体" w:hAnsi="宋体" w:cs="宋体"/>
          <w:color w:val="000000" w:themeColor="text1"/>
          <w:sz w:val="24"/>
          <w:szCs w:val="24"/>
          <w:lang w:bidi="zh-CN"/>
          <w14:textFill>
            <w14:solidFill>
              <w14:schemeClr w14:val="tx1"/>
            </w14:solidFill>
          </w14:textFill>
        </w:rPr>
        <w:t>司会严格审核付款资料，并按合同条款进行支付。</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预计6月项目方支付水土保持补偿费8.95万元,实际支付时以政府出具的缴款单为准。</w:t>
      </w:r>
    </w:p>
    <w:p>
      <w:pPr>
        <w:numPr>
          <w:ilvl w:val="0"/>
          <w:numId w:val="3"/>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公司依据与浙江美源建筑设计有限公司签订的《地块方案咨询费用》，合同总价为20万元。根据合同约定，项目公司一次支付全款，截至5月31日，项目公司累计已付0.00元，本月预计支付支付联合设计费20.00万元。本月支付完成后，项目公司累计支付合同金额占合同总价的100%。实际支付时，我司会严格审核付款资料，并按合同条款进行支付。</w:t>
      </w:r>
    </w:p>
    <w:p>
      <w:pPr>
        <w:numPr>
          <w:ilvl w:val="0"/>
          <w:numId w:val="3"/>
        </w:numPr>
        <w:spacing w:before="156" w:beforeLines="50" w:after="156" w:afterLines="50" w:line="360" w:lineRule="auto"/>
        <w:ind w:firstLine="480" w:firstLineChars="200"/>
        <w:rPr>
          <w:rFonts w:ascii="宋体" w:hAnsi="宋体" w:cs="宋体"/>
          <w:sz w:val="24"/>
          <w:szCs w:val="24"/>
        </w:rPr>
      </w:pPr>
      <w:r>
        <w:rPr>
          <w:rFonts w:hint="eastAsia" w:ascii="宋体" w:hAnsi="宋体" w:cs="宋体"/>
          <w:sz w:val="24"/>
          <w:szCs w:val="24"/>
        </w:rPr>
        <w:t>预计6月项目方向浙江省建设工程质量检验站有限公司计划支付结构鉴定费10万元，经核查，该合同尚未签订，此金额为项目公司预估金额，实际支付时，我司会严格审核付款资料据实支付。</w:t>
      </w:r>
    </w:p>
    <w:p>
      <w:pPr>
        <w:numPr>
          <w:ilvl w:val="0"/>
          <w:numId w:val="3"/>
        </w:numPr>
        <w:spacing w:before="156" w:beforeLines="50" w:after="156" w:afterLines="50" w:line="360" w:lineRule="auto"/>
        <w:ind w:firstLine="480" w:firstLineChars="200"/>
        <w:rPr>
          <w:rFonts w:ascii="宋体" w:hAnsi="宋体" w:cs="宋体"/>
          <w:sz w:val="24"/>
          <w:szCs w:val="24"/>
        </w:rPr>
      </w:pPr>
      <w:r>
        <w:rPr>
          <w:rFonts w:hint="eastAsia" w:ascii="宋体" w:hAnsi="宋体" w:cs="宋体"/>
          <w:sz w:val="24"/>
          <w:szCs w:val="24"/>
        </w:rPr>
        <w:t>预计6月项目方向浙江省建筑科学设计研究院有限公司计划支付绿建二星设计标识评审14.6万元,该合同尚未签订，此金额为项目公司预估金额，实际支付时，我司会严格审核付款资料据实支付。</w:t>
      </w:r>
    </w:p>
    <w:p>
      <w:pPr>
        <w:numPr>
          <w:ilvl w:val="255"/>
          <w:numId w:val="0"/>
        </w:num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经审核，我司认为资金计划表中的金额为预估金额，对于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numPr>
          <w:ilvl w:val="0"/>
          <w:numId w:val="2"/>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480" w:firstLineChars="200"/>
        <w:rPr>
          <w:rFonts w:ascii="宋体" w:hAnsi="宋体" w:cs="宋体"/>
          <w:sz w:val="24"/>
          <w:szCs w:val="24"/>
        </w:rPr>
      </w:pPr>
      <w:r>
        <w:rPr>
          <w:rFonts w:hint="eastAsia" w:ascii="宋体" w:hAnsi="宋体" w:cs="宋体"/>
          <w:bCs/>
          <w:sz w:val="24"/>
          <w:szCs w:val="24"/>
          <w:lang w:bidi="zh-CN"/>
        </w:rPr>
        <w:t>项目公司在2021年6月工程款计划支出金额共计</w:t>
      </w:r>
      <w:r>
        <w:rPr>
          <w:rFonts w:hint="eastAsia" w:ascii="宋体" w:hAnsi="宋体" w:cs="宋体"/>
          <w:color w:val="000000"/>
          <w:kern w:val="0"/>
          <w:sz w:val="24"/>
          <w:szCs w:val="24"/>
          <w:lang w:bidi="ar"/>
        </w:rPr>
        <w:t>3,415.73</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0"/>
          <w:numId w:val="4"/>
        </w:numPr>
        <w:spacing w:before="156" w:beforeLines="50" w:after="156" w:afterLines="50" w:line="360" w:lineRule="auto"/>
        <w:ind w:firstLine="480" w:firstLineChars="200"/>
        <w:rPr>
          <w:rFonts w:ascii="宋体" w:hAnsi="宋体" w:cs="宋体"/>
          <w:bCs/>
          <w:sz w:val="24"/>
          <w:szCs w:val="24"/>
          <w:lang w:bidi="zh-CN"/>
        </w:rPr>
      </w:pPr>
      <w:r>
        <w:rPr>
          <w:rFonts w:hint="eastAsia" w:ascii="宋体" w:hAnsi="宋体" w:cs="宋体"/>
          <w:bCs/>
          <w:sz w:val="24"/>
          <w:szCs w:val="24"/>
          <w:lang w:bidi="zh-CN"/>
        </w:rPr>
        <w:t>预计6月项目方向上海康业建筑装饰工程有限公司支付海盐恒大都汇华庭项目展示区瓷砖美缝工程结算款4.43万元，经核查，该合同尚未签订，此金额为项目公司预估金额，实际支付时，我司会严格审核付款资料据实支付。</w:t>
      </w:r>
    </w:p>
    <w:p>
      <w:pPr>
        <w:numPr>
          <w:ilvl w:val="0"/>
          <w:numId w:val="4"/>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bCs/>
          <w:sz w:val="24"/>
          <w:szCs w:val="24"/>
          <w:lang w:bidi="zh-CN"/>
        </w:rPr>
        <w:t>项目公司依据与江苏省苏中建设集团股份有限公司签订的《海盐恒大都汇华庭项目主体及配套建设工程施工合同》，合同总价为21,500.00万元。截至5月31日，项目公司累计已付工程总包款2,508.98万元，本月预计支付海盐都汇华庭项目总包单位进度款3,116.00万元。本月支付完成后，项目公司累计支付合同金额占合同总价的26.16%。实际支付时，我司会严格审核付款资料，并按合同条款进行支付。</w:t>
      </w:r>
    </w:p>
    <w:p>
      <w:pPr>
        <w:numPr>
          <w:ilvl w:val="0"/>
          <w:numId w:val="4"/>
        </w:numPr>
        <w:spacing w:before="156" w:beforeLines="50" w:after="156" w:afterLines="50" w:line="360" w:lineRule="auto"/>
        <w:ind w:firstLine="480" w:firstLineChars="200"/>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项目公司依据与上海煜铂广告有限公司签订的《海盐恒大都汇华庭项目围蔽工程施工合同》，合同总价为182.50万元，截至5月31日，项目公司累计已付工程总包款2508.98万元，累计已付比例60.92%。本月预计支付海盐恒大都汇华庭项目围蔽工程进度款29.77万元。本月支付完成后，项目公司累计支付合同金额占合同总价的77.23%。</w:t>
      </w:r>
      <w:r>
        <w:rPr>
          <w:rFonts w:hint="eastAsia" w:ascii="宋体" w:hAnsi="宋体" w:cs="宋体"/>
          <w:sz w:val="24"/>
          <w:szCs w:val="24"/>
        </w:rPr>
        <w:t>实际支付时，我司会严格审核付款资料，并按合同条款进行支付。</w:t>
      </w:r>
    </w:p>
    <w:p>
      <w:pPr>
        <w:numPr>
          <w:ilvl w:val="0"/>
          <w:numId w:val="4"/>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公司依据与浙江尚都建设有限公司签订的《海盐恒大都汇华庭项目土石方工程施工合同》，合同总价为1060.70万元。截至5月31日，项目公司累计已付工程进度款258.55万元，本月预计支付海盐都汇华庭项目土方单位进度款104.78万元。本月支付完成后，项目公司累计支付合同金额占合同总价的34.25%。实际支付时，我</w:t>
      </w:r>
      <w:r>
        <w:rPr>
          <w:rFonts w:hint="eastAsia" w:ascii="宋体" w:hAnsi="宋体" w:cs="宋体"/>
          <w:color w:val="000000" w:themeColor="text1"/>
          <w:sz w:val="24"/>
          <w:szCs w:val="24"/>
          <w:lang w:bidi="zh-CN"/>
          <w14:textFill>
            <w14:solidFill>
              <w14:schemeClr w14:val="tx1"/>
            </w14:solidFill>
          </w14:textFill>
        </w:rPr>
        <w:t>司会严格审核付款资料，并按合同条款进行支付。</w:t>
      </w:r>
    </w:p>
    <w:p>
      <w:pPr>
        <w:numPr>
          <w:ilvl w:val="0"/>
          <w:numId w:val="4"/>
        </w:numPr>
        <w:spacing w:before="156" w:beforeLines="50" w:after="156" w:afterLines="50"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公司依据与上海迪探节能科技有限公司签订的《海盐恒大都汇华庭售楼处、商业、临时样板房铝合金门窗购销合同》、《海盐恒大都汇华庭售楼处、商业、临时样板房铝合金门窗安装工程施工合同》，合同总价为26.48万元。截至5月31日，项目公司累计已付工程进度款0.00元，本月预计支付铝合金门窗购销、安装进度款18.54万元。本月支付完成后，项目公司累计支付合同金额占合同总价的70.01%。实际支付时，我</w:t>
      </w:r>
      <w:r>
        <w:rPr>
          <w:rFonts w:hint="eastAsia" w:ascii="宋体" w:hAnsi="宋体" w:cs="宋体"/>
          <w:color w:val="000000" w:themeColor="text1"/>
          <w:sz w:val="24"/>
          <w:szCs w:val="24"/>
          <w:lang w:bidi="zh-CN"/>
          <w14:textFill>
            <w14:solidFill>
              <w14:schemeClr w14:val="tx1"/>
            </w14:solidFill>
          </w14:textFill>
        </w:rPr>
        <w:t>司会严格审核付款资料，并按合同条款进行支付。</w:t>
      </w:r>
    </w:p>
    <w:p>
      <w:pPr>
        <w:numPr>
          <w:ilvl w:val="0"/>
          <w:numId w:val="4"/>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color w:val="000000" w:themeColor="text1"/>
          <w:sz w:val="24"/>
          <w:szCs w:val="24"/>
          <w14:textFill>
            <w14:solidFill>
              <w14:schemeClr w14:val="tx1"/>
            </w14:solidFill>
          </w14:textFill>
        </w:rPr>
        <w:t>项目公司依据与南京长岛建设工程有限公司签订的《海盐恒大都汇华庭临时样板房室内装修工程施工合同》，合同总价为13.93万元。截至5月31日，项目公司累计已付工程进度款0.00元，本月预计支付6月计划支付海盐恒大都汇华庭临时样板房装修工程备料款6.96万元。本月支付完成后，项目公司累计支付合同金额占合同总价的50.00%。实际支付时，我</w:t>
      </w:r>
      <w:r>
        <w:rPr>
          <w:rFonts w:hint="eastAsia" w:ascii="宋体" w:hAnsi="宋体" w:cs="宋体"/>
          <w:color w:val="000000" w:themeColor="text1"/>
          <w:sz w:val="24"/>
          <w:szCs w:val="24"/>
          <w:lang w:bidi="zh-CN"/>
          <w14:textFill>
            <w14:solidFill>
              <w14:schemeClr w14:val="tx1"/>
            </w14:solidFill>
          </w14:textFill>
        </w:rPr>
        <w:t>司会严格审核付款资料，并按合同条款进行支付。</w:t>
      </w:r>
    </w:p>
    <w:p>
      <w:pPr>
        <w:numPr>
          <w:ilvl w:val="0"/>
          <w:numId w:val="4"/>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sz w:val="24"/>
          <w:szCs w:val="24"/>
          <w:lang w:bidi="zh-CN"/>
        </w:rPr>
        <w:t>预计支付工程电费、水费、材料款135.26万元。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numPr>
          <w:ilvl w:val="0"/>
          <w:numId w:val="2"/>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项目公司在2020年6月的管理费用支出金额共计32.00万元，具体分析如下：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预计本期支付工资、社保费用32.00万元。</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经审核，我司认为6月管理费用资金支出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2"/>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营销费用资金支出计划说明</w:t>
      </w:r>
    </w:p>
    <w:p>
      <w:pPr>
        <w:numPr>
          <w:ilvl w:val="255"/>
          <w:numId w:val="0"/>
        </w:numPr>
        <w:spacing w:before="156" w:beforeLines="50" w:after="156" w:afterLines="50" w:line="360" w:lineRule="auto"/>
        <w:ind w:firstLine="720" w:firstLineChars="300"/>
        <w:rPr>
          <w:rFonts w:ascii="宋体" w:hAnsi="宋体"/>
          <w:color w:val="000000" w:themeColor="text1"/>
          <w:sz w:val="24"/>
          <w:szCs w:val="24"/>
          <w14:textFill>
            <w14:solidFill>
              <w14:schemeClr w14:val="tx1"/>
            </w14:solidFill>
          </w14:textFill>
        </w:rPr>
      </w:pPr>
      <w:r>
        <w:rPr>
          <w:rFonts w:hint="eastAsia" w:ascii="宋体" w:hAnsi="宋体"/>
          <w:sz w:val="24"/>
          <w:szCs w:val="24"/>
        </w:rPr>
        <w:t>项目公司在2020年6月的营销费用支出金额共1,072.49万元，具体分析如下 ：</w:t>
      </w:r>
    </w:p>
    <w:p>
      <w:pPr>
        <w:numPr>
          <w:ilvl w:val="0"/>
          <w:numId w:val="5"/>
        </w:numPr>
        <w:spacing w:before="156" w:beforeLines="50" w:after="156" w:afterLines="5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依据项目公司与上海鹤琢广告有限公司签订的《海盐恒大都汇华庭项目全案广告代理合同》，</w:t>
      </w:r>
      <w:r>
        <w:rPr>
          <w:rFonts w:ascii="宋体" w:hAnsi="宋体"/>
          <w:color w:val="000000" w:themeColor="text1"/>
          <w:sz w:val="24"/>
          <w:szCs w:val="24"/>
          <w14:textFill>
            <w14:solidFill>
              <w14:schemeClr w14:val="tx1"/>
            </w14:solidFill>
          </w14:textFill>
        </w:rPr>
        <w:t>合同总价为</w:t>
      </w:r>
      <w:r>
        <w:rPr>
          <w:rFonts w:hint="eastAsia" w:ascii="宋体" w:hAnsi="宋体"/>
          <w:color w:val="000000" w:themeColor="text1"/>
          <w:sz w:val="24"/>
          <w:szCs w:val="24"/>
          <w14:textFill>
            <w14:solidFill>
              <w14:schemeClr w14:val="tx1"/>
            </w14:solidFill>
          </w14:textFill>
        </w:rPr>
        <w:t>90.00</w:t>
      </w:r>
      <w:r>
        <w:rPr>
          <w:rFonts w:ascii="宋体" w:hAnsi="宋体"/>
          <w:color w:val="000000" w:themeColor="text1"/>
          <w:sz w:val="24"/>
          <w:szCs w:val="24"/>
          <w14:textFill>
            <w14:solidFill>
              <w14:schemeClr w14:val="tx1"/>
            </w14:solidFill>
          </w14:textFill>
        </w:rPr>
        <w:t>万元。截至</w:t>
      </w: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14:textFill>
            <w14:solidFill>
              <w14:schemeClr w14:val="tx1"/>
            </w14:solidFill>
          </w14:textFill>
        </w:rPr>
        <w:t>31</w:t>
      </w:r>
      <w:r>
        <w:rPr>
          <w:rFonts w:ascii="宋体" w:hAnsi="宋体"/>
          <w:color w:val="000000" w:themeColor="text1"/>
          <w:sz w:val="24"/>
          <w:szCs w:val="24"/>
          <w14:textFill>
            <w14:solidFill>
              <w14:schemeClr w14:val="tx1"/>
            </w14:solidFill>
          </w14:textFill>
        </w:rPr>
        <w:t>日，项目公司累计已支付</w:t>
      </w:r>
      <w:r>
        <w:rPr>
          <w:rFonts w:hint="eastAsia" w:ascii="宋体" w:hAnsi="宋体"/>
          <w:color w:val="000000" w:themeColor="text1"/>
          <w:sz w:val="24"/>
          <w:szCs w:val="24"/>
          <w14:textFill>
            <w14:solidFill>
              <w14:schemeClr w14:val="tx1"/>
            </w14:solidFill>
          </w14:textFill>
        </w:rPr>
        <w:t>32.29</w:t>
      </w:r>
      <w:r>
        <w:rPr>
          <w:rFonts w:ascii="宋体" w:hAnsi="宋体"/>
          <w:color w:val="000000" w:themeColor="text1"/>
          <w:sz w:val="24"/>
          <w:szCs w:val="24"/>
          <w14:textFill>
            <w14:solidFill>
              <w14:schemeClr w14:val="tx1"/>
            </w14:solidFill>
          </w14:textFill>
        </w:rPr>
        <w:t>万元，本月预计支付</w:t>
      </w:r>
      <w:r>
        <w:rPr>
          <w:rFonts w:hint="eastAsia" w:ascii="宋体" w:hAnsi="宋体"/>
          <w:color w:val="000000" w:themeColor="text1"/>
          <w:sz w:val="24"/>
          <w:szCs w:val="24"/>
          <w14:textFill>
            <w14:solidFill>
              <w14:schemeClr w14:val="tx1"/>
            </w14:solidFill>
          </w14:textFill>
        </w:rPr>
        <w:t>2020年10月-2021年2月份全案广告公司月费42.10万元</w:t>
      </w:r>
      <w:r>
        <w:rPr>
          <w:rFonts w:ascii="宋体" w:hAnsi="宋体"/>
          <w:color w:val="000000" w:themeColor="text1"/>
          <w:sz w:val="24"/>
          <w:szCs w:val="24"/>
          <w14:textFill>
            <w14:solidFill>
              <w14:schemeClr w14:val="tx1"/>
            </w14:solidFill>
          </w14:textFill>
        </w:rPr>
        <w:t>。本月支付完成后，项目公司累计支付合同金额占合同总价的</w:t>
      </w:r>
      <w:r>
        <w:rPr>
          <w:rFonts w:hint="eastAsia" w:ascii="宋体" w:hAnsi="宋体"/>
          <w:color w:val="000000" w:themeColor="text1"/>
          <w:sz w:val="24"/>
          <w:szCs w:val="24"/>
          <w14:textFill>
            <w14:solidFill>
              <w14:schemeClr w14:val="tx1"/>
            </w14:solidFill>
          </w14:textFill>
        </w:rPr>
        <w:t>82.66</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实际支付时，我司会严格审核付款资料，并按合同条款进行支付。</w:t>
      </w:r>
    </w:p>
    <w:p>
      <w:pPr>
        <w:numPr>
          <w:ilvl w:val="0"/>
          <w:numId w:val="5"/>
        </w:numPr>
        <w:spacing w:before="156" w:beforeLines="50" w:after="156" w:afterLines="50"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依据项目公司与江苏宏洁智慧科技有限公司签订的《海盐恒大都汇华庭项目临时展示区亮化工程施工合同》，</w:t>
      </w:r>
      <w:r>
        <w:rPr>
          <w:rFonts w:ascii="宋体" w:hAnsi="宋体"/>
          <w:color w:val="000000" w:themeColor="text1"/>
          <w:sz w:val="24"/>
          <w:szCs w:val="24"/>
          <w14:textFill>
            <w14:solidFill>
              <w14:schemeClr w14:val="tx1"/>
            </w14:solidFill>
          </w14:textFill>
        </w:rPr>
        <w:t>合同总价为</w:t>
      </w:r>
      <w:r>
        <w:rPr>
          <w:rFonts w:hint="eastAsia" w:ascii="宋体" w:hAnsi="宋体"/>
          <w:color w:val="000000" w:themeColor="text1"/>
          <w:sz w:val="24"/>
          <w:szCs w:val="24"/>
          <w14:textFill>
            <w14:solidFill>
              <w14:schemeClr w14:val="tx1"/>
            </w14:solidFill>
          </w14:textFill>
        </w:rPr>
        <w:t>29.00</w:t>
      </w:r>
      <w:r>
        <w:rPr>
          <w:rFonts w:ascii="宋体" w:hAnsi="宋体"/>
          <w:color w:val="000000" w:themeColor="text1"/>
          <w:sz w:val="24"/>
          <w:szCs w:val="24"/>
          <w14:textFill>
            <w14:solidFill>
              <w14:schemeClr w14:val="tx1"/>
            </w14:solidFill>
          </w14:textFill>
        </w:rPr>
        <w:t>万元。截至</w:t>
      </w: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月</w:t>
      </w:r>
      <w:r>
        <w:rPr>
          <w:rFonts w:hint="eastAsia" w:ascii="宋体" w:hAnsi="宋体"/>
          <w:color w:val="000000" w:themeColor="text1"/>
          <w:sz w:val="24"/>
          <w:szCs w:val="24"/>
          <w14:textFill>
            <w14:solidFill>
              <w14:schemeClr w14:val="tx1"/>
            </w14:solidFill>
          </w14:textFill>
        </w:rPr>
        <w:t>31</w:t>
      </w:r>
      <w:r>
        <w:rPr>
          <w:rFonts w:ascii="宋体" w:hAnsi="宋体"/>
          <w:color w:val="000000" w:themeColor="text1"/>
          <w:sz w:val="24"/>
          <w:szCs w:val="24"/>
          <w14:textFill>
            <w14:solidFill>
              <w14:schemeClr w14:val="tx1"/>
            </w14:solidFill>
          </w14:textFill>
        </w:rPr>
        <w:t>日，项目公司累计已支付</w:t>
      </w:r>
      <w:r>
        <w:rPr>
          <w:rFonts w:hint="eastAsia" w:ascii="宋体" w:hAnsi="宋体"/>
          <w:color w:val="000000" w:themeColor="text1"/>
          <w:sz w:val="24"/>
          <w:szCs w:val="24"/>
          <w14:textFill>
            <w14:solidFill>
              <w14:schemeClr w14:val="tx1"/>
            </w14:solidFill>
          </w14:textFill>
        </w:rPr>
        <w:t>22.33</w:t>
      </w:r>
      <w:r>
        <w:rPr>
          <w:rFonts w:ascii="宋体" w:hAnsi="宋体"/>
          <w:color w:val="000000" w:themeColor="text1"/>
          <w:sz w:val="24"/>
          <w:szCs w:val="24"/>
          <w14:textFill>
            <w14:solidFill>
              <w14:schemeClr w14:val="tx1"/>
            </w14:solidFill>
          </w14:textFill>
        </w:rPr>
        <w:t>万元，本月预计支付</w:t>
      </w:r>
      <w:r>
        <w:rPr>
          <w:rFonts w:hint="eastAsia" w:ascii="宋体" w:hAnsi="宋体"/>
          <w:color w:val="000000" w:themeColor="text1"/>
          <w:sz w:val="24"/>
          <w:szCs w:val="24"/>
          <w14:textFill>
            <w14:solidFill>
              <w14:schemeClr w14:val="tx1"/>
            </w14:solidFill>
          </w14:textFill>
        </w:rPr>
        <w:t>量化工程结算款4.93万元</w:t>
      </w:r>
      <w:r>
        <w:rPr>
          <w:rFonts w:ascii="宋体" w:hAnsi="宋体"/>
          <w:color w:val="000000" w:themeColor="text1"/>
          <w:sz w:val="24"/>
          <w:szCs w:val="24"/>
          <w14:textFill>
            <w14:solidFill>
              <w14:schemeClr w14:val="tx1"/>
            </w14:solidFill>
          </w14:textFill>
        </w:rPr>
        <w:t>。本月支付完成后，项目公司累计支付合同金额占合同总价的</w:t>
      </w:r>
      <w:r>
        <w:rPr>
          <w:rFonts w:hint="eastAsia" w:ascii="宋体" w:hAnsi="宋体"/>
          <w:color w:val="000000" w:themeColor="text1"/>
          <w:sz w:val="24"/>
          <w:szCs w:val="24"/>
          <w14:textFill>
            <w14:solidFill>
              <w14:schemeClr w14:val="tx1"/>
            </w14:solidFill>
          </w14:textFill>
        </w:rPr>
        <w:t>94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实际支付时，我司会严格审核付款资料，并按合同条款进行支付。</w:t>
      </w:r>
    </w:p>
    <w:p>
      <w:pPr>
        <w:numPr>
          <w:ilvl w:val="0"/>
          <w:numId w:val="5"/>
        </w:num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预计在6月支付房车宝营销服务费800.00万元,实际支付时我司会依据实际销售确认单，合同付款比例严格审核后执行。</w:t>
      </w:r>
    </w:p>
    <w:p>
      <w:pPr>
        <w:numPr>
          <w:ilvl w:val="0"/>
          <w:numId w:val="5"/>
        </w:num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预计在6月支付其他包装费、活动费、物料费、拓客费、代理服务费等225.46万元,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56" w:beforeLines="50" w:after="156"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2"/>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项目公司在2021年6月预估支付税金400.00万元，实际支付时，我司将严格按当月实际需缴纳的税款执行。</w:t>
      </w:r>
    </w:p>
    <w:p>
      <w:pPr>
        <w:numPr>
          <w:ilvl w:val="0"/>
          <w:numId w:val="2"/>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其他费用计划说明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项目公司在2021年6月预计退认筹款60.00万元，其他不可预见费用预估总计300.00万元。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退认筹金、不可预见费、退房款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本次海盐丰涛置业有限公司申报的6</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六</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工程款</w:t>
      </w:r>
      <w:r>
        <w:rPr>
          <w:rFonts w:ascii="宋体" w:hAnsi="宋体"/>
          <w:bCs/>
          <w:sz w:val="24"/>
          <w:szCs w:val="24"/>
          <w:lang w:bidi="zh-CN"/>
        </w:rPr>
        <w:t>、</w:t>
      </w:r>
      <w:r>
        <w:rPr>
          <w:rFonts w:hint="eastAsia" w:ascii="宋体" w:hAnsi="宋体"/>
          <w:bCs/>
          <w:sz w:val="24"/>
          <w:szCs w:val="24"/>
          <w:lang w:bidi="zh-CN"/>
        </w:rPr>
        <w:t>管理费用、营销费用、税金，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6</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份资金计划，并以此作为付款的依据。待实际支付时，我司人员将对相关付款资料的合理、合规性一一核实，对于其中单笔支付超1,000万的，上报贵司，经审批后，据实支付，请审批。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2021年6月4</w:t>
      </w:r>
      <w:r>
        <w:rPr>
          <w:rFonts w:hint="eastAsia" w:ascii="宋体" w:hAnsi="宋体"/>
          <w:b/>
          <w:sz w:val="24"/>
          <w:lang w:val="en-US" w:bidi="zh-CN"/>
        </w:rPr>
        <w:t>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2C8A2"/>
    <w:multiLevelType w:val="singleLevel"/>
    <w:tmpl w:val="D442C8A2"/>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abstractNum w:abstractNumId="3">
    <w:nsid w:val="64E3F0BD"/>
    <w:multiLevelType w:val="singleLevel"/>
    <w:tmpl w:val="64E3F0BD"/>
    <w:lvl w:ilvl="0" w:tentative="0">
      <w:start w:val="1"/>
      <w:numFmt w:val="decimal"/>
      <w:suff w:val="nothing"/>
      <w:lvlText w:val="（%1）"/>
      <w:lvlJc w:val="left"/>
      <w:pPr>
        <w:ind w:left="-30"/>
      </w:pPr>
    </w:lvl>
  </w:abstractNum>
  <w:abstractNum w:abstractNumId="4">
    <w:nsid w:val="679E9B74"/>
    <w:multiLevelType w:val="singleLevel"/>
    <w:tmpl w:val="679E9B74"/>
    <w:lvl w:ilvl="0" w:tentative="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21"/>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7A757B"/>
    <w:rsid w:val="007D2684"/>
    <w:rsid w:val="00832F58"/>
    <w:rsid w:val="00941F33"/>
    <w:rsid w:val="0096261F"/>
    <w:rsid w:val="00A9040E"/>
    <w:rsid w:val="00AE2987"/>
    <w:rsid w:val="00BA0515"/>
    <w:rsid w:val="00BE2D1B"/>
    <w:rsid w:val="00C54F78"/>
    <w:rsid w:val="00CD1AC5"/>
    <w:rsid w:val="00DC3F22"/>
    <w:rsid w:val="00F8214C"/>
    <w:rsid w:val="01163A68"/>
    <w:rsid w:val="012E62A8"/>
    <w:rsid w:val="01641A03"/>
    <w:rsid w:val="016C1FEB"/>
    <w:rsid w:val="01945F7E"/>
    <w:rsid w:val="024730D1"/>
    <w:rsid w:val="027720DC"/>
    <w:rsid w:val="02BB3A0D"/>
    <w:rsid w:val="02C03493"/>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A5752"/>
    <w:rsid w:val="0A62663F"/>
    <w:rsid w:val="0B221C1C"/>
    <w:rsid w:val="0BF57AE1"/>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67FA"/>
    <w:rsid w:val="11EB0E0A"/>
    <w:rsid w:val="12076B34"/>
    <w:rsid w:val="120968B1"/>
    <w:rsid w:val="128A10E7"/>
    <w:rsid w:val="1360764C"/>
    <w:rsid w:val="136E61C0"/>
    <w:rsid w:val="14182DF5"/>
    <w:rsid w:val="14974BD9"/>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DB706C"/>
    <w:rsid w:val="18DD5BF6"/>
    <w:rsid w:val="1A8B5D6E"/>
    <w:rsid w:val="1ABC5E28"/>
    <w:rsid w:val="1AF42078"/>
    <w:rsid w:val="1B0D7BC6"/>
    <w:rsid w:val="1B10755C"/>
    <w:rsid w:val="1B2A75D8"/>
    <w:rsid w:val="1B880285"/>
    <w:rsid w:val="1B891E56"/>
    <w:rsid w:val="1BB46048"/>
    <w:rsid w:val="1BB52C68"/>
    <w:rsid w:val="1C17389B"/>
    <w:rsid w:val="1C326BC8"/>
    <w:rsid w:val="1C3A5AF1"/>
    <w:rsid w:val="1C407F46"/>
    <w:rsid w:val="1C486267"/>
    <w:rsid w:val="1C4A17AC"/>
    <w:rsid w:val="1CA0086B"/>
    <w:rsid w:val="1CB2235C"/>
    <w:rsid w:val="1CBB4B6F"/>
    <w:rsid w:val="1CF37E49"/>
    <w:rsid w:val="1D55306F"/>
    <w:rsid w:val="1D6F2C99"/>
    <w:rsid w:val="1DEC5DE2"/>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AC40F3"/>
    <w:rsid w:val="2FC27FE7"/>
    <w:rsid w:val="2FD30D25"/>
    <w:rsid w:val="303463A1"/>
    <w:rsid w:val="304D153D"/>
    <w:rsid w:val="306A70A1"/>
    <w:rsid w:val="306C41C0"/>
    <w:rsid w:val="30C3422A"/>
    <w:rsid w:val="311B0F59"/>
    <w:rsid w:val="312D01C3"/>
    <w:rsid w:val="31861769"/>
    <w:rsid w:val="31BB4517"/>
    <w:rsid w:val="322311E0"/>
    <w:rsid w:val="327A155A"/>
    <w:rsid w:val="32C62F35"/>
    <w:rsid w:val="33451765"/>
    <w:rsid w:val="33742833"/>
    <w:rsid w:val="33980BDF"/>
    <w:rsid w:val="339E5258"/>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E70F1"/>
    <w:rsid w:val="3E4C1445"/>
    <w:rsid w:val="3ED330A1"/>
    <w:rsid w:val="3F13360B"/>
    <w:rsid w:val="3F1C0F37"/>
    <w:rsid w:val="3F1C1468"/>
    <w:rsid w:val="3F5F7390"/>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98B7CE2"/>
    <w:rsid w:val="59DE52E9"/>
    <w:rsid w:val="59E242C3"/>
    <w:rsid w:val="5A222253"/>
    <w:rsid w:val="5A882028"/>
    <w:rsid w:val="5AE4208F"/>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2705BD4"/>
    <w:rsid w:val="62737BC1"/>
    <w:rsid w:val="63144E40"/>
    <w:rsid w:val="6340157E"/>
    <w:rsid w:val="634F23CD"/>
    <w:rsid w:val="638C6190"/>
    <w:rsid w:val="63D41790"/>
    <w:rsid w:val="63E6307C"/>
    <w:rsid w:val="640C0059"/>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9C7B61"/>
    <w:rsid w:val="6DC47296"/>
    <w:rsid w:val="6E005869"/>
    <w:rsid w:val="6E4468E8"/>
    <w:rsid w:val="6EAD51A2"/>
    <w:rsid w:val="6F946345"/>
    <w:rsid w:val="6FA15D0F"/>
    <w:rsid w:val="6FAA4F1A"/>
    <w:rsid w:val="6FC22C5E"/>
    <w:rsid w:val="6FF05C39"/>
    <w:rsid w:val="700D2B16"/>
    <w:rsid w:val="701228D1"/>
    <w:rsid w:val="704F2583"/>
    <w:rsid w:val="70A94824"/>
    <w:rsid w:val="70BB53BE"/>
    <w:rsid w:val="70FB6712"/>
    <w:rsid w:val="71181A94"/>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 w:type="character" w:customStyle="1" w:styleId="20">
    <w:name w:val="font21"/>
    <w:basedOn w:val="13"/>
    <w:qFormat/>
    <w:uiPriority w:val="0"/>
    <w:rPr>
      <w:rFonts w:hint="eastAsia" w:ascii="宋体" w:hAnsi="宋体" w:eastAsia="宋体" w:cs="宋体"/>
      <w:color w:val="000000"/>
      <w:sz w:val="18"/>
      <w:szCs w:val="18"/>
      <w:u w:val="none"/>
    </w:rPr>
  </w:style>
  <w:style w:type="character" w:customStyle="1" w:styleId="21">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815</Words>
  <Characters>4650</Characters>
  <Lines>38</Lines>
  <Paragraphs>10</Paragraphs>
  <TotalTime>16</TotalTime>
  <ScaleCrop>false</ScaleCrop>
  <LinksUpToDate>false</LinksUpToDate>
  <CharactersWithSpaces>5455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王旌行</cp:lastModifiedBy>
  <dcterms:modified xsi:type="dcterms:W3CDTF">2021-06-07T05:31:29Z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3F6B149A9DF94CDEA7DB15FC608C5B4D</vt:lpwstr>
  </property>
</Properties>
</file>