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FB16" w14:textId="506F53F3" w:rsidR="00783CF6" w:rsidRPr="00FD5B7E" w:rsidRDefault="00783CF6" w:rsidP="00783CF6">
      <w:pPr>
        <w:spacing w:line="360" w:lineRule="auto"/>
        <w:rPr>
          <w:sz w:val="30"/>
          <w:szCs w:val="30"/>
        </w:rPr>
      </w:pPr>
      <w:r w:rsidRPr="00FD5B7E">
        <w:rPr>
          <w:rFonts w:hint="eastAsia"/>
          <w:sz w:val="30"/>
          <w:szCs w:val="30"/>
        </w:rPr>
        <w:t>关于广东珠海岸芷汀兰项目解押后资金监管方面的管理建议</w:t>
      </w:r>
    </w:p>
    <w:p w14:paraId="6E9AEB7D" w14:textId="77777777" w:rsidR="00A15A84" w:rsidRDefault="00A15A84" w:rsidP="00783CF6">
      <w:pPr>
        <w:spacing w:line="360" w:lineRule="auto"/>
        <w:rPr>
          <w:sz w:val="24"/>
          <w:szCs w:val="24"/>
        </w:rPr>
      </w:pPr>
    </w:p>
    <w:p w14:paraId="4B80D8CD" w14:textId="44E3B4C6" w:rsidR="00FD5B7E" w:rsidRDefault="00A15A84" w:rsidP="00783CF6">
      <w:pPr>
        <w:spacing w:line="360" w:lineRule="auto"/>
        <w:rPr>
          <w:sz w:val="24"/>
          <w:szCs w:val="24"/>
        </w:rPr>
      </w:pPr>
      <w:r w:rsidRPr="00A15A84">
        <w:rPr>
          <w:rFonts w:hint="eastAsia"/>
          <w:sz w:val="24"/>
          <w:szCs w:val="24"/>
        </w:rPr>
        <w:t>中冶天工集团有限公司</w:t>
      </w:r>
      <w:r w:rsidR="00FD5B7E">
        <w:rPr>
          <w:rFonts w:hint="eastAsia"/>
          <w:sz w:val="24"/>
          <w:szCs w:val="24"/>
        </w:rPr>
        <w:t>：</w:t>
      </w:r>
    </w:p>
    <w:p w14:paraId="142CD663" w14:textId="4439851A" w:rsidR="00FD5B7E" w:rsidRPr="00B84BC8" w:rsidRDefault="00A15A84" w:rsidP="00783C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D5B7E">
        <w:rPr>
          <w:rFonts w:hint="eastAsia"/>
          <w:sz w:val="24"/>
          <w:szCs w:val="24"/>
        </w:rPr>
        <w:t>根据《投后监管协议》条款约定，</w:t>
      </w:r>
      <w:bookmarkStart w:id="0" w:name="_Hlk71572904"/>
      <w:r w:rsidR="00FD5B7E">
        <w:rPr>
          <w:rFonts w:hint="eastAsia"/>
          <w:sz w:val="24"/>
          <w:szCs w:val="24"/>
        </w:rPr>
        <w:t>中冶天工集团有限公司</w:t>
      </w:r>
      <w:bookmarkEnd w:id="0"/>
      <w:r>
        <w:rPr>
          <w:rFonts w:hint="eastAsia"/>
          <w:sz w:val="24"/>
          <w:szCs w:val="24"/>
        </w:rPr>
        <w:t>（以下简称“中冶天工”）</w:t>
      </w:r>
      <w:r w:rsidR="00FD5B7E">
        <w:rPr>
          <w:rFonts w:hint="eastAsia"/>
          <w:sz w:val="24"/>
          <w:szCs w:val="24"/>
        </w:rPr>
        <w:t>有义务在项目预售条件具备时配合中联国际租赁有限公司</w:t>
      </w:r>
      <w:r>
        <w:rPr>
          <w:rFonts w:hint="eastAsia"/>
          <w:sz w:val="24"/>
          <w:szCs w:val="24"/>
        </w:rPr>
        <w:t>（以下简称“项目公司”）</w:t>
      </w:r>
      <w:r w:rsidR="00FD5B7E">
        <w:rPr>
          <w:rFonts w:hint="eastAsia"/>
          <w:sz w:val="24"/>
          <w:szCs w:val="24"/>
        </w:rPr>
        <w:t>办理解除</w:t>
      </w:r>
      <w:r>
        <w:rPr>
          <w:rFonts w:hint="eastAsia"/>
          <w:sz w:val="24"/>
          <w:szCs w:val="24"/>
        </w:rPr>
        <w:t>标的项目</w:t>
      </w:r>
      <w:r w:rsidR="00FD5B7E">
        <w:rPr>
          <w:rFonts w:hint="eastAsia"/>
          <w:sz w:val="24"/>
          <w:szCs w:val="24"/>
        </w:rPr>
        <w:t>土地抵押</w:t>
      </w:r>
      <w:r>
        <w:rPr>
          <w:rFonts w:hint="eastAsia"/>
          <w:sz w:val="24"/>
          <w:szCs w:val="24"/>
        </w:rPr>
        <w:t>手续，为实现资金监管，我方建议：</w:t>
      </w:r>
    </w:p>
    <w:p w14:paraId="6CC56829" w14:textId="52889384" w:rsidR="00783CF6" w:rsidRPr="00B84BC8" w:rsidRDefault="00A15A84" w:rsidP="00783C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83CF6" w:rsidRPr="00B84BC8">
        <w:rPr>
          <w:sz w:val="24"/>
          <w:szCs w:val="24"/>
        </w:rPr>
        <w:t>1、项目公司</w:t>
      </w:r>
      <w:r>
        <w:rPr>
          <w:rFonts w:hint="eastAsia"/>
          <w:sz w:val="24"/>
          <w:szCs w:val="24"/>
        </w:rPr>
        <w:t>须</w:t>
      </w:r>
      <w:r w:rsidR="00783CF6" w:rsidRPr="00B84BC8">
        <w:rPr>
          <w:sz w:val="24"/>
          <w:szCs w:val="24"/>
        </w:rPr>
        <w:t>提供可执行的销售计划，包括各时间节点的预计销售面积、销售价格、预计货值、销售回款比例，</w:t>
      </w:r>
      <w:r>
        <w:rPr>
          <w:rFonts w:hint="eastAsia"/>
          <w:sz w:val="24"/>
          <w:szCs w:val="24"/>
        </w:rPr>
        <w:t>我方</w:t>
      </w:r>
      <w:r w:rsidR="00783CF6" w:rsidRPr="00B84BC8">
        <w:rPr>
          <w:sz w:val="24"/>
          <w:szCs w:val="24"/>
        </w:rPr>
        <w:t>按照该销售计划，跟进项目后续销售情况，如出现到时未完成情况，或出现重大变动情况，预计销售计划未能完成情况，及时通知</w:t>
      </w:r>
      <w:r>
        <w:rPr>
          <w:rFonts w:hint="eastAsia"/>
          <w:sz w:val="24"/>
          <w:szCs w:val="24"/>
        </w:rPr>
        <w:t>中冶天工</w:t>
      </w:r>
      <w:r w:rsidR="00783CF6" w:rsidRPr="00B84BC8">
        <w:rPr>
          <w:sz w:val="24"/>
          <w:szCs w:val="24"/>
        </w:rPr>
        <w:t>，采取应急措施。</w:t>
      </w:r>
    </w:p>
    <w:p w14:paraId="6C39DFC2" w14:textId="74D0EC0A" w:rsidR="00783CF6" w:rsidRPr="00B84BC8" w:rsidRDefault="00A15A84" w:rsidP="00783C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83CF6" w:rsidRPr="00B84BC8"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我方</w:t>
      </w:r>
      <w:r w:rsidR="00783CF6" w:rsidRPr="00B84BC8">
        <w:rPr>
          <w:sz w:val="24"/>
          <w:szCs w:val="24"/>
        </w:rPr>
        <w:t>全面监管预售资金回款账户，包括新开设所有预售资金监管账户纳入监管范围（印鉴、网银监管），开盘前核查销售使用的POS机以及售楼处公示的预售资金监管账户，保证销售回款全部进入监管范围内的资金账户；定期核查销售过程中的原始单据，并与销售台账、银行流水核对，以防账外收款。</w:t>
      </w:r>
    </w:p>
    <w:p w14:paraId="034A00DA" w14:textId="0DFC3CBD" w:rsidR="00783CF6" w:rsidRPr="00B84BC8" w:rsidRDefault="00A15A84" w:rsidP="00783C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83CF6" w:rsidRPr="00B84BC8"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我方</w:t>
      </w:r>
      <w:r w:rsidR="00783CF6" w:rsidRPr="00B84BC8">
        <w:rPr>
          <w:sz w:val="24"/>
          <w:szCs w:val="24"/>
        </w:rPr>
        <w:t>不定期走访项目售楼处，从销售、客户等渠道了解项目实际销售情况，以防项目收取监管不知情的价外款。</w:t>
      </w:r>
    </w:p>
    <w:p w14:paraId="490F69E9" w14:textId="32FF2840" w:rsidR="00783CF6" w:rsidRDefault="00A15A84" w:rsidP="00783C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83CF6" w:rsidRPr="00B84BC8">
        <w:rPr>
          <w:sz w:val="24"/>
          <w:szCs w:val="24"/>
        </w:rPr>
        <w:t>4、</w:t>
      </w:r>
      <w:r>
        <w:rPr>
          <w:rFonts w:hint="eastAsia"/>
          <w:sz w:val="24"/>
          <w:szCs w:val="24"/>
        </w:rPr>
        <w:t>项目公司</w:t>
      </w:r>
      <w:r w:rsidR="00783CF6" w:rsidRPr="00B84BC8">
        <w:rPr>
          <w:sz w:val="24"/>
          <w:szCs w:val="24"/>
        </w:rPr>
        <w:t>所有销售回款未经审批不得使用，</w:t>
      </w:r>
      <w:r>
        <w:rPr>
          <w:rFonts w:hint="eastAsia"/>
          <w:sz w:val="24"/>
          <w:szCs w:val="24"/>
        </w:rPr>
        <w:t>我方</w:t>
      </w:r>
      <w:r w:rsidR="00783CF6" w:rsidRPr="00B84BC8">
        <w:rPr>
          <w:sz w:val="24"/>
          <w:szCs w:val="24"/>
        </w:rPr>
        <w:t>每周详细登记销售回款监控台帐和资金使用台帐，加强所有入账资金的监督和管理</w:t>
      </w:r>
      <w:r w:rsidR="000A3F7B" w:rsidRPr="00B84BC8">
        <w:rPr>
          <w:rFonts w:hint="eastAsia"/>
          <w:sz w:val="24"/>
          <w:szCs w:val="24"/>
        </w:rPr>
        <w:t>。</w:t>
      </w:r>
    </w:p>
    <w:p w14:paraId="31DBA779" w14:textId="081FABE6" w:rsidR="00DF1DCB" w:rsidRPr="00B84BC8" w:rsidRDefault="00A15A84" w:rsidP="00783CF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F1DCB">
        <w:rPr>
          <w:rFonts w:hint="eastAsia"/>
          <w:sz w:val="24"/>
          <w:szCs w:val="24"/>
        </w:rPr>
        <w:t>５、</w:t>
      </w:r>
      <w:r>
        <w:rPr>
          <w:rFonts w:hint="eastAsia"/>
          <w:sz w:val="24"/>
          <w:szCs w:val="24"/>
        </w:rPr>
        <w:t>我方</w:t>
      </w:r>
      <w:r w:rsidR="00DF1DCB">
        <w:rPr>
          <w:rFonts w:hint="eastAsia"/>
          <w:sz w:val="24"/>
          <w:szCs w:val="24"/>
        </w:rPr>
        <w:t>严格执行《</w:t>
      </w:r>
      <w:r w:rsidR="00DF1DCB" w:rsidRPr="00DF1DCB">
        <w:rPr>
          <w:rFonts w:hint="eastAsia"/>
          <w:sz w:val="24"/>
          <w:szCs w:val="24"/>
        </w:rPr>
        <w:t>珠海市商品房预售资金监管办法</w:t>
      </w:r>
      <w:r w:rsidR="00DF1DCB">
        <w:rPr>
          <w:rFonts w:hint="eastAsia"/>
          <w:sz w:val="24"/>
          <w:szCs w:val="24"/>
        </w:rPr>
        <w:t>》对房地产开发公司预售资金封闭监管，严格</w:t>
      </w:r>
      <w:r w:rsidR="00DF1DCB" w:rsidRPr="00DF1DCB">
        <w:rPr>
          <w:rFonts w:hint="eastAsia"/>
          <w:sz w:val="24"/>
          <w:szCs w:val="24"/>
        </w:rPr>
        <w:t>按建设工程进度向住房城乡建设行政主管部门申请拨付</w:t>
      </w:r>
      <w:r w:rsidR="00DF1DCB">
        <w:rPr>
          <w:rFonts w:hint="eastAsia"/>
          <w:sz w:val="24"/>
          <w:szCs w:val="24"/>
        </w:rPr>
        <w:t>，审慎对待</w:t>
      </w:r>
      <w:r w:rsidR="00DF1DCB" w:rsidRPr="00DF1DCB">
        <w:rPr>
          <w:rFonts w:hint="eastAsia"/>
          <w:sz w:val="24"/>
          <w:szCs w:val="24"/>
        </w:rPr>
        <w:t>监管账户部分解除</w:t>
      </w:r>
      <w:r w:rsidR="00FD5B7E">
        <w:rPr>
          <w:rFonts w:hint="eastAsia"/>
          <w:sz w:val="24"/>
          <w:szCs w:val="24"/>
        </w:rPr>
        <w:t>；严格控制</w:t>
      </w:r>
      <w:r w:rsidR="00FD5B7E" w:rsidRPr="00FD5B7E">
        <w:rPr>
          <w:rFonts w:hint="eastAsia"/>
          <w:sz w:val="24"/>
          <w:szCs w:val="24"/>
        </w:rPr>
        <w:t>银行保函等额替换与其诚信等级相应额度的商品房预售资金。</w:t>
      </w:r>
    </w:p>
    <w:p w14:paraId="3737CDEB" w14:textId="02DBED1C" w:rsidR="00783CF6" w:rsidRPr="00B84BC8" w:rsidRDefault="00783CF6" w:rsidP="00783CF6">
      <w:pPr>
        <w:spacing w:line="360" w:lineRule="auto"/>
        <w:rPr>
          <w:sz w:val="24"/>
          <w:szCs w:val="24"/>
        </w:rPr>
      </w:pPr>
    </w:p>
    <w:p w14:paraId="0C01203D" w14:textId="223E84E6" w:rsidR="00783CF6" w:rsidRPr="00B84BC8" w:rsidRDefault="00783CF6" w:rsidP="00783CF6">
      <w:pPr>
        <w:rPr>
          <w:sz w:val="24"/>
          <w:szCs w:val="24"/>
        </w:rPr>
      </w:pPr>
    </w:p>
    <w:p w14:paraId="01778D17" w14:textId="4CA26A85" w:rsidR="00783CF6" w:rsidRPr="00B84BC8" w:rsidRDefault="00783CF6" w:rsidP="00783CF6">
      <w:pPr>
        <w:spacing w:line="480" w:lineRule="auto"/>
        <w:ind w:firstLineChars="2050" w:firstLine="4920"/>
        <w:jc w:val="center"/>
        <w:rPr>
          <w:sz w:val="24"/>
          <w:szCs w:val="24"/>
        </w:rPr>
      </w:pPr>
      <w:r w:rsidRPr="00B84BC8">
        <w:rPr>
          <w:rFonts w:hint="eastAsia"/>
          <w:sz w:val="24"/>
          <w:szCs w:val="24"/>
        </w:rPr>
        <w:t>北京康信君安资产管理有限公司</w:t>
      </w:r>
    </w:p>
    <w:p w14:paraId="626C5384" w14:textId="73707C38" w:rsidR="00783CF6" w:rsidRPr="00B84BC8" w:rsidRDefault="00783CF6" w:rsidP="00783CF6">
      <w:pPr>
        <w:spacing w:line="480" w:lineRule="auto"/>
        <w:ind w:firstLineChars="2350" w:firstLine="5640"/>
        <w:jc w:val="center"/>
        <w:rPr>
          <w:sz w:val="24"/>
          <w:szCs w:val="24"/>
        </w:rPr>
      </w:pPr>
      <w:r w:rsidRPr="00B84BC8">
        <w:rPr>
          <w:rFonts w:hint="eastAsia"/>
          <w:sz w:val="24"/>
          <w:szCs w:val="24"/>
        </w:rPr>
        <w:t>202</w:t>
      </w:r>
      <w:r w:rsidRPr="00B84BC8">
        <w:rPr>
          <w:sz w:val="24"/>
          <w:szCs w:val="24"/>
        </w:rPr>
        <w:t>1</w:t>
      </w:r>
      <w:r w:rsidRPr="00B84BC8">
        <w:rPr>
          <w:rFonts w:hint="eastAsia"/>
          <w:sz w:val="24"/>
          <w:szCs w:val="24"/>
        </w:rPr>
        <w:t>年</w:t>
      </w:r>
      <w:r w:rsidRPr="00B84BC8">
        <w:rPr>
          <w:sz w:val="24"/>
          <w:szCs w:val="24"/>
        </w:rPr>
        <w:t>5</w:t>
      </w:r>
      <w:r w:rsidRPr="00B84BC8">
        <w:rPr>
          <w:rFonts w:hint="eastAsia"/>
          <w:sz w:val="24"/>
          <w:szCs w:val="24"/>
        </w:rPr>
        <w:t>月</w:t>
      </w:r>
      <w:r w:rsidRPr="00B84BC8">
        <w:rPr>
          <w:sz w:val="24"/>
          <w:szCs w:val="24"/>
        </w:rPr>
        <w:t>11</w:t>
      </w:r>
      <w:r w:rsidRPr="00B84BC8">
        <w:rPr>
          <w:rFonts w:hint="eastAsia"/>
          <w:sz w:val="24"/>
          <w:szCs w:val="24"/>
        </w:rPr>
        <w:t>日</w:t>
      </w:r>
    </w:p>
    <w:p w14:paraId="537D42FF" w14:textId="70CCD694" w:rsidR="00783CF6" w:rsidRPr="00B84BC8" w:rsidRDefault="00783CF6" w:rsidP="00783CF6">
      <w:pPr>
        <w:rPr>
          <w:sz w:val="24"/>
          <w:szCs w:val="24"/>
        </w:rPr>
      </w:pPr>
    </w:p>
    <w:sectPr w:rsidR="00783CF6" w:rsidRPr="00B8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9E2B" w14:textId="77777777" w:rsidR="00670B68" w:rsidRDefault="00670B68" w:rsidP="002E2BB8">
      <w:r>
        <w:separator/>
      </w:r>
    </w:p>
  </w:endnote>
  <w:endnote w:type="continuationSeparator" w:id="0">
    <w:p w14:paraId="20DB5A88" w14:textId="77777777" w:rsidR="00670B68" w:rsidRDefault="00670B68" w:rsidP="002E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549E" w14:textId="77777777" w:rsidR="00670B68" w:rsidRDefault="00670B68" w:rsidP="002E2BB8">
      <w:r>
        <w:separator/>
      </w:r>
    </w:p>
  </w:footnote>
  <w:footnote w:type="continuationSeparator" w:id="0">
    <w:p w14:paraId="03A431EF" w14:textId="77777777" w:rsidR="00670B68" w:rsidRDefault="00670B68" w:rsidP="002E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F6"/>
    <w:rsid w:val="000A3F7B"/>
    <w:rsid w:val="00244B24"/>
    <w:rsid w:val="002E2BB8"/>
    <w:rsid w:val="005442D3"/>
    <w:rsid w:val="00670B68"/>
    <w:rsid w:val="00712D1F"/>
    <w:rsid w:val="00783CF6"/>
    <w:rsid w:val="00933EF0"/>
    <w:rsid w:val="00A15A84"/>
    <w:rsid w:val="00A605AB"/>
    <w:rsid w:val="00B84BC8"/>
    <w:rsid w:val="00DF1DCB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52F81"/>
  <w15:chartTrackingRefBased/>
  <w15:docId w15:val="{A94CC178-F44F-4F0C-9CB8-74AF61DC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05AB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605AB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605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A605A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605AB"/>
    <w:rPr>
      <w:b/>
      <w:bCs/>
    </w:rPr>
  </w:style>
  <w:style w:type="paragraph" w:styleId="a8">
    <w:name w:val="header"/>
    <w:basedOn w:val="a"/>
    <w:link w:val="a9"/>
    <w:uiPriority w:val="99"/>
    <w:unhideWhenUsed/>
    <w:rsid w:val="002E2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E2BB8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E2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E2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章颖</dc:creator>
  <cp:keywords/>
  <dc:description/>
  <cp:lastModifiedBy>王 章颖</cp:lastModifiedBy>
  <cp:revision>9</cp:revision>
  <dcterms:created xsi:type="dcterms:W3CDTF">2021-05-10T10:31:00Z</dcterms:created>
  <dcterms:modified xsi:type="dcterms:W3CDTF">2021-05-10T13:47:00Z</dcterms:modified>
</cp:coreProperties>
</file>