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36"/>
          <w:szCs w:val="36"/>
        </w:rPr>
      </w:pPr>
      <w:bookmarkStart w:id="0" w:name="_Toc26632"/>
      <w:bookmarkStart w:id="1" w:name="_Toc6414"/>
      <w:bookmarkStart w:id="2" w:name="_Toc12631"/>
      <w:r>
        <w:rPr>
          <w:rFonts w:ascii="Arial" w:hAnsi="Arial" w:cs="Arial"/>
          <w:b/>
          <w:color w:val="000000"/>
          <w:spacing w:val="60"/>
          <w:kern w:val="10"/>
          <w:sz w:val="36"/>
          <w:szCs w:val="36"/>
        </w:rPr>
        <w:t>诚盈三期（2012年丹龙常州）项目</w:t>
      </w:r>
      <w:bookmarkEnd w:id="0"/>
      <w:bookmarkEnd w:id="1"/>
      <w:bookmarkEnd w:id="2"/>
    </w:p>
    <w:p>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2020年7月监管报告</w:t>
      </w:r>
      <w:bookmarkEnd w:id="3"/>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项目名称：诚盈三期（2012年丹龙常州）项目</w:t>
      </w:r>
      <w:bookmarkEnd w:id="4"/>
    </w:p>
    <w:p>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pPr>
        <w:spacing w:line="480" w:lineRule="auto"/>
        <w:jc w:val="left"/>
        <w:rPr>
          <w:rFonts w:ascii="Arial" w:hAnsi="Arial" w:cs="Arial"/>
          <w:b/>
          <w:color w:val="000000"/>
          <w:szCs w:val="21"/>
        </w:rPr>
      </w:pPr>
      <w:bookmarkStart w:id="7" w:name="_Toc6718"/>
      <w:r>
        <w:rPr>
          <w:rFonts w:ascii="Arial" w:hAnsi="Arial" w:cs="Arial"/>
          <w:b/>
          <w:color w:val="000000"/>
          <w:szCs w:val="21"/>
        </w:rPr>
        <w:t>监管人员：付采萌、</w:t>
      </w:r>
      <w:bookmarkEnd w:id="7"/>
      <w:r>
        <w:rPr>
          <w:rFonts w:ascii="Arial" w:hAnsi="Arial" w:cs="Arial"/>
          <w:b/>
          <w:color w:val="000000"/>
          <w:szCs w:val="21"/>
        </w:rPr>
        <w:t>王靓玉</w:t>
      </w:r>
      <w:bookmarkStart w:id="129" w:name="_GoBack"/>
      <w:bookmarkEnd w:id="129"/>
    </w:p>
    <w:p>
      <w:pPr>
        <w:spacing w:line="480" w:lineRule="auto"/>
        <w:jc w:val="left"/>
        <w:rPr>
          <w:rFonts w:ascii="Arial" w:hAnsi="Arial" w:cs="Arial"/>
          <w:b/>
          <w:color w:val="000000"/>
          <w:szCs w:val="21"/>
        </w:rPr>
        <w:sectPr>
          <w:footerReference r:id="rId4" w:type="first"/>
          <w:headerReference r:id="rId3" w:type="default"/>
          <w:pgSz w:w="11906" w:h="16838"/>
          <w:pgMar w:top="1843" w:right="1134" w:bottom="1134" w:left="1134" w:header="851" w:footer="851" w:gutter="340"/>
          <w:pgNumType w:start="1"/>
          <w:cols w:space="720" w:num="1"/>
          <w:titlePg/>
          <w:docGrid w:linePitch="312" w:charSpace="0"/>
        </w:sectPr>
      </w:pPr>
      <w:bookmarkStart w:id="8" w:name="_Toc11452"/>
      <w:r>
        <w:rPr>
          <w:rFonts w:ascii="Arial" w:hAnsi="Arial" w:cs="Arial"/>
          <w:b/>
          <w:color w:val="000000"/>
          <w:szCs w:val="21"/>
        </w:rPr>
        <w:t>日期：二〇二〇年八月十</w:t>
      </w:r>
      <w:r>
        <w:rPr>
          <w:rFonts w:hint="eastAsia" w:ascii="Arial" w:hAnsi="Arial" w:cs="Arial"/>
          <w:b/>
          <w:color w:val="000000"/>
          <w:szCs w:val="21"/>
          <w:lang w:eastAsia="zh-CN"/>
        </w:rPr>
        <w:t>二</w:t>
      </w:r>
      <w:r>
        <w:rPr>
          <w:rFonts w:ascii="Arial" w:hAnsi="Arial" w:cs="Arial"/>
          <w:b/>
          <w:color w:val="000000"/>
          <w:szCs w:val="21"/>
        </w:rPr>
        <w:t>日</w:t>
      </w:r>
      <w:bookmarkEnd w:id="8"/>
    </w:p>
    <w:p>
      <w:pPr>
        <w:pStyle w:val="10"/>
        <w:spacing w:after="0" w:line="360" w:lineRule="auto"/>
        <w:jc w:val="center"/>
        <w:rPr>
          <w:rFonts w:ascii="Arial" w:hAnsi="Arial" w:cs="Arial"/>
          <w:b/>
          <w:bCs/>
          <w:sz w:val="28"/>
          <w:szCs w:val="28"/>
        </w:rPr>
      </w:pPr>
      <w:r>
        <w:rPr>
          <w:rFonts w:ascii="Arial" w:hAnsi="Arial" w:cs="Arial"/>
          <w:b/>
          <w:bCs/>
          <w:sz w:val="28"/>
          <w:szCs w:val="28"/>
        </w:rPr>
        <w:t>目录</w:t>
      </w:r>
    </w:p>
    <w:p>
      <w:pPr>
        <w:pStyle w:val="10"/>
        <w:tabs>
          <w:tab w:val="right" w:leader="dot" w:pos="9298"/>
          <w:tab w:val="clear" w:pos="8302"/>
        </w:tabs>
        <w:rPr>
          <w:rFonts w:ascii="Arial" w:hAnsi="Arial" w:cs="Arial"/>
        </w:rPr>
      </w:pPr>
      <w:r>
        <w:rPr>
          <w:rFonts w:ascii="Arial" w:hAnsi="Arial" w:cs="Arial"/>
          <w:sz w:val="21"/>
          <w:szCs w:val="21"/>
        </w:rPr>
        <w:fldChar w:fldCharType="begin"/>
      </w:r>
      <w:r>
        <w:rPr>
          <w:rStyle w:val="17"/>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"_Toc23934" </w:instrText>
      </w:r>
      <w:r>
        <w:fldChar w:fldCharType="separate"/>
      </w:r>
      <w:r>
        <w:rPr>
          <w:rFonts w:ascii="Arial" w:hAnsi="Arial" w:cs="Arial"/>
          <w:szCs w:val="24"/>
        </w:rPr>
        <w:t>1项目基本情况介绍</w:t>
      </w:r>
      <w:r>
        <w:rPr>
          <w:rFonts w:ascii="Arial" w:hAnsi="Arial" w:cs="Arial"/>
        </w:rPr>
        <w:tab/>
      </w:r>
      <w:r>
        <w:rPr>
          <w:rFonts w:ascii="Arial" w:hAnsi="Arial" w:cs="Arial"/>
        </w:rPr>
        <w:fldChar w:fldCharType="begin"/>
      </w:r>
      <w:r>
        <w:rPr>
          <w:rFonts w:ascii="Arial" w:hAnsi="Arial" w:cs="Arial"/>
        </w:rPr>
        <w:instrText xml:space="preserve"> PAGEREF _Toc23934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10"/>
        <w:tabs>
          <w:tab w:val="right" w:leader="dot" w:pos="9298"/>
          <w:tab w:val="clear" w:pos="8302"/>
        </w:tabs>
        <w:rPr>
          <w:rFonts w:ascii="Arial" w:hAnsi="Arial" w:cs="Arial"/>
        </w:rPr>
      </w:pPr>
      <w:r>
        <w:fldChar w:fldCharType="begin"/>
      </w:r>
      <w:r>
        <w:instrText xml:space="preserve"> HYPERLINK \l "_Toc6895" </w:instrText>
      </w:r>
      <w:r>
        <w:fldChar w:fldCharType="separate"/>
      </w:r>
      <w:r>
        <w:rPr>
          <w:rFonts w:ascii="Arial" w:hAnsi="Arial" w:cs="Arial"/>
          <w:szCs w:val="24"/>
        </w:rPr>
        <w:t>2重大事件披露</w:t>
      </w:r>
      <w:r>
        <w:rPr>
          <w:rFonts w:ascii="Arial" w:hAnsi="Arial" w:cs="Arial"/>
        </w:rPr>
        <w:tab/>
      </w:r>
      <w:r>
        <w:rPr>
          <w:rFonts w:ascii="Arial" w:hAnsi="Arial" w:cs="Arial"/>
        </w:rPr>
        <w:fldChar w:fldCharType="begin"/>
      </w:r>
      <w:r>
        <w:rPr>
          <w:rFonts w:ascii="Arial" w:hAnsi="Arial" w:cs="Arial"/>
        </w:rPr>
        <w:instrText xml:space="preserve"> PAGEREF _Toc6895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0"/>
        <w:tabs>
          <w:tab w:val="right" w:leader="dot" w:pos="9298"/>
          <w:tab w:val="clear" w:pos="8302"/>
        </w:tabs>
        <w:rPr>
          <w:rFonts w:ascii="Arial" w:hAnsi="Arial" w:cs="Arial"/>
        </w:rPr>
      </w:pPr>
      <w:r>
        <w:fldChar w:fldCharType="begin"/>
      </w:r>
      <w:r>
        <w:instrText xml:space="preserve"> HYPERLINK \l "_Toc22768" </w:instrText>
      </w:r>
      <w:r>
        <w:fldChar w:fldCharType="separate"/>
      </w:r>
      <w:r>
        <w:rPr>
          <w:rFonts w:ascii="Arial" w:hAnsi="Arial" w:cs="Arial"/>
          <w:szCs w:val="24"/>
        </w:rPr>
        <w:t>3工程进度</w:t>
      </w:r>
      <w:r>
        <w:rPr>
          <w:rFonts w:ascii="Arial" w:hAnsi="Arial" w:cs="Arial"/>
        </w:rPr>
        <w:tab/>
      </w:r>
      <w:r>
        <w:rPr>
          <w:rFonts w:ascii="Arial" w:hAnsi="Arial" w:cs="Arial"/>
        </w:rPr>
        <w:fldChar w:fldCharType="begin"/>
      </w:r>
      <w:r>
        <w:rPr>
          <w:rFonts w:ascii="Arial" w:hAnsi="Arial" w:cs="Arial"/>
        </w:rPr>
        <w:instrText xml:space="preserve"> PAGEREF _Toc22768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"_Toc21090" </w:instrText>
      </w:r>
      <w:r>
        <w:fldChar w:fldCharType="separate"/>
      </w:r>
      <w:r>
        <w:rPr>
          <w:rFonts w:ascii="Arial" w:hAnsi="Arial" w:cs="Arial"/>
          <w:szCs w:val="24"/>
        </w:rPr>
        <w:t xml:space="preserve">3.1  </w:t>
      </w:r>
      <w:r>
        <w:rPr>
          <w:rFonts w:ascii="Arial" w:hAnsi="Arial" w:cs="Arial" w:eastAsiaTheme="minorEastAsia"/>
          <w:kern w:val="44"/>
          <w:szCs w:val="24"/>
        </w:rPr>
        <w:t>2020年7月项目现场情况</w:t>
      </w:r>
      <w:r>
        <w:rPr>
          <w:rFonts w:ascii="Arial" w:hAnsi="Arial" w:cs="Arial"/>
        </w:rPr>
        <w:tab/>
      </w:r>
      <w:r>
        <w:rPr>
          <w:rFonts w:ascii="Arial" w:hAnsi="Arial" w:cs="Arial"/>
        </w:rPr>
        <w:fldChar w:fldCharType="begin"/>
      </w:r>
      <w:r>
        <w:rPr>
          <w:rFonts w:ascii="Arial" w:hAnsi="Arial" w:cs="Arial"/>
        </w:rPr>
        <w:instrText xml:space="preserve"> PAGEREF _Toc21090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"_Toc18518" </w:instrText>
      </w:r>
      <w:r>
        <w:fldChar w:fldCharType="separate"/>
      </w:r>
      <w:r>
        <w:rPr>
          <w:rFonts w:ascii="Arial" w:hAnsi="Arial" w:cs="Arial"/>
          <w:szCs w:val="24"/>
        </w:rPr>
        <w:t>3.2证照办理情况说明</w:t>
      </w:r>
      <w:r>
        <w:rPr>
          <w:rFonts w:ascii="Arial" w:hAnsi="Arial" w:cs="Arial"/>
        </w:rPr>
        <w:tab/>
      </w:r>
      <w:r>
        <w:rPr>
          <w:rFonts w:ascii="Arial" w:hAnsi="Arial" w:cs="Arial"/>
        </w:rPr>
        <w:fldChar w:fldCharType="begin"/>
      </w:r>
      <w:r>
        <w:rPr>
          <w:rFonts w:ascii="Arial" w:hAnsi="Arial" w:cs="Arial"/>
        </w:rPr>
        <w:instrText xml:space="preserve"> PAGEREF _Toc18518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10"/>
        <w:tabs>
          <w:tab w:val="right" w:leader="dot" w:pos="9298"/>
          <w:tab w:val="clear" w:pos="8302"/>
        </w:tabs>
        <w:rPr>
          <w:rFonts w:ascii="Arial" w:hAnsi="Arial" w:cs="Arial"/>
        </w:rPr>
      </w:pPr>
      <w:r>
        <w:fldChar w:fldCharType="begin"/>
      </w:r>
      <w:r>
        <w:instrText xml:space="preserve"> HYPERLINK \l "_Toc2447" </w:instrText>
      </w:r>
      <w:r>
        <w:fldChar w:fldCharType="separate"/>
      </w:r>
      <w:r>
        <w:rPr>
          <w:rFonts w:ascii="Arial" w:hAnsi="Arial" w:cs="Arial"/>
          <w:szCs w:val="24"/>
        </w:rPr>
        <w:t>4资金情况</w:t>
      </w:r>
      <w:r>
        <w:rPr>
          <w:rFonts w:ascii="Arial" w:hAnsi="Arial" w:cs="Arial"/>
        </w:rPr>
        <w:tab/>
      </w:r>
      <w:r>
        <w:rPr>
          <w:rFonts w:ascii="Arial" w:hAnsi="Arial" w:cs="Arial"/>
        </w:rPr>
        <w:fldChar w:fldCharType="begin"/>
      </w:r>
      <w:r>
        <w:rPr>
          <w:rFonts w:ascii="Arial" w:hAnsi="Arial" w:cs="Arial"/>
        </w:rPr>
        <w:instrText xml:space="preserve"> PAGEREF _Toc2447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"_Toc16091" </w:instrText>
      </w:r>
      <w:r>
        <w:fldChar w:fldCharType="separate"/>
      </w:r>
      <w:r>
        <w:rPr>
          <w:rFonts w:ascii="Arial" w:hAnsi="Arial" w:cs="Arial"/>
        </w:rPr>
        <w:t>4.1资金流出情况</w:t>
      </w:r>
      <w:r>
        <w:rPr>
          <w:rFonts w:ascii="Arial" w:hAnsi="Arial" w:cs="Arial"/>
        </w:rPr>
        <w:tab/>
      </w:r>
      <w:r>
        <w:rPr>
          <w:rFonts w:ascii="Arial" w:hAnsi="Arial" w:cs="Arial"/>
        </w:rPr>
        <w:fldChar w:fldCharType="begin"/>
      </w:r>
      <w:r>
        <w:rPr>
          <w:rFonts w:ascii="Arial" w:hAnsi="Arial" w:cs="Arial"/>
        </w:rPr>
        <w:instrText xml:space="preserve"> PAGEREF _Toc16091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"_Toc19840" </w:instrText>
      </w:r>
      <w:r>
        <w:fldChar w:fldCharType="separate"/>
      </w:r>
      <w:r>
        <w:rPr>
          <w:rFonts w:ascii="Arial" w:hAnsi="Arial" w:cs="Arial"/>
        </w:rPr>
        <w:t>4.2资金流入情况</w:t>
      </w:r>
      <w:r>
        <w:rPr>
          <w:rFonts w:ascii="Arial" w:hAnsi="Arial" w:cs="Arial"/>
        </w:rPr>
        <w:tab/>
      </w:r>
      <w:r>
        <w:rPr>
          <w:rFonts w:ascii="Arial" w:hAnsi="Arial" w:cs="Arial"/>
        </w:rPr>
        <w:fldChar w:fldCharType="begin"/>
      </w:r>
      <w:r>
        <w:rPr>
          <w:rFonts w:ascii="Arial" w:hAnsi="Arial" w:cs="Arial"/>
        </w:rPr>
        <w:instrText xml:space="preserve"> PAGEREF _Toc19840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10"/>
        <w:tabs>
          <w:tab w:val="right" w:leader="dot" w:pos="9298"/>
          <w:tab w:val="clear" w:pos="8302"/>
        </w:tabs>
        <w:rPr>
          <w:rFonts w:ascii="Arial" w:hAnsi="Arial" w:cs="Arial"/>
        </w:rPr>
      </w:pPr>
      <w:r>
        <w:fldChar w:fldCharType="begin"/>
      </w:r>
      <w:r>
        <w:instrText xml:space="preserve"> HYPERLINK \l "_Toc2468" </w:instrText>
      </w:r>
      <w:r>
        <w:fldChar w:fldCharType="separate"/>
      </w:r>
      <w:r>
        <w:rPr>
          <w:rFonts w:ascii="Arial" w:hAnsi="Arial" w:cs="Arial"/>
          <w:szCs w:val="24"/>
        </w:rPr>
        <w:t>5项目销售情况</w:t>
      </w:r>
      <w:r>
        <w:rPr>
          <w:rFonts w:ascii="Arial" w:hAnsi="Arial" w:cs="Arial"/>
        </w:rPr>
        <w:tab/>
      </w:r>
      <w:r>
        <w:rPr>
          <w:rFonts w:ascii="Arial" w:hAnsi="Arial" w:cs="Arial"/>
        </w:rPr>
        <w:fldChar w:fldCharType="begin"/>
      </w:r>
      <w:r>
        <w:rPr>
          <w:rFonts w:ascii="Arial" w:hAnsi="Arial" w:cs="Arial"/>
        </w:rPr>
        <w:instrText xml:space="preserve"> PAGEREF _Toc2468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0"/>
        <w:tabs>
          <w:tab w:val="right" w:leader="dot" w:pos="9298"/>
          <w:tab w:val="clear" w:pos="8302"/>
        </w:tabs>
        <w:rPr>
          <w:rFonts w:ascii="Arial" w:hAnsi="Arial" w:cs="Arial"/>
        </w:rPr>
      </w:pPr>
      <w:r>
        <w:fldChar w:fldCharType="begin"/>
      </w:r>
      <w:r>
        <w:instrText xml:space="preserve"> HYPERLINK \l "_Toc492" </w:instrText>
      </w:r>
      <w:r>
        <w:fldChar w:fldCharType="separate"/>
      </w:r>
      <w:r>
        <w:rPr>
          <w:rFonts w:ascii="Arial" w:hAnsi="Arial" w:cs="Arial"/>
          <w:szCs w:val="24"/>
        </w:rPr>
        <w:t>6印章、证照使用情况</w:t>
      </w:r>
      <w:r>
        <w:rPr>
          <w:rFonts w:ascii="Arial" w:hAnsi="Arial" w:cs="Arial"/>
        </w:rPr>
        <w:tab/>
      </w:r>
      <w:r>
        <w:rPr>
          <w:rFonts w:ascii="Arial" w:hAnsi="Arial" w:cs="Arial"/>
        </w:rPr>
        <w:fldChar w:fldCharType="begin"/>
      </w:r>
      <w:r>
        <w:rPr>
          <w:rFonts w:ascii="Arial" w:hAnsi="Arial" w:cs="Arial"/>
        </w:rPr>
        <w:instrText xml:space="preserve"> PAGEREF _Toc492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0"/>
        <w:tabs>
          <w:tab w:val="right" w:leader="dot" w:pos="9298"/>
          <w:tab w:val="clear" w:pos="8302"/>
        </w:tabs>
        <w:rPr>
          <w:rFonts w:ascii="Arial" w:hAnsi="Arial" w:cs="Arial"/>
        </w:rPr>
      </w:pPr>
      <w:r>
        <w:fldChar w:fldCharType="begin"/>
      </w:r>
      <w:r>
        <w:instrText xml:space="preserve"> HYPERLINK \l "_Toc9261" </w:instrText>
      </w:r>
      <w:r>
        <w:fldChar w:fldCharType="separate"/>
      </w:r>
      <w:r>
        <w:rPr>
          <w:rFonts w:ascii="Arial" w:hAnsi="Arial" w:cs="Arial"/>
          <w:szCs w:val="24"/>
        </w:rPr>
        <w:t>7合同签订情况</w:t>
      </w:r>
      <w:r>
        <w:rPr>
          <w:rFonts w:ascii="Arial" w:hAnsi="Arial" w:cs="Arial"/>
        </w:rPr>
        <w:tab/>
      </w:r>
      <w:r>
        <w:rPr>
          <w:rFonts w:ascii="Arial" w:hAnsi="Arial" w:cs="Arial"/>
        </w:rPr>
        <w:fldChar w:fldCharType="begin"/>
      </w:r>
      <w:r>
        <w:rPr>
          <w:rFonts w:ascii="Arial" w:hAnsi="Arial" w:cs="Arial"/>
        </w:rPr>
        <w:instrText xml:space="preserve"> PAGEREF _Toc9261 </w:instrText>
      </w:r>
      <w:r>
        <w:rPr>
          <w:rFonts w:ascii="Arial" w:hAnsi="Arial" w:cs="Arial"/>
        </w:rPr>
        <w:fldChar w:fldCharType="separate"/>
      </w:r>
      <w:r>
        <w:rPr>
          <w:rFonts w:ascii="Arial" w:hAnsi="Arial" w:cs="Arial"/>
        </w:rPr>
        <w:t>24</w:t>
      </w:r>
      <w:r>
        <w:rPr>
          <w:rFonts w:ascii="Arial" w:hAnsi="Arial" w:cs="Arial"/>
        </w:rPr>
        <w:fldChar w:fldCharType="end"/>
      </w:r>
      <w:r>
        <w:rPr>
          <w:rFonts w:ascii="Arial" w:hAnsi="Arial" w:cs="Arial"/>
        </w:rPr>
        <w:fldChar w:fldCharType="end"/>
      </w:r>
    </w:p>
    <w:p>
      <w:pPr>
        <w:pStyle w:val="10"/>
        <w:tabs>
          <w:tab w:val="right" w:leader="dot" w:pos="9298"/>
          <w:tab w:val="clear" w:pos="8302"/>
        </w:tabs>
        <w:rPr>
          <w:rFonts w:ascii="Arial" w:hAnsi="Arial" w:cs="Arial"/>
        </w:rPr>
      </w:pPr>
      <w:r>
        <w:fldChar w:fldCharType="begin"/>
      </w:r>
      <w:r>
        <w:instrText xml:space="preserve"> HYPERLINK \l "_Toc10385" </w:instrText>
      </w:r>
      <w:r>
        <w:fldChar w:fldCharType="separate"/>
      </w:r>
      <w:r>
        <w:rPr>
          <w:rFonts w:ascii="Arial" w:hAnsi="Arial" w:cs="Arial"/>
          <w:szCs w:val="24"/>
        </w:rPr>
        <w:t>8资金结算</w:t>
      </w:r>
      <w:r>
        <w:rPr>
          <w:rFonts w:ascii="Arial" w:hAnsi="Arial" w:cs="Arial"/>
        </w:rPr>
        <w:tab/>
      </w:r>
      <w:r>
        <w:rPr>
          <w:rFonts w:ascii="Arial" w:hAnsi="Arial" w:cs="Arial"/>
        </w:rPr>
        <w:fldChar w:fldCharType="begin"/>
      </w:r>
      <w:r>
        <w:rPr>
          <w:rFonts w:ascii="Arial" w:hAnsi="Arial" w:cs="Arial"/>
        </w:rPr>
        <w:instrText xml:space="preserve"> PAGEREF _Toc10385 </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"_Toc29855" </w:instrText>
      </w:r>
      <w:r>
        <w:fldChar w:fldCharType="separate"/>
      </w:r>
      <w:r>
        <w:rPr>
          <w:rFonts w:ascii="Arial" w:hAnsi="Arial" w:cs="Arial"/>
        </w:rPr>
        <w:t>8.1</w:t>
      </w:r>
      <w:r>
        <w:rPr>
          <w:rFonts w:ascii="Arial" w:hAnsi="Arial" w:cs="Arial" w:eastAsiaTheme="minorEastAsia"/>
          <w:kern w:val="44"/>
          <w:szCs w:val="24"/>
        </w:rPr>
        <w:t>丹龙置业常州有限公司各资金账户流量情况</w:t>
      </w:r>
      <w:r>
        <w:rPr>
          <w:rFonts w:ascii="Arial" w:hAnsi="Arial" w:cs="Arial"/>
        </w:rPr>
        <w:tab/>
      </w:r>
      <w:r>
        <w:rPr>
          <w:rFonts w:ascii="Arial" w:hAnsi="Arial" w:cs="Arial"/>
        </w:rPr>
        <w:fldChar w:fldCharType="begin"/>
      </w:r>
      <w:r>
        <w:rPr>
          <w:rFonts w:ascii="Arial" w:hAnsi="Arial" w:cs="Arial"/>
        </w:rPr>
        <w:instrText xml:space="preserve"> PAGEREF _Toc29855 </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"_Toc29874" </w:instrText>
      </w:r>
      <w:r>
        <w:fldChar w:fldCharType="separate"/>
      </w:r>
      <w:r>
        <w:rPr>
          <w:rFonts w:ascii="Arial" w:hAnsi="Arial" w:cs="Arial"/>
        </w:rPr>
        <w:t>8.2</w:t>
      </w:r>
      <w:r>
        <w:rPr>
          <w:rFonts w:ascii="Arial" w:hAnsi="Arial" w:cs="Arial" w:eastAsiaTheme="minorEastAsia"/>
          <w:kern w:val="44"/>
          <w:szCs w:val="24"/>
        </w:rPr>
        <w:t>收取各类保证金余额</w:t>
      </w:r>
      <w:r>
        <w:rPr>
          <w:rFonts w:ascii="Arial" w:hAnsi="Arial" w:cs="Arial"/>
        </w:rPr>
        <w:t>情况</w:t>
      </w:r>
      <w:r>
        <w:rPr>
          <w:rFonts w:ascii="Arial" w:hAnsi="Arial" w:cs="Arial"/>
        </w:rPr>
        <w:tab/>
      </w:r>
      <w:r>
        <w:rPr>
          <w:rFonts w:ascii="Arial" w:hAnsi="Arial" w:cs="Arial"/>
        </w:rPr>
        <w:fldChar w:fldCharType="begin"/>
      </w:r>
      <w:r>
        <w:rPr>
          <w:rFonts w:ascii="Arial" w:hAnsi="Arial" w:cs="Arial"/>
        </w:rPr>
        <w:instrText xml:space="preserve"> PAGEREF _Toc29874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10"/>
        <w:tabs>
          <w:tab w:val="right" w:leader="dot" w:pos="9298"/>
          <w:tab w:val="clear" w:pos="8302"/>
        </w:tabs>
        <w:rPr>
          <w:rFonts w:ascii="Arial" w:hAnsi="Arial" w:cs="Arial"/>
        </w:rPr>
      </w:pPr>
      <w:r>
        <w:fldChar w:fldCharType="begin"/>
      </w:r>
      <w:r>
        <w:instrText xml:space="preserve"> HYPERLINK \l "_Toc14319" </w:instrText>
      </w:r>
      <w:r>
        <w:fldChar w:fldCharType="separate"/>
      </w:r>
      <w:r>
        <w:rPr>
          <w:rFonts w:ascii="Arial" w:hAnsi="Arial" w:cs="Arial"/>
          <w:szCs w:val="24"/>
        </w:rPr>
        <w:t>附件</w:t>
      </w:r>
      <w:r>
        <w:rPr>
          <w:rFonts w:ascii="Arial" w:hAnsi="Arial" w:cs="Arial"/>
        </w:rPr>
        <w:tab/>
      </w:r>
      <w:r>
        <w:rPr>
          <w:rFonts w:ascii="Arial" w:hAnsi="Arial" w:cs="Arial"/>
        </w:rPr>
        <w:fldChar w:fldCharType="begin"/>
      </w:r>
      <w:r>
        <w:rPr>
          <w:rFonts w:ascii="Arial" w:hAnsi="Arial" w:cs="Arial"/>
        </w:rPr>
        <w:instrText xml:space="preserve"> PAGEREF _Toc14319 </w:instrText>
      </w:r>
      <w:r>
        <w:rPr>
          <w:rFonts w:ascii="Arial" w:hAnsi="Arial" w:cs="Arial"/>
        </w:rPr>
        <w:fldChar w:fldCharType="separate"/>
      </w:r>
      <w:r>
        <w:rPr>
          <w:rFonts w:ascii="Arial" w:hAnsi="Arial" w:cs="Arial"/>
        </w:rPr>
        <w:t>28</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"_Toc4937" </w:instrText>
      </w:r>
      <w:r>
        <w:fldChar w:fldCharType="separate"/>
      </w:r>
      <w:r>
        <w:rPr>
          <w:rFonts w:ascii="Arial" w:hAnsi="Arial" w:cs="Arial"/>
        </w:rPr>
        <w:t>附件一 商品房预售许可证</w:t>
      </w:r>
      <w:r>
        <w:rPr>
          <w:rFonts w:ascii="Arial" w:hAnsi="Arial" w:cs="Arial"/>
        </w:rPr>
        <w:tab/>
      </w:r>
      <w:r>
        <w:rPr>
          <w:rFonts w:ascii="Arial" w:hAnsi="Arial" w:cs="Arial"/>
        </w:rPr>
        <w:fldChar w:fldCharType="begin"/>
      </w:r>
      <w:r>
        <w:rPr>
          <w:rFonts w:ascii="Arial" w:hAnsi="Arial" w:cs="Arial"/>
        </w:rPr>
        <w:instrText xml:space="preserve"> PAGEREF _Toc4937 </w:instrText>
      </w:r>
      <w:r>
        <w:rPr>
          <w:rFonts w:ascii="Arial" w:hAnsi="Arial" w:cs="Arial"/>
        </w:rPr>
        <w:fldChar w:fldCharType="separate"/>
      </w:r>
      <w:r>
        <w:rPr>
          <w:rFonts w:ascii="Arial" w:hAnsi="Arial" w:cs="Arial"/>
        </w:rPr>
        <w:t>28</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"_Toc953" </w:instrText>
      </w:r>
      <w:r>
        <w:fldChar w:fldCharType="separate"/>
      </w:r>
      <w:r>
        <w:rPr>
          <w:rFonts w:ascii="Arial" w:hAnsi="Arial" w:cs="Arial"/>
        </w:rPr>
        <w:t>附件二 企业暂定资质证书</w:t>
      </w:r>
      <w:r>
        <w:rPr>
          <w:rFonts w:ascii="Arial" w:hAnsi="Arial" w:cs="Arial"/>
        </w:rPr>
        <w:tab/>
      </w:r>
      <w:r>
        <w:rPr>
          <w:rFonts w:ascii="Arial" w:hAnsi="Arial" w:cs="Arial"/>
        </w:rPr>
        <w:fldChar w:fldCharType="begin"/>
      </w:r>
      <w:r>
        <w:rPr>
          <w:rFonts w:ascii="Arial" w:hAnsi="Arial" w:cs="Arial"/>
        </w:rPr>
        <w:instrText xml:space="preserve"> PAGEREF _Toc953 </w:instrText>
      </w:r>
      <w:r>
        <w:rPr>
          <w:rFonts w:ascii="Arial" w:hAnsi="Arial" w:cs="Arial"/>
        </w:rPr>
        <w:fldChar w:fldCharType="separate"/>
      </w:r>
      <w:r>
        <w:rPr>
          <w:rFonts w:ascii="Arial" w:hAnsi="Arial" w:cs="Arial"/>
        </w:rPr>
        <w:t>29</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"_Toc5600" </w:instrText>
      </w:r>
      <w:r>
        <w:fldChar w:fldCharType="separate"/>
      </w:r>
      <w:r>
        <w:rPr>
          <w:rFonts w:ascii="Arial" w:hAnsi="Arial" w:cs="Arial"/>
        </w:rPr>
        <w:t>附件三 银行对账单</w:t>
      </w:r>
      <w:r>
        <w:rPr>
          <w:rFonts w:ascii="Arial" w:hAnsi="Arial" w:cs="Arial"/>
        </w:rPr>
        <w:tab/>
      </w:r>
      <w:r>
        <w:rPr>
          <w:rFonts w:ascii="Arial" w:hAnsi="Arial" w:cs="Arial"/>
        </w:rPr>
        <w:fldChar w:fldCharType="begin"/>
      </w:r>
      <w:r>
        <w:rPr>
          <w:rFonts w:ascii="Arial" w:hAnsi="Arial" w:cs="Arial"/>
        </w:rPr>
        <w:instrText xml:space="preserve"> PAGEREF _Toc5600 </w:instrText>
      </w:r>
      <w:r>
        <w:rPr>
          <w:rFonts w:ascii="Arial" w:hAnsi="Arial" w:cs="Arial"/>
        </w:rPr>
        <w:fldChar w:fldCharType="separate"/>
      </w:r>
      <w:r>
        <w:rPr>
          <w:rFonts w:ascii="Arial" w:hAnsi="Arial" w:cs="Arial"/>
        </w:rPr>
        <w:t>32</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"_Toc13367" </w:instrText>
      </w:r>
      <w:r>
        <w:fldChar w:fldCharType="separate"/>
      </w:r>
      <w:r>
        <w:rPr>
          <w:rFonts w:ascii="Arial" w:hAnsi="Arial" w:cs="Arial"/>
        </w:rPr>
        <w:t>附件四 各类资金使用统计</w:t>
      </w:r>
      <w:r>
        <w:rPr>
          <w:rFonts w:ascii="Arial" w:hAnsi="Arial" w:cs="Arial"/>
          <w:szCs w:val="24"/>
        </w:rPr>
        <w:t>表</w:t>
      </w:r>
      <w:r>
        <w:rPr>
          <w:rFonts w:ascii="Arial" w:hAnsi="Arial" w:cs="Arial"/>
        </w:rPr>
        <w:tab/>
      </w:r>
      <w:r>
        <w:rPr>
          <w:rFonts w:ascii="Arial" w:hAnsi="Arial" w:cs="Arial"/>
        </w:rPr>
        <w:fldChar w:fldCharType="begin"/>
      </w:r>
      <w:r>
        <w:rPr>
          <w:rFonts w:ascii="Arial" w:hAnsi="Arial" w:cs="Arial"/>
        </w:rPr>
        <w:instrText xml:space="preserve"> PAGEREF _Toc13367 </w:instrText>
      </w:r>
      <w:r>
        <w:rPr>
          <w:rFonts w:ascii="Arial" w:hAnsi="Arial" w:cs="Arial"/>
        </w:rPr>
        <w:fldChar w:fldCharType="separate"/>
      </w:r>
      <w:r>
        <w:rPr>
          <w:rFonts w:ascii="Arial" w:hAnsi="Arial" w:cs="Arial"/>
        </w:rPr>
        <w:t>44</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"_Toc7482" </w:instrText>
      </w:r>
      <w:r>
        <w:fldChar w:fldCharType="separate"/>
      </w:r>
      <w:r>
        <w:rPr>
          <w:rFonts w:ascii="Arial" w:hAnsi="Arial" w:cs="Arial"/>
        </w:rPr>
        <w:t>附件五 销售明细表</w:t>
      </w:r>
      <w:r>
        <w:rPr>
          <w:rFonts w:ascii="Arial" w:hAnsi="Arial" w:cs="Arial"/>
        </w:rPr>
        <w:tab/>
      </w:r>
      <w:r>
        <w:rPr>
          <w:rFonts w:ascii="Arial" w:hAnsi="Arial" w:cs="Arial"/>
        </w:rPr>
        <w:fldChar w:fldCharType="begin"/>
      </w:r>
      <w:r>
        <w:rPr>
          <w:rFonts w:ascii="Arial" w:hAnsi="Arial" w:cs="Arial"/>
        </w:rPr>
        <w:instrText xml:space="preserve"> PAGEREF _Toc7482 </w:instrText>
      </w:r>
      <w:r>
        <w:rPr>
          <w:rFonts w:ascii="Arial" w:hAnsi="Arial" w:cs="Arial"/>
        </w:rPr>
        <w:fldChar w:fldCharType="separate"/>
      </w:r>
      <w:r>
        <w:rPr>
          <w:rFonts w:ascii="Arial" w:hAnsi="Arial" w:cs="Arial"/>
        </w:rPr>
        <w:t>46</w:t>
      </w:r>
      <w:r>
        <w:rPr>
          <w:rFonts w:ascii="Arial" w:hAnsi="Arial" w:cs="Arial"/>
        </w:rPr>
        <w:fldChar w:fldCharType="end"/>
      </w:r>
      <w:r>
        <w:rPr>
          <w:rFonts w:ascii="Arial" w:hAnsi="Arial" w:cs="Arial"/>
        </w:rPr>
        <w:fldChar w:fldCharType="end"/>
      </w:r>
    </w:p>
    <w:p>
      <w:pPr>
        <w:pStyle w:val="19"/>
        <w:keepNext w:val="0"/>
        <w:keepLines w:val="0"/>
        <w:widowControl w:val="0"/>
        <w:spacing w:line="360" w:lineRule="auto"/>
        <w:rPr>
          <w:rFonts w:ascii="Arial" w:hAnsi="Arial" w:cs="Arial"/>
        </w:rPr>
        <w:sectPr>
          <w:headerReference r:id="rId5" w:type="default"/>
          <w:footerReference r:id="rId6" w:type="default"/>
          <w:pgSz w:w="11906" w:h="16838"/>
          <w:pgMar w:top="1843"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rPr>
          <w:rFonts w:ascii="Arial" w:hAnsi="Arial" w:cs="Arial"/>
          <w:bCs/>
          <w:kern w:val="44"/>
          <w:szCs w:val="21"/>
        </w:rPr>
      </w:pPr>
      <w:bookmarkStart w:id="9" w:name="_Toc373309848"/>
      <w:r>
        <w:rPr>
          <w:rFonts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·项目公司：丹龙置业常州有限公司</w:t>
      </w:r>
    </w:p>
    <w:p>
      <w:pPr>
        <w:spacing w:line="480" w:lineRule="auto"/>
        <w:ind w:firstLine="420" w:firstLineChars="200"/>
        <w:rPr>
          <w:rFonts w:ascii="Arial" w:hAnsi="Arial" w:cs="Arial"/>
          <w:bCs/>
          <w:kern w:val="44"/>
          <w:szCs w:val="21"/>
        </w:rPr>
      </w:pPr>
      <w:r>
        <w:rPr>
          <w:rFonts w:ascii="Arial" w:hAnsi="Arial" w:cs="Arial"/>
          <w:bCs/>
          <w:kern w:val="44"/>
          <w:szCs w:val="21"/>
        </w:rPr>
        <w:t>·道诚基金：道诚（上海）股权投资基金管理有限公司</w:t>
      </w:r>
    </w:p>
    <w:p>
      <w:pPr>
        <w:spacing w:line="480" w:lineRule="auto"/>
        <w:ind w:firstLine="420" w:firstLineChars="200"/>
        <w:rPr>
          <w:rFonts w:ascii="Arial" w:hAnsi="Arial" w:cs="Arial"/>
          <w:bCs/>
          <w:kern w:val="44"/>
          <w:szCs w:val="21"/>
        </w:rPr>
      </w:pPr>
      <w:r>
        <w:rPr>
          <w:rFonts w:ascii="Arial" w:hAnsi="Arial" w:cs="Arial"/>
          <w:bCs/>
          <w:kern w:val="44"/>
          <w:szCs w:val="21"/>
        </w:rPr>
        <w:t>·康正：北京康正宏基房地产评估有限公司</w:t>
      </w:r>
    </w:p>
    <w:p>
      <w:pPr>
        <w:pStyle w:val="2"/>
        <w:keepNext w:val="0"/>
        <w:keepLines w:val="0"/>
        <w:spacing w:before="300" w:after="300" w:line="360" w:lineRule="exact"/>
        <w:jc w:val="left"/>
        <w:rPr>
          <w:rFonts w:ascii="Arial" w:hAnsi="Arial" w:cs="Arial"/>
          <w:color w:val="000000"/>
          <w:sz w:val="24"/>
          <w:szCs w:val="24"/>
        </w:rPr>
      </w:pPr>
      <w:bookmarkStart w:id="10" w:name="_Toc23934"/>
      <w:bookmarkStart w:id="11" w:name="_Toc31281"/>
      <w:bookmarkStart w:id="12" w:name="_Toc535570748"/>
      <w:bookmarkStart w:id="13" w:name="_Toc535580089"/>
      <w:bookmarkStart w:id="14" w:name="_Toc535580021"/>
      <w:bookmarkStart w:id="15" w:name="_Toc535508634"/>
      <w:bookmarkStart w:id="16" w:name="_Toc532281655"/>
      <w:r>
        <w:rPr>
          <w:rFonts w:hint="eastAsia" w:ascii="Arial" w:hAnsi="Arial" w:cs="Arial"/>
          <w:color w:val="000000"/>
          <w:sz w:val="24"/>
          <w:szCs w:val="24"/>
        </w:rPr>
        <w:t>1项目基本情况介绍</w:t>
      </w:r>
      <w:bookmarkEnd w:id="10"/>
      <w:bookmarkEnd w:id="11"/>
    </w:p>
    <w:p>
      <w:pPr>
        <w:rPr>
          <w:rFonts w:ascii="Arial" w:hAnsi="Arial" w:cs="Arial"/>
          <w:color w:val="000000"/>
          <w:sz w:val="24"/>
        </w:rPr>
      </w:pPr>
    </w:p>
    <w:p>
      <w:pPr>
        <w:rPr>
          <w:rFonts w:hint="eastAsia" w:ascii="Arial" w:hAnsi="Arial" w:cs="Arial"/>
          <w:color w:val="000000"/>
          <w:sz w:val="24"/>
        </w:rPr>
      </w:pPr>
      <w:r>
        <w:rPr>
          <w:rFonts w:hint="eastAsia" w:ascii="Arial" w:hAnsi="Arial" w:cs="Arial"/>
          <w:color w:val="000000"/>
          <w:sz w:val="24"/>
        </w:rPr>
        <w:drawing>
          <wp:inline distT="0" distB="0" distL="0" distR="0">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04230" cy="3741420"/>
                    </a:xfrm>
                    <a:prstGeom prst="rect">
                      <a:avLst/>
                    </a:prstGeom>
                  </pic:spPr>
                </pic:pic>
              </a:graphicData>
            </a:graphic>
          </wp:inline>
        </w:drawing>
      </w:r>
    </w:p>
    <w:p/>
    <w:p>
      <w:pPr>
        <w:spacing w:line="480" w:lineRule="auto"/>
        <w:ind w:firstLine="420" w:firstLineChars="200"/>
        <w:rPr>
          <w:rFonts w:ascii="Arial" w:hAnsi="Arial" w:cs="Arial"/>
          <w:bCs/>
          <w:szCs w:val="21"/>
        </w:rPr>
      </w:pPr>
      <w:r>
        <w:rPr>
          <w:rFonts w:ascii="Arial" w:hAnsi="Arial" w:cs="Arial"/>
          <w:bCs/>
          <w:szCs w:val="21"/>
        </w:rPr>
        <w:t>标的项目</w:t>
      </w:r>
      <w:r>
        <w:rPr>
          <w:rFonts w:hint="eastAsia" w:ascii="Arial" w:hAnsi="Arial" w:cs="Arial"/>
          <w:bCs/>
          <w:szCs w:val="21"/>
        </w:rPr>
        <w:t>为</w:t>
      </w:r>
      <w:r>
        <w:rPr>
          <w:rFonts w:ascii="Arial" w:hAnsi="Arial" w:cs="Arial"/>
          <w:bCs/>
          <w:kern w:val="44"/>
          <w:szCs w:val="21"/>
        </w:rPr>
        <w:t>项目公司</w:t>
      </w:r>
      <w:r>
        <w:rPr>
          <w:rFonts w:hint="eastAsia" w:ascii="Arial" w:hAnsi="Arial" w:cs="Arial"/>
          <w:bCs/>
          <w:kern w:val="44"/>
          <w:szCs w:val="21"/>
        </w:rPr>
        <w:t>开发的“绿城</w:t>
      </w:r>
      <w:r>
        <w:rPr>
          <w:rFonts w:hint="eastAsia" w:ascii="宋体" w:hAnsi="宋体" w:cs="Arial"/>
          <w:bCs/>
          <w:kern w:val="44"/>
          <w:szCs w:val="21"/>
        </w:rPr>
        <w:t>﹒</w:t>
      </w:r>
      <w:r>
        <w:rPr>
          <w:rFonts w:hint="eastAsia" w:ascii="Arial" w:hAnsi="Arial" w:cs="Arial"/>
          <w:bCs/>
          <w:kern w:val="44"/>
          <w:szCs w:val="21"/>
        </w:rPr>
        <w:t>江南里”项目（又名：</w:t>
      </w:r>
      <w:r>
        <w:rPr>
          <w:rFonts w:hint="eastAsia" w:ascii="Arial" w:hAnsi="Arial" w:eastAsia="宋体" w:cs="Arial"/>
          <w:bCs/>
          <w:color w:val="auto"/>
          <w:kern w:val="44"/>
          <w:sz w:val="21"/>
          <w:szCs w:val="21"/>
          <w:shd w:val="clear" w:color="auto" w:fill="auto"/>
        </w:rPr>
        <w:t>月桂江南里</w:t>
      </w:r>
      <w:r>
        <w:rPr>
          <w:rFonts w:hint="eastAsia" w:ascii="Arial" w:hAnsi="Arial" w:cs="Arial"/>
          <w:bCs/>
          <w:kern w:val="44"/>
          <w:szCs w:val="21"/>
        </w:rPr>
        <w:t>），项目</w:t>
      </w:r>
      <w:r>
        <w:rPr>
          <w:rFonts w:ascii="Arial" w:hAnsi="Arial" w:cs="Arial"/>
          <w:bCs/>
          <w:szCs w:val="21"/>
        </w:rPr>
        <w:t>位于江苏省</w:t>
      </w:r>
      <w:r>
        <w:rPr>
          <w:rFonts w:hint="eastAsia" w:ascii="Arial" w:hAnsi="Arial" w:cs="Arial"/>
          <w:bCs/>
          <w:szCs w:val="21"/>
        </w:rPr>
        <w:t>常州市武进经济开发区四桥头东北角，分为A、B地块，其中A地块</w:t>
      </w:r>
      <w:r>
        <w:rPr>
          <w:rFonts w:ascii="Arial" w:hAnsi="Arial" w:cs="Arial"/>
          <w:bCs/>
          <w:szCs w:val="21"/>
        </w:rPr>
        <w:t>土地面积</w:t>
      </w:r>
      <w:r>
        <w:rPr>
          <w:rFonts w:hint="eastAsia" w:ascii="Arial" w:hAnsi="Arial" w:cs="Arial"/>
          <w:bCs/>
          <w:szCs w:val="21"/>
        </w:rPr>
        <w:t>为64929.45m</w:t>
      </w:r>
      <w:r>
        <w:rPr>
          <w:rFonts w:hint="eastAsia" w:ascii="Arial" w:hAnsi="Arial" w:cs="Arial"/>
          <w:bCs/>
          <w:szCs w:val="21"/>
          <w:vertAlign w:val="superscript"/>
        </w:rPr>
        <w:t>2</w:t>
      </w:r>
      <w:r>
        <w:rPr>
          <w:rFonts w:ascii="Arial" w:hAnsi="Arial" w:cs="Arial"/>
          <w:bCs/>
          <w:szCs w:val="21"/>
        </w:rPr>
        <w:t>，</w:t>
      </w:r>
      <w:r>
        <w:rPr>
          <w:rFonts w:hint="eastAsia" w:ascii="Arial" w:hAnsi="Arial" w:cs="Arial"/>
          <w:bCs/>
          <w:szCs w:val="21"/>
        </w:rPr>
        <w:t>分为四、五期规划建设，B地块</w:t>
      </w:r>
      <w:r>
        <w:rPr>
          <w:rFonts w:ascii="Arial" w:hAnsi="Arial" w:cs="Arial"/>
          <w:bCs/>
          <w:szCs w:val="21"/>
        </w:rPr>
        <w:t>土地面积</w:t>
      </w:r>
      <w:r>
        <w:rPr>
          <w:rFonts w:hint="eastAsia" w:ascii="Arial" w:hAnsi="Arial" w:cs="Arial"/>
          <w:bCs/>
          <w:szCs w:val="21"/>
        </w:rPr>
        <w:t>为112263.56m</w:t>
      </w:r>
      <w:r>
        <w:rPr>
          <w:rFonts w:hint="eastAsia" w:ascii="Arial" w:hAnsi="Arial" w:cs="Arial"/>
          <w:bCs/>
          <w:szCs w:val="21"/>
          <w:vertAlign w:val="superscript"/>
        </w:rPr>
        <w:t>2</w:t>
      </w:r>
      <w:r>
        <w:rPr>
          <w:rFonts w:ascii="Arial" w:hAnsi="Arial" w:cs="Arial"/>
          <w:bCs/>
          <w:szCs w:val="21"/>
        </w:rPr>
        <w:t>，</w:t>
      </w:r>
      <w:r>
        <w:rPr>
          <w:rFonts w:hint="eastAsia" w:ascii="Arial" w:hAnsi="Arial" w:cs="Arial"/>
          <w:bCs/>
          <w:szCs w:val="21"/>
        </w:rPr>
        <w:t>分为一、二、三期规划建设，项目地块规划指标</w:t>
      </w:r>
      <w:r>
        <w:rPr>
          <w:rFonts w:ascii="Arial" w:hAnsi="Arial" w:cs="Arial"/>
          <w:bCs/>
          <w:szCs w:val="21"/>
        </w:rPr>
        <w:t>容积率＞1.0且≤1.</w:t>
      </w:r>
      <w:r>
        <w:rPr>
          <w:rFonts w:hint="eastAsia" w:ascii="Arial" w:hAnsi="Arial" w:cs="Arial"/>
          <w:bCs/>
          <w:szCs w:val="21"/>
        </w:rPr>
        <w:t>87</w:t>
      </w:r>
      <w:r>
        <w:rPr>
          <w:rFonts w:ascii="Arial" w:hAnsi="Arial" w:cs="Arial"/>
          <w:bCs/>
          <w:szCs w:val="21"/>
        </w:rPr>
        <w:t>，项目详细经济指标见下表：</w:t>
      </w:r>
    </w:p>
    <w:p>
      <w:pPr>
        <w:ind w:firstLine="422" w:firstLineChars="200"/>
        <w:jc w:val="center"/>
        <w:rPr>
          <w:rFonts w:ascii="Arial" w:hAnsi="Arial" w:cs="Arial"/>
          <w:b/>
          <w:bCs/>
        </w:rPr>
      </w:pPr>
      <w:r>
        <w:rPr>
          <w:rFonts w:ascii="Arial" w:hAnsi="Arial" w:cs="Arial"/>
          <w:b/>
          <w:bCs/>
        </w:rPr>
        <w:t>项目各项经济指标</w:t>
      </w:r>
    </w:p>
    <w:tbl>
      <w:tblPr>
        <w:tblStyle w:val="13"/>
        <w:tblW w:w="10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201"/>
        <w:gridCol w:w="1300"/>
        <w:gridCol w:w="1200"/>
        <w:gridCol w:w="1213"/>
        <w:gridCol w:w="1187"/>
        <w:gridCol w:w="13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3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20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计容</w:t>
            </w:r>
            <w:r>
              <w:rPr>
                <w:rFonts w:ascii="Arial" w:hAnsi="Arial" w:cs="Arial"/>
                <w:b/>
                <w:bCs/>
                <w:color w:val="000000"/>
                <w:sz w:val="18"/>
                <w:szCs w:val="18"/>
              </w:rPr>
              <w:t>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21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18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c>
          <w:tcPr>
            <w:tcW w:w="131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物业类型</w:t>
            </w:r>
          </w:p>
        </w:tc>
        <w:tc>
          <w:tcPr>
            <w:tcW w:w="124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一期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112263.56</w:t>
            </w: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101489</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67370</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63697</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119243</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分为一标段、二标段建设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二期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83269</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59483</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59355</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100470</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三期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60745</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42045</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40890</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59938</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992"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四期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64929.45</w:t>
            </w: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114270</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123529</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79006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91611</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高层、公寓、办公楼、商业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w:t>
            </w:r>
          </w:p>
        </w:tc>
        <w:tc>
          <w:tcPr>
            <w:tcW w:w="992"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五期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108390</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95420</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81086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118738</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高层、公寓、商业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合计</w:t>
            </w:r>
          </w:p>
        </w:tc>
        <w:tc>
          <w:tcPr>
            <w:tcW w:w="1201"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177193.01</w:t>
            </w:r>
          </w:p>
        </w:tc>
        <w:tc>
          <w:tcPr>
            <w:tcW w:w="130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fldChar w:fldCharType="begin"/>
            </w:r>
            <w:r>
              <w:rPr>
                <w:rFonts w:ascii="Arial" w:hAnsi="Arial" w:cs="Arial" w:eastAsiaTheme="minorEastAsia"/>
                <w:color w:val="000000"/>
                <w:sz w:val="18"/>
                <w:szCs w:val="18"/>
              </w:rPr>
              <w:instrText xml:space="preserve"> = sum(D2:D6) \* MERGEFORMAT </w:instrText>
            </w:r>
            <w:r>
              <w:rPr>
                <w:rFonts w:ascii="Arial" w:hAnsi="Arial" w:cs="Arial" w:eastAsiaTheme="minorEastAsia"/>
                <w:color w:val="000000"/>
                <w:sz w:val="18"/>
                <w:szCs w:val="18"/>
              </w:rPr>
              <w:fldChar w:fldCharType="separate"/>
            </w:r>
            <w:r>
              <w:rPr>
                <w:rFonts w:ascii="Arial" w:hAnsi="Arial" w:cs="Arial" w:eastAsiaTheme="minorEastAsia"/>
                <w:color w:val="000000"/>
                <w:sz w:val="18"/>
                <w:szCs w:val="18"/>
              </w:rPr>
              <w:t>468163</w:t>
            </w:r>
            <w:r>
              <w:rPr>
                <w:rFonts w:ascii="Arial" w:hAnsi="Arial" w:cs="Arial" w:eastAsiaTheme="minorEastAsia"/>
                <w:color w:val="000000"/>
                <w:sz w:val="18"/>
                <w:szCs w:val="18"/>
              </w:rPr>
              <w:fldChar w:fldCharType="end"/>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fldChar w:fldCharType="begin"/>
            </w:r>
            <w:r>
              <w:rPr>
                <w:rFonts w:hint="eastAsia" w:ascii="Arial" w:hAnsi="Arial" w:cs="Arial" w:eastAsiaTheme="minorEastAsia"/>
                <w:color w:val="000000"/>
                <w:sz w:val="18"/>
                <w:szCs w:val="18"/>
              </w:rPr>
              <w:instrText xml:space="preserve"> = sum(E2:E6) \* MERGEFORMAT </w:instrText>
            </w:r>
            <w:r>
              <w:rPr>
                <w:rFonts w:hint="eastAsia" w:ascii="Arial" w:hAnsi="Arial" w:cs="Arial" w:eastAsiaTheme="minorEastAsia"/>
                <w:color w:val="000000"/>
                <w:sz w:val="18"/>
                <w:szCs w:val="18"/>
              </w:rPr>
              <w:fldChar w:fldCharType="separate"/>
            </w:r>
            <w:r>
              <w:rPr>
                <w:rFonts w:hint="eastAsia" w:ascii="Arial" w:hAnsi="Arial" w:cs="Arial" w:eastAsiaTheme="minorEastAsia"/>
                <w:color w:val="000000"/>
                <w:sz w:val="18"/>
                <w:szCs w:val="18"/>
              </w:rPr>
              <w:t>387847</w:t>
            </w:r>
            <w:r>
              <w:rPr>
                <w:rFonts w:hint="eastAsia" w:ascii="Arial" w:hAnsi="Arial" w:cs="Arial" w:eastAsiaTheme="minorEastAsia"/>
                <w:color w:val="000000"/>
                <w:sz w:val="18"/>
                <w:szCs w:val="18"/>
              </w:rPr>
              <w:fldChar w:fldCharType="end"/>
            </w:r>
          </w:p>
        </w:tc>
        <w:tc>
          <w:tcPr>
            <w:tcW w:w="1213"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fldChar w:fldCharType="begin"/>
            </w:r>
            <w:r>
              <w:rPr>
                <w:rFonts w:ascii="Arial" w:hAnsi="Arial" w:cs="Arial" w:eastAsiaTheme="minorEastAsia"/>
                <w:color w:val="000000"/>
                <w:sz w:val="18"/>
                <w:szCs w:val="18"/>
              </w:rPr>
              <w:instrText xml:space="preserve"> = sum(E2:E6) \* MERGEFORMAT </w:instrText>
            </w:r>
            <w:r>
              <w:rPr>
                <w:rFonts w:ascii="Arial" w:hAnsi="Arial" w:cs="Arial" w:eastAsiaTheme="minorEastAsia"/>
                <w:color w:val="000000"/>
                <w:sz w:val="18"/>
                <w:szCs w:val="18"/>
              </w:rPr>
              <w:fldChar w:fldCharType="separate"/>
            </w:r>
            <w:r>
              <w:rPr>
                <w:rFonts w:ascii="Arial" w:hAnsi="Arial" w:cs="Arial" w:eastAsiaTheme="minorEastAsia"/>
                <w:color w:val="000000"/>
                <w:sz w:val="18"/>
                <w:szCs w:val="18"/>
              </w:rPr>
              <w:t>324034</w:t>
            </w:r>
            <w:r>
              <w:rPr>
                <w:rFonts w:ascii="Arial" w:hAnsi="Arial" w:cs="Arial" w:eastAsiaTheme="minorEastAsia"/>
                <w:color w:val="000000"/>
                <w:sz w:val="18"/>
                <w:szCs w:val="18"/>
              </w:rPr>
              <w:fldChar w:fldCharType="end"/>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490000</w:t>
            </w:r>
          </w:p>
        </w:tc>
        <w:tc>
          <w:tcPr>
            <w:tcW w:w="1310" w:type="dxa"/>
            <w:vAlign w:val="center"/>
          </w:tcPr>
          <w:p>
            <w:pPr>
              <w:jc w:val="center"/>
              <w:textAlignment w:val="center"/>
              <w:rPr>
                <w:rFonts w:ascii="Arial" w:hAnsi="Arial" w:cs="Arial" w:eastAsiaTheme="minorEastAsia"/>
                <w:color w:val="000000"/>
                <w:sz w:val="18"/>
                <w:szCs w:val="18"/>
              </w:rPr>
            </w:pPr>
          </w:p>
        </w:tc>
        <w:tc>
          <w:tcPr>
            <w:tcW w:w="1240" w:type="dxa"/>
            <w:vAlign w:val="center"/>
          </w:tcPr>
          <w:p>
            <w:pPr>
              <w:jc w:val="center"/>
              <w:textAlignment w:val="center"/>
              <w:rPr>
                <w:rFonts w:ascii="Arial" w:hAnsi="Arial" w:cs="Arial" w:eastAsiaTheme="minorEastAsia"/>
                <w:color w:val="000000"/>
                <w:sz w:val="18"/>
                <w:szCs w:val="18"/>
              </w:rPr>
            </w:pPr>
          </w:p>
        </w:tc>
      </w:tr>
    </w:tbl>
    <w:p>
      <w:pPr>
        <w:spacing w:line="480" w:lineRule="auto"/>
        <w:rPr>
          <w:rFonts w:ascii="Arial" w:hAnsi="Arial" w:cs="Arial" w:eastAsiaTheme="minorEastAsia"/>
          <w:kern w:val="0"/>
          <w:sz w:val="18"/>
          <w:szCs w:val="18"/>
        </w:rPr>
      </w:pPr>
      <w:r>
        <w:rPr>
          <w:rFonts w:ascii="Arial" w:hAnsi="Arial" w:cs="Arial" w:eastAsiaTheme="minorEastAsia"/>
          <w:kern w:val="0"/>
          <w:sz w:val="18"/>
          <w:szCs w:val="18"/>
        </w:rPr>
        <w:t>注：上述建筑面积</w:t>
      </w:r>
      <w:r>
        <w:rPr>
          <w:rFonts w:hint="eastAsia" w:ascii="Arial" w:hAnsi="Arial" w:cs="Arial" w:eastAsiaTheme="minorEastAsia"/>
          <w:kern w:val="0"/>
          <w:sz w:val="18"/>
          <w:szCs w:val="18"/>
        </w:rPr>
        <w:t>、</w:t>
      </w:r>
      <w:r>
        <w:rPr>
          <w:rFonts w:ascii="Arial" w:hAnsi="Arial" w:cs="Arial" w:eastAsiaTheme="minorEastAsia"/>
          <w:kern w:val="0"/>
          <w:sz w:val="18"/>
          <w:szCs w:val="18"/>
        </w:rPr>
        <w:t>计容面积</w:t>
      </w:r>
      <w:r>
        <w:rPr>
          <w:rFonts w:hint="eastAsia" w:ascii="Arial" w:hAnsi="Arial" w:cs="Arial" w:eastAsiaTheme="minorEastAsia"/>
          <w:kern w:val="0"/>
          <w:sz w:val="18"/>
          <w:szCs w:val="18"/>
        </w:rPr>
        <w:t>、</w:t>
      </w:r>
      <w:r>
        <w:rPr>
          <w:rFonts w:ascii="Arial" w:hAnsi="Arial" w:cs="Arial" w:eastAsiaTheme="minorEastAsia"/>
          <w:kern w:val="0"/>
          <w:sz w:val="18"/>
          <w:szCs w:val="18"/>
        </w:rPr>
        <w:t>可售面积</w:t>
      </w:r>
      <w:r>
        <w:rPr>
          <w:rFonts w:hint="eastAsia" w:ascii="Arial" w:hAnsi="Arial" w:cs="Arial" w:eastAsiaTheme="minorEastAsia"/>
          <w:kern w:val="0"/>
          <w:sz w:val="18"/>
          <w:szCs w:val="18"/>
        </w:rPr>
        <w:t>分期数据以项目公司2020年4月22日提报道诚基金的《项目全景开发计划》为依据，总货值分期数据</w:t>
      </w:r>
      <w:r>
        <w:rPr>
          <w:rFonts w:ascii="Arial" w:hAnsi="Arial" w:cs="Arial" w:eastAsiaTheme="minorEastAsia"/>
          <w:kern w:val="0"/>
          <w:sz w:val="18"/>
          <w:szCs w:val="18"/>
        </w:rPr>
        <w:t>以项目公司2020年3月18日提报道诚基金的《常州江南里项目目标成本（一期施工图版）》</w:t>
      </w:r>
      <w:r>
        <w:rPr>
          <w:rFonts w:hint="eastAsia" w:ascii="Arial" w:hAnsi="Arial" w:cs="Arial" w:eastAsiaTheme="minorEastAsia"/>
          <w:kern w:val="0"/>
          <w:sz w:val="18"/>
          <w:szCs w:val="18"/>
        </w:rPr>
        <w:t>为依据。</w:t>
      </w:r>
      <w:r>
        <w:rPr>
          <w:rFonts w:ascii="Arial" w:hAnsi="Arial" w:cs="Arial" w:eastAsiaTheme="minorEastAsia"/>
          <w:kern w:val="0"/>
          <w:sz w:val="18"/>
          <w:szCs w:val="18"/>
        </w:rPr>
        <w:t xml:space="preserve">     </w:t>
      </w:r>
    </w:p>
    <w:p>
      <w:pPr>
        <w:pStyle w:val="2"/>
        <w:keepNext w:val="0"/>
        <w:keepLines w:val="0"/>
        <w:spacing w:before="300" w:after="300" w:line="360" w:lineRule="exact"/>
        <w:jc w:val="left"/>
        <w:rPr>
          <w:rFonts w:ascii="Arial" w:hAnsi="Arial" w:cs="Arial"/>
        </w:rPr>
      </w:pPr>
      <w:bookmarkStart w:id="17" w:name="_Toc6895"/>
      <w:r>
        <w:rPr>
          <w:rFonts w:hint="eastAsia" w:ascii="Arial" w:hAnsi="Arial" w:cs="Arial"/>
          <w:color w:val="000000"/>
          <w:sz w:val="24"/>
          <w:szCs w:val="24"/>
        </w:rPr>
        <w:t>2</w:t>
      </w:r>
      <w:r>
        <w:rPr>
          <w:rFonts w:ascii="Arial" w:hAnsi="Arial" w:cs="Arial"/>
          <w:color w:val="000000"/>
          <w:sz w:val="24"/>
          <w:szCs w:val="24"/>
        </w:rPr>
        <w:t>重大事件披露</w:t>
      </w:r>
      <w:bookmarkEnd w:id="12"/>
      <w:bookmarkEnd w:id="13"/>
      <w:bookmarkEnd w:id="14"/>
      <w:bookmarkEnd w:id="15"/>
      <w:bookmarkEnd w:id="16"/>
      <w:bookmarkEnd w:id="17"/>
    </w:p>
    <w:p>
      <w:pPr>
        <w:spacing w:line="480" w:lineRule="auto"/>
        <w:ind w:firstLine="420" w:firstLineChars="200"/>
        <w:rPr>
          <w:rFonts w:ascii="Arial" w:hAnsi="Arial" w:cs="Arial"/>
        </w:rPr>
      </w:pPr>
      <w:r>
        <w:rPr>
          <w:rFonts w:ascii="Arial" w:hAnsi="Arial" w:cs="Arial"/>
        </w:rPr>
        <w:t>（1）2020年7月3日，项目公司支付给中电建路桥集团有限公司一期一标段土石方工程、地下室土建工程和安装工程、小高层土建工程和安装工程、小高层和地下室消防工程的进度款28,568,314.57元；</w:t>
      </w:r>
    </w:p>
    <w:p>
      <w:pPr>
        <w:spacing w:line="480" w:lineRule="auto"/>
        <w:ind w:firstLine="420" w:firstLineChars="200"/>
        <w:rPr>
          <w:rFonts w:ascii="Arial" w:hAnsi="Arial" w:cs="Arial" w:eastAsiaTheme="minorEastAsia"/>
        </w:rPr>
      </w:pPr>
      <w:r>
        <w:rPr>
          <w:rFonts w:ascii="Arial" w:hAnsi="Arial" w:cs="Arial"/>
        </w:rPr>
        <w:t>（2）2020年7月10日，项目公司取得三期43#</w:t>
      </w:r>
      <w:r>
        <w:rPr>
          <w:rFonts w:ascii="Arial" w:hAnsi="Arial" w:cs="Arial" w:eastAsiaTheme="minorEastAsia"/>
          <w:szCs w:val="21"/>
        </w:rPr>
        <w:t>商品房预售许可证【常武（2020）房预售证第（67）号）】，详见附件一；</w:t>
      </w:r>
    </w:p>
    <w:p>
      <w:pPr>
        <w:spacing w:line="480" w:lineRule="auto"/>
        <w:ind w:firstLine="420" w:firstLineChars="200"/>
        <w:rPr>
          <w:rFonts w:ascii="Arial" w:hAnsi="Arial" w:cs="Arial"/>
        </w:rPr>
      </w:pPr>
      <w:r>
        <w:rPr>
          <w:rFonts w:ascii="Arial" w:hAnsi="Arial" w:cs="Arial"/>
        </w:rPr>
        <w:t>（3）2020年7月10日，项目公司取得三期49#</w:t>
      </w:r>
      <w:r>
        <w:rPr>
          <w:rFonts w:ascii="Arial" w:hAnsi="Arial" w:cs="Arial" w:eastAsiaTheme="minorEastAsia"/>
          <w:szCs w:val="21"/>
        </w:rPr>
        <w:t>商品房预售许可证【常武（2020）房预售证第（68）号）】，详见附件一</w:t>
      </w:r>
      <w:r>
        <w:rPr>
          <w:rFonts w:ascii="Arial" w:hAnsi="Arial" w:cs="Arial"/>
        </w:rPr>
        <w:t>；</w:t>
      </w:r>
    </w:p>
    <w:p>
      <w:pPr>
        <w:spacing w:line="480" w:lineRule="auto"/>
        <w:ind w:firstLine="420" w:firstLineChars="200"/>
        <w:rPr>
          <w:rFonts w:ascii="Arial" w:hAnsi="Arial" w:cs="Arial" w:eastAsiaTheme="minorEastAsia"/>
          <w:szCs w:val="21"/>
        </w:rPr>
      </w:pPr>
      <w:r>
        <w:rPr>
          <w:rFonts w:ascii="Arial" w:hAnsi="Arial" w:cs="Arial"/>
        </w:rPr>
        <w:t>（4）</w:t>
      </w:r>
      <w:r>
        <w:rPr>
          <w:rFonts w:ascii="Arial" w:hAnsi="Arial" w:cs="Arial" w:eastAsiaTheme="minorEastAsia"/>
          <w:szCs w:val="21"/>
        </w:rPr>
        <w:t>2020年7月13日，项目公司归还诚盈三期借款150,000,000.00元；</w:t>
      </w:r>
    </w:p>
    <w:p>
      <w:pPr>
        <w:spacing w:line="480" w:lineRule="auto"/>
        <w:ind w:firstLine="420" w:firstLineChars="200"/>
        <w:rPr>
          <w:rFonts w:ascii="Arial" w:hAnsi="Arial" w:cs="Arial"/>
        </w:rPr>
      </w:pPr>
      <w:r>
        <w:rPr>
          <w:rFonts w:ascii="Arial" w:hAnsi="Arial" w:cs="Arial"/>
        </w:rPr>
        <w:t>（5）2020年7月27日，项目公司支付给上海中亚园林建设有限公司一期样板区景观工程进度款3,730,691.29元；</w:t>
      </w:r>
    </w:p>
    <w:p>
      <w:pPr>
        <w:spacing w:line="480" w:lineRule="auto"/>
        <w:ind w:firstLine="420" w:firstLineChars="200"/>
        <w:rPr>
          <w:rFonts w:ascii="Arial" w:hAnsi="Arial" w:cs="Arial"/>
        </w:rPr>
      </w:pPr>
      <w:r>
        <w:rPr>
          <w:rFonts w:ascii="Arial" w:hAnsi="Arial" w:cs="Arial"/>
        </w:rPr>
        <w:t>（6）2020年7月28日，项目公司取得二期48#</w:t>
      </w:r>
      <w:r>
        <w:rPr>
          <w:rFonts w:ascii="Arial" w:hAnsi="Arial" w:cs="Arial" w:eastAsiaTheme="minorEastAsia"/>
          <w:szCs w:val="21"/>
        </w:rPr>
        <w:t>商品房预售许可证【常武（2020）房预售证第（74）号）】，详见附件一</w:t>
      </w:r>
      <w:r>
        <w:rPr>
          <w:rFonts w:ascii="Arial" w:hAnsi="Arial" w:cs="Arial"/>
        </w:rPr>
        <w:t>；</w:t>
      </w:r>
    </w:p>
    <w:p>
      <w:pPr>
        <w:spacing w:line="480" w:lineRule="auto"/>
        <w:ind w:firstLine="420" w:firstLineChars="200"/>
        <w:rPr>
          <w:rFonts w:ascii="Arial" w:hAnsi="Arial" w:cs="Arial"/>
        </w:rPr>
      </w:pPr>
      <w:r>
        <w:rPr>
          <w:rFonts w:ascii="Arial" w:hAnsi="Arial" w:cs="Arial"/>
        </w:rPr>
        <w:t>（7）2020年7月23日，项目公司更换最新版的房地产开发企业暂定资质证书，有效期至2021年8月1日，详见附件二；</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（8）2020年7月30日，蓝城北方建设管理有限公司委派琚心华担任项目公司工程副总经理，原委派项目工程副总经理李永清因个人原因调离常州项目公司；</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 xml:space="preserve"> 以上事宜提请道诚（上海）股权投资基金管理有限公司予以关注。</w:t>
      </w:r>
    </w:p>
    <w:p>
      <w:pPr>
        <w:pStyle w:val="2"/>
        <w:keepNext w:val="0"/>
        <w:keepLines w:val="0"/>
        <w:spacing w:before="300" w:after="300" w:line="360" w:lineRule="exact"/>
        <w:jc w:val="left"/>
        <w:rPr>
          <w:rFonts w:ascii="Arial" w:hAnsi="Arial" w:cs="Arial"/>
        </w:rPr>
      </w:pPr>
      <w:bookmarkStart w:id="18" w:name="_Toc22768"/>
      <w:r>
        <w:rPr>
          <w:rFonts w:hint="eastAsia" w:ascii="Arial" w:hAnsi="Arial" w:cs="Arial"/>
          <w:color w:val="000000"/>
          <w:sz w:val="24"/>
          <w:szCs w:val="24"/>
        </w:rPr>
        <w:t>3</w:t>
      </w:r>
      <w:r>
        <w:rPr>
          <w:rFonts w:ascii="Arial" w:hAnsi="Arial" w:cs="Arial"/>
          <w:color w:val="000000"/>
          <w:sz w:val="24"/>
          <w:szCs w:val="24"/>
        </w:rPr>
        <w:t>工程进度</w:t>
      </w:r>
      <w:bookmarkEnd w:id="18"/>
    </w:p>
    <w:p>
      <w:pPr>
        <w:pStyle w:val="3"/>
        <w:keepNext w:val="0"/>
        <w:keepLines w:val="0"/>
        <w:spacing w:before="300" w:after="300" w:line="360" w:lineRule="exact"/>
        <w:jc w:val="left"/>
        <w:rPr>
          <w:rFonts w:eastAsia="宋体" w:cs="Arial"/>
          <w:sz w:val="24"/>
          <w:szCs w:val="24"/>
        </w:rPr>
      </w:pPr>
      <w:bookmarkStart w:id="19" w:name="_Toc21163"/>
      <w:bookmarkStart w:id="20" w:name="_Toc21090"/>
      <w:r>
        <w:rPr>
          <w:rFonts w:hint="eastAsia" w:eastAsia="宋体" w:cs="Arial"/>
          <w:sz w:val="24"/>
          <w:szCs w:val="24"/>
        </w:rPr>
        <w:t>3</w:t>
      </w:r>
      <w:r>
        <w:rPr>
          <w:rFonts w:eastAsia="宋体" w:cs="Arial"/>
          <w:sz w:val="24"/>
          <w:szCs w:val="24"/>
        </w:rPr>
        <w:t xml:space="preserve">.1  </w:t>
      </w:r>
      <w:r>
        <w:rPr>
          <w:rFonts w:cs="Arial" w:eastAsiaTheme="minorEastAsia"/>
          <w:kern w:val="44"/>
          <w:sz w:val="24"/>
          <w:szCs w:val="24"/>
        </w:rPr>
        <w:t>2020年7月项目现场情况</w:t>
      </w:r>
      <w:bookmarkEnd w:id="19"/>
      <w:bookmarkEnd w:id="20"/>
    </w:p>
    <w:p>
      <w:pPr>
        <w:spacing w:line="480" w:lineRule="auto"/>
        <w:ind w:firstLine="420" w:firstLineChars="200"/>
        <w:rPr>
          <w:rFonts w:ascii="Arial" w:hAnsi="Arial" w:cs="Arial"/>
          <w:szCs w:val="21"/>
        </w:rPr>
      </w:pPr>
      <w:r>
        <w:rPr>
          <w:rFonts w:ascii="Arial" w:hAnsi="Arial" w:cs="Arial"/>
          <w:szCs w:val="21"/>
        </w:rPr>
        <w:t>B地块项目一期一标段工程继续施工，39#楼样板间施工完毕，整改维修中；一期二标段继续施工，13#楼叠墅样板房墙面基层完成，3#楼合院样板房墙砖铺贴完成，叠墅13#楼屋面瓦铺设中，叠墅28#楼四层墙体砌筑完成，合院1#楼屋面瓦铺设中，合院2#楼门窗套安装完成，合院3#楼门窗套安装完成；二、三期工程继续施工，49#楼三层柱钢筋绑扎中，43#楼二层底板混凝土浇筑完成，38#楼地库底板钢筋绑扎中。</w:t>
      </w:r>
    </w:p>
    <w:p>
      <w:pPr>
        <w:spacing w:line="480" w:lineRule="auto"/>
        <w:ind w:firstLine="420" w:firstLineChars="200"/>
        <w:rPr>
          <w:rFonts w:ascii="Arial" w:hAnsi="Arial" w:cs="Arial"/>
          <w:szCs w:val="21"/>
        </w:rPr>
      </w:pPr>
      <w:r>
        <w:rPr>
          <w:rFonts w:ascii="Arial" w:hAnsi="Arial" w:cs="Arial"/>
          <w:szCs w:val="21"/>
        </w:rPr>
        <w:t>A地块内存在尚未拆迁房屋，现场围挡工程已经完工，现场管理人员办公区临时设施，工人生活区临时设施已施工完毕。</w:t>
      </w:r>
    </w:p>
    <w:p>
      <w:pPr>
        <w:spacing w:line="480" w:lineRule="auto"/>
        <w:ind w:firstLine="420" w:firstLineChars="200"/>
        <w:rPr>
          <w:rFonts w:ascii="Arial" w:hAnsi="Arial" w:cs="Arial"/>
          <w:szCs w:val="21"/>
        </w:rPr>
      </w:pPr>
      <w:r>
        <w:rPr>
          <w:rFonts w:ascii="Arial" w:hAnsi="Arial" w:cs="Arial"/>
          <w:szCs w:val="21"/>
        </w:rPr>
        <w:t>（转下页）</w:t>
      </w:r>
    </w:p>
    <w:p>
      <w:pPr>
        <w:spacing w:line="360" w:lineRule="auto"/>
        <w:rPr>
          <w:rFonts w:ascii="Arial" w:hAnsi="Arial" w:cs="Arial"/>
          <w:b/>
          <w:bCs/>
          <w:kern w:val="44"/>
          <w:szCs w:val="21"/>
        </w:rPr>
      </w:pPr>
      <w:r>
        <w:rPr>
          <w:rFonts w:ascii="Arial" w:hAnsi="Arial" w:cs="Arial"/>
          <w:szCs w:val="21"/>
        </w:rPr>
        <w:br w:type="page"/>
      </w:r>
      <w:bookmarkStart w:id="21" w:name="_Toc22949"/>
      <w:bookmarkStart w:id="22" w:name="_Toc18774"/>
      <w:bookmarkStart w:id="23" w:name="_Toc14087"/>
      <w:r>
        <w:rPr>
          <w:rFonts w:ascii="Arial" w:hAnsi="Arial" w:cs="Arial"/>
          <w:b/>
          <w:bCs/>
          <w:kern w:val="44"/>
          <w:szCs w:val="21"/>
        </w:rPr>
        <w:t>B地块现场照片</w:t>
      </w:r>
      <w:bookmarkEnd w:id="21"/>
      <w:bookmarkEnd w:id="22"/>
      <w:bookmarkEnd w:id="23"/>
    </w:p>
    <w:p>
      <w:pPr>
        <w:spacing w:line="360" w:lineRule="auto"/>
        <w:rPr>
          <w:rFonts w:ascii="Arial" w:hAnsi="Arial" w:cs="Arial" w:eastAsiaTheme="minorEastAsia"/>
          <w:b/>
          <w:color w:val="000000"/>
          <w:szCs w:val="21"/>
        </w:rPr>
      </w:pPr>
      <w:r>
        <w:rPr>
          <w:rFonts w:ascii="Arial" w:hAnsi="Arial" w:cs="Arial" w:eastAsiaTheme="minorEastAsia"/>
          <w:color w:val="000000"/>
          <w:sz w:val="18"/>
          <w:szCs w:val="18"/>
        </w:rPr>
        <w:drawing>
          <wp:inline distT="0" distB="0" distL="114300" distR="114300">
            <wp:extent cx="2691130" cy="2016125"/>
            <wp:effectExtent l="0" t="0" r="13970" b="3175"/>
            <wp:docPr id="38" name="图片 38" descr="08767d6f732f9717a00e92724b9a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8767d6f732f9717a00e92724b9ad42"/>
                    <pic:cNvPicPr>
                      <a:picLocks noChangeAspect="1"/>
                    </pic:cNvPicPr>
                  </pic:nvPicPr>
                  <pic:blipFill>
                    <a:blip r:embed="rId10"/>
                    <a:stretch>
                      <a:fillRect/>
                    </a:stretch>
                  </pic:blipFill>
                  <pic:spPr>
                    <a:xfrm>
                      <a:off x="0" y="0"/>
                      <a:ext cx="2691130" cy="2016125"/>
                    </a:xfrm>
                    <a:prstGeom prst="rect">
                      <a:avLst/>
                    </a:prstGeom>
                  </pic:spPr>
                </pic:pic>
              </a:graphicData>
            </a:graphic>
          </wp:inline>
        </w:drawing>
      </w:r>
      <w:r>
        <w:rPr>
          <w:rFonts w:ascii="Arial" w:hAnsi="Arial" w:cs="Arial" w:eastAsiaTheme="minorEastAsia"/>
          <w:color w:val="000000"/>
          <w:sz w:val="18"/>
          <w:szCs w:val="18"/>
        </w:rPr>
        <w:t xml:space="preserve">  </w:t>
      </w:r>
      <w:r>
        <w:rPr>
          <w:rFonts w:ascii="Arial" w:hAnsi="Arial" w:cs="Arial"/>
        </w:rPr>
        <w:drawing>
          <wp:inline distT="0" distB="0" distL="114300" distR="114300">
            <wp:extent cx="2687955" cy="2016125"/>
            <wp:effectExtent l="0" t="0" r="17145" b="3175"/>
            <wp:docPr id="27" name="图片 27" descr="0b78d3981e7a307c8c7d27f48504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b78d3981e7a307c8c7d27f4850453b"/>
                    <pic:cNvPicPr>
                      <a:picLocks noChangeAspect="1"/>
                    </pic:cNvPicPr>
                  </pic:nvPicPr>
                  <pic:blipFill>
                    <a:blip r:embed="rId11"/>
                    <a:stretch>
                      <a:fillRect/>
                    </a:stretch>
                  </pic:blipFill>
                  <pic:spPr>
                    <a:xfrm>
                      <a:off x="0" y="0"/>
                      <a:ext cx="2687955" cy="2016125"/>
                    </a:xfrm>
                    <a:prstGeom prst="rect">
                      <a:avLst/>
                    </a:prstGeom>
                  </pic:spPr>
                </pic:pic>
              </a:graphicData>
            </a:graphic>
          </wp:inline>
        </w:drawing>
      </w:r>
    </w:p>
    <w:p>
      <w:pPr>
        <w:spacing w:line="480" w:lineRule="auto"/>
        <w:rPr>
          <w:rFonts w:ascii="Arial" w:hAnsi="Arial" w:cs="Arial"/>
          <w:color w:val="000000"/>
          <w:sz w:val="18"/>
          <w:szCs w:val="18"/>
        </w:rPr>
      </w:pPr>
      <w:bookmarkStart w:id="24" w:name="_Toc23446"/>
      <w:bookmarkStart w:id="25" w:name="_Toc29345"/>
      <w:bookmarkStart w:id="26" w:name="_Toc3551"/>
      <w:r>
        <w:rPr>
          <w:rFonts w:ascii="Arial" w:hAnsi="Arial" w:cs="Arial"/>
          <w:sz w:val="18"/>
        </w:rPr>
        <w:t>1、项目现场地块概况                              2、</w:t>
      </w:r>
      <w:bookmarkEnd w:id="24"/>
      <w:bookmarkEnd w:id="25"/>
      <w:r>
        <w:rPr>
          <w:rFonts w:ascii="Arial" w:hAnsi="Arial" w:cs="Arial"/>
          <w:sz w:val="18"/>
        </w:rPr>
        <w:t>39#楼样板间施工完毕</w:t>
      </w:r>
      <w:bookmarkEnd w:id="26"/>
    </w:p>
    <w:p>
      <w:pPr>
        <w:spacing w:line="480" w:lineRule="auto"/>
        <w:rPr>
          <w:rFonts w:ascii="Arial" w:hAnsi="Arial" w:cs="Arial" w:eastAsiaTheme="minorEastAsia"/>
          <w:color w:val="000000"/>
          <w:sz w:val="18"/>
          <w:szCs w:val="18"/>
        </w:rPr>
      </w:pPr>
      <w:bookmarkStart w:id="27" w:name="_Toc29900"/>
    </w:p>
    <w:p>
      <w:pPr>
        <w:spacing w:line="480" w:lineRule="auto"/>
        <w:rPr>
          <w:rFonts w:ascii="Arial" w:hAnsi="Arial" w:cs="Arial" w:eastAsiaTheme="minorEastAsia"/>
          <w:color w:val="000000"/>
          <w:sz w:val="18"/>
          <w:szCs w:val="18"/>
        </w:rPr>
      </w:pPr>
      <w:bookmarkStart w:id="28" w:name="_Toc12001"/>
      <w:bookmarkStart w:id="29" w:name="_Toc23713"/>
      <w:r>
        <w:rPr>
          <w:rFonts w:ascii="Arial" w:hAnsi="Arial" w:cs="Arial" w:eastAsiaTheme="minorEastAsia"/>
          <w:color w:val="000000"/>
          <w:sz w:val="18"/>
          <w:szCs w:val="18"/>
        </w:rPr>
        <w:drawing>
          <wp:inline distT="0" distB="0" distL="114300" distR="114300">
            <wp:extent cx="2687955" cy="2016125"/>
            <wp:effectExtent l="0" t="0" r="17145" b="3175"/>
            <wp:docPr id="28" name="图片 28" descr="27ac726f57a4b2447a44bf01167b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7ac726f57a4b2447a44bf01167b47a"/>
                    <pic:cNvPicPr>
                      <a:picLocks noChangeAspect="1"/>
                    </pic:cNvPicPr>
                  </pic:nvPicPr>
                  <pic:blipFill>
                    <a:blip r:embed="rId12"/>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27"/>
      <w:bookmarkEnd w:id="28"/>
      <w:r>
        <w:rPr>
          <w:rFonts w:ascii="Arial" w:hAnsi="Arial" w:cs="Arial" w:eastAsiaTheme="minorEastAsia"/>
          <w:color w:val="000000"/>
          <w:sz w:val="18"/>
          <w:szCs w:val="18"/>
        </w:rPr>
        <w:drawing>
          <wp:inline distT="0" distB="0" distL="114300" distR="114300">
            <wp:extent cx="2687955" cy="2016125"/>
            <wp:effectExtent l="0" t="0" r="17145" b="3175"/>
            <wp:docPr id="29" name="图片 29" descr="938081b4f4f1d333f4759f9edddf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38081b4f4f1d333f4759f9edddf25f"/>
                    <pic:cNvPicPr>
                      <a:picLocks noChangeAspect="1"/>
                    </pic:cNvPicPr>
                  </pic:nvPicPr>
                  <pic:blipFill>
                    <a:blip r:embed="rId13"/>
                    <a:stretch>
                      <a:fillRect/>
                    </a:stretch>
                  </pic:blipFill>
                  <pic:spPr>
                    <a:xfrm>
                      <a:off x="0" y="0"/>
                      <a:ext cx="2687955" cy="2016125"/>
                    </a:xfrm>
                    <a:prstGeom prst="rect">
                      <a:avLst/>
                    </a:prstGeom>
                  </pic:spPr>
                </pic:pic>
              </a:graphicData>
            </a:graphic>
          </wp:inline>
        </w:drawing>
      </w:r>
      <w:bookmarkEnd w:id="29"/>
    </w:p>
    <w:p>
      <w:pPr>
        <w:tabs>
          <w:tab w:val="left" w:pos="5070"/>
        </w:tabs>
        <w:rPr>
          <w:rFonts w:ascii="Arial" w:hAnsi="Arial" w:cs="Arial"/>
          <w:sz w:val="18"/>
        </w:rPr>
      </w:pPr>
      <w:bookmarkStart w:id="30" w:name="_Toc18028"/>
      <w:bookmarkStart w:id="31" w:name="_Toc164"/>
      <w:r>
        <w:rPr>
          <w:rFonts w:ascii="Arial" w:hAnsi="Arial" w:cs="Arial"/>
          <w:sz w:val="18"/>
        </w:rPr>
        <w:t>3、3#楼合院样板房墙砖铺贴完成                    4、</w:t>
      </w:r>
      <w:bookmarkEnd w:id="30"/>
      <w:bookmarkEnd w:id="31"/>
      <w:r>
        <w:rPr>
          <w:rFonts w:ascii="Arial" w:hAnsi="Arial" w:cs="Arial"/>
          <w:sz w:val="18"/>
        </w:rPr>
        <w:t>13#楼叠墅样板房墙面基层完成</w:t>
      </w:r>
    </w:p>
    <w:p>
      <w:pPr>
        <w:spacing w:line="480" w:lineRule="auto"/>
        <w:rPr>
          <w:rFonts w:ascii="Arial" w:hAnsi="Arial" w:cs="Arial" w:eastAsiaTheme="minorEastAsia"/>
          <w:color w:val="000000"/>
          <w:sz w:val="18"/>
          <w:szCs w:val="18"/>
        </w:rPr>
      </w:pPr>
      <w:bookmarkStart w:id="32" w:name="_Toc17430"/>
    </w:p>
    <w:p>
      <w:pPr>
        <w:spacing w:line="480" w:lineRule="auto"/>
        <w:rPr>
          <w:rFonts w:ascii="Arial" w:hAnsi="Arial" w:cs="Arial" w:eastAsiaTheme="minorEastAsia"/>
          <w:color w:val="000000"/>
          <w:sz w:val="18"/>
          <w:szCs w:val="18"/>
        </w:rPr>
      </w:pPr>
      <w:bookmarkStart w:id="33" w:name="_Toc7621"/>
      <w:bookmarkStart w:id="34" w:name="_Toc14782"/>
      <w:r>
        <w:rPr>
          <w:rFonts w:ascii="Arial" w:hAnsi="Arial" w:cs="Arial" w:eastAsiaTheme="minorEastAsia"/>
          <w:color w:val="000000"/>
          <w:sz w:val="18"/>
          <w:szCs w:val="18"/>
        </w:rPr>
        <w:drawing>
          <wp:inline distT="0" distB="0" distL="114300" distR="114300">
            <wp:extent cx="2687955" cy="2016125"/>
            <wp:effectExtent l="0" t="0" r="17145" b="3175"/>
            <wp:docPr id="30" name="图片 30" descr="8105c69220a79bfce5885c7a9648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105c69220a79bfce5885c7a96486ce"/>
                    <pic:cNvPicPr>
                      <a:picLocks noChangeAspect="1"/>
                    </pic:cNvPicPr>
                  </pic:nvPicPr>
                  <pic:blipFill>
                    <a:blip r:embed="rId14"/>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32"/>
      <w:bookmarkEnd w:id="33"/>
      <w:r>
        <w:rPr>
          <w:rFonts w:ascii="Arial" w:hAnsi="Arial" w:cs="Arial" w:eastAsiaTheme="minorEastAsia"/>
          <w:color w:val="000000"/>
          <w:sz w:val="18"/>
          <w:szCs w:val="18"/>
        </w:rPr>
        <w:t xml:space="preserve"> </w:t>
      </w:r>
      <w:r>
        <w:rPr>
          <w:rFonts w:ascii="Arial" w:hAnsi="Arial" w:cs="Arial" w:eastAsiaTheme="minorEastAsia"/>
          <w:color w:val="000000"/>
          <w:sz w:val="18"/>
          <w:szCs w:val="18"/>
        </w:rPr>
        <w:drawing>
          <wp:inline distT="0" distB="0" distL="114300" distR="114300">
            <wp:extent cx="2698750" cy="2016125"/>
            <wp:effectExtent l="0" t="0" r="6350" b="3175"/>
            <wp:docPr id="31" name="图片 31" descr="71da484c27772796a16af173b94b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1da484c27772796a16af173b94b560"/>
                    <pic:cNvPicPr>
                      <a:picLocks noChangeAspect="1"/>
                    </pic:cNvPicPr>
                  </pic:nvPicPr>
                  <pic:blipFill>
                    <a:blip r:embed="rId15"/>
                    <a:stretch>
                      <a:fillRect/>
                    </a:stretch>
                  </pic:blipFill>
                  <pic:spPr>
                    <a:xfrm>
                      <a:off x="0" y="0"/>
                      <a:ext cx="2698750" cy="2016125"/>
                    </a:xfrm>
                    <a:prstGeom prst="rect">
                      <a:avLst/>
                    </a:prstGeom>
                  </pic:spPr>
                </pic:pic>
              </a:graphicData>
            </a:graphic>
          </wp:inline>
        </w:drawing>
      </w:r>
      <w:bookmarkEnd w:id="34"/>
    </w:p>
    <w:p>
      <w:pPr>
        <w:tabs>
          <w:tab w:val="left" w:pos="5070"/>
        </w:tabs>
        <w:rPr>
          <w:rFonts w:ascii="Arial" w:hAnsi="Arial" w:cs="Arial"/>
          <w:sz w:val="18"/>
        </w:rPr>
      </w:pPr>
      <w:bookmarkStart w:id="35" w:name="_Toc17067"/>
      <w:bookmarkStart w:id="36" w:name="_Toc15966"/>
      <w:r>
        <w:rPr>
          <w:rFonts w:ascii="Arial" w:hAnsi="Arial" w:cs="Arial"/>
          <w:sz w:val="18"/>
        </w:rPr>
        <w:t>5、13#楼屋面瓦铺设中                             6、</w:t>
      </w:r>
      <w:bookmarkEnd w:id="35"/>
      <w:bookmarkEnd w:id="36"/>
      <w:r>
        <w:rPr>
          <w:rFonts w:ascii="Arial" w:hAnsi="Arial" w:cs="Arial"/>
          <w:sz w:val="18"/>
        </w:rPr>
        <w:t>28#楼四层墙体砌筑完成</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r>
        <w:rPr>
          <w:rFonts w:ascii="Arial" w:hAnsi="Arial" w:cs="Arial" w:eastAsiaTheme="minorEastAsia"/>
          <w:color w:val="000000"/>
          <w:szCs w:val="21"/>
        </w:rPr>
        <w:t>(转下页)</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p>
    <w:p>
      <w:pPr>
        <w:spacing w:line="360" w:lineRule="auto"/>
        <w:rPr>
          <w:rFonts w:ascii="Arial" w:hAnsi="Arial" w:cs="Arial" w:eastAsiaTheme="minorEastAsia"/>
          <w:b/>
          <w:color w:val="000000"/>
          <w:szCs w:val="21"/>
        </w:rPr>
      </w:pPr>
      <w:bookmarkStart w:id="37" w:name="_Toc21457"/>
      <w:bookmarkStart w:id="38" w:name="_Toc12966"/>
      <w:bookmarkStart w:id="39" w:name="_Toc25390"/>
      <w:r>
        <w:rPr>
          <w:rFonts w:ascii="Arial" w:hAnsi="Arial" w:cs="Arial" w:eastAsiaTheme="minorEastAsia"/>
          <w:b/>
          <w:color w:val="000000"/>
          <w:szCs w:val="21"/>
        </w:rPr>
        <w:t>B地块现场照片</w:t>
      </w:r>
      <w:bookmarkEnd w:id="37"/>
      <w:bookmarkEnd w:id="38"/>
      <w:bookmarkEnd w:id="39"/>
    </w:p>
    <w:p>
      <w:pPr>
        <w:spacing w:line="360" w:lineRule="auto"/>
        <w:rPr>
          <w:rFonts w:ascii="Arial" w:hAnsi="Arial" w:cs="Arial" w:eastAsiaTheme="minorEastAsia"/>
          <w:b/>
          <w:color w:val="000000"/>
          <w:szCs w:val="21"/>
        </w:rPr>
      </w:pPr>
    </w:p>
    <w:p>
      <w:pPr>
        <w:spacing w:line="480" w:lineRule="auto"/>
        <w:rPr>
          <w:rFonts w:ascii="Arial" w:hAnsi="Arial" w:cs="Arial" w:eastAsiaTheme="minorEastAsia"/>
          <w:color w:val="000000"/>
          <w:sz w:val="18"/>
          <w:szCs w:val="18"/>
        </w:rPr>
      </w:pPr>
      <w:bookmarkStart w:id="40" w:name="_Toc26676"/>
      <w:bookmarkStart w:id="41" w:name="_Toc7794"/>
      <w:bookmarkStart w:id="42" w:name="_Toc3509"/>
      <w:r>
        <w:rPr>
          <w:rFonts w:ascii="Arial" w:hAnsi="Arial" w:cs="Arial" w:eastAsiaTheme="minorEastAsia"/>
          <w:color w:val="000000"/>
          <w:sz w:val="18"/>
          <w:szCs w:val="18"/>
        </w:rPr>
        <w:drawing>
          <wp:inline distT="0" distB="0" distL="114300" distR="114300">
            <wp:extent cx="2687955" cy="2016125"/>
            <wp:effectExtent l="0" t="0" r="17145" b="3175"/>
            <wp:docPr id="32" name="图片 32" descr="6238242f4be869df7500ab0d989a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238242f4be869df7500ab0d989ac1e"/>
                    <pic:cNvPicPr>
                      <a:picLocks noChangeAspect="1"/>
                    </pic:cNvPicPr>
                  </pic:nvPicPr>
                  <pic:blipFill>
                    <a:blip r:embed="rId16"/>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40"/>
      <w:bookmarkEnd w:id="41"/>
      <w:r>
        <w:rPr>
          <w:rFonts w:ascii="Arial" w:hAnsi="Arial" w:cs="Arial" w:eastAsiaTheme="minorEastAsia"/>
          <w:color w:val="000000"/>
          <w:sz w:val="18"/>
          <w:szCs w:val="18"/>
        </w:rPr>
        <w:drawing>
          <wp:inline distT="0" distB="0" distL="114300" distR="114300">
            <wp:extent cx="2693035" cy="2016125"/>
            <wp:effectExtent l="0" t="0" r="12065" b="3175"/>
            <wp:docPr id="33" name="图片 33" descr="14bd9a1f6a33b007304d32248e16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bd9a1f6a33b007304d32248e16c30"/>
                    <pic:cNvPicPr>
                      <a:picLocks noChangeAspect="1"/>
                    </pic:cNvPicPr>
                  </pic:nvPicPr>
                  <pic:blipFill>
                    <a:blip r:embed="rId17"/>
                    <a:stretch>
                      <a:fillRect/>
                    </a:stretch>
                  </pic:blipFill>
                  <pic:spPr>
                    <a:xfrm>
                      <a:off x="0" y="0"/>
                      <a:ext cx="2693035" cy="2016125"/>
                    </a:xfrm>
                    <a:prstGeom prst="rect">
                      <a:avLst/>
                    </a:prstGeom>
                  </pic:spPr>
                </pic:pic>
              </a:graphicData>
            </a:graphic>
          </wp:inline>
        </w:drawing>
      </w:r>
      <w:bookmarkEnd w:id="42"/>
    </w:p>
    <w:p>
      <w:pPr>
        <w:tabs>
          <w:tab w:val="left" w:pos="5070"/>
        </w:tabs>
        <w:rPr>
          <w:rFonts w:ascii="Arial" w:hAnsi="Arial" w:cs="Arial"/>
          <w:sz w:val="18"/>
        </w:rPr>
      </w:pPr>
      <w:bookmarkStart w:id="43" w:name="_Toc15089"/>
      <w:bookmarkStart w:id="44" w:name="_Toc7416"/>
      <w:r>
        <w:rPr>
          <w:rFonts w:ascii="Arial" w:hAnsi="Arial" w:cs="Arial"/>
          <w:sz w:val="18"/>
        </w:rPr>
        <w:t>7、合院1#楼屋面瓦铺设中                          8、合院2#</w:t>
      </w:r>
      <w:bookmarkEnd w:id="43"/>
      <w:r>
        <w:rPr>
          <w:rFonts w:ascii="Arial" w:hAnsi="Arial" w:cs="Arial"/>
          <w:sz w:val="18"/>
        </w:rPr>
        <w:t>楼</w:t>
      </w:r>
      <w:bookmarkEnd w:id="44"/>
      <w:r>
        <w:rPr>
          <w:rFonts w:ascii="Arial" w:hAnsi="Arial" w:cs="Arial"/>
          <w:sz w:val="18"/>
        </w:rPr>
        <w:t>门窗套安装完成</w:t>
      </w:r>
    </w:p>
    <w:p>
      <w:pPr>
        <w:spacing w:line="480" w:lineRule="auto"/>
        <w:rPr>
          <w:rFonts w:ascii="Arial" w:hAnsi="Arial" w:cs="Arial" w:eastAsiaTheme="minorEastAsia"/>
          <w:color w:val="000000"/>
          <w:sz w:val="18"/>
          <w:szCs w:val="18"/>
        </w:rPr>
      </w:pPr>
      <w:bookmarkStart w:id="45" w:name="_Toc3219"/>
    </w:p>
    <w:p>
      <w:pPr>
        <w:spacing w:line="480" w:lineRule="auto"/>
        <w:rPr>
          <w:rFonts w:ascii="Arial" w:hAnsi="Arial" w:cs="Arial" w:eastAsiaTheme="minorEastAsia"/>
          <w:color w:val="000000"/>
          <w:sz w:val="18"/>
          <w:szCs w:val="18"/>
        </w:rPr>
      </w:pPr>
      <w:bookmarkStart w:id="46" w:name="_Toc22892"/>
      <w:bookmarkStart w:id="47" w:name="_Toc7692"/>
      <w:r>
        <w:rPr>
          <w:rFonts w:ascii="Arial" w:hAnsi="Arial" w:cs="Arial" w:eastAsiaTheme="minorEastAsia"/>
          <w:color w:val="000000"/>
          <w:sz w:val="18"/>
          <w:szCs w:val="18"/>
        </w:rPr>
        <w:drawing>
          <wp:inline distT="0" distB="0" distL="114300" distR="114300">
            <wp:extent cx="2687955" cy="2016125"/>
            <wp:effectExtent l="0" t="0" r="17145" b="3175"/>
            <wp:docPr id="34" name="图片 34" descr="87a04ddc3195afb47ba2603cecc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7a04ddc3195afb47ba2603cecc9286"/>
                    <pic:cNvPicPr>
                      <a:picLocks noChangeAspect="1"/>
                    </pic:cNvPicPr>
                  </pic:nvPicPr>
                  <pic:blipFill>
                    <a:blip r:embed="rId18"/>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45"/>
      <w:bookmarkEnd w:id="46"/>
      <w:r>
        <w:rPr>
          <w:rFonts w:ascii="Arial" w:hAnsi="Arial" w:cs="Arial" w:eastAsiaTheme="minorEastAsia"/>
          <w:color w:val="000000"/>
          <w:sz w:val="18"/>
          <w:szCs w:val="18"/>
        </w:rPr>
        <w:drawing>
          <wp:inline distT="0" distB="0" distL="114300" distR="114300">
            <wp:extent cx="2688590" cy="2016125"/>
            <wp:effectExtent l="0" t="0" r="16510" b="3175"/>
            <wp:docPr id="35" name="图片 35" descr="9e1ef2a3f30924a24fbd2f0e9152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e1ef2a3f30924a24fbd2f0e91522ef"/>
                    <pic:cNvPicPr>
                      <a:picLocks noChangeAspect="1"/>
                    </pic:cNvPicPr>
                  </pic:nvPicPr>
                  <pic:blipFill>
                    <a:blip r:embed="rId19"/>
                    <a:stretch>
                      <a:fillRect/>
                    </a:stretch>
                  </pic:blipFill>
                  <pic:spPr>
                    <a:xfrm>
                      <a:off x="0" y="0"/>
                      <a:ext cx="2688590" cy="2016125"/>
                    </a:xfrm>
                    <a:prstGeom prst="rect">
                      <a:avLst/>
                    </a:prstGeom>
                  </pic:spPr>
                </pic:pic>
              </a:graphicData>
            </a:graphic>
          </wp:inline>
        </w:drawing>
      </w:r>
      <w:bookmarkEnd w:id="47"/>
    </w:p>
    <w:p>
      <w:pPr>
        <w:tabs>
          <w:tab w:val="left" w:pos="5070"/>
        </w:tabs>
        <w:rPr>
          <w:rFonts w:ascii="Arial" w:hAnsi="Arial" w:cs="Arial"/>
          <w:sz w:val="18"/>
        </w:rPr>
      </w:pPr>
      <w:bookmarkStart w:id="48" w:name="_Toc10621"/>
      <w:bookmarkStart w:id="49" w:name="_Toc14155"/>
      <w:r>
        <w:rPr>
          <w:rFonts w:ascii="Arial" w:hAnsi="Arial" w:cs="Arial"/>
          <w:sz w:val="18"/>
        </w:rPr>
        <w:t>9、合院3#楼门窗套安装完成                       10、</w:t>
      </w:r>
      <w:bookmarkEnd w:id="48"/>
      <w:bookmarkEnd w:id="49"/>
      <w:r>
        <w:rPr>
          <w:rFonts w:ascii="Arial" w:hAnsi="Arial" w:cs="Arial"/>
          <w:sz w:val="18"/>
        </w:rPr>
        <w:t>49#楼三层柱钢筋绑扎中</w:t>
      </w:r>
    </w:p>
    <w:p>
      <w:pPr>
        <w:spacing w:line="480" w:lineRule="auto"/>
        <w:rPr>
          <w:rFonts w:ascii="Arial" w:hAnsi="Arial" w:cs="Arial" w:eastAsiaTheme="minorEastAsia"/>
          <w:color w:val="000000"/>
          <w:sz w:val="18"/>
          <w:szCs w:val="18"/>
        </w:rPr>
      </w:pPr>
    </w:p>
    <w:p>
      <w:pPr>
        <w:widowControl/>
        <w:spacing w:line="480" w:lineRule="auto"/>
        <w:rPr>
          <w:rFonts w:ascii="Arial" w:hAnsi="Arial" w:cs="Arial" w:eastAsiaTheme="minorEastAsia"/>
          <w:color w:val="000000"/>
          <w:sz w:val="18"/>
          <w:szCs w:val="18"/>
        </w:rPr>
      </w:pPr>
      <w:r>
        <w:rPr>
          <w:rFonts w:ascii="Arial" w:hAnsi="Arial" w:cs="Arial" w:eastAsiaTheme="minorEastAsia"/>
          <w:color w:val="000000"/>
          <w:sz w:val="18"/>
          <w:szCs w:val="18"/>
        </w:rPr>
        <w:drawing>
          <wp:inline distT="0" distB="0" distL="114300" distR="114300">
            <wp:extent cx="2688590" cy="2016125"/>
            <wp:effectExtent l="0" t="0" r="16510" b="3175"/>
            <wp:docPr id="36" name="图片 36" descr="496af89c913473d6bffb772bc7df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96af89c913473d6bffb772bc7dfdea"/>
                    <pic:cNvPicPr>
                      <a:picLocks noChangeAspect="1"/>
                    </pic:cNvPicPr>
                  </pic:nvPicPr>
                  <pic:blipFill>
                    <a:blip r:embed="rId20"/>
                    <a:stretch>
                      <a:fillRect/>
                    </a:stretch>
                  </pic:blipFill>
                  <pic:spPr>
                    <a:xfrm>
                      <a:off x="0" y="0"/>
                      <a:ext cx="2688590" cy="2016125"/>
                    </a:xfrm>
                    <a:prstGeom prst="rect">
                      <a:avLst/>
                    </a:prstGeom>
                  </pic:spPr>
                </pic:pic>
              </a:graphicData>
            </a:graphic>
          </wp:inline>
        </w:drawing>
      </w:r>
      <w:r>
        <w:rPr>
          <w:rFonts w:ascii="Arial" w:hAnsi="Arial" w:cs="Arial" w:eastAsiaTheme="minorEastAsia"/>
          <w:color w:val="000000"/>
          <w:sz w:val="18"/>
          <w:szCs w:val="18"/>
        </w:rPr>
        <w:t xml:space="preserve">  </w:t>
      </w:r>
      <w:r>
        <w:rPr>
          <w:rFonts w:ascii="Arial" w:hAnsi="Arial" w:cs="Arial" w:eastAsiaTheme="minorEastAsia"/>
          <w:color w:val="000000"/>
          <w:sz w:val="18"/>
          <w:szCs w:val="18"/>
        </w:rPr>
        <w:drawing>
          <wp:inline distT="0" distB="0" distL="114300" distR="114300">
            <wp:extent cx="2688590" cy="2016125"/>
            <wp:effectExtent l="0" t="0" r="16510" b="3175"/>
            <wp:docPr id="37" name="图片 37" descr="0d28572eec9adda677febc1cef23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d28572eec9adda677febc1cef23f21"/>
                    <pic:cNvPicPr>
                      <a:picLocks noChangeAspect="1"/>
                    </pic:cNvPicPr>
                  </pic:nvPicPr>
                  <pic:blipFill>
                    <a:blip r:embed="rId21"/>
                    <a:stretch>
                      <a:fillRect/>
                    </a:stretch>
                  </pic:blipFill>
                  <pic:spPr>
                    <a:xfrm>
                      <a:off x="0" y="0"/>
                      <a:ext cx="2688590" cy="2016125"/>
                    </a:xfrm>
                    <a:prstGeom prst="rect">
                      <a:avLst/>
                    </a:prstGeom>
                  </pic:spPr>
                </pic:pic>
              </a:graphicData>
            </a:graphic>
          </wp:inline>
        </w:drawing>
      </w:r>
    </w:p>
    <w:p>
      <w:pPr>
        <w:tabs>
          <w:tab w:val="left" w:pos="5070"/>
        </w:tabs>
        <w:rPr>
          <w:rFonts w:ascii="Arial" w:hAnsi="Arial" w:cs="Arial"/>
          <w:sz w:val="18"/>
        </w:rPr>
      </w:pPr>
      <w:bookmarkStart w:id="50" w:name="_Toc3900"/>
      <w:bookmarkStart w:id="51" w:name="_Toc431"/>
      <w:r>
        <w:rPr>
          <w:rFonts w:ascii="Arial" w:hAnsi="Arial" w:cs="Arial"/>
          <w:sz w:val="18"/>
        </w:rPr>
        <w:t>11、43#楼二层底板混凝土浇筑完成                  12、</w:t>
      </w:r>
      <w:bookmarkEnd w:id="50"/>
      <w:bookmarkEnd w:id="51"/>
      <w:r>
        <w:rPr>
          <w:rFonts w:ascii="Arial" w:hAnsi="Arial" w:cs="Arial"/>
          <w:sz w:val="18"/>
        </w:rPr>
        <w:t>38#楼地库底板钢筋绑扎中</w:t>
      </w:r>
    </w:p>
    <w:p>
      <w:pPr>
        <w:spacing w:line="480" w:lineRule="auto"/>
        <w:jc w:val="left"/>
        <w:rPr>
          <w:rFonts w:ascii="Arial" w:hAnsi="Arial" w:cs="Arial" w:eastAsiaTheme="minorEastAsia"/>
          <w:kern w:val="44"/>
          <w:sz w:val="24"/>
        </w:rPr>
      </w:pPr>
    </w:p>
    <w:p>
      <w:pPr>
        <w:spacing w:line="480" w:lineRule="auto"/>
        <w:rPr>
          <w:rFonts w:ascii="Arial" w:hAnsi="Arial" w:cs="Arial"/>
          <w:szCs w:val="21"/>
        </w:rPr>
      </w:pPr>
    </w:p>
    <w:p>
      <w:pPr>
        <w:pStyle w:val="3"/>
        <w:keepNext w:val="0"/>
        <w:keepLines w:val="0"/>
        <w:spacing w:before="300" w:after="300" w:line="360" w:lineRule="exact"/>
        <w:jc w:val="left"/>
        <w:rPr>
          <w:rFonts w:eastAsia="宋体" w:cs="Arial"/>
          <w:sz w:val="24"/>
          <w:szCs w:val="24"/>
        </w:rPr>
      </w:pPr>
      <w:bookmarkStart w:id="52" w:name="_Toc18518"/>
      <w:r>
        <w:rPr>
          <w:rFonts w:hint="eastAsia" w:eastAsia="宋体" w:cs="Arial"/>
          <w:sz w:val="24"/>
          <w:szCs w:val="24"/>
        </w:rPr>
        <w:t>3</w:t>
      </w:r>
      <w:r>
        <w:rPr>
          <w:rFonts w:eastAsia="宋体" w:cs="Arial"/>
          <w:sz w:val="24"/>
          <w:szCs w:val="24"/>
        </w:rPr>
        <w:t>.2证照办理情况说明</w:t>
      </w:r>
      <w:bookmarkEnd w:id="52"/>
    </w:p>
    <w:p>
      <w:pPr>
        <w:spacing w:before="240" w:beforeLines="100"/>
        <w:jc w:val="center"/>
        <w:rPr>
          <w:rFonts w:ascii="Arial" w:hAnsi="Arial" w:cs="Arial"/>
          <w:b/>
          <w:color w:val="000000"/>
          <w:sz w:val="24"/>
        </w:rPr>
      </w:pPr>
      <w:bookmarkStart w:id="53" w:name="_Toc13681"/>
      <w:bookmarkStart w:id="54" w:name="_Toc22226"/>
      <w:r>
        <w:rPr>
          <w:rFonts w:ascii="Arial" w:hAnsi="Arial" w:cs="Arial"/>
          <w:b/>
          <w:color w:val="000000"/>
          <w:sz w:val="24"/>
        </w:rPr>
        <w:t>证照办理计划及进度表</w:t>
      </w:r>
      <w:bookmarkEnd w:id="53"/>
      <w:bookmarkEnd w:id="54"/>
    </w:p>
    <w:tbl>
      <w:tblPr>
        <w:tblStyle w:val="13"/>
        <w:tblW w:w="9584" w:type="dxa"/>
        <w:jc w:val="center"/>
        <w:tblLayout w:type="fixed"/>
        <w:tblCellMar>
          <w:top w:w="0" w:type="dxa"/>
          <w:left w:w="0" w:type="dxa"/>
          <w:bottom w:w="0" w:type="dxa"/>
          <w:right w:w="0" w:type="dxa"/>
        </w:tblCellMar>
      </w:tblPr>
      <w:tblGrid>
        <w:gridCol w:w="1836"/>
        <w:gridCol w:w="687"/>
        <w:gridCol w:w="1703"/>
        <w:gridCol w:w="1814"/>
        <w:gridCol w:w="3544"/>
      </w:tblGrid>
      <w:tr>
        <w:tblPrEx>
          <w:tblCellMar>
            <w:top w:w="0" w:type="dxa"/>
            <w:left w:w="0" w:type="dxa"/>
            <w:bottom w:w="0" w:type="dxa"/>
            <w:right w:w="0" w:type="dxa"/>
          </w:tblCellMar>
        </w:tblPrEx>
        <w:trPr>
          <w:trHeight w:val="285" w:hRule="atLeast"/>
          <w:tblHeader/>
          <w:jc w:val="center"/>
        </w:trPr>
        <w:tc>
          <w:tcPr>
            <w:tcW w:w="4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五证</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计划进度</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实际进度</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A、B地块《国有土地使用证》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A地块：2013年5月6日已取得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B地块：2017年9月7日换发《不动产权证书》完成</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A、B地块《建设用地规划许可证》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A地块：尚未取得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B地块：2017年4月21日已取得</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《建设工程规划许可证》</w:t>
            </w:r>
          </w:p>
        </w:tc>
        <w:tc>
          <w:tcPr>
            <w:tcW w:w="23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2017年10月13日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一期：2018年9月12日已取得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二、三期：2020年1月7日已取得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《建筑工程施工许可证》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w:t>
            </w:r>
          </w:p>
        </w:tc>
        <w:tc>
          <w:tcPr>
            <w:tcW w:w="181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2019年6月10日-2019年6月12日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一期一标段：2019年6月6日已取得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一期二标段第一批：2019年9月29日已取得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一期二标段第二批：2019年11月1日已取得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2020年4月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二、三期：2020年4月20日已取得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《商品房预售许可证》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2019年10月10日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一期一标段39#楼：2019年9月12日已取得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一期一标段44#楼：2019年9月19日已取得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一期一标段40#、45#楼：2019年9月30日已取得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2020年7月14日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一期二标段1#-7#、13#-15#、18#、19#、22#-24#、28#-31#：2020年6月17日已取得</w:t>
            </w:r>
          </w:p>
        </w:tc>
      </w:tr>
      <w:tr>
        <w:tblPrEx>
          <w:tblCellMar>
            <w:top w:w="0" w:type="dxa"/>
            <w:left w:w="0" w:type="dxa"/>
            <w:bottom w:w="0" w:type="dxa"/>
            <w:right w:w="0" w:type="dxa"/>
          </w:tblCellMar>
        </w:tblPrEx>
        <w:trPr>
          <w:trHeight w:val="450"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二期（42#楼）、三期（43#、49#楼）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三期（43#、49#楼）：2020年7月10日已取得；二期48#：2020年7月28日已取得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二期（14#、46#楼）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2020年9月25日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bl>
    <w:p>
      <w:pPr>
        <w:adjustRightInd w:val="0"/>
        <w:snapToGrid w:val="0"/>
        <w:rPr>
          <w:rFonts w:ascii="Arial" w:hAnsi="Arial" w:cs="Arial" w:eastAsiaTheme="minorEastAsia"/>
          <w:kern w:val="0"/>
          <w:sz w:val="18"/>
          <w:szCs w:val="18"/>
        </w:rPr>
      </w:pPr>
      <w:r>
        <w:rPr>
          <w:rFonts w:ascii="Arial" w:hAnsi="Arial" w:cs="Arial" w:eastAsiaTheme="minorEastAsia"/>
          <w:kern w:val="0"/>
          <w:sz w:val="18"/>
          <w:szCs w:val="18"/>
        </w:rPr>
        <w:t>注：</w:t>
      </w:r>
      <w:r>
        <w:rPr>
          <w:rFonts w:ascii="Arial" w:hAnsi="Arial" w:cs="Arial" w:eastAsiaTheme="minorEastAsia"/>
          <w:color w:val="000000"/>
          <w:sz w:val="18"/>
          <w:szCs w:val="18"/>
        </w:rPr>
        <w:t>各证照的</w:t>
      </w:r>
      <w:r>
        <w:rPr>
          <w:rFonts w:ascii="Arial" w:hAnsi="Arial" w:cs="Arial" w:eastAsiaTheme="minorEastAsia"/>
          <w:kern w:val="0"/>
          <w:sz w:val="18"/>
          <w:szCs w:val="18"/>
        </w:rPr>
        <w:t>计划取得进度以项目公司2017年9月18日、2017年12月5日提报道诚基金的《项目总体开发计划》2019年5月24日提报道诚基金的《项目2019年度工程开发计划》及2020年1月13日提报道诚基金的《2020年度项目开发计划》为依据。</w:t>
      </w:r>
    </w:p>
    <w:bookmarkEnd w:id="9"/>
    <w:p>
      <w:pPr>
        <w:pStyle w:val="2"/>
        <w:keepNext w:val="0"/>
        <w:keepLines w:val="0"/>
        <w:spacing w:before="300" w:after="300" w:line="360" w:lineRule="exact"/>
        <w:jc w:val="left"/>
        <w:rPr>
          <w:rFonts w:ascii="Arial" w:hAnsi="Arial" w:cs="Arial"/>
          <w:color w:val="000000"/>
          <w:sz w:val="24"/>
          <w:szCs w:val="24"/>
        </w:rPr>
      </w:pPr>
      <w:bookmarkStart w:id="55" w:name="_Toc2447"/>
      <w:bookmarkStart w:id="56" w:name="_Toc535570753"/>
      <w:bookmarkStart w:id="57" w:name="_Toc532281660"/>
      <w:bookmarkStart w:id="58" w:name="_Toc535580094"/>
      <w:bookmarkStart w:id="59" w:name="_Toc535508639"/>
      <w:bookmarkStart w:id="60" w:name="_Toc535580026"/>
      <w:r>
        <w:rPr>
          <w:rFonts w:hint="eastAsia" w:ascii="Arial" w:hAnsi="Arial" w:cs="Arial"/>
          <w:color w:val="000000"/>
          <w:sz w:val="24"/>
          <w:szCs w:val="24"/>
        </w:rPr>
        <w:t>4</w:t>
      </w:r>
      <w:r>
        <w:rPr>
          <w:rFonts w:ascii="Arial" w:hAnsi="Arial" w:cs="Arial"/>
          <w:color w:val="000000"/>
          <w:sz w:val="24"/>
          <w:szCs w:val="24"/>
        </w:rPr>
        <w:t>资金情况</w:t>
      </w:r>
      <w:bookmarkEnd w:id="55"/>
    </w:p>
    <w:p>
      <w:pPr>
        <w:pStyle w:val="3"/>
        <w:keepNext w:val="0"/>
        <w:keepLines w:val="0"/>
        <w:tabs>
          <w:tab w:val="center" w:pos="4649"/>
        </w:tabs>
        <w:spacing w:before="300" w:after="300" w:line="360" w:lineRule="exact"/>
        <w:jc w:val="left"/>
        <w:rPr>
          <w:rFonts w:eastAsia="宋体" w:cs="Arial"/>
          <w:sz w:val="24"/>
        </w:rPr>
      </w:pPr>
      <w:bookmarkStart w:id="61" w:name="_Toc16091"/>
      <w:r>
        <w:rPr>
          <w:rFonts w:hint="eastAsia" w:eastAsia="宋体" w:cs="Arial"/>
          <w:sz w:val="24"/>
        </w:rPr>
        <w:t>4</w:t>
      </w:r>
      <w:r>
        <w:rPr>
          <w:rFonts w:eastAsia="宋体" w:cs="Arial"/>
          <w:sz w:val="24"/>
        </w:rPr>
        <w:t>.1资金流出情况</w:t>
      </w:r>
      <w:bookmarkEnd w:id="61"/>
    </w:p>
    <w:p>
      <w:pPr>
        <w:spacing w:before="240" w:beforeLines="100"/>
        <w:jc w:val="center"/>
        <w:rPr>
          <w:rFonts w:ascii="Arial" w:hAnsi="Arial" w:cs="Arial"/>
          <w:b/>
          <w:color w:val="000000"/>
          <w:sz w:val="24"/>
        </w:rPr>
      </w:pPr>
      <w:bookmarkStart w:id="62" w:name="_Toc23371"/>
      <w:bookmarkStart w:id="63" w:name="_Toc30107"/>
      <w:r>
        <w:rPr>
          <w:rFonts w:ascii="Arial" w:hAnsi="Arial" w:cs="Arial"/>
          <w:b/>
          <w:color w:val="000000"/>
          <w:sz w:val="24"/>
        </w:rPr>
        <w:t>2020年7月资金流出情况表</w:t>
      </w:r>
      <w:bookmarkEnd w:id="62"/>
      <w:bookmarkEnd w:id="63"/>
    </w:p>
    <w:tbl>
      <w:tblPr>
        <w:tblStyle w:val="13"/>
        <w:tblW w:w="9672" w:type="dxa"/>
        <w:tblInd w:w="-193" w:type="dxa"/>
        <w:tblLayout w:type="fixed"/>
        <w:tblCellMar>
          <w:top w:w="0" w:type="dxa"/>
          <w:left w:w="0" w:type="dxa"/>
          <w:bottom w:w="0" w:type="dxa"/>
          <w:right w:w="0" w:type="dxa"/>
        </w:tblCellMar>
      </w:tblPr>
      <w:tblGrid>
        <w:gridCol w:w="394"/>
        <w:gridCol w:w="2565"/>
        <w:gridCol w:w="1347"/>
        <w:gridCol w:w="1321"/>
        <w:gridCol w:w="1608"/>
        <w:gridCol w:w="1089"/>
        <w:gridCol w:w="1348"/>
      </w:tblGrid>
      <w:tr>
        <w:tblPrEx>
          <w:tblCellMar>
            <w:top w:w="0" w:type="dxa"/>
            <w:left w:w="0" w:type="dxa"/>
            <w:bottom w:w="0" w:type="dxa"/>
            <w:right w:w="0" w:type="dxa"/>
          </w:tblCellMar>
        </w:tblPrEx>
        <w:trPr>
          <w:cantSplit/>
          <w:trHeight w:val="270" w:hRule="atLeast"/>
          <w:tblHeader/>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申请款项明细</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收款单位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使用金额（元）</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申请日期</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资金用途</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出款账户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2020年6月份员工公积金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常州市住房公积金管理中心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74,470.00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中国银行江苏省分行汇划费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中国银行江苏省分行汇划费专用账号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791.37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关于一期39#、40#、44#、45#及地下车库建筑安装总承包合同第四批次请款付款（主体封顶后一个月内支付当期已完工程造价的75%）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中电建路桥集团有限公司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28,568,314.57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企业网银手续费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中行常州武进支行</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2020年6月非营销员工工资</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全体员工（非营销）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355,495.38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项目地块2020年6月电费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42,846.46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项目地块2020年6月电费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78,000.00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二三期43#、48#楼廉租房配建费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常州市武进区财政局财政专户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2,215,741.00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规费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3.60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项目地块水费（2020.6.6-2020.7.5)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江河港武水务（常州）有限公司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22,877.14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武进经济开发区四桥头东北角地块项目一期商业会所古建工程协议书第二批次请款付款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苏州太湖古典园林建筑有限公司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1,164,032.96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世贸中心B座1008-1010室2020年6月电费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常州迦美物业服务有限公司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2,511.00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杨希中报销差旅费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杨希中</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4,072.00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武进经济开发区四桥头东北角地块项目物品定制合同第一批次请款付款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常州市武进开元广告装璜有限公司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78,850.00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马悦报销赴上海接洽三栋楼整体销售意向差旅费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马悦</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427.00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谢国志报销一期智能化工程招标服务费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谢国志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杨晓君报销防疫物资费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1,910.60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高钰龙报销临时停车费及加班打车费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高钰龙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307.97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徐婷报销员工子女六一儿童节福利费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9,325.74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徐婷报销员工端午节福利费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9,700.00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徐婷报销新员工入职体检费（王利利）</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536.00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徐婷报销新员工入职体检费（张晓晴）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429.00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徐婷报销项目总徐志刚7月份住宿费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徐婷报销世贸办公区饮用水费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2,545.00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2,753.00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2,941.00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2020年6月营销人员工资及佣金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全体员工（营销）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921,382.61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员工宿舍金都名苑6-乙-802室2020.6.25-9.24房屋租赁费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缪依琼</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5,907.00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19-301杭小芬退认购金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杭小芬</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30-301汪志南退认购金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汪志南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退客户认筹金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黄勤</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蓝城北方工程管理费（2019年10月）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蓝城北方建设管理有限公司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1,500,000.00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2,443.00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2,906.00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2,997.00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61"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2,946.00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2,590.00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2,998.00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2,519.00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2,865.00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2,810.00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2,752.00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1,710.00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2,895.00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2,782.00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2,604.00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2,907.00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2,582.00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2,383.00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2,339.00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2,993.00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2,905.00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2019年残疾人就业保障金申报扣款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29,095.31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2020年6月电话费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中国电信股份有限公司常州分公司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6,377.26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2020年6月合同印花税申报扣款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3,468.90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2020年4-6月工会经费扣款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17,673.18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归还借款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上海诚盈三期股权投资中心（有限合伙）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150,000,000.00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2020年4-6月土地使用税申报扣款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265,812.90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2020年4-6月环保税申报扣款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100,801.86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2020年6月份预交土增税扣款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2,480,569.29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2020年6月份员工社保扣款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62,208.40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2020年6月份预交增值税扣款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3,510,239.56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2020年6月份城建税及教育费附加扣款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421,228.75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2020年6月份员工工资个税扣款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26,638.53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武进经济开发区四桥头东北角地块项目一期样板房软装工程（一标段）第二批次请款付款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杭州必扬装饰工程有限公司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1,110,000.00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低密客户退认筹金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张英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低密客户退认筹金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万升云</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低密客户退认筹金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胡芬</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低密客户退认筹金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吴伟中</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低密客户退认筹金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吴寒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营销中心6月份办公杂项付款（茶叶）</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天宁区红梅妙韵茶叶</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客户5-101室退款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张荣珍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1,000,000.00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客户1-104室退款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刘斌</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客户4-103室退款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张云燕</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王春霞</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叶杜清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卞黎红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陈志鹏</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陈强</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周俭</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潘亚英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史勤康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朱元谷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史瑛婷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葛信国</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陆伯元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张云燕</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任建锋</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王丽君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武进区湖塘可锐吉机械厂</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李国敏</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周敏飞</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客户43-甲-603室退款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柯彦伶</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袁聚宝赴常差旅费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13,326.50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项目工程管理部复印机2020年4-6月超出费用及2020年7-9月租赁预付费用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常州市欧艾办公设备有限公司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2,311.00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奥迪、别克、哈佛三辆公车油卡充值</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中国石化销售股份有限公司江苏常州石油分公司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世贸中心B1008-1010室物业管理费（2020.7-2020.9)</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常州迦美物业服务有限公司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8,943.00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项目公司品牌体验馆搬运费用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常州常生搬家服务有限公司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支付营销部7月份员工餐费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武进经发区符宾兴隆园餐饮店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员工宿舍澜月湾中心5幢2710室租房押金及2020.7.1-2020.9.30房屋租赁费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吕和娣</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8,400.00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员工宿舍澜月湾中心5幢2710室租房中介费用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齐光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6.21中式产品开盘绿城物业人员支援费用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绿城物业服务集团有限公司常州分公司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常州江南里2020.3.13-2020.4.13广告设计策划费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上海潜意识广告有限公司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常州江南里项目中式三维视频制作第二阶段费用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杭州佐派数字科技有限公司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84,000.00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项目市区营销中心2020年6月水电费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星环物业管理（江苏）有限公司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17,302.91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常州江南里项目销售代理合同剩余佣金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江苏中原房地产代理有限公司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15,620.85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沈娜报销营销部6月员工加班点心费用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525.72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沈娜报销营销中心6月开办类物资、物业类易耗品及办公用品</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15,655.12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朱颖冰报销微信公众号微信认证年审费用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朱颖冰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朱颖冰报销营销中心开放媒体到访物品采购费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朱颖冰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23,644.00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杨晓君报销购买防疫物资费用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144.00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邵景键报销一期、二三期景观文本制作费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邵景健</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丁玲报销奥迪更换后轮刹车片费用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1,190.00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丁玲报销江南里6.21开盘员工加班餐费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2,104.00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丁玲报销工程部加班餐费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2,855.00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徐婷报销公司搬家纸箱费用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徐婷报销成本管理部5-7月员工团建费用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661.00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一期小高层（39#、40#、44#、45#）外墙保温材料变更施工图审图费用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常州市建审工程科技咨询有限公司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6,830.00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武进经济开发区四桥头东北角地块项目户外类广告发布合同结算款支付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江苏九仰文化传媒有限公司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233,829.96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武进区经济开发区四桥头东地块项目物品定制合同结算款支付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武进区湖塘甲乙礼品商行</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15,950.00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2,445.00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2,716.00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2,995.00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2,747.00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2,642.00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2,704.00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2,884.00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2,895.00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2,502.00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2,837.00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2,860.00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2,939.00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2,932.00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2,625.00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2,517.00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2,928.00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2,944.00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2,734.00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2,922.00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2,900.00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武进区经济开发区四桥头东北角地块一期39#、40#、44#、45#楼及地下车库监理合同进度款，付至30%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江苏东方建设项目管理咨询有限公司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462,000.00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武进经济开发区四桥头东北角地块项目一期35#、50#楼（营销中心）、合院及叠墅样板区景观工程协议书第一次进度款支付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上海中亚园林建设有限公司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3,730,691.29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企业网银手续费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中行常州武进支行</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75.00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2020年7月30日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2020年7月社保、公积金北京代缴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北京磐博企业管理有限公司 </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67,019.94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2020年7月30日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建设工程合同纠纷（常州佳亚）一案诉讼费补缴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江苏省常州市中级人民法院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3,014.00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2020年7月30日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万泽大厦1408室3个月房租（2020.7.21-2020.10.20)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赵月霞</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5,100.00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2020年7月30日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蓝城北方工程管理费（2019年11月-12月）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蓝城北方建设管理有限公司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3,000,000.00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70" w:hRule="atLeast"/>
        </w:trPr>
        <w:tc>
          <w:tcPr>
            <w:tcW w:w="43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536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204,982,316.63</w:t>
            </w:r>
          </w:p>
        </w:tc>
      </w:tr>
    </w:tbl>
    <w:p>
      <w:pPr>
        <w:spacing w:line="240" w:lineRule="exact"/>
        <w:rPr>
          <w:rFonts w:ascii="Arial" w:hAnsi="Arial" w:cs="Arial" w:eastAsiaTheme="minorEastAsia"/>
          <w:kern w:val="0"/>
          <w:sz w:val="18"/>
          <w:szCs w:val="18"/>
        </w:rPr>
      </w:pPr>
      <w:r>
        <w:rPr>
          <w:rFonts w:ascii="Arial" w:hAnsi="Arial" w:cs="Arial" w:eastAsiaTheme="minorEastAsia"/>
          <w:kern w:val="0"/>
          <w:sz w:val="18"/>
          <w:szCs w:val="18"/>
        </w:rPr>
        <w:t>注：（1）电信公司电话费、员工社保、公积金、税金等为银行托管项目，银行根据申报金额自动扣款;</w:t>
      </w:r>
    </w:p>
    <w:p>
      <w:pPr>
        <w:rPr>
          <w:rFonts w:ascii="Arial" w:hAnsi="Arial" w:cs="Arial"/>
        </w:rPr>
      </w:pPr>
    </w:p>
    <w:p>
      <w:pPr>
        <w:rPr>
          <w:rFonts w:ascii="Arial" w:hAnsi="Arial" w:cs="Arial"/>
        </w:rPr>
      </w:pPr>
    </w:p>
    <w:p>
      <w:pPr>
        <w:pStyle w:val="3"/>
        <w:keepNext w:val="0"/>
        <w:keepLines w:val="0"/>
        <w:tabs>
          <w:tab w:val="center" w:pos="4649"/>
        </w:tabs>
        <w:spacing w:before="300" w:after="300" w:line="360" w:lineRule="exact"/>
        <w:jc w:val="left"/>
        <w:rPr>
          <w:rFonts w:eastAsia="宋体" w:cs="Arial"/>
          <w:sz w:val="24"/>
        </w:rPr>
      </w:pPr>
      <w:bookmarkStart w:id="64" w:name="_Toc19840"/>
      <w:r>
        <w:rPr>
          <w:rFonts w:hint="eastAsia" w:eastAsia="宋体" w:cs="Arial"/>
          <w:sz w:val="24"/>
        </w:rPr>
        <w:t>4</w:t>
      </w:r>
      <w:r>
        <w:rPr>
          <w:rFonts w:eastAsia="宋体" w:cs="Arial"/>
          <w:sz w:val="24"/>
        </w:rPr>
        <w:t>.2资金流入情况</w:t>
      </w:r>
      <w:bookmarkEnd w:id="64"/>
    </w:p>
    <w:p>
      <w:pPr>
        <w:spacing w:before="300" w:after="300" w:line="360" w:lineRule="exact"/>
        <w:jc w:val="left"/>
        <w:rPr>
          <w:rFonts w:ascii="Arial" w:hAnsi="Arial" w:cs="Arial"/>
          <w:b/>
          <w:sz w:val="24"/>
        </w:rPr>
      </w:pPr>
      <w:r>
        <w:rPr>
          <w:rFonts w:hint="eastAsia" w:ascii="Arial" w:hAnsi="Arial" w:cs="Arial"/>
          <w:b/>
          <w:sz w:val="24"/>
        </w:rPr>
        <w:t>4</w:t>
      </w:r>
      <w:r>
        <w:rPr>
          <w:rFonts w:ascii="Arial" w:hAnsi="Arial" w:cs="Arial"/>
          <w:b/>
          <w:sz w:val="24"/>
        </w:rPr>
        <w:t>.2.1销售回款流入</w:t>
      </w:r>
    </w:p>
    <w:p>
      <w:pPr>
        <w:spacing w:line="480" w:lineRule="auto"/>
        <w:ind w:firstLine="420" w:firstLineChars="200"/>
        <w:rPr>
          <w:rFonts w:ascii="Arial" w:hAnsi="Arial" w:cs="Arial"/>
          <w:bCs/>
          <w:kern w:val="44"/>
          <w:szCs w:val="21"/>
        </w:rPr>
      </w:pPr>
      <w:r>
        <w:rPr>
          <w:rFonts w:ascii="Arial" w:hAnsi="Arial" w:cs="Arial"/>
          <w:bCs/>
          <w:kern w:val="44"/>
          <w:szCs w:val="21"/>
        </w:rPr>
        <w:t>2020年7月项目公司销售回款应收总计571,037,190.00元，其中定金应收款26,232,000.00元，房款应收款344,477,190.00元，银行按揭放款到第三方正泰托管账户金额 200,328,000.00元；扣除银行手续费及按揭放款到第三方正泰托管账户金额后项目公司银行账户实际入账370,698,909.38元，各银行销售回款情况如下：</w:t>
      </w:r>
    </w:p>
    <w:p>
      <w:pPr>
        <w:spacing w:line="480" w:lineRule="auto"/>
        <w:ind w:firstLine="420" w:firstLineChars="200"/>
        <w:rPr>
          <w:rFonts w:ascii="Arial" w:hAnsi="Arial" w:cs="Arial"/>
          <w:bCs/>
          <w:kern w:val="44"/>
          <w:szCs w:val="21"/>
        </w:rPr>
      </w:pPr>
      <w:r>
        <w:rPr>
          <w:rFonts w:ascii="Arial" w:hAnsi="Arial" w:cs="Arial"/>
          <w:bCs/>
          <w:kern w:val="44"/>
          <w:szCs w:val="21"/>
        </w:rPr>
        <w:t>（转下页）</w:t>
      </w:r>
    </w:p>
    <w:p>
      <w:pPr>
        <w:spacing w:line="480" w:lineRule="auto"/>
        <w:ind w:firstLine="420" w:firstLineChars="200"/>
        <w:rPr>
          <w:rFonts w:ascii="Arial" w:hAnsi="Arial" w:cs="Arial"/>
          <w:bCs/>
          <w:kern w:val="44"/>
          <w:szCs w:val="21"/>
        </w:rPr>
      </w:pPr>
    </w:p>
    <w:p>
      <w:pPr>
        <w:spacing w:before="240" w:beforeLines="100"/>
        <w:jc w:val="center"/>
        <w:rPr>
          <w:rFonts w:ascii="Arial" w:hAnsi="Arial" w:cs="Arial"/>
          <w:b/>
          <w:color w:val="000000"/>
          <w:sz w:val="24"/>
        </w:rPr>
      </w:pPr>
      <w:bookmarkStart w:id="65" w:name="_Toc29763"/>
      <w:r>
        <w:rPr>
          <w:rFonts w:ascii="Arial" w:hAnsi="Arial" w:cs="Arial"/>
          <w:b/>
          <w:color w:val="000000"/>
          <w:sz w:val="24"/>
        </w:rPr>
        <w:t>2020年7月销售回款情况表</w:t>
      </w:r>
      <w:bookmarkEnd w:id="65"/>
    </w:p>
    <w:tbl>
      <w:tblPr>
        <w:tblStyle w:val="13"/>
        <w:tblW w:w="9431" w:type="dxa"/>
        <w:tblInd w:w="-108" w:type="dxa"/>
        <w:tblLayout w:type="fixed"/>
        <w:tblCellMar>
          <w:top w:w="0" w:type="dxa"/>
          <w:left w:w="0" w:type="dxa"/>
          <w:bottom w:w="0" w:type="dxa"/>
          <w:right w:w="0" w:type="dxa"/>
        </w:tblCellMar>
      </w:tblPr>
      <w:tblGrid>
        <w:gridCol w:w="1753"/>
        <w:gridCol w:w="1905"/>
        <w:gridCol w:w="1915"/>
        <w:gridCol w:w="1943"/>
        <w:gridCol w:w="1915"/>
      </w:tblGrid>
      <w:tr>
        <w:tblPrEx>
          <w:tblCellMar>
            <w:top w:w="0" w:type="dxa"/>
            <w:left w:w="0" w:type="dxa"/>
            <w:bottom w:w="0" w:type="dxa"/>
            <w:right w:w="0" w:type="dxa"/>
          </w:tblCellMar>
        </w:tblPrEx>
        <w:trPr>
          <w:trHeight w:val="300" w:hRule="atLeast"/>
          <w:tblHeader/>
        </w:trPr>
        <w:tc>
          <w:tcPr>
            <w:tcW w:w="17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回款项目</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入账/放款银行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实际入账金额（元）</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银行手续费（元）</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应收金额（元）</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定金</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8,487,000.00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8,487,000.00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4,710,000.00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4,710,000.00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20"/>
                <w:szCs w:val="20"/>
              </w:rPr>
            </w:pPr>
            <w:r>
              <w:rPr>
                <w:rFonts w:ascii="Arial" w:hAnsi="Arial" w:cs="Arial" w:eastAsiaTheme="minorEastAsia"/>
                <w:color w:val="000000"/>
                <w:kern w:val="0"/>
                <w:sz w:val="18"/>
                <w:szCs w:val="18"/>
              </w:rPr>
              <w:t>13,032,588.00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ascii="Arial" w:hAnsi="Arial" w:cs="Arial" w:eastAsiaTheme="minorEastAsia"/>
                <w:kern w:val="0"/>
                <w:sz w:val="18"/>
                <w:szCs w:val="18"/>
              </w:rPr>
              <w:t>2,412.00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13,035,000.00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2"/>
                <w:szCs w:val="22"/>
              </w:rPr>
            </w:pPr>
            <w:r>
              <w:rPr>
                <w:rFonts w:ascii="Arial" w:hAnsi="Arial" w:cs="Arial" w:eastAsiaTheme="minorEastAsia"/>
                <w:b/>
                <w:bCs/>
                <w:color w:val="000000"/>
                <w:kern w:val="0"/>
                <w:sz w:val="18"/>
                <w:szCs w:val="18"/>
              </w:rPr>
              <w:t>26,229,588.00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kern w:val="0"/>
                <w:sz w:val="18"/>
                <w:szCs w:val="18"/>
              </w:rPr>
              <w:t>2,412.00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rPr>
              <w:t>26,232</w:t>
            </w:r>
            <w:r>
              <w:rPr>
                <w:rFonts w:ascii="Arial" w:hAnsi="Arial" w:cs="Arial" w:eastAsiaTheme="minorEastAsia"/>
                <w:bCs/>
                <w:color w:val="000000"/>
                <w:sz w:val="18"/>
                <w:szCs w:val="18"/>
              </w:rPr>
              <w:t>,</w:t>
            </w:r>
            <w:r>
              <w:rPr>
                <w:rFonts w:ascii="Arial" w:hAnsi="Arial" w:cs="Arial" w:eastAsiaTheme="minorEastAsia"/>
                <w:b/>
                <w:color w:val="000000"/>
                <w:sz w:val="18"/>
                <w:szCs w:val="18"/>
              </w:rPr>
              <w:t>000.00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eastAsiaTheme="minorEastAsia"/>
                <w:color w:val="000000"/>
                <w:kern w:val="0"/>
                <w:sz w:val="18"/>
                <w:szCs w:val="18"/>
              </w:rPr>
              <w:t>33,420,878.00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 xml:space="preserve">33,420,878.00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w:t>
            </w:r>
            <w:r>
              <w:rPr>
                <w:rFonts w:ascii="Arial" w:hAnsi="Arial" w:cs="Arial" w:eastAsiaTheme="minorEastAsia"/>
                <w:color w:val="000000"/>
                <w:kern w:val="0"/>
                <w:sz w:val="18"/>
                <w:szCs w:val="18"/>
              </w:rPr>
              <w:t>4,501,879.00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4,501,879.00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ascii="Arial" w:hAnsi="Arial" w:cs="Arial" w:eastAsiaTheme="minorEastAsia"/>
                <w:kern w:val="0"/>
                <w:sz w:val="18"/>
                <w:szCs w:val="18"/>
              </w:rPr>
              <w:t>212,207,376.38</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ascii="Arial" w:hAnsi="Arial" w:cs="Arial" w:eastAsiaTheme="minorEastAsia"/>
                <w:kern w:val="0"/>
                <w:sz w:val="18"/>
                <w:szCs w:val="18"/>
              </w:rPr>
              <w:t>7,868.62</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ascii="Arial" w:hAnsi="Arial" w:cs="Arial" w:eastAsiaTheme="minorEastAsia"/>
                <w:kern w:val="0"/>
                <w:sz w:val="18"/>
                <w:szCs w:val="18"/>
              </w:rPr>
              <w:t>212,215,245.00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邮储银行一般户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94,339,188.00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94,339,188.00</w:t>
            </w:r>
          </w:p>
        </w:tc>
      </w:tr>
      <w:tr>
        <w:tblPrEx>
          <w:tblCellMar>
            <w:top w:w="0" w:type="dxa"/>
            <w:left w:w="0" w:type="dxa"/>
            <w:bottom w:w="0" w:type="dxa"/>
            <w:right w:w="0" w:type="dxa"/>
          </w:tblCellMar>
        </w:tblPrEx>
        <w:trPr>
          <w:trHeight w:val="208"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FF0000"/>
                <w:sz w:val="18"/>
                <w:szCs w:val="18"/>
              </w:rPr>
            </w:pPr>
            <w:r>
              <w:rPr>
                <w:rFonts w:ascii="Arial" w:hAnsi="Arial" w:cs="Arial" w:eastAsiaTheme="minorEastAsia"/>
                <w:b/>
                <w:color w:val="000000" w:themeColor="text1"/>
                <w:sz w:val="18"/>
                <w:szCs w:val="18"/>
                <w14:textFill>
                  <w14:solidFill>
                    <w14:schemeClr w14:val="tx1"/>
                  </w14:solidFill>
                </w14:textFill>
              </w:rPr>
              <w:t>344,469,321.38</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kern w:val="0"/>
                <w:sz w:val="18"/>
                <w:szCs w:val="18"/>
              </w:rPr>
              <w:t>7,868.62</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FF0000"/>
                <w:sz w:val="18"/>
                <w:szCs w:val="18"/>
              </w:rPr>
            </w:pPr>
            <w:r>
              <w:rPr>
                <w:rFonts w:ascii="Arial" w:hAnsi="Arial" w:cs="Arial" w:eastAsiaTheme="minorEastAsia"/>
                <w:b/>
                <w:kern w:val="0"/>
                <w:sz w:val="18"/>
                <w:szCs w:val="18"/>
              </w:rPr>
              <w:t>344,477,190.00</w:t>
            </w:r>
          </w:p>
        </w:tc>
      </w:tr>
      <w:tr>
        <w:tblPrEx>
          <w:tblCellMar>
            <w:top w:w="0" w:type="dxa"/>
            <w:left w:w="0" w:type="dxa"/>
            <w:bottom w:w="0" w:type="dxa"/>
            <w:right w:w="0" w:type="dxa"/>
          </w:tblCellMar>
        </w:tblPrEx>
        <w:trPr>
          <w:trHeight w:val="300" w:hRule="atLeast"/>
        </w:trPr>
        <w:tc>
          <w:tcPr>
            <w:tcW w:w="36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项目公司入账小计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FF0000"/>
                <w:sz w:val="18"/>
                <w:szCs w:val="18"/>
              </w:rPr>
            </w:pPr>
            <w:r>
              <w:rPr>
                <w:rFonts w:ascii="Arial" w:hAnsi="Arial" w:cs="Arial" w:eastAsiaTheme="minorEastAsia"/>
                <w:b/>
                <w:color w:val="000000" w:themeColor="text1"/>
                <w:sz w:val="18"/>
                <w:szCs w:val="18"/>
                <w14:textFill>
                  <w14:solidFill>
                    <w14:schemeClr w14:val="tx1"/>
                  </w14:solidFill>
                </w14:textFill>
              </w:rPr>
              <w:t>370,698,909.38</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rPr>
              <w:t>10,280.62</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FF0000"/>
                <w:sz w:val="18"/>
                <w:szCs w:val="18"/>
              </w:rPr>
            </w:pPr>
            <w:r>
              <w:rPr>
                <w:rFonts w:ascii="Arial" w:hAnsi="Arial" w:cs="Arial" w:eastAsiaTheme="minorEastAsia"/>
                <w:b/>
                <w:kern w:val="0"/>
                <w:sz w:val="18"/>
                <w:szCs w:val="18"/>
              </w:rPr>
              <w:t>370,709,190.00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第三方正泰托管</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南京银行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8,610,000.00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8,610,000.00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工商银行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15,238,000.00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15,238,000.00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4,070,000.00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4,070,000.00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交通银行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16,070,000.00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16,070,000.00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招商银行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17,880,000.00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17,880,000.00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农业银行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23,370,000.00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23,370,000.00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w:t>
            </w:r>
            <w:r>
              <w:rPr>
                <w:rFonts w:hint="eastAsia" w:ascii="Arial" w:hAnsi="Arial" w:cs="Arial" w:eastAsiaTheme="minorEastAsia"/>
                <w:color w:val="000000"/>
                <w:kern w:val="0"/>
                <w:sz w:val="18"/>
                <w:szCs w:val="18"/>
              </w:rPr>
              <w:t>湾里支行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67,000,000.00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67,000,000.00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华夏银行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11,880,000.00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11,880,000.00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江南前黄支行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34,210,000.00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34,210,000.00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200,328,000.00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200,328,000.00</w:t>
            </w:r>
          </w:p>
        </w:tc>
      </w:tr>
      <w:tr>
        <w:tblPrEx>
          <w:tblCellMar>
            <w:top w:w="0" w:type="dxa"/>
            <w:left w:w="0" w:type="dxa"/>
            <w:bottom w:w="0" w:type="dxa"/>
            <w:right w:w="0" w:type="dxa"/>
          </w:tblCellMar>
        </w:tblPrEx>
        <w:trPr>
          <w:trHeight w:val="300" w:hRule="atLeast"/>
        </w:trPr>
        <w:tc>
          <w:tcPr>
            <w:tcW w:w="365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rPr>
              <w:t>571,026,909.38</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rPr>
              <w:t>10,280.62</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571,037,190.00</w:t>
            </w:r>
          </w:p>
        </w:tc>
      </w:tr>
    </w:tbl>
    <w:p>
      <w:pPr>
        <w:spacing w:before="300" w:after="300" w:line="360" w:lineRule="exact"/>
        <w:jc w:val="left"/>
        <w:rPr>
          <w:rFonts w:ascii="Arial" w:hAnsi="Arial" w:cs="Arial"/>
          <w:b/>
          <w:sz w:val="24"/>
        </w:rPr>
      </w:pPr>
      <w:r>
        <w:rPr>
          <w:rFonts w:hint="eastAsia" w:ascii="Arial" w:hAnsi="Arial" w:cs="Arial"/>
          <w:b/>
          <w:sz w:val="24"/>
        </w:rPr>
        <w:t>4</w:t>
      </w:r>
      <w:r>
        <w:rPr>
          <w:rFonts w:ascii="Arial" w:hAnsi="Arial" w:cs="Arial"/>
          <w:b/>
          <w:sz w:val="24"/>
        </w:rPr>
        <w:t>.2.2其他资金流入</w:t>
      </w:r>
    </w:p>
    <w:p>
      <w:pPr>
        <w:spacing w:before="120" w:beforeLines="50" w:after="120" w:afterLines="50"/>
        <w:jc w:val="center"/>
        <w:rPr>
          <w:rFonts w:ascii="Arial" w:hAnsi="Arial" w:cs="Arial"/>
          <w:b/>
          <w:color w:val="000000"/>
          <w:sz w:val="24"/>
        </w:rPr>
      </w:pPr>
      <w:bookmarkStart w:id="66" w:name="_Toc1505"/>
      <w:bookmarkStart w:id="67" w:name="_Toc5432"/>
      <w:r>
        <w:rPr>
          <w:rFonts w:ascii="Arial" w:hAnsi="Arial" w:cs="Arial"/>
          <w:b/>
          <w:color w:val="000000"/>
          <w:sz w:val="24"/>
        </w:rPr>
        <w:t>2020年7月其他资金流入情况表</w:t>
      </w:r>
      <w:bookmarkEnd w:id="66"/>
      <w:bookmarkEnd w:id="67"/>
    </w:p>
    <w:tbl>
      <w:tblPr>
        <w:tblStyle w:val="13"/>
        <w:tblW w:w="9321" w:type="dxa"/>
        <w:tblInd w:w="0" w:type="dxa"/>
        <w:tblLayout w:type="fixed"/>
        <w:tblCellMar>
          <w:top w:w="0" w:type="dxa"/>
          <w:left w:w="0" w:type="dxa"/>
          <w:bottom w:w="0" w:type="dxa"/>
          <w:right w:w="0" w:type="dxa"/>
        </w:tblCellMar>
      </w:tblPr>
      <w:tblGrid>
        <w:gridCol w:w="392"/>
        <w:gridCol w:w="2119"/>
        <w:gridCol w:w="2153"/>
        <w:gridCol w:w="1691"/>
        <w:gridCol w:w="1514"/>
        <w:gridCol w:w="1452"/>
      </w:tblGrid>
      <w:tr>
        <w:tblPrEx>
          <w:tblCellMar>
            <w:top w:w="0" w:type="dxa"/>
            <w:left w:w="0" w:type="dxa"/>
            <w:bottom w:w="0" w:type="dxa"/>
            <w:right w:w="0" w:type="dxa"/>
          </w:tblCellMar>
        </w:tblPrEx>
        <w:trPr>
          <w:trHeight w:val="225" w:hRule="atLeast"/>
          <w:tblHeader/>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款项明细</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单位名称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收款金额（元）</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到账日期</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入账银行</w:t>
            </w:r>
          </w:p>
        </w:tc>
      </w:tr>
      <w:tr>
        <w:tblPrEx>
          <w:tblCellMar>
            <w:top w:w="0" w:type="dxa"/>
            <w:left w:w="0" w:type="dxa"/>
            <w:bottom w:w="0" w:type="dxa"/>
            <w:right w:w="0" w:type="dxa"/>
          </w:tblCellMar>
        </w:tblPrEx>
        <w:trPr>
          <w:trHeight w:val="198"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退弘建9幢804房租押金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徐婷</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2020年7月3日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武进经济开发区四桥头东北角地块项目一期35#、50#楼（营销中心）、合院及叠墅样板区景观工程协议书合同总价的10%的履约保证金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上海中亚园林建设有限公司</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2"/>
                <w:szCs w:val="22"/>
              </w:rPr>
            </w:pPr>
            <w:r>
              <w:rPr>
                <w:rFonts w:ascii="Arial" w:hAnsi="Arial" w:cs="Arial" w:eastAsiaTheme="minorEastAsia"/>
                <w:color w:val="000000"/>
                <w:kern w:val="0"/>
                <w:sz w:val="18"/>
                <w:szCs w:val="18"/>
              </w:rPr>
              <w:t>899,643.65</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2020年7月16日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武进经济开发区四桥头东北角地块项目一期样板区古建工程协议书履约保证金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苏州复荣古建园林工程有限公司</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587,902.68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社保返还</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4,071.00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武进区经济开发区四桥头东北角地块二三期监理合同履约保证金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江苏东方建设项目管理咨询有限公司</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 xml:space="preserve">322,258.30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427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465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1,816,875.63</w:t>
            </w:r>
          </w:p>
        </w:tc>
      </w:tr>
    </w:tbl>
    <w:p>
      <w:pPr>
        <w:spacing w:before="300" w:after="300" w:line="360" w:lineRule="exact"/>
        <w:jc w:val="left"/>
        <w:outlineLvl w:val="0"/>
        <w:rPr>
          <w:rStyle w:val="27"/>
          <w:rFonts w:ascii="Arial" w:hAnsi="Arial" w:cs="Arial"/>
          <w:sz w:val="24"/>
          <w:szCs w:val="24"/>
        </w:rPr>
      </w:pPr>
      <w:bookmarkStart w:id="68" w:name="_Toc2468"/>
      <w:r>
        <w:rPr>
          <w:rStyle w:val="27"/>
          <w:rFonts w:hint="eastAsia" w:ascii="Arial" w:hAnsi="Arial" w:cs="Arial"/>
          <w:sz w:val="24"/>
          <w:szCs w:val="24"/>
        </w:rPr>
        <w:t>5</w:t>
      </w:r>
      <w:r>
        <w:rPr>
          <w:rStyle w:val="27"/>
          <w:rFonts w:ascii="Arial" w:hAnsi="Arial" w:cs="Arial"/>
          <w:sz w:val="24"/>
          <w:szCs w:val="24"/>
        </w:rPr>
        <w:t>项目销售情况</w:t>
      </w:r>
      <w:bookmarkEnd w:id="68"/>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2020年7月31日月桂江南里销售台账，项目已取得可售套数共计493套，可售面积共计76,087.07㎡；已认购、签约套数共计481套，其中认购套数9套，签约套数472套；已认购、签约面积共计73,579.44㎡，占已取得可售面积的96.7%，其中认购面积1724.74㎡，签约面积71,854.70㎡；累计认购、签约合同总价1,296,989,951.00元，其中认购合同总价40,285,564.00元，签约合同总价1,256,704,387.00元；累计收款额1,040,249,748.00 元，其中认购收款额2,020,000.00元，签约收款额1,038,229,748.00元</w:t>
      </w:r>
      <w:r>
        <w:rPr>
          <w:rFonts w:hint="eastAsia" w:ascii="Arial" w:hAnsi="Arial" w:cs="Arial"/>
          <w:bCs/>
          <w:kern w:val="44"/>
          <w:szCs w:val="21"/>
        </w:rPr>
        <w:t>（详见附件五）</w:t>
      </w:r>
      <w:r>
        <w:rPr>
          <w:rFonts w:ascii="Arial" w:hAnsi="Arial" w:cs="Arial"/>
          <w:bCs/>
          <w:kern w:val="44"/>
          <w:szCs w:val="21"/>
        </w:rPr>
        <w:t>。</w:t>
      </w:r>
    </w:p>
    <w:p>
      <w:pPr>
        <w:spacing w:before="120" w:beforeLines="50" w:after="120" w:afterLines="50"/>
        <w:jc w:val="center"/>
        <w:rPr>
          <w:rFonts w:ascii="Arial" w:hAnsi="Arial" w:cs="Arial"/>
          <w:b/>
          <w:color w:val="000000"/>
          <w:sz w:val="24"/>
        </w:rPr>
      </w:pPr>
      <w:bookmarkStart w:id="69" w:name="_Toc9611"/>
      <w:bookmarkStart w:id="70" w:name="_Toc22045"/>
      <w:r>
        <w:rPr>
          <w:rFonts w:ascii="Arial" w:hAnsi="Arial" w:cs="Arial"/>
          <w:b/>
          <w:color w:val="000000"/>
          <w:sz w:val="24"/>
        </w:rPr>
        <w:t>截至2020年7月31日销售情况表</w:t>
      </w:r>
      <w:bookmarkEnd w:id="69"/>
      <w:bookmarkEnd w:id="70"/>
    </w:p>
    <w:tbl>
      <w:tblPr>
        <w:tblStyle w:val="13"/>
        <w:tblW w:w="9447" w:type="dxa"/>
        <w:tblInd w:w="-122" w:type="dxa"/>
        <w:tblLayout w:type="fixed"/>
        <w:tblCellMar>
          <w:top w:w="0" w:type="dxa"/>
          <w:left w:w="0" w:type="dxa"/>
          <w:bottom w:w="0" w:type="dxa"/>
          <w:right w:w="0" w:type="dxa"/>
        </w:tblCellMar>
      </w:tblPr>
      <w:tblGrid>
        <w:gridCol w:w="785"/>
        <w:gridCol w:w="934"/>
        <w:gridCol w:w="934"/>
        <w:gridCol w:w="1528"/>
        <w:gridCol w:w="1224"/>
        <w:gridCol w:w="750"/>
        <w:gridCol w:w="1456"/>
        <w:gridCol w:w="1836"/>
      </w:tblGrid>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已售情况</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套数（套）</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面积（㎡）</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合同价（元）</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已收款额（元）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备注</w:t>
            </w: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认购</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1724.74</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40,285,564.00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2,020,000.00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472</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71854.70</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1,256,704,387.00</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kern w:val="0"/>
                <w:sz w:val="18"/>
                <w:szCs w:val="18"/>
              </w:rPr>
              <w:t>第三方正泰托管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kern w:val="0"/>
                <w:sz w:val="18"/>
                <w:szCs w:val="18"/>
              </w:rPr>
              <w:t>176,355,400.00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正泰托管解款后余额</w:t>
            </w:r>
          </w:p>
        </w:tc>
      </w:tr>
      <w:tr>
        <w:tblPrEx>
          <w:tblCellMar>
            <w:top w:w="0" w:type="dxa"/>
            <w:left w:w="0" w:type="dxa"/>
            <w:bottom w:w="0" w:type="dxa"/>
            <w:right w:w="0" w:type="dxa"/>
          </w:tblCellMar>
        </w:tblPrEx>
        <w:trPr>
          <w:trHeight w:val="285"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项目公司银行收款</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邮储银行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253,148,648.00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正泰托管解款至邮储银行</w:t>
            </w: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其他银行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608,725,700.00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小计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1,038,229,748.00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总计</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481</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73579.44</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1,296,989,951.00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bCs/>
                <w:color w:val="000000"/>
                <w:sz w:val="18"/>
                <w:szCs w:val="18"/>
              </w:rPr>
              <w:t xml:space="preserve">1,040,249,748.00 </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r>
    </w:tbl>
    <w:p>
      <w:pPr>
        <w:spacing w:before="300" w:after="300" w:line="360" w:lineRule="exact"/>
        <w:jc w:val="left"/>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bookmarkStart w:id="71" w:name="_Toc492"/>
      <w:r>
        <w:rPr>
          <w:rStyle w:val="27"/>
          <w:rFonts w:hint="eastAsia" w:ascii="Arial" w:hAnsi="Arial" w:cs="Arial"/>
          <w:sz w:val="24"/>
          <w:szCs w:val="24"/>
        </w:rPr>
        <w:t>6</w:t>
      </w:r>
      <w:r>
        <w:rPr>
          <w:rStyle w:val="27"/>
          <w:rFonts w:ascii="Arial" w:hAnsi="Arial" w:cs="Arial"/>
          <w:sz w:val="24"/>
          <w:szCs w:val="24"/>
        </w:rPr>
        <w:t>印章、证照使用情况</w:t>
      </w:r>
      <w:bookmarkEnd w:id="71"/>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pPr>
        <w:spacing w:before="120" w:beforeLines="50" w:after="120" w:afterLines="50"/>
        <w:jc w:val="center"/>
        <w:rPr>
          <w:rFonts w:ascii="Arial" w:hAnsi="Arial" w:cs="Arial"/>
          <w:b/>
          <w:color w:val="000000"/>
          <w:sz w:val="24"/>
        </w:rPr>
      </w:pPr>
      <w:r>
        <w:rPr>
          <w:rFonts w:ascii="Arial" w:hAnsi="Arial" w:cs="Arial"/>
          <w:b/>
          <w:color w:val="000000"/>
          <w:sz w:val="24"/>
        </w:rPr>
        <w:t>2020年7月印鉴使用登记表</w:t>
      </w:r>
    </w:p>
    <w:tbl>
      <w:tblPr>
        <w:tblStyle w:val="13"/>
        <w:tblW w:w="9709"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3"/>
        <w:gridCol w:w="2562"/>
        <w:gridCol w:w="2609"/>
        <w:gridCol w:w="1090"/>
        <w:gridCol w:w="641"/>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5" w:hRule="atLeast"/>
          <w:tblHeader/>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日期</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事由</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材料</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印鉴名称及使用次数</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申请人</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一期营销中心景观工程关于《工程款支付报审表》的用印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孙源</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关于常州江南里项目电梯监督检验协议书、技术服务协议书的用印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DLCZ-2020148-江苏省特种设备安全监督检验研究院技术服务协议书、DLCZ-2020150-电梯监督检验协议书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公章（5）</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关于常州江南里项目一期会所厨房改造施工事宜工程联系单的用印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《工程联系单》（编号：CZJNL-YBQ-GCLXD003）</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周印国</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关于一期一标段精装样板房门窗栏板施工问题工程管理部通知单用印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工程管理部通知单（编号：CZJNL01-1-TZ048）</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1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关于武进经济开发区四桥头东北角地块项目网络类广告发布合同的用印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武进经济开发区四桥头东北角地块项目网络类广告发布合同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关于武进经济开发区四桥头东北角地块项目广告物料制作安装协议的用印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武进经济开发区四桥头东北角地块项目广告物料制作安装协议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关于常州江南里广告营销策划服务合同的用印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常州江南里广告营销策划服务合同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关于武进经济开发区四桥头东北角地块项目电视/电台类广告发布合同的用印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武进经济开发区四桥头东北角地块项目电视/电台类广告发布合同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关于武进经济开发区四桥头东北角地块项目网络类广告发布合同的用印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武进经济开发区四桥头东北角地块项目网络类广告发布合同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常州江南里项目2020年6月份物料类确认单的用印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常州江南里项目2020年6月份物料类确认单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关于使用手填式三联收据以及机打式三联收据用印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手填收据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财务章（400）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关于常州江南里项目一期低密度、二三期洋房前期物业服务协议的用印申请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前期物业协议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合同章（432）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关于常州江南里项目加盖二三期洋房认筹协议的申请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认筹协议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合同章（460）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关于19#共计1套商品房买卖合同、备案确认书、告知书、商品房预售资金托管三方协议的用印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合同章（32）法人章（12）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关于22#、23#、24#、30#、31#共计10套商品房买卖合同、备案确认书、告知书、商品房预售资金托管三方协议的用印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合同章（296）法人章（114）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关于19#、22#、23#、28#、29#、30#、31#共计16套商品房买卖合同、备案确认书、告知书、商品房预售资金托管三方协议的用印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合同章（472）法人章（182）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关于5#、19#、22#、28#、30#共计6套商品房买卖合同、备案确认书、告知书、商品房预售资金托管三方协议的用印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合同章（192）法人章（72）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关于项目5#、19#号楼共计2套商品房《银行按揭贷款合同》的用印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公章（8）法人章（8）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关于2#、19#、23#、24#、28#、29#、30#、31#、40#共计25套商品房买卖合同、备案确认书、告知书、商品房预售资金托管三方协议的用印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合同章（712）法人章（270）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关于项目19#、22#、23#、24#、28#、29#、30#、31#号楼共计20套商品房《银行按揭贷款合同》的用印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公章（104）法人章（72）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关于项目2#、19#、23#、28#、29#、30#、31#、40#号楼共计14套商品房《银行按揭贷款合同》的用印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公章（56）法人章（48）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黄梅、万梨花收入证明的用印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黄梅、万梨花收入证明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6"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关于办理三期43号楼预售许可相关材料的用印申请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预售许可申请书、商品房预售许可申请表、暂定资质证书副本、营业执照副本、B地块不动产权登记证、、B地块不动产权登记证查询证明、土地出让合同、项目规划条件、投资项目备案证、B地块建设用地规划许可证、B地块建设用地规划许可证附图、二三期工程设计总平面图、43#规划分层平面图、43#建施平面图、二三期施工许可证、二三期工程施工合同、二三期43#工程进度计划、前期物业服务合同、商品房预售第三方托管协议、邮储商品房预售资金监管协议、邮储商品房预售资金监管证明、预售方案、商品房价格备案批复、商品房销售价目表、投资资金估算表及明细表、已投入开发建设资金发票、二三期面积测绘报告、公建配套计划表、规划设计方案总平面图、景观设计批复、白蚁防治公共服务受理单、廉租房移建费缴清通知单、二三期公安技防论证意见书、商品房销售承诺书、申报材料封面、申报材料目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公章（324）法人章（2）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关于工商银行按揭贷款额度提高限额的用印申请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按揭银行贷款项目申请审批表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        法人章（1）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关于江南农商行按揭贷款业务合作协议书的用印申请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个人商业用（住）房按揭贷款合作协议书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 xml:space="preserve">公章（4）             </w:t>
            </w:r>
          </w:p>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法人章（2）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关于补充华夏银行武进支行办理按揭准入所需资料的用印申请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B地块不动产权证书、土地出让金交款联系单、一期二标段第一批建筑工程施工许可证、一期二标段第二批建筑工程施工许可证、二三期建筑工程施工许可证、暂定资质证书、江苏省投资项目备案证、2019年度利润表、资产负债表、公司章程、袁聚宝身份证复印件、B地块建设用地规划许可证、一期建设工程规划许可证、核准工程明细表、二三期建设工程规划许可证、核准工程明细表、资产负债表、利润表、预售许可证、营业执照</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公章（38）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关于签订员工宿舍《房屋租赁合同》（澜月湾中心5幢2710室）</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房屋租赁合同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4"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一期一标段工程项目安全生产标准化自评表的用印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《工程项目安全生产标准化自评表》（一期一标段2020年6月）</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关于一期一标段厨卫间、阳台防水施工事宜的工程管理部通知单的用印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关于一期一标段厨卫间、阳台防水施工事宜的工程管理部通知单（编号：CZJNL01-1-TZ050）</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董事会会议通知的用印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董事会会议通知（关于2020年公司员工节点奖金方案的议案）</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公章（5）</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武进经济开发区四桥头东北角地块项目物品定制合同结算单的用印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武进经济开发区四桥头东北角地块项目物品定制合同结算单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武进经济开发区四桥头东北角地块项目活动执行类合同的用印</w:t>
            </w:r>
          </w:p>
        </w:tc>
        <w:tc>
          <w:tcPr>
            <w:tcW w:w="2609" w:type="dxa"/>
            <w:shd w:val="clear" w:color="auto" w:fill="auto"/>
            <w:tcMar>
              <w:top w:w="15" w:type="dxa"/>
              <w:left w:w="15" w:type="dxa"/>
              <w:right w:w="15" w:type="dxa"/>
            </w:tcMar>
            <w:vAlign w:val="center"/>
          </w:tcPr>
          <w:p>
            <w:pPr>
              <w:widowControl/>
              <w:tabs>
                <w:tab w:val="left" w:pos="725"/>
              </w:tabs>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武进经济开发区四桥头东北角地块项目活动执行类合同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常州江南里项目2020年6月份物料类确认单的用印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物料确认单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常州江南里项目现场营销中心绿植租赁合同的用印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常州江南里项目现场营销中心绿植租赁合同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二三期扬尘防治及工程质量整改完成报告书的用印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《建设工程扬尘防治整改完成报告书》、《工程质量整改完成报告》</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公章（7）</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2"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关于43#、49#房源解冻情况说明及申请主楼住宅部分预售许可的用印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关于43#、49#房源解冻情况说明、关于43#、49#商业裙房施工的情况说明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武进经济开发区四桥头东北角地块项目四、五期设计试桩合同的用印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武进经济开发区四桥头东北角地块项目四、五期桩基设计试桩合同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 xml:space="preserve">公章（30）   </w:t>
            </w:r>
          </w:p>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丹龙常州请【2020】13号-关于对财务负责人杨希中处理意见的请示的用印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丹龙常州请【2020】13号-关于对财务负责人杨希中处理意见的请示</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2"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关于员工《劳动合同》（张晓晴）及《专项附加扣除信息采集表》（张晓晴、董化成、王利利、李健）的用印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《劳动合同》（张晓晴）及《专项附加扣除信息采集表》（张晓晴、董化成、王利利、李健）</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关于5#共计1套商品房买卖合同、备案确认书、告知书、商品房预售资金托管三方协议的用印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合同章（32）法人章（12）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关于2#、22#共计2套商品房买卖合同、备案确认书、告知书、商品房预售资金托管三方协议的用印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合同章（64）法人章（24）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关于项目5#、24#、30#号楼新增共3套商品房《银行按揭贷款合同》的用印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公章（20）法人章（12）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关于项目2#、22#号楼新增共2套商品房《银行按揭贷款合同》的用印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公章（8）法人章（8）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关于1#、4#、22#、24#共计5套商品房买卖合同、备案确认书、告知书、商品房预售资金托管三方协议的用印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合同章（128）法人章（48）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关于项目1#、4#、19#、22#、24#、30#、40#号楼新增共7套商品房《银行按揭贷款合同》的用印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公章（28）法人章（28）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关于常州江南里项目推售二三期洋房43#楼认购协议的用印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常州江南里商品房认购协议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合同章（130）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2"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关于常州江南里项目再次加盖二三期洋房认筹协议的用印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认筹协议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合同章（130）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常州江南里项目二、三期建筑物防雷装置检测合同审批及用印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武进经济开发区四桥头东北角地块项目二、三期建筑物防雷装置检测合同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 xml:space="preserve">合同章（12）   </w:t>
            </w:r>
          </w:p>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法人章（6）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王玉佩</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花琴收入证明的用印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收入证明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关于常州江南里项目一期叠墅电梯排产通知单的用印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《常州江南里项目一期叠墅电梯排产通知单》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关于常州江南里项目一期39#楼样板房户内、电梯及公共部位照明临时用电施工联系单的用印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常州江南里项目一期39#楼样板房户内、电梯及公共部位照明临时用电施工的联系单（编号：CZJNL01-1-GCLXD021）</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关于一期一标段、二标段拆改加建工程工作联系函用印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关于一期一标段拆改加建工程工作联系函、关于一期二标段拆改加建工程工作联系函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 xml:space="preserve"> 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关于项目1#、3#、29#、43#、49#号楼新增共6套商品房买卖合同、备案确认书、告知书、商品房预售资金托管三方协议的用印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合同章（181）法人章（70）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关于二三期洋房42#、48#认筹协议的用印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常州江南里认筹协议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合同章（500）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关于项目43#、49#号楼新增共7套商品房买卖合同、备案确认书、告知书、商品房预售资金托管三方协议的用印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合同章（157）法人章（60）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关于项目43#、49#号楼新增共18套商品房买卖合同、备案确认书、告知书、商品房预售资金托管三方协议的用印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合同章（513）法人章（196）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关于项目43#、49#号楼新增共37套商品房买卖合同、备案确认书、告知书、商品房预售资金托管三方协议的用印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合同章（1159）法人章（440）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关于小高层A2、B1样板房及合院样板房软装部分灯具换款变更确认单的用印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《灯具换款工作联系函》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杨波</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垃圾运输委托协议书的用印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委托协议书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6"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武进经济开发区四桥头东北角地块项目广告物料制作安装协议的用印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武进经济开发区四桥头东北角地块项目广告物料制作安装协议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8"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武进经济开发区四桥头东北角地块项目广告物料制作安装协议的用印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武进经济开发区四桥头东北角地块项目广告物料制作安装协议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武进经济开发区四桥头东北角地块项目户外广告发布合同的用印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武进经济开发区四桥头东北角地块项目户外广告发布合同（高炮）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武进经济开发区四桥头东北角地块项目户外广告发布合同的用印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武进经济开发区四桥头东北角地块项目户外广告发布合同（中国银行楼顶）</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常州江南里项目2020年7月份印刷物料类确认单的用印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常州江南里2020年7印刷类物料结算单（华彩、东岗</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常州江南里项目2020年7月份户外类画面更换确认单的用印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常州江南里项目2020年7月份户外类画面更换确认单（延政路与湖滨路）</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二三期智能化设计联系单的用印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二三期智能化设计联系单CZJNL02-GCLXD004</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 xml:space="preserve">徐杰 </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一期一标基础与主体的分部工程质量验收记录的用印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地基与基础分部工程质量验收记录-39#、40#、44#、45#、地下车库；主体结构分部工程质量验收记录-39#、40#、44#、45#、地下车库</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公章（60）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关于二三期桩基检测选桩记录的用印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二三期桩基检测选桩记录-人防区域、二三期桩基检测选桩记录-抗拔桩</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公章（25）</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常州江南里项目营销中心物业开办物料结算单的用印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2020年5月物业物资类结算单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常州江南里项目2020年7月份物料类确认单的用印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常州江南里项目2020年7月份物料类确认单（绿杨路与菱香路围挡画面更换）</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常州江南里2020年4月物料类结算单的用印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常州江南里2020年4月常规物料结算单（常州华麒文化传媒有限公司）</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常州江南里2020年4月印刷物料结算单的用印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常州江南里2020年4月印刷类物料结算单（华彩、东岗）</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2"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关于48#房源解冻情况说明的用印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关于48#房源解冻的情况说明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关于43#、49#楼公积金准入材料的用印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市住房公积金个人贷款期房项目担保合作协议、建设用地规划许可证、建设工程规划许可证、建设工程施工许可证、国有土地使用证、商品房预售许可证、近期财务报表、项目申报调查登记表、商品房预售资金第三方托管合作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公章（136）法人章（6）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金美娟</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关于小股东要求提供财务复制件的回函的用印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关于小股东要求提供财务复制件的回函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关于绿城江南里项目新建环网柜的申请的用印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关于绿城江南里项目新建环网柜的申请、新设环网柜位置及线路的走向图</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关于常州江南里项目二三期36-38#、41#、46-47#楼洋房房价备案申请的用印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关于绿城江南里项目商品房备案价格的申请、月桂江南里项目项目成本申报表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关于39-丙-101商品房买卖合同备案注销申请表及解除合同协议书的用印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商品房买卖合同备案注销申请表、解除合同协议书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关于常州江南里项目一期低密合院6#、7#，叠墅13#、14#、15#、18#号楼认购协议的用印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常州江南里商品房认购协议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合同章（110）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关于项目28#、43#、49#号楼新增共38套商品房买卖合同、备案确认书、告知书、商品房预售资金托管三方协议的用印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合同章（802）法人章（306）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关于项目43#、49#号楼新增共7套商品房买卖合同、备案确认书、告知书、商品房预售资金托管三方协议的用印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合同章（192）法人章（76）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关于项目1#、23#、24#、28#、43#、49#号楼新增共59套商品房《银行按揭贷款合同》的用印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公章（252）法人章（208）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关于项目43#、49#号楼新增共2套商品房买卖合同、备案确认书、告知书、商品房预售资金托管三方协议的用印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合同章（64）法人章（24）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关于项目2#、4#、5#、49#号楼新增共4套商品房买卖合同、备案确认书、告知书、商品房预售资金托管三方协议的用印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合同章（128）法人章（48）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关于项目15#号楼新增共2套商品房买卖合同、备案确认书、告知书、商品房预售资金托管三方协议的用印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合同章（64）法人章（24）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关于项目2#、4#、5#、28#、29#、43#、49#号楼新增共10套商品房《银行按揭贷款合同》的用印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公章（48）法人章（40）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员工许沈龙《劳动合同》及《专项附加扣除信息采集表》的用印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许沈龙《劳动合同》及《专项附加扣除信息采集表》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成本管理部员工谢国忠离职证明的用印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谢国志离职证明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9"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《家具购销合同》的用印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《家具购销合同》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董事会会议通知的用印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董事会会议通知（关于2020年公司员工节点奖金方案的议案）</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关于股东会会议的通知</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丹龙置业常州有限公司股东会会议通知</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关于使用手填式三联收据以及机打式三联收据用印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机打收据400份（收据号19101101-19101500）、手写收据5本100份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财务章（1000）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关于办理二三期48号楼预售许可相关材料的用印申请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预售许可申请书、商品房预售许可申请表、暂定资质证书副本、营业执照副本、B地块不动产权登记证、、B地块不动产权登记证查询证明、土地出让合同、项目规划条件、投资项目备案证、B地块建设用地规划许可证、B地块建设用地规划许可证附图、二三期工程设计总平面图、48#规划分层平面图、48#建施平面图、二三期施工许可证、二三期工程施工合同、二三期48#工程进度计划、前期物业服务合同、商品房预售第三方托管协议、邮储商品房预售资金监管协议、邮储商品房预售资金监管证明、预售方案、商品房价格备案批复、商品房销售价目表、投资资金估算表及明细表、已投入开发建设资金发票、二三期面积测绘报告、公建配套计划表、规划设计方案总平面图、景观设计批复、白蚁防治公共服务受理单、廉租房移建费缴清通知单、二三期公安技防论证意见书、商品房销售承诺书、申报材料封面、申报材料目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公章（228）法人章（2）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二三期分包单位资质报审表的用印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《分包单位资质报审表》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关于一期一标段二季度第三方综合品质评估处罚事宜工程管理部通知单的用印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关于一期一标段二季度第三方综合品质评估处罚事宜工程管理部通知单（编号：CZJNL01-1-TZ051）</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二三期桩基工程技术核定单的用印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技术核定单》-地下车库桩基工程700#、716#桩做法核定、《技术核定单》-37#房西桩基工程91#、118#、35#桩做法核定、《技术核定单》-地下车库桩基工程685#桩做法核定、《技术核定单》-地下车库桩基工程463#桩做法核定、《技术核定单》-37#房桩基工程102#桩做法核定、《技术核定单》-37#桩基工程91#桩做法核定</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工程章（48）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关于一期二标飞检通知单的用印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工程部通知单CZJNL01-2-TZ022</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孙江波</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常州江南里项目线上开盘活动执行合同的用印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常州江南里项目线上开盘活动执行合同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常州江南里项目43#、49#开盘物业支援人员费用确认的用印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工作联系单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关于调整2020年下半年经营计划的报告</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关于调整2020年下半年经营计划的报告（2020-CZ011）、关于调整2020年下半年经营计划的报告（丹龙常州请【2020】14号）</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关于办理B地块不动产登记簿查询证明用印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介绍信、营业执照（副本）、不动产权证书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夏宇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关于常州市武进区夜间施工证明书的用印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《常州市武进区夜间施工证明书》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关于购买办公设备的合同用印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产品销售合同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常州江南里2020年5月印刷物料结算单的用印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常州江南里2020年5月印刷类物料结算单（华彩、东岗）</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常州江南里项目2020年7月份印刷物料类确认单的用印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常州江南里项目2020年7月份印刷物料类确认单-东岗（A5两联单、洋房折页）</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关于项目15#、18#、49#号楼新增共6套商品房《银行按揭贷款合同》的用印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公章（32）法人章（24）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关于项目15#、18#号楼新增共4套商品房买卖合同、备案确认书、告知书、商品房预售资金托管三方协议的用印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合同章（120）法人章（46）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关于项目13#、14#、15#、18#、43#号楼新增共10套商品房买卖合同、备案确认书、告知书、商品房预售资金托管三方协议的用印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合同章（288）法人章（112）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关于项目13#、15#、43#号楼新增共3套商品房《银行按揭贷款合同》的用印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公章（12）法人章（12）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关于项目13#、14#、15#、49#号楼新增共9套商品房买卖合同、备案确认书、告知书、商品房预售资金托管三方协议的用印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合同章（277）法人章（106）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关于项目13#、14#、15#、18#、49#号楼新增共13套商品房《银行按揭贷款合同》的用印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公章（44）法人章（28）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关于项目二三期洋房43#，一期低密叠墅13#、14#、15#、18#号楼前期物业服务协议的用印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前期物业服务协议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合同章（300）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关于项目14#、15#、18#、43#号楼新增共4套商品房买卖合同、备案确认书、告知书、商品房预售资金托管三方协议的用印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合同章（120）法人章（46）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关于项目1#、13#、14#号楼新增共4套商品房买卖合同、备案确认书、告知书、商品房预售资金托管三方协议的用印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合同章（96）法人章（36）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关于常州江南里项目推售二三期洋房48#楼认购协议的用印申请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常州江南里商品房认购协议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合同章（140）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常州江南里项目B地块标识标牌设计制作安装工程合同的用印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常州江南里项目B地块标识标牌设计制作安装工程合同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 xml:space="preserve">公章（24）   </w:t>
            </w:r>
          </w:p>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法人章（18）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二三期分包单位资质报审表的用印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《分包单位资质报审表》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《工程管理部通知单》（CZJNL02-TZ007）</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工程项目安全生产标准化自评表的用印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《工程项目安全生产标准化自评表》（一期一标段2020年7月）、《工程项目安全生产标准化自评表》（二三期2020年7月）</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工程项目安全生产标准化自评表的用印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工程项目安全生产标准化自评表》（一期二标段2020年7月）</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工程项目航拍流转单的用印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项目航拍流转单》（2020年1月14日、2020年1月19日、2020年3月8日、2020年3月18日、2020年3月30日、2020年4月10日、2020年4月17日、2020年4月23日、2020年4月29日、2020年5月8日、2020年5月15日、2020年5月22日、2020年5月28日、2020年6月4日、2020年6月11日、2020年6月19日、2020年6月26日、2020年7月3日、2020年7月10日、2020年7月16日）</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工程章（40）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2020年7月30日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关于常州市武进区夜间施工证明书的用印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《常州市武进区夜间施工证明书》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关于支付代建服务费用申请的盖章</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关于支付代建服务费的申请（丹龙常州请[2020]16号）</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一期营销中心精装修工程关于《工程款支付报审表》的用印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工程章（1）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杨波</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关于项目13#、15#号楼新增共2套商品房买卖合同、备案确认书、告知书、商品房预售资金托管三方协议的用印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合同章（56）法人章（22）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关于项目13#、14#、18#、43#、49#号楼新增共8套商品房《银行按揭贷款合同》的用印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 xml:space="preserve">公章（16）   </w:t>
            </w:r>
          </w:p>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法人章（16）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2020年7月31日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关于项目1#、18#、43#号楼新增共3套商品房买卖合同、备案确认书、告知书、商品房预售资金托管三方协议的用印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合同章（64）法人章（24）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ascii="Arial" w:hAnsi="Arial" w:cs="Arial" w:eastAsiaTheme="minorEastAsia"/>
                <w:bCs/>
                <w:color w:val="000000"/>
                <w:kern w:val="0"/>
                <w:sz w:val="18"/>
                <w:szCs w:val="18"/>
              </w:rPr>
              <w:t>袁聚宝OA</w:t>
            </w:r>
          </w:p>
        </w:tc>
      </w:tr>
    </w:tbl>
    <w:p>
      <w:pPr>
        <w:rPr>
          <w:rFonts w:ascii="Arial" w:hAnsi="Arial" w:cs="Arial"/>
          <w:color w:val="000000"/>
          <w:sz w:val="24"/>
        </w:rPr>
      </w:pPr>
    </w:p>
    <w:p>
      <w:pPr>
        <w:rPr>
          <w:rFonts w:ascii="Arial" w:hAnsi="Arial" w:cs="Arial"/>
          <w:color w:val="000000"/>
          <w:sz w:val="24"/>
        </w:rPr>
      </w:pPr>
      <w:r>
        <w:rPr>
          <w:rFonts w:ascii="Arial" w:hAnsi="Arial" w:cs="Arial"/>
          <w:color w:val="000000"/>
          <w:sz w:val="24"/>
        </w:rPr>
        <w:t>（转下页）</w:t>
      </w:r>
    </w:p>
    <w:p>
      <w:pPr>
        <w:rPr>
          <w:rFonts w:ascii="Arial" w:hAnsi="Arial" w:cs="Arial"/>
          <w:color w:val="000000"/>
          <w:sz w:val="24"/>
        </w:rPr>
      </w:pPr>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72" w:name="_Toc9261"/>
      <w:r>
        <w:rPr>
          <w:rFonts w:hint="eastAsia" w:ascii="Arial" w:hAnsi="Arial" w:cs="Arial"/>
          <w:color w:val="000000"/>
          <w:sz w:val="24"/>
          <w:szCs w:val="24"/>
        </w:rPr>
        <w:t>7</w:t>
      </w:r>
      <w:r>
        <w:rPr>
          <w:rFonts w:ascii="Arial" w:hAnsi="Arial" w:cs="Arial"/>
          <w:color w:val="000000"/>
          <w:sz w:val="24"/>
          <w:szCs w:val="24"/>
        </w:rPr>
        <w:t>合同签订情况</w:t>
      </w:r>
      <w:bookmarkEnd w:id="72"/>
    </w:p>
    <w:p>
      <w:pPr>
        <w:spacing w:line="480" w:lineRule="auto"/>
        <w:ind w:firstLine="420" w:firstLineChars="200"/>
        <w:jc w:val="left"/>
        <w:rPr>
          <w:rFonts w:ascii="Arial" w:hAnsi="Arial" w:cs="Arial"/>
          <w:bCs/>
          <w:kern w:val="44"/>
          <w:szCs w:val="21"/>
        </w:rPr>
      </w:pPr>
      <w:r>
        <w:rPr>
          <w:rFonts w:ascii="Arial" w:hAnsi="Arial" w:cs="Arial" w:eastAsiaTheme="minorEastAsia"/>
          <w:color w:val="000000"/>
          <w:szCs w:val="21"/>
        </w:rPr>
        <w:t>2020年7月项目公司共签订了16份合同，其中3份行政类合同，13份营销类合同，具体情况如下表</w:t>
      </w:r>
      <w:r>
        <w:rPr>
          <w:rFonts w:ascii="Arial" w:hAnsi="Arial" w:cs="Arial"/>
          <w:bCs/>
          <w:kern w:val="44"/>
          <w:szCs w:val="21"/>
        </w:rPr>
        <w:t>：</w:t>
      </w:r>
    </w:p>
    <w:p>
      <w:pPr>
        <w:spacing w:before="240" w:beforeLines="100"/>
        <w:jc w:val="center"/>
        <w:rPr>
          <w:rFonts w:ascii="Arial" w:hAnsi="Arial" w:cs="Arial"/>
          <w:b/>
          <w:color w:val="000000"/>
          <w:sz w:val="24"/>
        </w:rPr>
      </w:pPr>
      <w:r>
        <w:rPr>
          <w:rFonts w:ascii="Arial" w:hAnsi="Arial" w:cs="Arial"/>
          <w:b/>
          <w:color w:val="000000"/>
          <w:sz w:val="24"/>
        </w:rPr>
        <w:t>2020年7月合同签订情况表</w:t>
      </w:r>
    </w:p>
    <w:tbl>
      <w:tblPr>
        <w:tblStyle w:val="13"/>
        <w:tblW w:w="9321" w:type="dxa"/>
        <w:tblInd w:w="0" w:type="dxa"/>
        <w:tblLayout w:type="fixed"/>
        <w:tblCellMar>
          <w:top w:w="0" w:type="dxa"/>
          <w:left w:w="0" w:type="dxa"/>
          <w:bottom w:w="0" w:type="dxa"/>
          <w:right w:w="0" w:type="dxa"/>
        </w:tblCellMar>
      </w:tblPr>
      <w:tblGrid>
        <w:gridCol w:w="1499"/>
        <w:gridCol w:w="2057"/>
        <w:gridCol w:w="1729"/>
        <w:gridCol w:w="2754"/>
        <w:gridCol w:w="1282"/>
      </w:tblGrid>
      <w:tr>
        <w:tblPrEx>
          <w:tblCellMar>
            <w:top w:w="0" w:type="dxa"/>
            <w:left w:w="0" w:type="dxa"/>
            <w:bottom w:w="0" w:type="dxa"/>
            <w:right w:w="0" w:type="dxa"/>
          </w:tblCellMar>
        </w:tblPrEx>
        <w:trPr>
          <w:cantSplit/>
          <w:trHeight w:val="450" w:hRule="atLeast"/>
          <w:tblHeader/>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签约日期</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对方单位</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合同文件名称</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合同内容</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合同金额（元）</w:t>
            </w:r>
          </w:p>
        </w:tc>
      </w:tr>
      <w:tr>
        <w:tblPrEx>
          <w:tblCellMar>
            <w:top w:w="0" w:type="dxa"/>
            <w:left w:w="0" w:type="dxa"/>
            <w:bottom w:w="0" w:type="dxa"/>
            <w:right w:w="0" w:type="dxa"/>
          </w:tblCellMar>
        </w:tblPrEx>
        <w:trPr>
          <w:cantSplit/>
          <w:trHeight w:val="112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常州网融网络科技有限公司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武进经济开发区四桥头东北角地块项目网络类广告发布合同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甲方委托乙方在365淘房上进行网络广告发布，服务期限2020.6.16-2020.7.15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49,800.00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常州凯迪广告有限公司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武进经济开发区四桥头东北角地块项目广告物料制作安装协议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甲方委托乙方承担武进经济开发区四桥头东北角地块项目外部门头及铁皮围挡制作及安装，有效期为2020.6.20-2020.7.4</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46,000.00</w:t>
            </w:r>
          </w:p>
        </w:tc>
      </w:tr>
      <w:tr>
        <w:tblPrEx>
          <w:tblCellMar>
            <w:top w:w="0" w:type="dxa"/>
            <w:left w:w="0" w:type="dxa"/>
            <w:bottom w:w="0" w:type="dxa"/>
            <w:right w:w="0" w:type="dxa"/>
          </w:tblCellMar>
        </w:tblPrEx>
        <w:trPr>
          <w:cantSplit/>
          <w:trHeight w:val="4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杭州蓝国科技有限公司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常州江南里广告营销策划服务合同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乙方全方面负责该项目的广告创意、文案内容、平面设计、形象推广策略等的制定与执行。服务期限2020.6.20-2021.1.5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585,000.00</w:t>
            </w:r>
          </w:p>
        </w:tc>
      </w:tr>
      <w:tr>
        <w:tblPrEx>
          <w:tblCellMar>
            <w:top w:w="0" w:type="dxa"/>
            <w:left w:w="0" w:type="dxa"/>
            <w:bottom w:w="0" w:type="dxa"/>
            <w:right w:w="0" w:type="dxa"/>
          </w:tblCellMar>
        </w:tblPrEx>
        <w:trPr>
          <w:cantSplit/>
          <w:trHeight w:val="1052"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常州广视传媒有限公司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武进经济开发区四桥头东北角地块项目电视/电台类广告发布合同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甲方委托乙方发布电视、电台类广告，服务期限为2020.6.15-2020.6.30</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50,000.00</w:t>
            </w:r>
          </w:p>
        </w:tc>
      </w:tr>
      <w:tr>
        <w:tblPrEx>
          <w:tblCellMar>
            <w:top w:w="0" w:type="dxa"/>
            <w:left w:w="0" w:type="dxa"/>
            <w:bottom w:w="0" w:type="dxa"/>
            <w:right w:w="0" w:type="dxa"/>
          </w:tblCellMar>
        </w:tblPrEx>
        <w:trPr>
          <w:cantSplit/>
          <w:trHeight w:val="9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常州初见信息科技有限公司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武进经济开发区四桥头东北角地块项目网络类广告发布合同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乙方为甲方在微信朋友圈上发布网络广告，服务期限为2020.6.16-2020.6.30</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30,000.00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2020年7月6日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吕和娣、毛洪良</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房屋租赁合同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甲方租用乙方位于澜月湾中心5幢2710室为员工宿舍，租房期限为2020.7.1-2021.6.30，2100元/月，中介费1000元，押金2100元</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25,200.00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2020年7月8日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常州合利广告策划有限公司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武进经济开发区四桥头东北角地块项目活动执行类合同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甲方委托乙方进行活动策划及执行管理，服务期限为2020.6.25-2020.7.15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45,000.00</w:t>
            </w:r>
          </w:p>
        </w:tc>
      </w:tr>
      <w:tr>
        <w:tblPrEx>
          <w:tblCellMar>
            <w:top w:w="0" w:type="dxa"/>
            <w:left w:w="0" w:type="dxa"/>
            <w:bottom w:w="0" w:type="dxa"/>
            <w:right w:w="0" w:type="dxa"/>
          </w:tblCellMar>
        </w:tblPrEx>
        <w:trPr>
          <w:cantSplit/>
          <w:trHeight w:val="13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2020年7月8日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钟楼区北港花无缺花艺中心</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常州江南里项目现场营销中心绿植租赁合同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2020年6月20日至2021年6月20日为营销中心提供3绿植，每年两次重大节点或节日对营销中心内花木进行品牌更换并免费增加不超过20盆花木且定期保养、管理、更换</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39,480.00</w:t>
            </w:r>
          </w:p>
        </w:tc>
      </w:tr>
      <w:tr>
        <w:tblPrEx>
          <w:tblCellMar>
            <w:top w:w="0" w:type="dxa"/>
            <w:left w:w="0" w:type="dxa"/>
            <w:bottom w:w="0" w:type="dxa"/>
            <w:right w:w="0" w:type="dxa"/>
          </w:tblCellMar>
        </w:tblPrEx>
        <w:trPr>
          <w:cantSplit/>
          <w:trHeight w:val="62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2020年7月17日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常州和平环卫服务有限公司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委托协议书</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乙方为甲方项目营销中心进行垃圾清理，服务期限2020.7.4-2020.7.3</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7,200.00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2020年7月17日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常州天悦文化传媒有限公司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武进经济开发区四桥头东北角地块项目广告物料制作安装协议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乙方承担武进经济开发区四桥头东北角地块项目洋房样板房看房通道设计、制作及安装；服务期限2020.7.7-2020.7.18</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263,000.00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2020年7月17日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常州大宋文化传媒有限公司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武进经济开发区四桥头东北角地块项目广告物料制作安装协议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乙方承担武进经济开发区四桥头东北角地块项目西南角围挡整改；服务期限2020.6.10-2020.6.13</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2020年7月17日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江苏天人合一传媒有限公司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武进经济开发区四桥头东北角地块项目户外广告发布合同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甲方委托乙方在武进区武宜路武进大桥旁高炮广告牌发布户外画面类广告和户外媒体上发布甲方及甲方指定经营品牌的广告，合同期限2020年7月7日至2020年10月7日，共计3个月</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165,000.00</w:t>
            </w:r>
          </w:p>
        </w:tc>
      </w:tr>
      <w:tr>
        <w:tblPrEx>
          <w:tblCellMar>
            <w:top w:w="0" w:type="dxa"/>
            <w:left w:w="0" w:type="dxa"/>
            <w:bottom w:w="0" w:type="dxa"/>
            <w:right w:w="0" w:type="dxa"/>
          </w:tblCellMar>
        </w:tblPrEx>
        <w:trPr>
          <w:cantSplit/>
          <w:trHeight w:val="90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2020年7月17日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江苏九仰文化传媒有限公司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武进经济开发区四桥头东北角地块项目户外广告发布合同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甲方委托乙方在武进湖塘花园街与广电路交叉口西北角中国银行楼顶上发布广告，规格：30.1m*5.7m，后续画面更换25元/㎡，合同期限2020年7月8日至2020年10月8日，共计3个月</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187,500.00</w:t>
            </w:r>
          </w:p>
        </w:tc>
      </w:tr>
      <w:tr>
        <w:tblPrEx>
          <w:tblCellMar>
            <w:top w:w="0" w:type="dxa"/>
            <w:left w:w="0" w:type="dxa"/>
            <w:bottom w:w="0" w:type="dxa"/>
            <w:right w:w="0" w:type="dxa"/>
          </w:tblCellMar>
        </w:tblPrEx>
        <w:trPr>
          <w:cantSplit/>
          <w:trHeight w:val="46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常州市华旺家具有限公司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家具购销合同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乙方为甲方提供办公桌、办公椅等家具</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15,730.00</w:t>
            </w:r>
          </w:p>
        </w:tc>
      </w:tr>
      <w:tr>
        <w:tblPrEx>
          <w:tblCellMar>
            <w:top w:w="0" w:type="dxa"/>
            <w:left w:w="0" w:type="dxa"/>
            <w:bottom w:w="0" w:type="dxa"/>
            <w:right w:w="0" w:type="dxa"/>
          </w:tblCellMar>
        </w:tblPrEx>
        <w:trPr>
          <w:cantSplit/>
          <w:trHeight w:val="51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浙江绿城家网络科技有限公司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常州江南里项目线上开盘活动执行合同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甲方委托乙方组织江南里项目小高层线上开盘活动</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45,000.00</w:t>
            </w:r>
          </w:p>
        </w:tc>
      </w:tr>
      <w:tr>
        <w:tblPrEx>
          <w:tblCellMar>
            <w:top w:w="0" w:type="dxa"/>
            <w:left w:w="0" w:type="dxa"/>
            <w:bottom w:w="0" w:type="dxa"/>
            <w:right w:w="0" w:type="dxa"/>
          </w:tblCellMar>
        </w:tblPrEx>
        <w:trPr>
          <w:cantSplit/>
          <w:trHeight w:val="81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2020年7月28日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常州国港商贸有限公司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产品销售合同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供方为常州江南里营销中心提供投影仪、无线同屏器、拖线板、辅材、等办公用品，并负责调试安装</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6,550.00</w:t>
            </w:r>
          </w:p>
        </w:tc>
      </w:tr>
    </w:tbl>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themeColor="text1"/>
          <w:sz w:val="24"/>
          <w:szCs w:val="24"/>
          <w14:textFill>
            <w14:solidFill>
              <w14:schemeClr w14:val="tx1"/>
            </w14:solidFill>
          </w14:textFill>
        </w:rPr>
      </w:pPr>
      <w:bookmarkStart w:id="73" w:name="_Toc10385"/>
      <w:r>
        <w:rPr>
          <w:rFonts w:hint="eastAsia" w:ascii="Arial" w:hAnsi="Arial" w:cs="Arial"/>
          <w:color w:val="000000" w:themeColor="text1"/>
          <w:sz w:val="24"/>
          <w:szCs w:val="24"/>
          <w14:textFill>
            <w14:solidFill>
              <w14:schemeClr w14:val="tx1"/>
            </w14:solidFill>
          </w14:textFill>
        </w:rPr>
        <w:t>8</w:t>
      </w:r>
      <w:r>
        <w:rPr>
          <w:rFonts w:ascii="Arial" w:hAnsi="Arial" w:cs="Arial"/>
          <w:color w:val="000000" w:themeColor="text1"/>
          <w:sz w:val="24"/>
          <w:szCs w:val="24"/>
          <w14:textFill>
            <w14:solidFill>
              <w14:schemeClr w14:val="tx1"/>
            </w14:solidFill>
          </w14:textFill>
        </w:rPr>
        <w:t>资金结算</w:t>
      </w:r>
      <w:bookmarkEnd w:id="73"/>
    </w:p>
    <w:p>
      <w:pPr>
        <w:pStyle w:val="3"/>
        <w:keepNext w:val="0"/>
        <w:keepLines w:val="0"/>
        <w:tabs>
          <w:tab w:val="center" w:pos="4649"/>
        </w:tabs>
        <w:spacing w:before="300" w:after="300" w:line="360" w:lineRule="exact"/>
        <w:jc w:val="left"/>
        <w:rPr>
          <w:rFonts w:eastAsia="宋体" w:cs="Arial"/>
        </w:rPr>
      </w:pPr>
      <w:bookmarkStart w:id="74" w:name="_Toc29855"/>
      <w:r>
        <w:rPr>
          <w:rFonts w:hint="eastAsia" w:eastAsia="宋体" w:cs="Arial"/>
          <w:sz w:val="24"/>
        </w:rPr>
        <w:t>8</w:t>
      </w:r>
      <w:r>
        <w:rPr>
          <w:rFonts w:eastAsia="宋体" w:cs="Arial"/>
          <w:sz w:val="24"/>
        </w:rPr>
        <w:t>.1</w:t>
      </w:r>
      <w:r>
        <w:rPr>
          <w:rFonts w:cs="Arial" w:eastAsiaTheme="minorEastAsia"/>
          <w:kern w:val="44"/>
          <w:sz w:val="24"/>
          <w:szCs w:val="24"/>
        </w:rPr>
        <w:t>丹龙置业常州有限公司各资金账户流量情况</w:t>
      </w:r>
      <w:bookmarkEnd w:id="74"/>
    </w:p>
    <w:p>
      <w:pPr>
        <w:spacing w:line="480" w:lineRule="auto"/>
        <w:ind w:firstLine="420" w:firstLineChars="200"/>
        <w:rPr>
          <w:rFonts w:ascii="Arial" w:hAnsi="Arial" w:cs="Arial"/>
          <w:bCs/>
          <w:kern w:val="44"/>
          <w:szCs w:val="21"/>
        </w:rPr>
      </w:pPr>
      <w:r>
        <w:rPr>
          <w:rFonts w:ascii="Arial" w:hAnsi="Arial" w:cs="Arial"/>
          <w:bCs/>
          <w:kern w:val="44"/>
          <w:szCs w:val="21"/>
        </w:rPr>
        <w:t xml:space="preserve">2020年7月项目公司资金流出合计204,982,316.63元，其中204,982,301.03元发生在中国银行常州武进支行的基本户中，12.00元发生在南京银行一般户中,3.60元发生在江南银行一般户中；截至2020年7月31日，项目公司各资金账户余额情况见下表。各账户资金流量情况详见银行对账单（附件一）。       </w:t>
      </w:r>
    </w:p>
    <w:p>
      <w:pPr>
        <w:spacing w:before="240" w:beforeLines="100"/>
        <w:jc w:val="center"/>
        <w:rPr>
          <w:rFonts w:ascii="Arial" w:hAnsi="Arial" w:cs="Arial"/>
          <w:b/>
          <w:color w:val="000000"/>
          <w:sz w:val="24"/>
        </w:rPr>
      </w:pPr>
      <w:bookmarkStart w:id="75" w:name="_Toc30582"/>
      <w:bookmarkStart w:id="76" w:name="_Toc5956"/>
      <w:r>
        <w:rPr>
          <w:rFonts w:ascii="Arial" w:hAnsi="Arial" w:cs="Arial"/>
          <w:b/>
          <w:color w:val="000000"/>
          <w:sz w:val="24"/>
        </w:rPr>
        <w:t>截至2020年7月31日项目公司各资金账户余额情况表</w:t>
      </w:r>
      <w:bookmarkEnd w:id="75"/>
      <w:bookmarkEnd w:id="76"/>
    </w:p>
    <w:tbl>
      <w:tblPr>
        <w:tblStyle w:val="13"/>
        <w:tblW w:w="9072" w:type="dxa"/>
        <w:tblInd w:w="0" w:type="dxa"/>
        <w:tblLayout w:type="fixed"/>
        <w:tblCellMar>
          <w:top w:w="0" w:type="dxa"/>
          <w:left w:w="0" w:type="dxa"/>
          <w:bottom w:w="0" w:type="dxa"/>
          <w:right w:w="0" w:type="dxa"/>
        </w:tblCellMar>
      </w:tblPr>
      <w:tblGrid>
        <w:gridCol w:w="3040"/>
        <w:gridCol w:w="944"/>
        <w:gridCol w:w="2346"/>
        <w:gridCol w:w="1648"/>
        <w:gridCol w:w="1094"/>
      </w:tblGrid>
      <w:tr>
        <w:tblPrEx>
          <w:tblCellMar>
            <w:top w:w="0" w:type="dxa"/>
            <w:left w:w="0" w:type="dxa"/>
            <w:bottom w:w="0" w:type="dxa"/>
            <w:right w:w="0" w:type="dxa"/>
          </w:tblCellMar>
        </w:tblPrEx>
        <w:trPr>
          <w:trHeight w:val="285" w:hRule="atLeast"/>
          <w:tblHeader/>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kern w:val="0"/>
                <w:sz w:val="18"/>
                <w:szCs w:val="18"/>
              </w:rPr>
              <w:t>230,683,705.71</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kern w:val="0"/>
                <w:sz w:val="18"/>
                <w:szCs w:val="18"/>
              </w:rPr>
              <w:t>225.07</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6,706,033.12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65,789,791.48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403"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98,545,717.05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rPr>
              <w:t>预售资金</w:t>
            </w: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70" w:hRule="atLeast"/>
        </w:trPr>
        <w:tc>
          <w:tcPr>
            <w:tcW w:w="633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401,725,472.43</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r>
    </w:tbl>
    <w:p>
      <w:pPr>
        <w:spacing w:line="480" w:lineRule="auto"/>
        <w:ind w:firstLine="420" w:firstLineChars="200"/>
        <w:rPr>
          <w:rFonts w:ascii="Arial" w:hAnsi="Arial" w:cs="Arial"/>
          <w:bCs/>
          <w:kern w:val="44"/>
          <w:szCs w:val="21"/>
        </w:rPr>
      </w:pPr>
    </w:p>
    <w:bookmarkEnd w:id="56"/>
    <w:bookmarkEnd w:id="57"/>
    <w:bookmarkEnd w:id="58"/>
    <w:bookmarkEnd w:id="59"/>
    <w:bookmarkEnd w:id="60"/>
    <w:p>
      <w:pPr>
        <w:pStyle w:val="3"/>
        <w:keepNext w:val="0"/>
        <w:keepLines w:val="0"/>
        <w:spacing w:before="300" w:after="300" w:line="360" w:lineRule="exact"/>
        <w:jc w:val="left"/>
        <w:rPr>
          <w:rFonts w:eastAsia="宋体" w:cs="Arial"/>
          <w:sz w:val="24"/>
        </w:rPr>
      </w:pPr>
      <w:bookmarkStart w:id="77" w:name="_Toc29874"/>
      <w:bookmarkStart w:id="78" w:name="_Toc19007753"/>
      <w:bookmarkStart w:id="79" w:name="_Toc535570758"/>
      <w:bookmarkStart w:id="80" w:name="_Toc535580099"/>
      <w:bookmarkStart w:id="81" w:name="_Toc535508644"/>
      <w:bookmarkStart w:id="82" w:name="_Toc535580031"/>
      <w:bookmarkStart w:id="83" w:name="_Toc535580029"/>
      <w:bookmarkStart w:id="84" w:name="_Toc535580097"/>
      <w:bookmarkStart w:id="85" w:name="_Toc532281663"/>
      <w:bookmarkStart w:id="86" w:name="_Toc411430359"/>
      <w:bookmarkStart w:id="87" w:name="_Toc535508642"/>
      <w:bookmarkStart w:id="88" w:name="_Toc5700907"/>
      <w:bookmarkStart w:id="89" w:name="_Toc373309851"/>
      <w:bookmarkStart w:id="90" w:name="_Toc535570756"/>
      <w:r>
        <w:rPr>
          <w:rFonts w:hint="eastAsia" w:eastAsia="宋体" w:cs="Arial"/>
          <w:sz w:val="24"/>
        </w:rPr>
        <w:t>8</w:t>
      </w:r>
      <w:r>
        <w:rPr>
          <w:rFonts w:eastAsia="宋体" w:cs="Arial"/>
          <w:sz w:val="24"/>
        </w:rPr>
        <w:t>.2</w:t>
      </w:r>
      <w:r>
        <w:rPr>
          <w:rFonts w:cs="Arial" w:eastAsiaTheme="minorEastAsia"/>
          <w:kern w:val="44"/>
          <w:sz w:val="24"/>
          <w:szCs w:val="24"/>
        </w:rPr>
        <w:t>收取各类保证金余额</w:t>
      </w:r>
      <w:r>
        <w:rPr>
          <w:rFonts w:eastAsia="宋体" w:cs="Arial"/>
          <w:sz w:val="24"/>
        </w:rPr>
        <w:t>情况</w:t>
      </w:r>
      <w:bookmarkEnd w:id="77"/>
      <w:bookmarkEnd w:id="78"/>
    </w:p>
    <w:bookmarkEnd w:id="79"/>
    <w:bookmarkEnd w:id="80"/>
    <w:bookmarkEnd w:id="81"/>
    <w:bookmarkEnd w:id="82"/>
    <w:p>
      <w:pPr>
        <w:spacing w:line="480" w:lineRule="auto"/>
        <w:ind w:firstLine="420" w:firstLineChars="200"/>
        <w:rPr>
          <w:rFonts w:ascii="Arial" w:hAnsi="Arial" w:cs="Arial" w:eastAsiaTheme="minorEastAsia"/>
          <w:color w:val="000000"/>
          <w:szCs w:val="21"/>
        </w:rPr>
      </w:pPr>
      <w:r>
        <w:rPr>
          <w:rFonts w:ascii="Arial" w:hAnsi="Arial" w:cs="Arial" w:eastAsiaTheme="minorEastAsia"/>
          <w:color w:val="000000"/>
          <w:szCs w:val="21"/>
        </w:rPr>
        <w:t>项目公司2020年7月份收到武进经济开发区四桥头东北角地块项目一期35#、50#楼（营销中心）、合院及叠墅样板区景观工程协议书履约保证金899,643.65元、武进经济开发区四桥头东北角地块项目一期样板区古建工程协议书履约保证金587,902.68元、项目二三期建设工程监理合同履约保证金保证金322,258.30元，截止到2020年7月31日，项目公司共收取保证金53,449,519.82元，共退还2,440,000.00元，保证金余额51,009,519.82元。该资金具体情况如下表：</w:t>
      </w:r>
    </w:p>
    <w:p>
      <w:pPr>
        <w:spacing w:before="240" w:beforeLines="100"/>
        <w:jc w:val="center"/>
        <w:rPr>
          <w:rFonts w:ascii="Arial" w:hAnsi="Arial" w:cs="Arial"/>
          <w:b/>
          <w:color w:val="000000"/>
          <w:sz w:val="24"/>
        </w:rPr>
      </w:pPr>
      <w:bookmarkStart w:id="91" w:name="_Toc26480"/>
      <w:bookmarkStart w:id="92" w:name="_Toc25505"/>
      <w:r>
        <w:rPr>
          <w:rFonts w:ascii="Arial" w:hAnsi="Arial" w:cs="Arial"/>
          <w:b/>
          <w:color w:val="000000"/>
          <w:sz w:val="24"/>
        </w:rPr>
        <w:t>保证金基本情况表</w:t>
      </w:r>
      <w:bookmarkEnd w:id="91"/>
      <w:bookmarkEnd w:id="92"/>
    </w:p>
    <w:tbl>
      <w:tblPr>
        <w:tblStyle w:val="13"/>
        <w:tblW w:w="9502" w:type="dxa"/>
        <w:tblInd w:w="-96" w:type="dxa"/>
        <w:tblLayout w:type="fixed"/>
        <w:tblCellMar>
          <w:top w:w="0" w:type="dxa"/>
          <w:left w:w="0" w:type="dxa"/>
          <w:bottom w:w="0" w:type="dxa"/>
          <w:right w:w="0" w:type="dxa"/>
        </w:tblCellMar>
      </w:tblPr>
      <w:tblGrid>
        <w:gridCol w:w="3697"/>
        <w:gridCol w:w="1377"/>
        <w:gridCol w:w="1254"/>
        <w:gridCol w:w="1621"/>
        <w:gridCol w:w="1553"/>
      </w:tblGrid>
      <w:tr>
        <w:tblPrEx>
          <w:tblCellMar>
            <w:top w:w="0" w:type="dxa"/>
            <w:left w:w="0" w:type="dxa"/>
            <w:bottom w:w="0" w:type="dxa"/>
            <w:right w:w="0" w:type="dxa"/>
          </w:tblCellMar>
        </w:tblPrEx>
        <w:trPr>
          <w:trHeight w:val="555" w:hRule="atLeast"/>
          <w:tblHeader/>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保证金明细</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退还金额</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入账日期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退还日期</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常州机械施工一期桩基工程投标保证金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江苏康建一期桩基工程投标保证金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江苏盐城二建一期桩基工程投标保证金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常州市精益建筑一期桩基工程投标保证金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常州春秋华城一期土方工程投标保证金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常州市佳亚一期土方工程投标保证金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2019年7月3日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常州尊鼎一期土方工程投标保证金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常州市热辉一期土方工程投标保证金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常州市安贞一期材料检测工程投标保证金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常州市建筑材料一期材料检测工程投标保证金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常州华厦一期材料检测工程投标保证金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常州市建筑科学一期材料检测工程投标保证金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杭州正大装饰品牌生活体验馆投标保证金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苏州金螳螂市区品牌生活体验馆投标保证金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常州市新阳光一期监理工程投标保证金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江苏龙城一期监理工程投标保证金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常州常建一期监理工程投标保证金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常州市江南建设一期监理工程投标保证金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江苏安厦一期监理工程投标保证金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上海思过半市区品牌生活体验馆软装投标保证金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上海易鲁市区品牌生活体验馆软装投标保证金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广州集美组市区品牌生活体验馆软装投标保证金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北京安悦宅市区品牌生活体验馆软装投标保证金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2017年11月30日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浙江蓝城项目会所及一期样板房精装修投标保证金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北京泛亚项目会所及一期样板房精装修投标保证金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绿城装饰项目会所及一期样板房精装修投标保证金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常州市基础工程投标保证金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常嘉建设集团投标保证金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常州市中元建设投标保证金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江苏东方建设项目一期一标段监理履约保证金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231,000.00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2019年9月3日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上海世家装饰实业股份有限公司会所古建投标保证金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2019年10月24日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广厦东阳古建园林工程有限公司会所古建投标保证金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2019年12月26日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江苏东方建设管理有限公司一期二标段履约保证金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97,500.00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2019年11月14日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浙江绿驰景观工程有限公司投标保证金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苏州太湖古典园林建筑有限公司景观投标保证金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江苏城建校工程咨询有限公司投标保证金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2019年12月19日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2020年6月23日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江苏安邦南汇工程咨询有限公司投标保证金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江苏武晋工程咨询有限公司投标保证金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江苏城东建设工程有限公司一期二标段总包履约保证金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8,912,393.05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2020年1月13日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苏州苏园古建园林有限公司投标保证金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江苏江都古典园林建设有限公司投标保证金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江苏恒达利能机电设备工程有限公司履约保证金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2020年3月17日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常州二建建设有限公司履约保证金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39,858,322.14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2020年5月29日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上海中亚园林建设有限公司履约保证金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899,643.65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苏州复荣古建园林工程有限公司履约保证金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587,902.68</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江苏东方建设项目管理咨询有限公司二期、三期履约保证金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322,258.30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53,449,519.82</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2,440,000.00</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cantSplit/>
          <w:trHeight w:val="33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保证金余额</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51,009,519.82</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bookmarkEnd w:id="83"/>
      <w:bookmarkEnd w:id="84"/>
      <w:bookmarkEnd w:id="85"/>
      <w:bookmarkEnd w:id="86"/>
      <w:bookmarkEnd w:id="87"/>
      <w:bookmarkEnd w:id="88"/>
      <w:bookmarkEnd w:id="89"/>
      <w:bookmarkEnd w:id="90"/>
    </w:tbl>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93" w:name="_Toc14319"/>
      <w:r>
        <w:rPr>
          <w:rFonts w:ascii="Arial" w:hAnsi="Arial" w:cs="Arial"/>
          <w:color w:val="000000"/>
          <w:sz w:val="24"/>
          <w:szCs w:val="24"/>
        </w:rPr>
        <w:t>附件</w:t>
      </w:r>
      <w:bookmarkEnd w:id="93"/>
    </w:p>
    <w:p>
      <w:pPr>
        <w:pStyle w:val="3"/>
        <w:keepNext w:val="0"/>
        <w:keepLines w:val="0"/>
        <w:spacing w:before="300" w:after="300" w:line="360" w:lineRule="exact"/>
        <w:jc w:val="left"/>
        <w:rPr>
          <w:rFonts w:eastAsia="宋体" w:cs="Arial"/>
          <w:sz w:val="24"/>
        </w:rPr>
      </w:pPr>
      <w:bookmarkStart w:id="94" w:name="_Toc4937"/>
      <w:r>
        <w:rPr>
          <w:rFonts w:eastAsia="宋体" w:cs="Arial"/>
          <w:sz w:val="24"/>
        </w:rPr>
        <w:t>附件一 商品房预售许可证</w:t>
      </w:r>
      <w:bookmarkEnd w:id="94"/>
    </w:p>
    <w:p>
      <w:pPr>
        <w:rPr>
          <w:rFonts w:ascii="Arial" w:hAnsi="Arial" w:cs="Arial"/>
          <w:color w:val="FF0000"/>
          <w:sz w:val="24"/>
        </w:rPr>
      </w:pPr>
    </w:p>
    <w:p>
      <w:pPr>
        <w:rPr>
          <w:rFonts w:ascii="Arial" w:hAnsi="Arial" w:cs="Arial"/>
          <w:color w:val="FF0000"/>
          <w:sz w:val="24"/>
        </w:rPr>
      </w:pPr>
      <w:r>
        <w:rPr>
          <w:rFonts w:ascii="Arial" w:hAnsi="Arial" w:cs="Arial"/>
          <w:color w:val="FF0000"/>
          <w:sz w:val="24"/>
        </w:rPr>
        <w:drawing>
          <wp:inline distT="0" distB="0" distL="114300" distR="114300">
            <wp:extent cx="2980690" cy="5860415"/>
            <wp:effectExtent l="0" t="0" r="6985" b="10160"/>
            <wp:docPr id="1" name="图片 1" descr="商品房预售许可证（43#楼）-202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商品房预售许可证（43#楼）-2020.7.10"/>
                    <pic:cNvPicPr>
                      <a:picLocks noChangeAspect="1"/>
                    </pic:cNvPicPr>
                  </pic:nvPicPr>
                  <pic:blipFill>
                    <a:blip r:embed="rId22"/>
                    <a:stretch>
                      <a:fillRect/>
                    </a:stretch>
                  </pic:blipFill>
                  <pic:spPr>
                    <a:xfrm rot="5400000">
                      <a:off x="0" y="0"/>
                      <a:ext cx="2980690" cy="5860415"/>
                    </a:xfrm>
                    <a:prstGeom prst="rect">
                      <a:avLst/>
                    </a:prstGeom>
                  </pic:spPr>
                </pic:pic>
              </a:graphicData>
            </a:graphic>
          </wp:inline>
        </w:drawing>
      </w:r>
    </w:p>
    <w:p>
      <w:pPr>
        <w:rPr>
          <w:rFonts w:ascii="Arial" w:hAnsi="Arial" w:cs="Arial"/>
          <w:color w:val="FF0000"/>
          <w:sz w:val="24"/>
        </w:rPr>
      </w:pPr>
      <w:r>
        <w:rPr>
          <w:rFonts w:ascii="Arial" w:hAnsi="Arial" w:cs="Arial"/>
          <w:color w:val="FF0000"/>
          <w:sz w:val="24"/>
        </w:rPr>
        <w:drawing>
          <wp:inline distT="0" distB="0" distL="114300" distR="114300">
            <wp:extent cx="4168775" cy="5871210"/>
            <wp:effectExtent l="0" t="0" r="15240" b="3175"/>
            <wp:docPr id="3" name="图片 3" descr="商品房预售许可证（49#楼）-202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商品房预售许可证（49#楼）-2020.7.10"/>
                    <pic:cNvPicPr>
                      <a:picLocks noChangeAspect="1"/>
                    </pic:cNvPicPr>
                  </pic:nvPicPr>
                  <pic:blipFill>
                    <a:blip r:embed="rId23"/>
                    <a:stretch>
                      <a:fillRect/>
                    </a:stretch>
                  </pic:blipFill>
                  <pic:spPr>
                    <a:xfrm rot="5400000">
                      <a:off x="0" y="0"/>
                      <a:ext cx="4168775" cy="5871210"/>
                    </a:xfrm>
                    <a:prstGeom prst="rect">
                      <a:avLst/>
                    </a:prstGeom>
                  </pic:spPr>
                </pic:pic>
              </a:graphicData>
            </a:graphic>
          </wp:inline>
        </w:drawing>
      </w:r>
      <w:r>
        <w:rPr>
          <w:rFonts w:ascii="Arial" w:hAnsi="Arial" w:cs="Arial"/>
          <w:color w:val="FF0000"/>
          <w:sz w:val="24"/>
        </w:rPr>
        <w:drawing>
          <wp:inline distT="0" distB="0" distL="114300" distR="114300">
            <wp:extent cx="4145280" cy="5864225"/>
            <wp:effectExtent l="0" t="0" r="3175" b="7620"/>
            <wp:docPr id="4" name="图片 4" descr="商品房预售许可证（48#楼）2020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商品房预售许可证（48#楼）20200728"/>
                    <pic:cNvPicPr>
                      <a:picLocks noChangeAspect="1"/>
                    </pic:cNvPicPr>
                  </pic:nvPicPr>
                  <pic:blipFill>
                    <a:blip r:embed="rId24"/>
                    <a:stretch>
                      <a:fillRect/>
                    </a:stretch>
                  </pic:blipFill>
                  <pic:spPr>
                    <a:xfrm rot="5400000">
                      <a:off x="0" y="0"/>
                      <a:ext cx="4145280" cy="5864225"/>
                    </a:xfrm>
                    <a:prstGeom prst="rect">
                      <a:avLst/>
                    </a:prstGeom>
                  </pic:spPr>
                </pic:pic>
              </a:graphicData>
            </a:graphic>
          </wp:inline>
        </w:drawing>
      </w:r>
    </w:p>
    <w:p>
      <w:pPr>
        <w:pStyle w:val="3"/>
        <w:keepNext w:val="0"/>
        <w:keepLines w:val="0"/>
        <w:spacing w:before="300" w:after="300" w:line="360" w:lineRule="exact"/>
        <w:jc w:val="left"/>
        <w:rPr>
          <w:rFonts w:eastAsia="宋体" w:cs="Arial"/>
          <w:sz w:val="21"/>
          <w:szCs w:val="21"/>
        </w:rPr>
      </w:pPr>
      <w:bookmarkStart w:id="95" w:name="_Toc953"/>
      <w:r>
        <w:rPr>
          <w:rFonts w:eastAsia="宋体" w:cs="Arial"/>
          <w:sz w:val="24"/>
        </w:rPr>
        <w:t>附件二 企业暂定资质证书</w:t>
      </w:r>
      <w:bookmarkEnd w:id="95"/>
    </w:p>
    <w:p>
      <w:pPr>
        <w:jc w:val="center"/>
        <w:rPr>
          <w:szCs w:val="21"/>
        </w:rPr>
      </w:pPr>
      <w:r>
        <w:rPr>
          <w:rFonts w:hint="eastAsia" w:cs="Arial"/>
          <w:szCs w:val="21"/>
        </w:rPr>
        <w:t>（正本）</w:t>
      </w:r>
    </w:p>
    <w:p>
      <w:pPr>
        <w:rPr>
          <w:rFonts w:ascii="Arial" w:hAnsi="Arial" w:cs="Arial"/>
        </w:rPr>
      </w:pPr>
      <w:r>
        <w:rPr>
          <w:rFonts w:ascii="Arial" w:hAnsi="Arial" w:cs="Arial"/>
        </w:rPr>
        <w:drawing>
          <wp:inline distT="0" distB="0" distL="114300" distR="114300">
            <wp:extent cx="3319145" cy="6101080"/>
            <wp:effectExtent l="0" t="0" r="13970" b="14605"/>
            <wp:docPr id="5" name="图片 5" descr="2020.7.23-资质证书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0.7.23-资质证书正本"/>
                    <pic:cNvPicPr>
                      <a:picLocks noChangeAspect="1"/>
                    </pic:cNvPicPr>
                  </pic:nvPicPr>
                  <pic:blipFill>
                    <a:blip r:embed="rId25"/>
                    <a:stretch>
                      <a:fillRect/>
                    </a:stretch>
                  </pic:blipFill>
                  <pic:spPr>
                    <a:xfrm rot="5400000">
                      <a:off x="0" y="0"/>
                      <a:ext cx="3319145" cy="6101080"/>
                    </a:xfrm>
                    <a:prstGeom prst="rect">
                      <a:avLst/>
                    </a:prstGeom>
                  </pic:spPr>
                </pic:pic>
              </a:graphicData>
            </a:graphic>
          </wp:inline>
        </w:drawing>
      </w:r>
    </w:p>
    <w:p>
      <w:pPr>
        <w:rPr>
          <w:rFonts w:ascii="Arial" w:hAnsi="Arial" w:cs="Arial"/>
        </w:rPr>
      </w:pPr>
    </w:p>
    <w:p>
      <w:pPr>
        <w:rPr>
          <w:rFonts w:ascii="Arial" w:hAnsi="Arial" w:cs="Arial"/>
        </w:rPr>
      </w:pPr>
    </w:p>
    <w:p>
      <w:pPr>
        <w:jc w:val="center"/>
        <w:rPr>
          <w:rFonts w:ascii="Arial" w:hAnsi="Arial" w:cs="Arial"/>
          <w:szCs w:val="21"/>
        </w:rPr>
      </w:pPr>
      <w:r>
        <w:rPr>
          <w:rFonts w:hint="eastAsia" w:ascii="Arial" w:hAnsi="Arial" w:cs="Arial"/>
          <w:szCs w:val="21"/>
        </w:rPr>
        <w:t>（副本）</w:t>
      </w:r>
    </w:p>
    <w:p>
      <w:pPr>
        <w:rPr>
          <w:rFonts w:ascii="Arial" w:hAnsi="Arial" w:cs="Arial"/>
          <w:color w:val="FF0000"/>
          <w:sz w:val="24"/>
        </w:rPr>
      </w:pPr>
      <w:r>
        <w:rPr>
          <w:rFonts w:ascii="Arial" w:hAnsi="Arial" w:cs="Arial"/>
          <w:color w:val="FF0000"/>
          <w:sz w:val="24"/>
        </w:rPr>
        <w:drawing>
          <wp:inline distT="0" distB="0" distL="114300" distR="114300">
            <wp:extent cx="4009390" cy="6157595"/>
            <wp:effectExtent l="0" t="0" r="14605" b="10160"/>
            <wp:docPr id="6" name="图片 6" descr="2020.7.23-资质证书-副本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0.7.23-资质证书-副本_页面_1"/>
                    <pic:cNvPicPr>
                      <a:picLocks noChangeAspect="1"/>
                    </pic:cNvPicPr>
                  </pic:nvPicPr>
                  <pic:blipFill>
                    <a:blip r:embed="rId26"/>
                    <a:stretch>
                      <a:fillRect/>
                    </a:stretch>
                  </pic:blipFill>
                  <pic:spPr>
                    <a:xfrm rot="5400000">
                      <a:off x="0" y="0"/>
                      <a:ext cx="4009390" cy="6157595"/>
                    </a:xfrm>
                    <a:prstGeom prst="rect">
                      <a:avLst/>
                    </a:prstGeom>
                  </pic:spPr>
                </pic:pic>
              </a:graphicData>
            </a:graphic>
          </wp:inline>
        </w:drawing>
      </w:r>
      <w:r>
        <w:rPr>
          <w:rFonts w:ascii="Arial" w:hAnsi="Arial" w:cs="Arial"/>
          <w:color w:val="FF0000"/>
          <w:sz w:val="24"/>
        </w:rPr>
        <w:drawing>
          <wp:inline distT="0" distB="0" distL="114300" distR="114300">
            <wp:extent cx="4084320" cy="5973445"/>
            <wp:effectExtent l="0" t="0" r="8255" b="11430"/>
            <wp:docPr id="7" name="图片 7" descr="2020.7.23-资质证书-副本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0.7.23-资质证书-副本_页面_2"/>
                    <pic:cNvPicPr>
                      <a:picLocks noChangeAspect="1"/>
                    </pic:cNvPicPr>
                  </pic:nvPicPr>
                  <pic:blipFill>
                    <a:blip r:embed="rId27"/>
                    <a:stretch>
                      <a:fillRect/>
                    </a:stretch>
                  </pic:blipFill>
                  <pic:spPr>
                    <a:xfrm rot="5400000">
                      <a:off x="0" y="0"/>
                      <a:ext cx="4084320" cy="5973445"/>
                    </a:xfrm>
                    <a:prstGeom prst="rect">
                      <a:avLst/>
                    </a:prstGeom>
                  </pic:spPr>
                </pic:pic>
              </a:graphicData>
            </a:graphic>
          </wp:inline>
        </w:drawing>
      </w:r>
      <w:r>
        <w:rPr>
          <w:rFonts w:ascii="Arial" w:hAnsi="Arial" w:cs="Arial"/>
          <w:color w:val="FF0000"/>
          <w:sz w:val="24"/>
        </w:rPr>
        <w:drawing>
          <wp:inline distT="0" distB="0" distL="114300" distR="114300">
            <wp:extent cx="4015740" cy="5953760"/>
            <wp:effectExtent l="0" t="0" r="8890" b="3810"/>
            <wp:docPr id="8" name="图片 8" descr="2020.7.23-资质证书-副本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0.7.23-资质证书-副本_页面_3"/>
                    <pic:cNvPicPr>
                      <a:picLocks noChangeAspect="1"/>
                    </pic:cNvPicPr>
                  </pic:nvPicPr>
                  <pic:blipFill>
                    <a:blip r:embed="rId28"/>
                    <a:stretch>
                      <a:fillRect/>
                    </a:stretch>
                  </pic:blipFill>
                  <pic:spPr>
                    <a:xfrm rot="5400000">
                      <a:off x="0" y="0"/>
                      <a:ext cx="4015740" cy="5953760"/>
                    </a:xfrm>
                    <a:prstGeom prst="rect">
                      <a:avLst/>
                    </a:prstGeom>
                  </pic:spPr>
                </pic:pic>
              </a:graphicData>
            </a:graphic>
          </wp:inline>
        </w:drawing>
      </w:r>
      <w:r>
        <w:rPr>
          <w:rFonts w:ascii="Arial" w:hAnsi="Arial" w:cs="Arial"/>
          <w:color w:val="FF0000"/>
          <w:sz w:val="24"/>
        </w:rPr>
        <w:br w:type="page"/>
      </w:r>
    </w:p>
    <w:p>
      <w:pPr>
        <w:pStyle w:val="3"/>
        <w:keepNext w:val="0"/>
        <w:keepLines w:val="0"/>
        <w:spacing w:before="300" w:after="300" w:line="360" w:lineRule="exact"/>
        <w:jc w:val="left"/>
        <w:rPr>
          <w:rFonts w:eastAsia="宋体" w:cs="Arial"/>
          <w:sz w:val="24"/>
        </w:rPr>
      </w:pPr>
      <w:bookmarkStart w:id="96" w:name="_Toc5600"/>
      <w:r>
        <w:rPr>
          <w:rFonts w:eastAsia="宋体" w:cs="Arial"/>
          <w:sz w:val="24"/>
        </w:rPr>
        <w:t>附件三 银行对账单</w:t>
      </w:r>
      <w:bookmarkEnd w:id="96"/>
    </w:p>
    <w:p>
      <w:pPr>
        <w:jc w:val="center"/>
        <w:rPr>
          <w:rFonts w:ascii="Arial" w:hAnsi="Arial" w:cs="Arial"/>
        </w:rPr>
      </w:pPr>
      <w:bookmarkStart w:id="97" w:name="_Toc7439"/>
      <w:bookmarkStart w:id="98" w:name="_Toc31832"/>
      <w:r>
        <w:rPr>
          <w:rFonts w:ascii="Arial" w:hAnsi="Arial" w:cs="Arial"/>
        </w:rPr>
        <w:t>中国银行股份有限公司常州武进支行</w:t>
      </w:r>
      <w:bookmarkEnd w:id="97"/>
      <w:bookmarkStart w:id="99" w:name="_Toc18047"/>
      <w:r>
        <w:rPr>
          <w:rFonts w:ascii="Arial" w:hAnsi="Arial" w:cs="Arial"/>
        </w:rPr>
        <w:t>对账单</w:t>
      </w:r>
      <w:bookmarkEnd w:id="98"/>
    </w:p>
    <w:p>
      <w:pPr>
        <w:jc w:val="center"/>
        <w:rPr>
          <w:rFonts w:ascii="Arial" w:hAnsi="Arial" w:cs="Arial"/>
        </w:rPr>
      </w:pPr>
      <w:bookmarkStart w:id="100" w:name="_Toc7379"/>
      <w:r>
        <w:rPr>
          <w:rFonts w:ascii="Arial" w:hAnsi="Arial" w:cs="Arial"/>
        </w:rPr>
        <w:t>（2020年7月）</w:t>
      </w:r>
      <w:bookmarkEnd w:id="99"/>
      <w:bookmarkEnd w:id="100"/>
    </w:p>
    <w:p>
      <w:pPr>
        <w:rPr>
          <w:rFonts w:ascii="Arial" w:hAnsi="Arial" w:cs="Arial"/>
        </w:rPr>
      </w:pPr>
      <w:r>
        <w:rPr>
          <w:rFonts w:ascii="Arial" w:hAnsi="Arial" w:cs="Arial"/>
        </w:rPr>
        <w:drawing>
          <wp:inline distT="0" distB="0" distL="114300" distR="114300">
            <wp:extent cx="5785485" cy="6442075"/>
            <wp:effectExtent l="0" t="0" r="5715" b="15875"/>
            <wp:docPr id="9" name="图片 9" descr="2020.07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0.07余额对账单"/>
                    <pic:cNvPicPr>
                      <a:picLocks noChangeAspect="1"/>
                    </pic:cNvPicPr>
                  </pic:nvPicPr>
                  <pic:blipFill>
                    <a:blip r:embed="rId29"/>
                    <a:stretch>
                      <a:fillRect/>
                    </a:stretch>
                  </pic:blipFill>
                  <pic:spPr>
                    <a:xfrm>
                      <a:off x="0" y="0"/>
                      <a:ext cx="5785485" cy="644207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color w:val="000000"/>
          <w:sz w:val="24"/>
        </w:rPr>
      </w:pPr>
    </w:p>
    <w:p>
      <w:pPr>
        <w:rPr>
          <w:rFonts w:ascii="Arial" w:hAnsi="Arial" w:cs="Arial" w:eastAsiaTheme="minorEastAsia"/>
          <w:color w:val="000000"/>
          <w:sz w:val="24"/>
        </w:rPr>
      </w:pPr>
    </w:p>
    <w:p>
      <w:pPr>
        <w:widowControl/>
        <w:jc w:val="left"/>
        <w:rPr>
          <w:rFonts w:ascii="Arial" w:hAnsi="Arial" w:cs="Arial" w:eastAsiaTheme="minorEastAsia"/>
          <w:color w:val="000000"/>
          <w:sz w:val="24"/>
        </w:rPr>
      </w:pPr>
      <w:r>
        <w:rPr>
          <w:rFonts w:ascii="Arial" w:hAnsi="Arial" w:cs="Arial" w:eastAsiaTheme="minorEastAsia"/>
          <w:color w:val="000000"/>
          <w:sz w:val="24"/>
        </w:rPr>
        <w:br w:type="page"/>
      </w:r>
      <w:bookmarkStart w:id="101" w:name="_Toc16074"/>
      <w:bookmarkStart w:id="102" w:name="_Toc23608"/>
      <w:r>
        <w:rPr>
          <w:rFonts w:ascii="Arial" w:hAnsi="Arial" w:cs="Arial" w:eastAsiaTheme="minorEastAsia"/>
          <w:color w:val="000000"/>
          <w:sz w:val="24"/>
        </w:rPr>
        <w:drawing>
          <wp:inline distT="0" distB="0" distL="114300" distR="114300">
            <wp:extent cx="5903595" cy="3017520"/>
            <wp:effectExtent l="0" t="0" r="1905" b="11430"/>
            <wp:docPr id="11" name="图片 11" descr="银行对账单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银行对账单_页面_01"/>
                    <pic:cNvPicPr>
                      <a:picLocks noChangeAspect="1"/>
                    </pic:cNvPicPr>
                  </pic:nvPicPr>
                  <pic:blipFill>
                    <a:blip r:embed="rId30"/>
                    <a:stretch>
                      <a:fillRect/>
                    </a:stretch>
                  </pic:blipFill>
                  <pic:spPr>
                    <a:xfrm>
                      <a:off x="0" y="0"/>
                      <a:ext cx="5903595" cy="301752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904230" cy="4171315"/>
            <wp:effectExtent l="0" t="0" r="1270" b="635"/>
            <wp:docPr id="12" name="图片 12" descr="银行对账单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银行对账单_页面_02"/>
                    <pic:cNvPicPr>
                      <a:picLocks noChangeAspect="1"/>
                    </pic:cNvPicPr>
                  </pic:nvPicPr>
                  <pic:blipFill>
                    <a:blip r:embed="rId31"/>
                    <a:stretch>
                      <a:fillRect/>
                    </a:stretch>
                  </pic:blipFill>
                  <pic:spPr>
                    <a:xfrm>
                      <a:off x="0" y="0"/>
                      <a:ext cx="5904230" cy="4171315"/>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902960" cy="4171950"/>
            <wp:effectExtent l="0" t="0" r="2540" b="0"/>
            <wp:docPr id="13" name="图片 13" descr="银行对账单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银行对账单_页面_03"/>
                    <pic:cNvPicPr>
                      <a:picLocks noChangeAspect="1"/>
                    </pic:cNvPicPr>
                  </pic:nvPicPr>
                  <pic:blipFill>
                    <a:blip r:embed="rId32"/>
                    <a:stretch>
                      <a:fillRect/>
                    </a:stretch>
                  </pic:blipFill>
                  <pic:spPr>
                    <a:xfrm>
                      <a:off x="0" y="0"/>
                      <a:ext cx="5902960" cy="417195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903595" cy="4172585"/>
            <wp:effectExtent l="0" t="0" r="1905" b="18415"/>
            <wp:docPr id="14" name="图片 14" descr="银行对账单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银行对账单_页面_04"/>
                    <pic:cNvPicPr>
                      <a:picLocks noChangeAspect="1"/>
                    </pic:cNvPicPr>
                  </pic:nvPicPr>
                  <pic:blipFill>
                    <a:blip r:embed="rId33"/>
                    <a:stretch>
                      <a:fillRect/>
                    </a:stretch>
                  </pic:blipFill>
                  <pic:spPr>
                    <a:xfrm>
                      <a:off x="0" y="0"/>
                      <a:ext cx="5903595" cy="4172585"/>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902960" cy="4173220"/>
            <wp:effectExtent l="0" t="0" r="2540" b="17780"/>
            <wp:docPr id="15" name="图片 15" descr="银行对账单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银行对账单_页面_05"/>
                    <pic:cNvPicPr>
                      <a:picLocks noChangeAspect="1"/>
                    </pic:cNvPicPr>
                  </pic:nvPicPr>
                  <pic:blipFill>
                    <a:blip r:embed="rId34"/>
                    <a:stretch>
                      <a:fillRect/>
                    </a:stretch>
                  </pic:blipFill>
                  <pic:spPr>
                    <a:xfrm>
                      <a:off x="0" y="0"/>
                      <a:ext cx="5902960" cy="417322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070" cy="4163695"/>
            <wp:effectExtent l="0" t="0" r="11430" b="8255"/>
            <wp:docPr id="16" name="图片 16" descr="银行对账单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银行对账单_页面_06"/>
                    <pic:cNvPicPr>
                      <a:picLocks noChangeAspect="1"/>
                    </pic:cNvPicPr>
                  </pic:nvPicPr>
                  <pic:blipFill>
                    <a:blip r:embed="rId35"/>
                    <a:stretch>
                      <a:fillRect/>
                    </a:stretch>
                  </pic:blipFill>
                  <pic:spPr>
                    <a:xfrm>
                      <a:off x="0" y="0"/>
                      <a:ext cx="5894070" cy="4163695"/>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070" cy="4164965"/>
            <wp:effectExtent l="0" t="0" r="11430" b="6985"/>
            <wp:docPr id="17" name="图片 17" descr="银行对账单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银行对账单_页面_07"/>
                    <pic:cNvPicPr>
                      <a:picLocks noChangeAspect="1"/>
                    </pic:cNvPicPr>
                  </pic:nvPicPr>
                  <pic:blipFill>
                    <a:blip r:embed="rId36"/>
                    <a:stretch>
                      <a:fillRect/>
                    </a:stretch>
                  </pic:blipFill>
                  <pic:spPr>
                    <a:xfrm>
                      <a:off x="0" y="0"/>
                      <a:ext cx="5894070" cy="4164965"/>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903595" cy="4172585"/>
            <wp:effectExtent l="0" t="0" r="1905" b="18415"/>
            <wp:docPr id="18" name="图片 18" descr="银行对账单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银行对账单_页面_08"/>
                    <pic:cNvPicPr>
                      <a:picLocks noChangeAspect="1"/>
                    </pic:cNvPicPr>
                  </pic:nvPicPr>
                  <pic:blipFill>
                    <a:blip r:embed="rId37"/>
                    <a:stretch>
                      <a:fillRect/>
                    </a:stretch>
                  </pic:blipFill>
                  <pic:spPr>
                    <a:xfrm>
                      <a:off x="0" y="0"/>
                      <a:ext cx="5903595" cy="4172585"/>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903595" cy="4171950"/>
            <wp:effectExtent l="0" t="0" r="1905" b="0"/>
            <wp:docPr id="19" name="图片 19" descr="银行对账单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银行对账单_页面_09"/>
                    <pic:cNvPicPr>
                      <a:picLocks noChangeAspect="1"/>
                    </pic:cNvPicPr>
                  </pic:nvPicPr>
                  <pic:blipFill>
                    <a:blip r:embed="rId38"/>
                    <a:stretch>
                      <a:fillRect/>
                    </a:stretch>
                  </pic:blipFill>
                  <pic:spPr>
                    <a:xfrm>
                      <a:off x="0" y="0"/>
                      <a:ext cx="5903595" cy="417195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070" cy="4165600"/>
            <wp:effectExtent l="0" t="0" r="11430" b="6350"/>
            <wp:docPr id="20" name="图片 20" descr="银行对账单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银行对账单_页面_10"/>
                    <pic:cNvPicPr>
                      <a:picLocks noChangeAspect="1"/>
                    </pic:cNvPicPr>
                  </pic:nvPicPr>
                  <pic:blipFill>
                    <a:blip r:embed="rId39"/>
                    <a:stretch>
                      <a:fillRect/>
                    </a:stretch>
                  </pic:blipFill>
                  <pic:spPr>
                    <a:xfrm>
                      <a:off x="0" y="0"/>
                      <a:ext cx="5894070" cy="416560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87720" cy="4161790"/>
            <wp:effectExtent l="0" t="0" r="17780" b="10160"/>
            <wp:docPr id="24" name="图片 24" descr="银行对账单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银行对账单_页面_11"/>
                    <pic:cNvPicPr>
                      <a:picLocks noChangeAspect="1"/>
                    </pic:cNvPicPr>
                  </pic:nvPicPr>
                  <pic:blipFill>
                    <a:blip r:embed="rId40"/>
                    <a:stretch>
                      <a:fillRect/>
                    </a:stretch>
                  </pic:blipFill>
                  <pic:spPr>
                    <a:xfrm>
                      <a:off x="0" y="0"/>
                      <a:ext cx="5887720" cy="416179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902960" cy="4171315"/>
            <wp:effectExtent l="0" t="0" r="2540" b="635"/>
            <wp:docPr id="39" name="图片 39" descr="银行对账单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银行对账单_页面_12"/>
                    <pic:cNvPicPr>
                      <a:picLocks noChangeAspect="1"/>
                    </pic:cNvPicPr>
                  </pic:nvPicPr>
                  <pic:blipFill>
                    <a:blip r:embed="rId41"/>
                    <a:stretch>
                      <a:fillRect/>
                    </a:stretch>
                  </pic:blipFill>
                  <pic:spPr>
                    <a:xfrm>
                      <a:off x="0" y="0"/>
                      <a:ext cx="5902960" cy="4171315"/>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903595" cy="4172585"/>
            <wp:effectExtent l="0" t="0" r="1905" b="18415"/>
            <wp:docPr id="40" name="图片 40" descr="银行对账单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银行对账单_页面_13"/>
                    <pic:cNvPicPr>
                      <a:picLocks noChangeAspect="1"/>
                    </pic:cNvPicPr>
                  </pic:nvPicPr>
                  <pic:blipFill>
                    <a:blip r:embed="rId42"/>
                    <a:stretch>
                      <a:fillRect/>
                    </a:stretch>
                  </pic:blipFill>
                  <pic:spPr>
                    <a:xfrm>
                      <a:off x="0" y="0"/>
                      <a:ext cx="5903595" cy="4172585"/>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9785" cy="4206240"/>
            <wp:effectExtent l="0" t="0" r="5715" b="3810"/>
            <wp:docPr id="41" name="图片 41" descr="银行对账单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银行对账单_页面_14"/>
                    <pic:cNvPicPr>
                      <a:picLocks noChangeAspect="1"/>
                    </pic:cNvPicPr>
                  </pic:nvPicPr>
                  <pic:blipFill>
                    <a:blip r:embed="rId43"/>
                    <a:stretch>
                      <a:fillRect/>
                    </a:stretch>
                  </pic:blipFill>
                  <pic:spPr>
                    <a:xfrm>
                      <a:off x="0" y="0"/>
                      <a:ext cx="5899785" cy="4206240"/>
                    </a:xfrm>
                    <a:prstGeom prst="rect">
                      <a:avLst/>
                    </a:prstGeom>
                  </pic:spPr>
                </pic:pic>
              </a:graphicData>
            </a:graphic>
          </wp:inline>
        </w:drawing>
      </w:r>
    </w:p>
    <w:p>
      <w:pPr>
        <w:jc w:val="center"/>
        <w:rPr>
          <w:rFonts w:ascii="Arial" w:hAnsi="Arial" w:cs="Arial"/>
        </w:rPr>
      </w:pPr>
      <w:bookmarkStart w:id="103" w:name="_Toc1968"/>
    </w:p>
    <w:p>
      <w:pPr>
        <w:jc w:val="center"/>
        <w:rPr>
          <w:rFonts w:ascii="Arial" w:hAnsi="Arial" w:cs="Arial"/>
        </w:rPr>
      </w:pPr>
      <w:r>
        <w:rPr>
          <w:rFonts w:ascii="Arial" w:hAnsi="Arial" w:cs="Arial"/>
        </w:rPr>
        <w:t>中国建设银行常州丰乐支行对账单</w:t>
      </w:r>
      <w:bookmarkEnd w:id="101"/>
      <w:bookmarkEnd w:id="103"/>
    </w:p>
    <w:p>
      <w:pPr>
        <w:jc w:val="center"/>
        <w:rPr>
          <w:rFonts w:ascii="Arial" w:hAnsi="Arial" w:cs="Arial"/>
        </w:rPr>
      </w:pPr>
      <w:bookmarkStart w:id="104" w:name="_Toc12611"/>
      <w:r>
        <w:rPr>
          <w:rFonts w:ascii="Arial" w:hAnsi="Arial" w:cs="Arial"/>
        </w:rPr>
        <w:t>（2020年7月无变动）</w:t>
      </w:r>
      <w:bookmarkEnd w:id="104"/>
    </w:p>
    <w:p>
      <w:pPr>
        <w:widowControl/>
        <w:jc w:val="left"/>
        <w:rPr>
          <w:rFonts w:ascii="Arial" w:hAnsi="Arial" w:cs="Arial" w:eastAsiaTheme="minorEastAsia"/>
          <w:color w:val="000000"/>
          <w:sz w:val="24"/>
        </w:rPr>
      </w:pPr>
      <w:r>
        <w:rPr>
          <w:rFonts w:ascii="Arial" w:hAnsi="Arial" w:cs="Arial" w:eastAsiaTheme="minorEastAsia"/>
          <w:color w:val="000000"/>
          <w:sz w:val="24"/>
        </w:rPr>
        <w:drawing>
          <wp:inline distT="0" distB="0" distL="114300" distR="114300">
            <wp:extent cx="4940300" cy="5897880"/>
            <wp:effectExtent l="0" t="0" r="7620" b="12700"/>
            <wp:docPr id="26" name="图片 26" descr="1b1ca994697bdf6cf30219278d2d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b1ca994697bdf6cf30219278d2d047"/>
                    <pic:cNvPicPr>
                      <a:picLocks noChangeAspect="1"/>
                    </pic:cNvPicPr>
                  </pic:nvPicPr>
                  <pic:blipFill>
                    <a:blip r:embed="rId44"/>
                    <a:stretch>
                      <a:fillRect/>
                    </a:stretch>
                  </pic:blipFill>
                  <pic:spPr>
                    <a:xfrm rot="5400000">
                      <a:off x="0" y="0"/>
                      <a:ext cx="4940300" cy="5897880"/>
                    </a:xfrm>
                    <a:prstGeom prst="rect">
                      <a:avLst/>
                    </a:prstGeom>
                  </pic:spPr>
                </pic:pic>
              </a:graphicData>
            </a:graphic>
          </wp:inline>
        </w:drawing>
      </w: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jc w:val="center"/>
        <w:rPr>
          <w:rFonts w:ascii="Arial" w:hAnsi="Arial" w:cs="Arial"/>
        </w:rPr>
      </w:pPr>
      <w:bookmarkStart w:id="105" w:name="_Toc14747"/>
      <w:r>
        <w:rPr>
          <w:rFonts w:ascii="Arial" w:hAnsi="Arial" w:cs="Arial"/>
        </w:rPr>
        <w:t>江南农村商业银行湖塘支行</w:t>
      </w:r>
      <w:bookmarkEnd w:id="102"/>
      <w:bookmarkStart w:id="106" w:name="_Toc22247"/>
      <w:r>
        <w:rPr>
          <w:rFonts w:ascii="Arial" w:hAnsi="Arial" w:cs="Arial"/>
        </w:rPr>
        <w:t>对账单</w:t>
      </w:r>
      <w:bookmarkEnd w:id="105"/>
    </w:p>
    <w:p>
      <w:pPr>
        <w:jc w:val="center"/>
        <w:rPr>
          <w:rFonts w:ascii="Arial" w:hAnsi="Arial" w:cs="Arial"/>
        </w:rPr>
      </w:pPr>
      <w:bookmarkStart w:id="107" w:name="_Toc1540"/>
      <w:r>
        <w:rPr>
          <w:rFonts w:ascii="Arial" w:hAnsi="Arial" w:cs="Arial"/>
        </w:rPr>
        <w:t>（2020年7月）</w:t>
      </w:r>
      <w:bookmarkEnd w:id="106"/>
      <w:bookmarkEnd w:id="107"/>
    </w:p>
    <w:p>
      <w:pPr>
        <w:jc w:val="center"/>
        <w:rPr>
          <w:rFonts w:ascii="Arial" w:hAnsi="Arial" w:cs="Arial" w:eastAsiaTheme="minorEastAsia"/>
          <w:color w:val="000000"/>
          <w:kern w:val="0"/>
          <w:sz w:val="24"/>
          <w:szCs w:val="28"/>
        </w:rPr>
      </w:pPr>
    </w:p>
    <w:p>
      <w:pPr>
        <w:jc w:val="center"/>
        <w:rPr>
          <w:rFonts w:ascii="Arial" w:hAnsi="Arial" w:cs="Arial" w:eastAsiaTheme="minorEastAsia"/>
          <w:color w:val="000000"/>
          <w:kern w:val="0"/>
          <w:sz w:val="24"/>
          <w:szCs w:val="28"/>
        </w:rPr>
      </w:pPr>
      <w:r>
        <w:rPr>
          <w:rFonts w:ascii="Arial" w:hAnsi="Arial" w:cs="Arial" w:eastAsiaTheme="minorEastAsia"/>
          <w:color w:val="000000"/>
          <w:kern w:val="0"/>
          <w:sz w:val="24"/>
          <w:szCs w:val="28"/>
        </w:rPr>
        <w:drawing>
          <wp:inline distT="0" distB="0" distL="114300" distR="114300">
            <wp:extent cx="5874385" cy="4151630"/>
            <wp:effectExtent l="0" t="0" r="12065" b="1270"/>
            <wp:docPr id="43" name="图片 43" descr="银行对账单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银行对账单_页面_15"/>
                    <pic:cNvPicPr>
                      <a:picLocks noChangeAspect="1"/>
                    </pic:cNvPicPr>
                  </pic:nvPicPr>
                  <pic:blipFill>
                    <a:blip r:embed="rId45"/>
                    <a:stretch>
                      <a:fillRect/>
                    </a:stretch>
                  </pic:blipFill>
                  <pic:spPr>
                    <a:xfrm>
                      <a:off x="0" y="0"/>
                      <a:ext cx="5874385" cy="4151630"/>
                    </a:xfrm>
                    <a:prstGeom prst="rect">
                      <a:avLst/>
                    </a:prstGeom>
                  </pic:spPr>
                </pic:pic>
              </a:graphicData>
            </a:graphic>
          </wp:inline>
        </w:drawing>
      </w:r>
      <w:r>
        <w:rPr>
          <w:rFonts w:ascii="Arial" w:hAnsi="Arial" w:cs="Arial" w:eastAsiaTheme="minorEastAsia"/>
          <w:color w:val="000000"/>
          <w:kern w:val="0"/>
          <w:sz w:val="24"/>
          <w:szCs w:val="28"/>
        </w:rPr>
        <w:br w:type="page"/>
      </w:r>
    </w:p>
    <w:p>
      <w:pPr>
        <w:jc w:val="center"/>
        <w:rPr>
          <w:rFonts w:ascii="Arial" w:hAnsi="Arial" w:cs="Arial"/>
        </w:rPr>
      </w:pPr>
      <w:bookmarkStart w:id="108" w:name="_Toc11298"/>
      <w:bookmarkStart w:id="109" w:name="_Toc3391"/>
      <w:r>
        <w:rPr>
          <w:rFonts w:ascii="Arial" w:hAnsi="Arial" w:cs="Arial"/>
        </w:rPr>
        <w:t>南京银行常州分行</w:t>
      </w:r>
      <w:bookmarkEnd w:id="108"/>
      <w:r>
        <w:rPr>
          <w:rFonts w:ascii="Arial" w:hAnsi="Arial" w:cs="Arial"/>
        </w:rPr>
        <w:t>对账单</w:t>
      </w:r>
      <w:bookmarkEnd w:id="109"/>
    </w:p>
    <w:p>
      <w:pPr>
        <w:jc w:val="center"/>
        <w:rPr>
          <w:rFonts w:ascii="Arial" w:hAnsi="Arial" w:cs="Arial"/>
        </w:rPr>
      </w:pPr>
      <w:bookmarkStart w:id="110" w:name="_Toc29897"/>
      <w:bookmarkStart w:id="111" w:name="_Toc14679"/>
      <w:r>
        <w:rPr>
          <w:rFonts w:ascii="Arial" w:hAnsi="Arial" w:cs="Arial"/>
        </w:rPr>
        <w:t>（2020年7月）</w:t>
      </w:r>
      <w:bookmarkEnd w:id="110"/>
      <w:bookmarkEnd w:id="111"/>
    </w:p>
    <w:p>
      <w:pPr>
        <w:jc w:val="center"/>
        <w:rPr>
          <w:rFonts w:ascii="Arial" w:hAnsi="Arial" w:cs="Arial" w:eastAsiaTheme="minorEastAsia"/>
          <w:color w:val="000000"/>
          <w:kern w:val="0"/>
          <w:sz w:val="24"/>
          <w:szCs w:val="28"/>
        </w:rPr>
      </w:pPr>
    </w:p>
    <w:p>
      <w:pPr>
        <w:rPr>
          <w:rFonts w:ascii="Arial" w:hAnsi="Arial" w:cs="Arial"/>
        </w:rPr>
      </w:pPr>
      <w:r>
        <w:rPr>
          <w:rFonts w:ascii="Arial" w:hAnsi="Arial" w:cs="Arial"/>
        </w:rPr>
        <w:drawing>
          <wp:inline distT="0" distB="0" distL="114300" distR="114300">
            <wp:extent cx="5902960" cy="6089650"/>
            <wp:effectExtent l="0" t="0" r="6350" b="2540"/>
            <wp:docPr id="44" name="图片 44" descr="银行对账单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银行对账单_页面_16"/>
                    <pic:cNvPicPr>
                      <a:picLocks noChangeAspect="1"/>
                    </pic:cNvPicPr>
                  </pic:nvPicPr>
                  <pic:blipFill>
                    <a:blip r:embed="rId46"/>
                    <a:stretch>
                      <a:fillRect/>
                    </a:stretch>
                  </pic:blipFill>
                  <pic:spPr>
                    <a:xfrm rot="16200000">
                      <a:off x="0" y="0"/>
                      <a:ext cx="5902960" cy="608965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jc w:val="center"/>
        <w:rPr>
          <w:rFonts w:ascii="Arial" w:hAnsi="Arial" w:cs="Arial"/>
        </w:rPr>
      </w:pPr>
      <w:bookmarkStart w:id="112" w:name="_Toc14654"/>
      <w:bookmarkStart w:id="113" w:name="_Toc6696"/>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中国邮政储蓄银行常州市武宜路支行</w:t>
      </w:r>
      <w:bookmarkEnd w:id="112"/>
      <w:bookmarkStart w:id="114" w:name="_Toc27216"/>
      <w:r>
        <w:rPr>
          <w:rFonts w:ascii="Arial" w:hAnsi="Arial" w:cs="Arial"/>
        </w:rPr>
        <w:t>对账单</w:t>
      </w:r>
      <w:bookmarkEnd w:id="113"/>
    </w:p>
    <w:p>
      <w:pPr>
        <w:jc w:val="center"/>
        <w:rPr>
          <w:rFonts w:ascii="Arial" w:hAnsi="Arial" w:cs="Arial"/>
        </w:rPr>
      </w:pPr>
      <w:bookmarkStart w:id="115" w:name="_Toc2331"/>
      <w:r>
        <w:rPr>
          <w:rFonts w:ascii="Arial" w:hAnsi="Arial" w:cs="Arial"/>
        </w:rPr>
        <w:t>（2020年7月</w:t>
      </w:r>
      <w:bookmarkEnd w:id="114"/>
      <w:r>
        <w:rPr>
          <w:rFonts w:ascii="Arial" w:hAnsi="Arial" w:cs="Arial"/>
        </w:rPr>
        <w:t>）</w:t>
      </w:r>
      <w:bookmarkEnd w:id="115"/>
    </w:p>
    <w:p>
      <w:pPr>
        <w:jc w:val="center"/>
        <w:rPr>
          <w:rFonts w:ascii="Arial" w:hAnsi="Arial" w:cs="Arial" w:eastAsiaTheme="minorEastAsia"/>
          <w:color w:val="000000"/>
          <w:kern w:val="0"/>
          <w:sz w:val="24"/>
          <w:szCs w:val="28"/>
        </w:rPr>
      </w:pPr>
      <w:r>
        <w:rPr>
          <w:rFonts w:ascii="Arial" w:hAnsi="Arial" w:cs="Arial" w:eastAsiaTheme="minorEastAsia"/>
          <w:color w:val="000000"/>
          <w:kern w:val="0"/>
          <w:sz w:val="24"/>
          <w:szCs w:val="28"/>
        </w:rPr>
        <w:drawing>
          <wp:inline distT="0" distB="0" distL="114300" distR="114300">
            <wp:extent cx="5902960" cy="4171315"/>
            <wp:effectExtent l="0" t="0" r="2540" b="635"/>
            <wp:docPr id="47" name="图片 47" descr="银行对账单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银行对账单_页面_17"/>
                    <pic:cNvPicPr>
                      <a:picLocks noChangeAspect="1"/>
                    </pic:cNvPicPr>
                  </pic:nvPicPr>
                  <pic:blipFill>
                    <a:blip r:embed="rId47"/>
                    <a:stretch>
                      <a:fillRect/>
                    </a:stretch>
                  </pic:blipFill>
                  <pic:spPr>
                    <a:xfrm>
                      <a:off x="0" y="0"/>
                      <a:ext cx="5902960" cy="4171315"/>
                    </a:xfrm>
                    <a:prstGeom prst="rect">
                      <a:avLst/>
                    </a:prstGeom>
                  </pic:spPr>
                </pic:pic>
              </a:graphicData>
            </a:graphic>
          </wp:inline>
        </w:drawing>
      </w:r>
    </w:p>
    <w:p>
      <w:pPr>
        <w:spacing w:line="360" w:lineRule="auto"/>
        <w:ind w:firstLine="420" w:firstLineChars="200"/>
        <w:jc w:val="center"/>
        <w:rPr>
          <w:rFonts w:ascii="Arial" w:hAnsi="Arial" w:cs="Arial"/>
        </w:rPr>
        <w:sectPr>
          <w:footerReference r:id="rId7" w:type="default"/>
          <w:pgSz w:w="11906" w:h="16838"/>
          <w:pgMar w:top="1843" w:right="1134" w:bottom="1134" w:left="1134" w:header="851" w:footer="851" w:gutter="340"/>
          <w:pgNumType w:start="1"/>
          <w:cols w:space="720" w:num="1"/>
          <w:docGrid w:linePitch="312" w:charSpace="0"/>
        </w:sectPr>
      </w:pPr>
    </w:p>
    <w:p>
      <w:pPr>
        <w:pStyle w:val="3"/>
        <w:keepNext w:val="0"/>
        <w:keepLines w:val="0"/>
        <w:spacing w:before="300" w:after="300" w:line="360" w:lineRule="exact"/>
        <w:jc w:val="left"/>
        <w:rPr>
          <w:rFonts w:eastAsia="宋体" w:cs="Arial"/>
          <w:sz w:val="24"/>
          <w:szCs w:val="24"/>
        </w:rPr>
      </w:pPr>
      <w:bookmarkStart w:id="116" w:name="_Toc13367"/>
      <w:bookmarkStart w:id="117" w:name="_Toc532281665"/>
      <w:bookmarkStart w:id="118" w:name="_Toc535580102"/>
      <w:bookmarkStart w:id="119" w:name="_Toc535508647"/>
      <w:bookmarkStart w:id="120" w:name="_Toc535580034"/>
      <w:bookmarkStart w:id="121" w:name="_Toc535570761"/>
      <w:bookmarkStart w:id="122" w:name="_Toc535580033"/>
      <w:bookmarkStart w:id="123" w:name="_Toc5700909"/>
      <w:bookmarkStart w:id="124" w:name="_Toc535570760"/>
      <w:bookmarkStart w:id="125" w:name="_Toc532281664"/>
      <w:bookmarkStart w:id="126" w:name="_Toc535580101"/>
      <w:bookmarkStart w:id="127" w:name="_Toc535508646"/>
      <w:r>
        <w:rPr>
          <w:rFonts w:eastAsia="宋体" w:cs="Arial"/>
          <w:sz w:val="24"/>
        </w:rPr>
        <w:t>附件四 各类资金使用统计</w:t>
      </w:r>
      <w:r>
        <w:rPr>
          <w:rFonts w:eastAsia="宋体" w:cs="Arial"/>
          <w:sz w:val="24"/>
          <w:szCs w:val="24"/>
        </w:rPr>
        <w:t>表</w:t>
      </w:r>
      <w:bookmarkEnd w:id="116"/>
      <w:bookmarkEnd w:id="117"/>
      <w:bookmarkEnd w:id="118"/>
      <w:bookmarkEnd w:id="119"/>
      <w:bookmarkEnd w:id="120"/>
      <w:bookmarkEnd w:id="121"/>
    </w:p>
    <w:p>
      <w:pPr>
        <w:rPr>
          <w:rFonts w:ascii="Arial" w:hAnsi="Arial" w:cs="Arial"/>
          <w:b/>
          <w:sz w:val="18"/>
          <w:szCs w:val="18"/>
        </w:rPr>
      </w:pPr>
      <w:r>
        <w:rPr>
          <w:rFonts w:ascii="Arial" w:hAnsi="Arial" w:cs="Arial"/>
        </w:rPr>
        <w:t xml:space="preserve">                                                                                                                 </w:t>
      </w:r>
      <w:r>
        <w:rPr>
          <w:rFonts w:ascii="Arial" w:hAnsi="Arial" w:cs="Arial"/>
          <w:b/>
          <w:sz w:val="18"/>
          <w:szCs w:val="18"/>
        </w:rPr>
        <w:t>币种：人民币     单位：元</w:t>
      </w:r>
    </w:p>
    <w:tbl>
      <w:tblPr>
        <w:tblStyle w:val="13"/>
        <w:tblW w:w="14580" w:type="dxa"/>
        <w:tblInd w:w="0" w:type="dxa"/>
        <w:tblLayout w:type="fixed"/>
        <w:tblCellMar>
          <w:top w:w="0" w:type="dxa"/>
          <w:left w:w="0" w:type="dxa"/>
          <w:bottom w:w="0" w:type="dxa"/>
          <w:right w:w="0" w:type="dxa"/>
        </w:tblCellMar>
      </w:tblPr>
      <w:tblGrid>
        <w:gridCol w:w="1147"/>
        <w:gridCol w:w="396"/>
        <w:gridCol w:w="1183"/>
        <w:gridCol w:w="1081"/>
        <w:gridCol w:w="1226"/>
        <w:gridCol w:w="1183"/>
        <w:gridCol w:w="931"/>
        <w:gridCol w:w="931"/>
        <w:gridCol w:w="1183"/>
        <w:gridCol w:w="847"/>
        <w:gridCol w:w="1380"/>
        <w:gridCol w:w="1310"/>
        <w:gridCol w:w="302"/>
        <w:gridCol w:w="1480"/>
      </w:tblGrid>
      <w:tr>
        <w:tblPrEx>
          <w:tblCellMar>
            <w:top w:w="0" w:type="dxa"/>
            <w:left w:w="0" w:type="dxa"/>
            <w:bottom w:w="0" w:type="dxa"/>
            <w:right w:w="0" w:type="dxa"/>
          </w:tblCellMar>
        </w:tblPrEx>
        <w:trPr>
          <w:trHeight w:val="283" w:hRule="atLeast"/>
          <w:tblHeader/>
        </w:trPr>
        <w:tc>
          <w:tcPr>
            <w:tcW w:w="11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资金使用用途/使用月份</w:t>
            </w:r>
          </w:p>
        </w:tc>
        <w:tc>
          <w:tcPr>
            <w:tcW w:w="39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土地费用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规费</w:t>
            </w:r>
          </w:p>
        </w:tc>
        <w:tc>
          <w:tcPr>
            <w:tcW w:w="108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设计费</w:t>
            </w:r>
          </w:p>
        </w:tc>
        <w:tc>
          <w:tcPr>
            <w:tcW w:w="122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前期费用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营销费用</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临时水电费</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临时设施费</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管理费用</w:t>
            </w:r>
          </w:p>
        </w:tc>
        <w:tc>
          <w:tcPr>
            <w:tcW w:w="84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财务费用</w:t>
            </w:r>
          </w:p>
        </w:tc>
        <w:tc>
          <w:tcPr>
            <w:tcW w:w="13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工程款</w:t>
            </w:r>
          </w:p>
        </w:tc>
        <w:tc>
          <w:tcPr>
            <w:tcW w:w="131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其他支出</w:t>
            </w:r>
          </w:p>
        </w:tc>
        <w:tc>
          <w:tcPr>
            <w:tcW w:w="30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不可预见费</w:t>
            </w:r>
          </w:p>
        </w:tc>
        <w:tc>
          <w:tcPr>
            <w:tcW w:w="14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5,273,200.20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491,160.00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17,775.00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518,095.00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3,160,271.02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204.72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5,500.00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9,501,809.71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517,596.93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247.28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21,599.00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539,348.21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592,633.60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104,645.96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717,166.40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993.56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8,402,946.11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271,412.00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10,240,104.63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2017年12月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143,897.00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138,046.14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660,168.00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181.03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2,314,178.63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193,825.37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3,450,522.17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54,060.91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646,791.87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701,170.30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213,621.56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1,132,546.38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60,378.00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1,406,972.74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170,976.54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613,085.87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1,235.00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273.1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785,578.93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494,922.52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666,972.43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1,162,128.58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119,420.34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3,622,122.15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85,869.80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3,827,495.71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452,928.94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406,625.90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8,356.00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146,177.51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1,014,088.35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137,932.54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877,333.12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1,015,451.87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185,551.67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636,813.64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31,404.40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853,919.92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9,805,835.96</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445,602.90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952,108.81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263.89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11,203,824.19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345,900.36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612,547.53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958,603.31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121,154.77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480,741.45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628,060.55</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1,230,120.98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2018年12月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722,396.80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17,073.00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508,333.13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669,476.18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154,559.00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2,071,907.37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87,771.30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138,549.72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3,820,739.03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47,592.51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4,094,970.98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100,619.91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924,747.30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1,025,489.42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157,223.90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443,752.12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601,456.44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471,731.47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1,022,936.73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1,496,029.41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119,891.88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513,064.18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268,960.10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421,772.41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31,073.94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1,354,862.93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483,467.77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155,741.36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626,131.54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1,265,637.87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760,776.71</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109,978.28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1,067,087.34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592.84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4,714,447.95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6,653,209.12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54,360.00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430,361.74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362,882.34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39,208.21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2,453,183.42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1,509.00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3,341,504.71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4,542,292.00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733,629.59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80,404.03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2,822,324.89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444.68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231,000.00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8,410,095.19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277,888.80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135,467.00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1,572,685.70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81,471.59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9,867,301.11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42,081,666.66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54,016,792.86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2019年11月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93,140.00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695,927.40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2,267,097.57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52,949.86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5,712,468.91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751.00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510,000.00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9,332,334.74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2019年12月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34,200.00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103,199.13</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3,761,690.75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60,846.32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9,631,653.70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658.00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color w:val="000000"/>
                <w:kern w:val="0"/>
                <w:sz w:val="18"/>
                <w:szCs w:val="18"/>
              </w:rPr>
              <w:t>24,615,258.70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40,130,000.00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78,337,506.60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15,337,445.21</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3,964,033.60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1,169,041.20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1,784,037.20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89,135.90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6,094,426.38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1,456.60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52,835,642.43</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81,425,218.52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145,065.68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60,968.18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4,875,548.44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1,316.41</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5,082,898.71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313,538.13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220,693.94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1,371,764.26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21,293.49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4,867,784.79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520,939.80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28,820,000.00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36,137,174.41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11,599.14</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209,105.00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3,184,439.72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57,131.65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5,237,536.53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773.00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4,260,606.30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755,795.00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13,716,986.34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184,440.00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69,651.00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1,154,994.95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71,502.65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3,606,801.26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568.16</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19,279,722.04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50,002.50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24,417,682.56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2020年6月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4,908,429.00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56,070.00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83,274.86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2,086,592.76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185,568.82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3,344,292.09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10,848.95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41,278,076.87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10,030,000.00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eastAsiaTheme="minorEastAsia"/>
                <w:sz w:val="18"/>
                <w:szCs w:val="18"/>
              </w:rPr>
              <w:t>61,983,153.35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2020年7月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2,215,741.00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6,830.00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563,778.56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143,723.60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13,156,247.68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956.97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35,035,038.82</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153,860,000.00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204,982,316.63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总计</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rPr>
            </w:pPr>
            <w:r>
              <w:rPr>
                <w:rFonts w:ascii="Arial" w:hAnsi="Arial" w:cs="Arial"/>
                <w:kern w:val="0"/>
                <w:sz w:val="18"/>
                <w:szCs w:val="18"/>
              </w:rPr>
              <w:t>-</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42,082,943.37</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7,907,796.96</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4,508,601.6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26,494,313.46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946,565.34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185,603.77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109,356,254.3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34,814.66</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179,734,010.14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8"/>
                <w:szCs w:val="18"/>
              </w:rPr>
            </w:pPr>
            <w:r>
              <w:rPr>
                <w:rFonts w:ascii="Arial" w:hAnsi="Arial" w:cs="Arial" w:eastAsiaTheme="minorEastAsia"/>
                <w:sz w:val="18"/>
                <w:szCs w:val="18"/>
              </w:rPr>
              <w:t>276,387,464.16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kern w:val="0"/>
                <w:sz w:val="18"/>
                <w:szCs w:val="18"/>
              </w:rPr>
              <w:t>-</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eastAsiaTheme="minorEastAsia"/>
                <w:sz w:val="18"/>
                <w:szCs w:val="18"/>
              </w:rPr>
              <w:t>647,638,367.76</w:t>
            </w:r>
          </w:p>
        </w:tc>
      </w:tr>
    </w:tbl>
    <w:p>
      <w:pPr>
        <w:rPr>
          <w:rFonts w:ascii="Arial" w:hAnsi="Arial" w:cs="Arial"/>
          <w:sz w:val="18"/>
          <w:szCs w:val="18"/>
        </w:rPr>
      </w:pPr>
      <w:r>
        <w:rPr>
          <w:rFonts w:ascii="Arial" w:hAnsi="Arial" w:cs="Arial"/>
          <w:sz w:val="18"/>
          <w:szCs w:val="18"/>
        </w:rPr>
        <w:t>币种：人民币；单位：元</w:t>
      </w:r>
    </w:p>
    <w:p>
      <w:pPr>
        <w:rPr>
          <w:rFonts w:ascii="Arial" w:hAnsi="Arial" w:cs="Arial"/>
          <w:sz w:val="18"/>
          <w:szCs w:val="18"/>
        </w:rPr>
      </w:pPr>
      <w:r>
        <w:rPr>
          <w:rFonts w:ascii="Arial" w:hAnsi="Arial" w:cs="Arial"/>
          <w:sz w:val="18"/>
          <w:szCs w:val="18"/>
        </w:rPr>
        <w:t>注：（1）以上科目分类不以会计记账原则划分；</w:t>
      </w:r>
    </w:p>
    <w:p>
      <w:pPr>
        <w:ind w:firstLine="360" w:firstLineChars="200"/>
        <w:rPr>
          <w:rFonts w:ascii="Arial" w:hAnsi="Arial" w:cs="Arial"/>
          <w:sz w:val="18"/>
          <w:szCs w:val="18"/>
        </w:rPr>
      </w:pPr>
      <w:r>
        <w:rPr>
          <w:rFonts w:ascii="Arial" w:hAnsi="Arial" w:cs="Arial"/>
          <w:sz w:val="18"/>
          <w:szCs w:val="18"/>
        </w:rPr>
        <w:t>（2）以上费用计算以康正与项目公司开始共管之时计算，共管之前发生的有关费用未计入此表；</w:t>
      </w:r>
    </w:p>
    <w:p>
      <w:pPr>
        <w:ind w:firstLine="360" w:firstLineChars="200"/>
        <w:rPr>
          <w:rFonts w:ascii="Arial" w:hAnsi="Arial" w:cs="Arial"/>
          <w:sz w:val="18"/>
          <w:szCs w:val="18"/>
        </w:rPr>
      </w:pPr>
      <w:r>
        <w:rPr>
          <w:rFonts w:ascii="Arial" w:hAnsi="Arial" w:cs="Arial"/>
          <w:sz w:val="18"/>
          <w:szCs w:val="18"/>
        </w:rPr>
        <w:t>（3）2018年3月退还2017年入场前收到的投标保证金440,000.00元，该资金不计入资金使用；同时调整2017年11月已计入工程款的2笔退保证金70,000.00元，2017年11月资金使用金额调整为10,240,104.63元。</w:t>
      </w:r>
    </w:p>
    <w:p>
      <w:pPr>
        <w:ind w:firstLine="360" w:firstLineChars="200"/>
        <w:rPr>
          <w:rFonts w:ascii="Arial" w:hAnsi="Arial" w:cs="Arial"/>
          <w:sz w:val="18"/>
          <w:szCs w:val="18"/>
        </w:rPr>
      </w:pPr>
      <w:r>
        <w:rPr>
          <w:rFonts w:ascii="Arial" w:hAnsi="Arial" w:cs="Arial"/>
          <w:sz w:val="18"/>
          <w:szCs w:val="18"/>
        </w:rPr>
        <w:t>（4）2018年6月湖滨怡景苑退回房租及押金10,000元，直接冲抵新城公馆房租及押金，6月支出调整为1,014,088.35元。</w:t>
      </w:r>
    </w:p>
    <w:p>
      <w:pPr>
        <w:ind w:firstLine="360" w:firstLineChars="200"/>
        <w:rPr>
          <w:rFonts w:ascii="Arial" w:hAnsi="Arial" w:cs="Arial"/>
          <w:sz w:val="18"/>
          <w:szCs w:val="18"/>
        </w:rPr>
      </w:pPr>
      <w:r>
        <w:rPr>
          <w:rFonts w:ascii="Arial" w:hAnsi="Arial" w:cs="Arial"/>
          <w:sz w:val="18"/>
          <w:szCs w:val="18"/>
        </w:rPr>
        <w:t>（5）2018年11月退还2017年入场前收到的投标保证金70,000.00元，该资金不计入资金使用。</w:t>
      </w:r>
    </w:p>
    <w:p>
      <w:pPr>
        <w:ind w:firstLine="360" w:firstLineChars="200"/>
        <w:rPr>
          <w:rFonts w:ascii="Arial" w:hAnsi="Arial" w:cs="Arial"/>
          <w:sz w:val="18"/>
          <w:szCs w:val="18"/>
        </w:rPr>
      </w:pPr>
      <w:r>
        <w:rPr>
          <w:rFonts w:ascii="Arial" w:hAnsi="Arial" w:cs="Arial"/>
          <w:sz w:val="18"/>
          <w:szCs w:val="18"/>
        </w:rPr>
        <w:t>（6）2019年3月20日道诚基金汇入项目公司监管账户75,000,000.00元用于领取项目一期邀请招标部分建筑工程施工许可证所需资金证明，已于2019年3月21日返还至道诚基金账户，该资金不计入资金使用。</w:t>
      </w:r>
    </w:p>
    <w:p>
      <w:pPr>
        <w:ind w:firstLine="360" w:firstLineChars="200"/>
        <w:rPr>
          <w:rFonts w:ascii="Arial" w:hAnsi="Arial" w:cs="Arial"/>
          <w:sz w:val="18"/>
          <w:szCs w:val="18"/>
        </w:rPr>
      </w:pPr>
      <w:r>
        <w:rPr>
          <w:rFonts w:ascii="Arial" w:hAnsi="Arial" w:cs="Arial"/>
          <w:sz w:val="18"/>
          <w:szCs w:val="18"/>
        </w:rPr>
        <w:t>（7）2019年6月退还2017年入场前收到的投标保证金100,000.00元，该资金不计入资金使用。</w:t>
      </w:r>
    </w:p>
    <w:p>
      <w:pPr>
        <w:ind w:firstLine="360" w:firstLineChars="200"/>
        <w:rPr>
          <w:rFonts w:ascii="Arial" w:hAnsi="Arial" w:cs="Arial"/>
          <w:sz w:val="18"/>
          <w:szCs w:val="18"/>
        </w:rPr>
      </w:pPr>
      <w:r>
        <w:rPr>
          <w:rFonts w:ascii="Arial" w:hAnsi="Arial" w:cs="Arial"/>
          <w:sz w:val="18"/>
          <w:szCs w:val="18"/>
        </w:rPr>
        <w:t>（8）2019年7月退还2017年入场前收到的投标保证金50,000.00元，该资金不计入资金使用。</w:t>
      </w:r>
      <w:bookmarkEnd w:id="122"/>
      <w:bookmarkEnd w:id="123"/>
      <w:bookmarkEnd w:id="124"/>
      <w:bookmarkEnd w:id="125"/>
      <w:bookmarkEnd w:id="126"/>
      <w:bookmarkEnd w:id="127"/>
    </w:p>
    <w:p>
      <w:pPr>
        <w:pStyle w:val="3"/>
        <w:keepNext w:val="0"/>
        <w:keepLines w:val="0"/>
        <w:spacing w:before="300" w:after="300" w:line="360" w:lineRule="exact"/>
        <w:jc w:val="left"/>
        <w:rPr>
          <w:rFonts w:eastAsia="宋体" w:cs="Arial"/>
          <w:sz w:val="24"/>
        </w:rPr>
      </w:pPr>
      <w:bookmarkStart w:id="128" w:name="_Toc7482"/>
      <w:r>
        <w:rPr>
          <w:rFonts w:hint="eastAsia" w:eastAsia="宋体" w:cs="Arial"/>
          <w:sz w:val="24"/>
        </w:rPr>
        <w:t>附件五 销售明细表</w:t>
      </w:r>
      <w:bookmarkEnd w:id="128"/>
    </w:p>
    <w:tbl>
      <w:tblPr>
        <w:tblStyle w:val="13"/>
        <w:tblW w:w="14566" w:type="dxa"/>
        <w:tblInd w:w="0" w:type="dxa"/>
        <w:tblLayout w:type="fixed"/>
        <w:tblCellMar>
          <w:top w:w="0" w:type="dxa"/>
          <w:left w:w="0" w:type="dxa"/>
          <w:bottom w:w="0" w:type="dxa"/>
          <w:right w:w="0" w:type="dxa"/>
        </w:tblCellMar>
      </w:tblPr>
      <w:tblGrid>
        <w:gridCol w:w="1080"/>
        <w:gridCol w:w="1230"/>
        <w:gridCol w:w="1650"/>
        <w:gridCol w:w="1245"/>
        <w:gridCol w:w="2235"/>
        <w:gridCol w:w="1800"/>
        <w:gridCol w:w="1950"/>
        <w:gridCol w:w="1560"/>
        <w:gridCol w:w="1816"/>
      </w:tblGrid>
      <w:tr>
        <w:tblPrEx>
          <w:tblCellMar>
            <w:top w:w="0" w:type="dxa"/>
            <w:left w:w="0" w:type="dxa"/>
            <w:bottom w:w="0" w:type="dxa"/>
            <w:right w:w="0" w:type="dxa"/>
          </w:tblCellMar>
        </w:tblPrEx>
        <w:trPr>
          <w:trHeight w:val="51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房号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客户姓名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备案价（元）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合同价（元）</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已收金额（元）</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未收金额（元）</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lang w:bidi="ar"/>
              </w:rPr>
              <w:t>销售状态</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1,948,301.00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1,913,301.00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1,913,301.00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35"/>
                <w:rFonts w:hint="default"/>
                <w:sz w:val="18"/>
                <w:szCs w:val="18"/>
                <w:lang w:bidi="ar"/>
              </w:rPr>
              <w:t>徐旻</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1,994,285.00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1,959,285.00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1,959,285.00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张红云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1,987,548.00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1,893,972.00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1,893,972.00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严文玉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1,980,810.00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1,945,810.00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1,945,810.00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杨波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1,974,072.00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1,880,900.00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1,880,900.00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刘晓英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1,967,335.00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1,922,335.00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1,922,335.00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吴仲华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1,960,597.00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1,925,597.00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1,925,597.00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薛研、施辉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1,920,171.00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1,900,171.00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1,900,171.00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李向魁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1,873,008.00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1,838,008.00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1,838,008.00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曹庆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1,841,045.00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张腊根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蒋雍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1,908,401.00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1,863,401.00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1,863,401.00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丁玲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1,901,722.00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1,810,720.00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1,810,720.00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贡晶晶、杨俊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1,895,042.00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1,860,042.00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1,860,042.00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李敏、裴秀萍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1,888,363.00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1,853,363.00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1,853,363.00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1,881,684.00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1,861,684.00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1,861,684.00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邱瑞泓</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1,813,287.00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1,813,287.00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孙剑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1,773,210.00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1,773,210.00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朱政君,傅科雯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1,753,705.00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1,718,705.00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1,718,705.00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任启双、乔如</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1,616,259.00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1,581,259.00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1,581,259.00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张玮</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李志华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1,919,684.00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1,884,684.00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1,884,684.00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邵义、郭佳丽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1,878,004.00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1,878,004.00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戴燕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1,906,325.00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郑翌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1,899,645.00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闻丽芬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1,892,966.00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1,857,966.00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1,857,966.00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徐利菊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姜欣宇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1,852,890.00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何兰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1,812,814.00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1,777,814.00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1,777,814.00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张远芳、卢桂珍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1,759,378.00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1,714,378.00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1,714,378.00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柳波、言新芳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1,620,772.00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1,585,772.00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1,585,772.00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1,850,814.00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1,815,814.00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1,815,814.00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罗杜洋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1,924,287.00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1,917,607.00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1,882,607.00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1,882,607.00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蒋黎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1,910,928.00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1,875,928.00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1,875,928.00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凌玉萍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1,904,249.00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1,869,249.00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1,869,249.00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钱小虎、孙晔隽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1,897,569.00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1,862,569.00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1,862,569.00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谢锋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1,857,493.00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1,822,493.00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1,822,493.00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胡启柱、龚溢林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1,817,417.00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1,797,417.00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1,797,417.00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陈斌、吴金洪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1,763,982.00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1,743,982.00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1,743,982.00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闵珂琦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1,625,286.00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1,590,286.00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1,590,286.00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1,854,850.00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1,819,850.00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1,819,850.00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1,928,890.00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1,883,890.00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1,883,890.00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孙傅芸</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1,902,211.00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1,902,211.00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李承宏、纪佩来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符彩琴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1,908,852.00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1,817,636.00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1,817,636.00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1,902,172.00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1,857,172.00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1,857,172.00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王文伟,滕亚仙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1,895,493.00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1,875,493.00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1,875,493.00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夏丽君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1,777,020.00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1,777,020.00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李朵、徐洋龙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1,768,585.00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1,733,585.00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1,733,585.00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陶亚燕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1,629,800.00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1,584,800.00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1,584,800.00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张小超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148.91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2,057,709.00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2,037,709.00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2,037,709.00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潘莉晶</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2,141,430.00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2,106,430.00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2,106,430.00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干建萍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2,133,757.00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2,035,794.00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2,035,794.00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陈锡东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2,126,084.00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陈莲锁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2,118,411.00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2,098,411.00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2,098,411.00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蒋海红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2,110,737.00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2,075,737.00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2,075,737.00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顾静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2,103,064.00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2,068,064.00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2,068,064.00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2,064,698.00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李光舟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2,018,659.00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1,983,659.00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1,983,659.00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周守明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1,957,274.00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程伟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146.55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1,806,355.00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干叶飞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1,834,573.00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1,799,573.00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1,799,573.00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44-甲-1001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聂敬忠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1,908,665.00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1,873,665.00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1,873,665.00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徐不畏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1,901,830.00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1,810,825.00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1,810,825.00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聂敬礼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1,894,995.00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杨阳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1,888,160.00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蒋春燕、张兴大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1,881,325.00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韩俊容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1,874,490.00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1,839,490.00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1,839,490.00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1,833,480.00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1,798,480.00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1,798,480.00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吕城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1,785,634.00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1,750,634.00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1,750,634.00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许军立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1,757,898.00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1,722,898.00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1,722,898.00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丁小洁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1,797,960.00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1,797,960.00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贺翠兰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1,826,184.00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1,791,184.00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1,791,184.00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聂敬礼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1,819,408.00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1,784,408.00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1,784,408.00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苏琳、孙斌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曾献华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1,805,857.00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1,770,857.00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1,770,857.00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傅伟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1,779,081.00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1,779,081.00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陈瑾</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1,765,202.00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1,730,202.00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1,730,202.00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黎宏平、甘秋菊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1,689,547.00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1,689,547.00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1,662,566.00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1,627,566.00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1,627,566.00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朱婷、郭彤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1,762,821.00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1,727,821.00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1,727,821.00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林丹光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1,837,355.00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刘建国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1,830,579.00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1,785,579.00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1,785,579.00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毕勇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1,823,803.00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1,725,439.00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1,725,439.00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1,817,027.00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1,782,027.00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1,782,027.00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谢才强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1,810,252.00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1,775,252.00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1,775,252.00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邹琳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1,803,476.00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1,715,422.00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1,715,422.00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赵斌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1,769,597.00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周俊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1,728,942.00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1,708,942.00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1,708,942.00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1,667,960.00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1,632,960.00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1,632,960.00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濮泽昱、濮小波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1,767,216.00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1,732,216.00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1,732,216.00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黄洪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1,841,750.00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1,796,750.00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1,796,750.00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张鹏程、胥敏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1,834,974.00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1,799,974.00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1,799,974.00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沈奕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1,828,198.00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1,808,198.00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1,808,198.00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1,821,422.00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1,786,422.00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1,786,422.00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张苏洋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1,814,647.00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44-乙-502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周芷涵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1,772,871.00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1,772,871.00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44-乙-402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薛云鹏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1,773,992.00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1,738,992.00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1,738,992.00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瞿晓犇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1,733,337.00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1,698,337.00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1,698,337.00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1,672,355.00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1,637,355.00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1,637,355.00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黄梅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1,771,078.00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1,751,078.00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1,751,078.00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甘俊杰、娄晓静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1,846,144.00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1,811,144.00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1,811,144.00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彭海琴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1,839,369.00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1,794,369.00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1,794,369.00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1,832,593.00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1,797,593.00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1,797,593.00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夏大清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1,825,817.00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1,790,817.00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1,790,817.00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陆启浩、董永珍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1,819,041.00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1,812,266.00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1,777,266.00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1,777,266.00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潘文君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1,778,387.00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1,743,387.00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1,743,387.00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何煚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1,737,732.00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1,702,732.00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1,702,732.00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刘锋朱泽莲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1,676,750.00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1,656,750.00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1,656,750.00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1,964,646.00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1,959,650.00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1,959,650.00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田秋兴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2,049,627.00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2,029,627.00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2,029,627.00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周冬艳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2,041,843.00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2,006,843.00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2,006,843.00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钱兰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2,034,059.00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2,026,275.00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1,981,275.00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1,981,275.00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韩海烽、张云亚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2,018,491.00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1,983,491.00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1,983,491.00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35"/>
                <w:rFonts w:hint="default"/>
                <w:sz w:val="18"/>
                <w:szCs w:val="18"/>
                <w:lang w:bidi="ar"/>
              </w:rPr>
              <w:t>查建芳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2,010,707.00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1,975,707.00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1,975,707.00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丁云、李岳峰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1,971,786.00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1,936,786.00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1,936,786.00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张薇雯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1,925,082.00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1,890,082.00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1,890,082.00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余霞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1,855,026.00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1,765,425.00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565,425.00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145.68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1,939,186.00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1,919,186.00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1,919,186.00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2,091,522.00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2,081,522.00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2,081,522.00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壮能、金星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2,152,544.00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史荣升、沈丹萍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2,198,311.00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2,183,311.00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2,183,311.00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张彬、郭昆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2,236,451.00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2,226,451.00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2,226,451.00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曹晓东,唐丽雅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2,244,078.00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2,234,078.00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2,234,078.00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高静怡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2,251,706.00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2,226,706.00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2,226,706.00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沈克文、周琴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2,259,334.00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2,234,334.00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2,234,334.00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马益飞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2,266,962.00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2,241,962.00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2,241,962.00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朱振、周晓慧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2,274,590.00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2,254,590.00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2,254,590.00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2,191,564.00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2,166,564.00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2,166,564.00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壮琪、周敏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1,654,371.00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1,629,371.00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1,629,371.00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赵娇华、高旭东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1,792,943.00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1,772,943.00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1,772,943.00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1,846,060.00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赵伟、韩茂林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秦超、王晶雨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1,919,097.00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1,909,097.00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1,909,097.00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周玲、徐正峰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1,925,736.00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1,920,736.00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1,920,736.00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1,932,376.00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1,907,376.00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1,907,376.00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赵颖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1,939,016.00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1,929,016.00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1,929,016.00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恽晓明、苏秋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1,945,655.00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1,920,655.00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1,920,655.00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高玲玲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1,952,295.00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1,927,295.00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1,927,295.00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肖红霞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1,649,800.00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1,624,800.00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1,624,800.00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杨勇、赵红梅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1,788,280.00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1,778,280.00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1,778,280.00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吴飞龙、饶文红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1,841,398.00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1,826,398.00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1,826,398.00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王晓伟、上小英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1,881,236.00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1,856,236.00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1,856,236.00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刘康、刘丹纯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1,914,434.00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1,889,434.00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1,889,434.00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潘杨、陆娟芬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1,921,074.00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1,886,074.00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1,886,074.00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李赟、丁路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1,927,714.00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1,917,714.00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1,917,714.00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董小娟、解平毅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1,934,353.00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1,919,353.00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1,919,353.00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李刚、王丙芳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1,940,993.00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1,915,993.00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1,915,993.00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刘伟明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1,947,633.00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高江东、刘玲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1,874,596.00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1,864,596.00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1,864,596.00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栾巍、牟娇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1,645,228.00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1,630,228.00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1,630,228.00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赵亮、李梅英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1,783,618.00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1,763,618.00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1,763,618.00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杨玲玉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1,836,735.00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1,811,735.00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1,811,735.00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1,876,574.00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1,866,568.00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1,866,568.00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薛时杰、杨梦璐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1,909,772.00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高荣华、王德翠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1,916,412.00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1,891,412.00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1,891,412.00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万琴娣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1,923,051.00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1,903,051.00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1,903,051.00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徐晓燕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1,929,691.00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1,914,691.00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1,914,691.00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1,936,331.00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1,911,331.00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1,911,331.00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罗婷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1,942,971.00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1,917,971.00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1,917,971.00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1,869,934.00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559,934.00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万梨花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1,640,656.00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1,567,186.00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477,186.00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胡宗留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1,778,956.00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1,758,956.00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1,758,956.00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孙靖、严丽娟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1,832,073.00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陶为华、齐欣欣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1,905,110.00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1,885,110.00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1,885,110.00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周岩旺、胡路露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1,911,749.00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1,886,749.00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1,886,749.00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严嘉、邵洁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1,908,389.00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1,908,389.00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沈建明、朱永姝、沈鸿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1,925,029.00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柳杨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1,931,669.00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朱成明、张亚萍、朱迪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1,938,308.00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王夏衍、李梦营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黄梅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145.68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1,854,819.00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1,774,924.00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1,774,924.00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周茜、刘凯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2,005,823.00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郑小风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2,066,846.00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2,051,846.00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2,051,846.00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徐小军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2,112,613.00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2,106,613.00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2,106,613.00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陆晓飞、朱杭金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2,150,752.00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2,125,752.00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2,125,752.00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王钱浪、张小丽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2,158,380.00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2,138,380.00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2,138,380.00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薛芬、吴凯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2,166,007.00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2,141,007.00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2,141,007.00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彭广民、周海萍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2,173,635.00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2,148,635.00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2,148,635.00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张浩、杨佳静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2,181,263.00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2,146,263.00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2,146,263.00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陈飞、胡惠蓉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2,188,891.00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2,163,891.00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2,163,891.00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张文斌、汪霞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王杰、吴晓蓉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1,987,141.00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唐春玲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2,056,831.00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2,046,831.00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2,046,831.00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郭琦、金科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2,127,007.00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2,127,007.00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王希、莫泓霖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2,149,751.00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2,139,751.00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2,139,751.00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杨晓光、虞新燕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2,157,494.00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王卓越、褚张霞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2,165,237.00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2,155,237.00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2,155,237.00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蒋磊、何琦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2,172,981.00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2,142,981.00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2,142,981.00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薛源、蒋琳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2,180,724.00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戈丽娜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周佳炜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1,703,531.00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1,688,531.00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1,688,531.00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1,764,198.00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1,754,198.00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1,754,198.00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王海美、蒋飞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1,804,642.00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沈小霞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1,838,346.00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1,818,346.00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1,818,346.00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廖新化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1,845,086.00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1,815,086.00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1,815,086.00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邓可明、李玲月、邓毅超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1,851,827.00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1,826,827.00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1,826,827.00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薛兴旭、夏敏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1,858,568.00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1,848,568.00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1,848,568.00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吴佳铭、陈志菊、吴国兴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1,865,309.00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1,845,309.00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1,845,309.00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赵晓泽、钱水平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1,872,049.00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许胜、马红梅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1,797,222.00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1,782,222.00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1,782,222.00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仰志辉、王凤弟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1,699,071.00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1,674,071.00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1,674,071.00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朱海元、张国进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蒋志龙、孙红娣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1,800,182.00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1,790,182.00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1,790,182.00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夏伦杰、赵洁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1,833,886.00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1,828,886.00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1,828,886.00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钱孙广、杨佳媛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1,840,626.00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1,830,626.00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1,830,626.00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陈刚、杨莉亚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蒋建伟、吴春花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1,854,108.00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1,849,108.00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1,849,108.00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胡来元</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1,860,848.00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1,835,848.00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1,835,848.00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芦婷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1,867,589.00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1,857,589.00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1,857,589.00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1,793,441.00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1,783,441.00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1,783,441.00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王护平、陈家克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1,694,611.00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1,684,611.00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1,684,611.00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姜洪峰、张小亚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1,755,277.00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1,735,277.00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1,735,277.00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卢伟、韦妙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何凯、蒋敏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1,829,425.00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1,809,425.00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1,809,425.00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曹海燕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1,836,166.00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1,816,166.00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1,816,166.00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1,842,907.00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1,817,907.00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1,817,907.00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曾国科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梁花容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1,856,388.00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1,831,388.00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1,831,388.00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龙卫丽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1,863,129.00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陆晨、朱丽霞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1,788,981.00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1,768,981.00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1,768,981.00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1,690,151.00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1,670,151.00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1,670,151.00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杨蕊、杨学良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1,740,817.00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1,740,817.00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浦亚方、李杰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1,791,262.00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徐艺嘉、李安康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邓科、王瑞英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雷菲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1,838,447.00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1,823,447.00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1,823,447.00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游欢欢、吴彬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1,845,187.00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1,844,187.00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1,844,187.00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王斌、陆雁容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1,851,928.00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1,841,928.00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1,841,928.00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朱凯明、陈丽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1,858,669.00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1,843,669.00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1,843,669.00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恽洁华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1,784,521.00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1,881,935.00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1,861,935.00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1,861,935.00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吴杰笑子、王芳冰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1,959,368.00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1,949,368.00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1,949,368.00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2,013,571.00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1,998,571.00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1,998,571.00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白禹、李琰芬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壮锋、孙晓琴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2,067,774.00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2,052,774.00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2,052,774.00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虞斐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2,075,517.00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蒋逸波、王政欢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2,083,260.00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吴珂、管健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徐晶、马成果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2,098,747.00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2,088,747.00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2,088,747.00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王鸿璋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2,013,571.00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269.91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10,577,982.00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10,246,859.00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3,630,000.00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6,616,859.00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朱建华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8,269,370.00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8,219,370.00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3,219,370.00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史静华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8,230,322.00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8,128,219.00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8,128,219.00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8,258,802.00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8,280,937.00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8,178,328.00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2,458,328.00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5,720,000.00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左永红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273.41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9,831,580.00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9,567,325.00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9,567,325.00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蒋蓝燕、王志峰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268.49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8,680,235.00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8,487,896.00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8,487,896.00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绪文娟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245.42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7,385,045.00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7,365,045.00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7,365,045.00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潘柯君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8,617,229.00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8,377,139.00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8,377,139.00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8,887,628.00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刘奕钢、刘云帆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245.39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7,370,008.00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7,276,508.00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2,186,508.00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吴俊洁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8,393,817.00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8,290,079.00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1,660,079.00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6,630,000.00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10,117,510.00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9,847,565.00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8,057,565.00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刘晶、巢澄</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8,190,285.00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7,958,691.00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7,958,691.00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8,235,513.00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安丰玲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9,916,107.00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9,699,174.00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9,699,174.00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金加洪、黄一虹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8,632,267.00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8,526,144.00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2,566,144.00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5,960,000.00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郑文科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245.39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7,412,567.00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7,318,641.00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2,418,641.00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卢建刚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8,639,721.00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8,399,184.00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8,399,184.00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程秋梁、顾箫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216.96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5,616,855.00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5,428,519.00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5,428,519.00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王铭浩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4,618,082.00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4,477,177.00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4,477,177.00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陆利明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4,650,353.00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4,508,806.00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4,508,806.00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4,683,170.00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4,540,970.00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4,540,970.00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胡丹清、陈焕琴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4,715,441.00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4,648,487.00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4,648,487.00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陶亚燕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228.7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5,635,413.00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5,446,615.00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4,446,615.00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陈建纲、汪志南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208.42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4,199,404.00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4,066,831.00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4,066,831.00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陆春红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3,704,686.00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3,581,958.00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3,581,958.00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李增超、王菲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3,738,170.00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3,614,775.00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3,614,775.00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3,772,196.00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3,629,699.00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3,629,699.00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翟晓纯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180.55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3,804,755.00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3,680,035.00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3,680,035.00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严文玉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4,168,641.00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4,016,293.00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2,716,293.00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吴德斌、张敬敬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9,550,160.00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9,291,505.00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2,791,505.00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5,239,027.00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5,166,837.00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5,166,837.00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王辉、严小燕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4,478,897.00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钱金、徐娟霞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4,533,088.00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4,393,875.00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4,393,875.00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丁虹予</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214.82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5,395,173.00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5,212,345.00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5,212,345.00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壮卓、马心慧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3,909,010.00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毛伟新、盛琴芬、毛佳凝</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3,591,335.00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3,470,862.00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3,470,862.00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肖灿灿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3,644,975.00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3,503,435.00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1,103,435.00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朱晓明、高盘君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4,049,697.00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3,900,305.00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3,900,305.00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许逸豪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5,478,397.00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5,293,501.00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5,293,501.00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刘庆辉、吴园园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4,519,388.00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4,380,447.00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4,380,447.00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钱新、朱春燕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4,573,832.00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4,433,808.00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4,433,808.00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徐娴、EGERVARI JURGENFRANZ</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5,501,859.00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5,343,367.00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5,343,367.00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许逸雯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4,066,929.00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3,917,108.00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3,917,108.00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陈成、张益群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3,674,060.00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3,551,941.00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3,551,941.00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戎易</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3,727,942.00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3,604,751.00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3,604,751.00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徐娴、EGERVARI JURGENFRANZ</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4,184,127.00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4,031,394.00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4,031,394.00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5,412,860.00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5,256,139.00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5,256,139.00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冯民、杭小芬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5,331,755.00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5,176,648.00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2,176,648.00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王仁虎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4,206,105.00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4,073,399.00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4,073,399.00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张亮、曹大娟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4,210,541.00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4,077,746.00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4,077,746.00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246.83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8,952,385.00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巢玲群、须协成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5,271,524.00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5,091,769.00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5,091,769.00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徐波、尹丽君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4,302,770.00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4,168,140.00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4,168,140.00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张文婷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4,335,315.00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1,560,037.00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2,640,000.00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吴淏、贾李春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4,365,686.00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4,229,804.00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1,269,804.00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2,960,000.00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杭震立、刘春燕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4,398,230.00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4,261,700.00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4,261,700.00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苏虹、李小飞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214.69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4,953,299.00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4,835,126.00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4,835,126.00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方文平、缪亚萍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3,772,328.00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3,648,254.00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3,648,254.00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陆林、杨益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3,383,229.00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3,266,898.00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3,266,898.00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葛宜艳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3,415,220.00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3,298,252.00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3,298,252.00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蔡丽花、杨波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3,447,210.00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3,329,606.00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3,329,606.00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王守波、张娜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3,479,200.00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3,360,959.00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1,010,959.00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骆乾、薛一宁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3,846,574.00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3,721,022.00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3,721,022.00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蔡鸿男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4,875,124.00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4,729,104.00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4,729,104.00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汪蕾、陈建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4,345,843.00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4,210,356.00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4,210,356.00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盛昌润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4,400,288.00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4,242,183.00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4,242,183.00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沈雷、何霞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5,116,307.00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4,965,487.00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4,965,487.00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强月飞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3,877,612.00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3,731,443.00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2,531,443.00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3,481,242.00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盛汪、沈燕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3,535,126.00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何秋平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3,969,996.00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3,841,988.00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1,261,988.00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2,580,000.00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王华春、王玉芳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5,188,724.00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5,011,027.00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5,011,027.00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薛时杰、杨梦璐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4,389,562.00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季燕萍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4,444,005.00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戚虎林、恽洁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5,302,278.00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5,147,758.00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4,347,758.00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陈叶华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3,960,229.00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3,832,415.00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3,832,415.00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陈晓波、蒋霄燕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3,523,560.00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3,404,436.00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3,404,436.00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谢道林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3,577,443.00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3,457,247.00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3,457,247.00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唐小泉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4,018,828.00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3,889,848.00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3,889,848.00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贾春、陈妍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5,610,890.00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5,450,228.00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5,450,228.00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俞俊杰、朱雪萍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5,113,113.00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4,962,357.00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4,962,357.00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陈敏、刘志刚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4,058,857.00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3,929,081.00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1,179,081.00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4,052,030.00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3,902,580.00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3,902,580.00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金加洪、黄一虹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2,207,678.00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657,678.00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王常青、丁爱平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2,269,662.00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2,249,662.00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679,662.00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1,570,000.00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凌霄</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2,331,645.00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2,331,645.00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701,645.00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2,362,637.00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2,342,637.00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2,342,637.00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李辉贤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2,393,629.00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2,373,629.00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2,373,629.00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徐丽文、徐小青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2,424,621.00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2,404,621.00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1,904,621.00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施丽珏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2,455,612.00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2,455,612.00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1,005,612.00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蒋珍、叶卢宇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2,486,604.00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2,466,604.00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746,604.00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杨玉娇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2,378,133.00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刘洪江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2,025,862.00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2,005,862.00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605,862.00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陈丽珏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2,081,247.00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2,061,247.00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1,821,247.00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李晓东、李文英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2,108,940.00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2,088,940.00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2,088,940.00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陈小俊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许妍琦、周春强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2,164,326.00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2,144,326.00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644,326.00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张建红、恽德伟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2,192,019.00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2,172,019.00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652,019.00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史悦熙、黄秉慧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2,219,711.00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2,199,711.00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2,199,711.00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仇腾飞、王香丽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2,247,404.00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2,227,404.00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2,227,404.00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2,275,097.00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2,275,097.00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1,675,097.00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颜锦龙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2,178,172.00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2,158,172.00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2,158,172.00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朱银娣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2,019,005.00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龚黎菊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2,074,349.00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2,074,349.00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624,349.00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刘凯、王霞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2,103,572.00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2,083,572.00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633,572.00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林俊、董晨婷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2,131,265.00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2,111,265.00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2,111,265.00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杨国军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2,158,958.00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2,158,958.00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648,958.00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缪立斌、张湘倩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2,186,651.00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2,166,651.00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2,166,651.00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陶黎清、李小俊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2,214,343.00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2,194,343.00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1,594,343.00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吴洪涛、刘娜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2,242,036.00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2,222,036.00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1,222,036.00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陆阳、史燕静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陈一奇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2,172,804.00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2,172,804.00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1,092,804.00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苏永飞、于文琴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2,015,127.00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1,995,127.00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1,995,127.00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2,050,512.00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1,450,512.00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王加一</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2,098,205.00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628,205.00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朱奇艳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2,105,898.00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645,898.00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刘银媛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2,153,591.00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2,133,591.00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1,483,591.00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赵科汇、张林华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2,181,284.00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2,161,284.00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2,161,284.00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张芝玉、吴红成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2,208,976.00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2,188,976.00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658,976.00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张芝兰、刘晓明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2,236,669.00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2,216,669.00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666,669.00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秦建红、姚一如</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2,264,362.00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2,244,362.00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1,154,362.00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2,167,437.00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2,147,437.00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2,147,437.00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夏阿大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2,009,760.00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1,989,760.00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1,989,760.00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岳炜、沈燕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2,065,145.00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2,045,145.00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2,045,145.00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毛建杰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2,092,838.00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2,072,838.00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2,072,838.00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黄旭华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2,120,531.00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王卫琴、陈小明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2,148,224.00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2,128,224.00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2,128,224.00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赵婷婷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2,175,916.00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2,155,916.00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2,155,916.00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沈艳、丁梓轩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2,203,609.00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2,183,609.00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2,183,609.00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潘松、蔡英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2,231,302.00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2,211,302.00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671,302.00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刘奕钢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2,162,070.00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王振宇、傅婷婷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2,169,987.00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2,169,987.00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2,218,281.00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2,198,281.00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1,598,281.00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杜嘉骏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2,246,576.00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2,226,576.00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726,576.00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蒋婷、周园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2,274,871.00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2,254,871.00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2,254,871.00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2,303,166.00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刘长生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2,331,461.00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2,311,461.00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2,311,461.00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张凤乐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2,359,756.00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2,339,756.00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2,339,756.00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邓达、蒋红波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2,260,724.00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王爱莲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2,177,999.00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2,157,999.00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2,157,999.00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王晓丽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2,209,224.00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2,189,224.00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2,189,224.00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曹磊、田司琪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2,240,448.00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2,220,448.00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2,220,448.00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刘瑞杰、魏伟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2,271,673.00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2,251,673.00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2,251,673.00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2,282,898.00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2,282,898.00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蒋培荣、蒋淑英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2,365,347.00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2,345,347.00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1,005,347.00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万伟东、邵菊芬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2,396,572.00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2,376,572.00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986,572.00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孙维娜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2,427,797.00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2,427,797.00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737,797.00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陈梁、周捷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2,287,286.00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2,267,286.00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2,267,286.00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潘凌栋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2,025,935.00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2,005,935.00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2,005,935.00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李鸿峰、赵婧琦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2,053,836.00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2,033,836.00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2,033,836.00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刘玉飞、张美荣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2,081,737.00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2,061,737.00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621,737.00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邵骏飞、邓珍妮</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2,109,638.00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2,089,638.00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2,089,638.00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蒋雨辰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2,137,539.00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2,117,539.00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2,117,539.00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冷亚华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2,165,440.00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2,145,440.00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645,440.00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储旻辉、郭婉、储青、裴福美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2,193,341.00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2,173,341.00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2,173,341.00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张语涵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2,221,242.00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2,201,242.00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2,201,242.00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2,095,688.00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2,095,688.00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635,688.00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别东远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1,991,415.00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1,971,415.00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1,971,415.00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张卫美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2,020,774.00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2,000,774.00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600,774.00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李沁莹、史俊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2,048,675.00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2,028,675.00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2,028,675.00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唐丽君、金虎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2,076,576.00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2,056,576.00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1,076,576.00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徐茜、徐内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2,104,477.00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2,104,477.00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634,477.00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1,470,000.00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陆阳、史燕静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张峰磊、姚瑶</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2,160,279.00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2,140,279.00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2,140,279.00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朱荷芬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2,188,180.00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2,168,180.00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2,168,180.00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张慧、费国超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2,216,081.00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2,196,081.00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2,196,081.00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王金福、张海涛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2,090,527.00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1,987,711.00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1,987,711.00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597,711.00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臧彦姣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2,015,612.00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1,995,612.00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1,995,612.00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莫惠芬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2,043,513.00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2,023,513.00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623,513.00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缪苗、汪金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乔楠、陈奕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2,099,315.00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2,079,315.00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2,079,315.00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庄源琳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2,127,216.00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2,107,216.00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1,607,216.00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储群、卢庆、卢尧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2,155,118.00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2,135,118.00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935,118.00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卞秀芬、张建强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2,183,019.00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2,163,019.00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2,163,019.00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倪恺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2,210,920.00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2,210,920.00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670,920.00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2,085,365.00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2,065,365.00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625,365.00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时晓芬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1,982,549.00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1,962,549.00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592,549.00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1,370,000.00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潘凌栋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2,010,451.00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1,990,451.00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1,990,451.00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周威廉、梅丽萍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2,038,352.00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2,018,352.00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1,408,352.00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王英、蒋斌松</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2,066,253.00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2,046,253.00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2,046,253.00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丁文斌、丁梦琦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2,094,154.00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2,074,154.00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2,074,154.00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石晓荣、张敏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2,122,055.00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2,102,055.00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1,652,055.00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高祎玥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2,149,956.00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2,129,956.00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639,956.00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金怡、吴丁平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万琴娣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2,205,758.00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2,185,758.00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635,758.00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杨欢、闵敏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2,080,203.00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2,060,203.00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620,203.00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张雷、石建云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783,633.00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柳超、刘英杰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2,132,138.00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2,112,138.00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2,112,138.00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杨桂兰、薛金荣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2,160,643.00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2,140,643.00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2,140,643.00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戴文君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2,189,148.00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2,169,148.00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659,148.00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2,217,654.00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2,197,654.00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667,654.00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王杏琴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2,246,159.00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2,226,159.00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726,159.00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洪森、陈井玉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2,274,664.00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2,254,664.00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684,664.00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1,570,000.00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李建忠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2,303,169.00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徐洪华、高文雅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2,174,896.00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2,154,896.00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654,896.00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246.83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8,926,525.00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孙剑、汪蓓红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5,384,527.00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5,364,527.00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1,704,527.00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3,660,000.00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朱玉霞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4,568,251.00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4,548,251.00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1,368,251.00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3,180,000.00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蒋晔冰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4,600,895.00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4,580,895.00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1,500,895.00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3,080,000.00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4,633,538.00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4,613,538.00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3,113,538.00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刘本成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4,666,125.00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4,646,125.00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2,046,125.00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214.69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5,283,077.00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孙剑、汪蓓红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4,322,361.00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4,302,361.00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4,302,361.00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陈益、潘海方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3,681,332.00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3,661,332.00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1,101,332.00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2,560,000.00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薛然之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3,714,539.00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3,694,539.00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1,114,539.00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2,580,000.00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高涵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3,747,747.00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3,727,747.00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1,727,747.00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王志方、王伟秀</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3,780,953.00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3,760,953.00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1,260,953.00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4,217,043.00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刘培军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5,218,159.00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5,198,159.00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1,598,159.00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庄玲云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4,622,807.00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4,602,807.00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1,402,807.00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包国波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4,677,339.00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4,657,339.00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1,407,339.00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万阿香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5,916,349.00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刘晓丽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4,152,272.00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4,132,272.00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1,302,272.00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2,830,000.00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胡荫俊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3,727,868.00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3,707,868.00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1,117,868.00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2,590,000.00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壮雨婕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3,782,090.00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3,762,090.00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1,202,090.00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2,560,000.00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万阿香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4,253,542.00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赵韩斌、赵姝婷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5,560,448.00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5,540,448.00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1,940,448.00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殷炜晟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4,683,302.00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4,663,302.00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4,663,302.00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唐仲良、钱荷英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4,716,647.00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4,696,647.00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1,416,647.00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3,280,000.00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尹箭娇、沈飞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4,750,004.00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4,730,004.00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1,880,004.00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巢璟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4,782,820.00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4,762,820.00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1,452,820.00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3,310,000.00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丁晶、顾行宪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229.56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5,725,810.00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罗毓琪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4,231,052.00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4,211,052.00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4,211,052.00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周国东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3,748,466.00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3,728,466.00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1,128,466.00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牟文洪、洪红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3,782,927.00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3,762,927.00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3,562,927.00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谈安琳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3,816,300.00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3,796,300.00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846,300.00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蒋和平、蒋熹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3,849,372.00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3,829,372.00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2,979,372.00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4,208,901.00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9,646,195.00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姜俊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5,408,816.00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方敏青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4,566,702.00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4,526,702.00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1,366,702.00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3,160,000.00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吴伟中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4,620,997.00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4,600,997.00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4,600,997.00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周秋芬、张琳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214.82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5,844,546.00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5,824,546.00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5,824,546.00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吉才相</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4,001,963.00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3,981,963.00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3,981,963.00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3,657,203.00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3,712,065.00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3,692,065.00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2,692,065.00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汪礼刚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4,286,529.00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1,286,529.00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520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总计</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1,387,214,219.00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1,256,704,387.00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1,040,249,748.00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218,474,639.00 </w:t>
            </w:r>
          </w:p>
        </w:tc>
        <w:tc>
          <w:tcPr>
            <w:tcW w:w="1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18"/>
                <w:szCs w:val="18"/>
              </w:rPr>
            </w:pPr>
          </w:p>
        </w:tc>
      </w:tr>
    </w:tbl>
    <w:p/>
    <w:p/>
    <w:p/>
    <w:p/>
    <w:sectPr>
      <w:pgSz w:w="16838" w:h="11906" w:orient="landscape"/>
      <w:pgMar w:top="1508"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aN8KgBAABAAwAADgAAAGRycy9lMm9Eb2MueG1srVJLbhsxDN0XyB0E&#10;7WNNXDQwBh4HKYIUBYo2QJoDyBrJI0A/iIpnfIHmBll1k33O5XOEkmecpt0V2UgUST3yPXJ5MVhD&#10;tjKC9q6hZ7OKEumEb7XbNPTu5/XpghJI3LXceCcbupNAL1YnH5Z9qOXcd960MhIEcVD3oaFdSqFm&#10;DEQnLYeZD9JhUPloecJn3LA28h7RrWHzqjpnvY9tiF5IAPReHYJ0VfCVkiL9UApkIqah2FsqZyzn&#10;Op9steT1JvLQaTG2wf+jC8u1w6JHqCueOLmP+h8oq0X04FWaCW+ZV0oLWTggm7PqLza3HQ+ycEFx&#10;IBxlgveDFd+3N5HotqHzj5Q4bnFG+8eH/e/n/dMv8inr0weoMe02YGIaPvsB5zz5AZ2Z9qCizTcS&#10;IhhHpXdHdeWQiMifFvPFosKQwNj0QHz2+j1ESF+ktyQbDY04vqIq336DdEidUnI156+1MWWExr1x&#10;IGb2sNz7ocdspWE9jITWvt0hnx4n31CHq0mJ+epQ2LwkkxEnYz0auQaEy/uEhUs/GfUANRbDMRVG&#10;40rlPfjzXbJeF3/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B9Vo3wqAEAAEADAAAOAAAA&#10;AAAAAAEAIAAAAB4BAABkcnMvZTJvRG9jLnhtbFBLBQYAAAAABgAGAFkBAAA4BQAAAAA=&#10;">
              <v:fill on="f" focussize="0,0"/>
              <v:stroke on="f"/>
              <v:imagedata o:title=""/>
              <o:lock v:ext="edit" aspectratio="f"/>
              <v:textbox inset="0mm,0mm,0mm,0mm" style="mso-fit-shape-to-text:t;">
                <w:txbxContent>
                  <w:p>
                    <w:pPr>
                      <w:pStyle w:val="8"/>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JTZacBAABAAwAADgAAAGRycy9lMm9Eb2MueG1srVJLbtswEN0H6B0I&#10;7msqKlAYguUgRZCiQJEUSHIAmiItAvyBw1jyBZIbdNVN9z2Xz5EhLTn97IpsyOHM8M28N7O6GK0h&#10;OxlBe9fS80VFiXTCd9ptW/pwf/1+SQkk7jpuvJMt3UugF+t3Z6shNLL2vTedjARBHDRDaGmfUmgY&#10;A9FLy2Hhg3QYVD5anvAZt6yLfEB0a1hdVR/Z4GMXohcSAL1XxyBdF3ylpEi3SoFMxLQUe0vljOXc&#10;5JOtV7zZRh56LaY2+H90Ybl2WPQEdcUTJ49R/wNltYgevEoL4S3zSmkhCwdkc179xeau50EWLigO&#10;hJNM8Haw4mb3LRLdtbSuKXHc4owO358PP34dfj6RD1mfIUCDaXcBE9P4yY8459kP6My0RxVtvpEQ&#10;wTgqvT+pK8dERP60rJfLCkMCY/MD8dnr9xAhfZbekmy0NOL4iqp89xXSMXVOydWcv9bGlBEa94cD&#10;MbOH5d6PPWYrjZtxIrTx3R75DDj5ljpcTUrMF4fC5iWZjTgbm8nINSBcPiYsXPrJqEeoqRiOqTCa&#10;Virvwe/vkvW6+O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HVSU2WnAQAAQAMAAA4AAAAA&#10;AAAAAQAgAAAAHgEAAGRycy9lMm9Eb2MueG1sUEsFBgAAAAAGAAYAWQEAADc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28</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2019</w:t>
    </w:r>
    <w:r>
      <w:rPr>
        <w:rFonts w:hint="eastAsia" w:ascii="宋体" w:hAnsi="宋体" w:cs="宋体"/>
      </w:rPr>
      <w:t>年</w:t>
    </w:r>
    <w:r>
      <w:rPr>
        <w:rFonts w:ascii="Arial" w:hAnsi="Arial" w:cs="Arial"/>
      </w:rPr>
      <w:t>10</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年7月监管报告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9728F"/>
    <w:rsid w:val="000014E8"/>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709"/>
    <w:rsid w:val="00B77978"/>
    <w:rsid w:val="00B80FA6"/>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370B0C"/>
    <w:rsid w:val="01416B4E"/>
    <w:rsid w:val="01450C8D"/>
    <w:rsid w:val="01B22C38"/>
    <w:rsid w:val="0287698F"/>
    <w:rsid w:val="029517EF"/>
    <w:rsid w:val="02991399"/>
    <w:rsid w:val="02AF2C3C"/>
    <w:rsid w:val="03B03C51"/>
    <w:rsid w:val="040F5F73"/>
    <w:rsid w:val="044E53C0"/>
    <w:rsid w:val="04615645"/>
    <w:rsid w:val="04B135A2"/>
    <w:rsid w:val="04D5358E"/>
    <w:rsid w:val="05024B1E"/>
    <w:rsid w:val="05091CA9"/>
    <w:rsid w:val="056B10C8"/>
    <w:rsid w:val="05741D95"/>
    <w:rsid w:val="058B20AB"/>
    <w:rsid w:val="05FE1AC1"/>
    <w:rsid w:val="06A30AF5"/>
    <w:rsid w:val="079F2291"/>
    <w:rsid w:val="07C762F7"/>
    <w:rsid w:val="08E969CC"/>
    <w:rsid w:val="090A6A03"/>
    <w:rsid w:val="09285245"/>
    <w:rsid w:val="096B28F0"/>
    <w:rsid w:val="09746F62"/>
    <w:rsid w:val="09B375D0"/>
    <w:rsid w:val="0A510F2E"/>
    <w:rsid w:val="0A647549"/>
    <w:rsid w:val="0AD32601"/>
    <w:rsid w:val="0B3908EA"/>
    <w:rsid w:val="0B7D7E07"/>
    <w:rsid w:val="0B8E42AA"/>
    <w:rsid w:val="0BFF6CB1"/>
    <w:rsid w:val="0C352D20"/>
    <w:rsid w:val="0C8D72A3"/>
    <w:rsid w:val="0CA01AAB"/>
    <w:rsid w:val="0CA6391B"/>
    <w:rsid w:val="0CDC3036"/>
    <w:rsid w:val="0CE622A7"/>
    <w:rsid w:val="0CFB32FE"/>
    <w:rsid w:val="0D7B01EB"/>
    <w:rsid w:val="0D9F6E40"/>
    <w:rsid w:val="0DC97627"/>
    <w:rsid w:val="0DF51BE4"/>
    <w:rsid w:val="0DF554B9"/>
    <w:rsid w:val="0E0C1841"/>
    <w:rsid w:val="0EA84BA0"/>
    <w:rsid w:val="0EF37996"/>
    <w:rsid w:val="0F5131FC"/>
    <w:rsid w:val="0F5A1EAC"/>
    <w:rsid w:val="0F743071"/>
    <w:rsid w:val="0FE90254"/>
    <w:rsid w:val="10B2324F"/>
    <w:rsid w:val="10D05217"/>
    <w:rsid w:val="10F50BB4"/>
    <w:rsid w:val="11007B77"/>
    <w:rsid w:val="111265A8"/>
    <w:rsid w:val="112C77B4"/>
    <w:rsid w:val="114B54D4"/>
    <w:rsid w:val="118266BE"/>
    <w:rsid w:val="11A779B8"/>
    <w:rsid w:val="11C90C09"/>
    <w:rsid w:val="11D55F77"/>
    <w:rsid w:val="121C2C91"/>
    <w:rsid w:val="124B2B4C"/>
    <w:rsid w:val="129737AA"/>
    <w:rsid w:val="12C32F73"/>
    <w:rsid w:val="1329728F"/>
    <w:rsid w:val="1397238C"/>
    <w:rsid w:val="13B4494C"/>
    <w:rsid w:val="13EA42B9"/>
    <w:rsid w:val="140A7A4F"/>
    <w:rsid w:val="14176954"/>
    <w:rsid w:val="14474AFD"/>
    <w:rsid w:val="145061A4"/>
    <w:rsid w:val="14FD45A9"/>
    <w:rsid w:val="14FE14A3"/>
    <w:rsid w:val="150B1F6C"/>
    <w:rsid w:val="1511406F"/>
    <w:rsid w:val="15FE4A73"/>
    <w:rsid w:val="1657777F"/>
    <w:rsid w:val="165F631B"/>
    <w:rsid w:val="1673604F"/>
    <w:rsid w:val="16A65EC9"/>
    <w:rsid w:val="16ED7B96"/>
    <w:rsid w:val="16F52C62"/>
    <w:rsid w:val="174504D5"/>
    <w:rsid w:val="176A2535"/>
    <w:rsid w:val="17C23688"/>
    <w:rsid w:val="17F0534C"/>
    <w:rsid w:val="182717AE"/>
    <w:rsid w:val="182F089F"/>
    <w:rsid w:val="183C2CE5"/>
    <w:rsid w:val="18460BE0"/>
    <w:rsid w:val="18872EBA"/>
    <w:rsid w:val="188A342D"/>
    <w:rsid w:val="18C31273"/>
    <w:rsid w:val="1905656F"/>
    <w:rsid w:val="192243DE"/>
    <w:rsid w:val="193304EA"/>
    <w:rsid w:val="19AF5819"/>
    <w:rsid w:val="19D878EF"/>
    <w:rsid w:val="1A3811DA"/>
    <w:rsid w:val="1A3E1180"/>
    <w:rsid w:val="1A696C88"/>
    <w:rsid w:val="1A6C646C"/>
    <w:rsid w:val="1AF36D63"/>
    <w:rsid w:val="1B490121"/>
    <w:rsid w:val="1B573F0E"/>
    <w:rsid w:val="1B596E8A"/>
    <w:rsid w:val="1B6B20B6"/>
    <w:rsid w:val="1C3F2EA3"/>
    <w:rsid w:val="1C4C5268"/>
    <w:rsid w:val="1C980A78"/>
    <w:rsid w:val="1CAE21A8"/>
    <w:rsid w:val="1CDF4126"/>
    <w:rsid w:val="1CE800DA"/>
    <w:rsid w:val="1D12656E"/>
    <w:rsid w:val="1D4B4F71"/>
    <w:rsid w:val="1DB84EB8"/>
    <w:rsid w:val="1DCF7F4C"/>
    <w:rsid w:val="1E19117D"/>
    <w:rsid w:val="1E3B7D9D"/>
    <w:rsid w:val="1E4950F8"/>
    <w:rsid w:val="1E626377"/>
    <w:rsid w:val="1E800AA8"/>
    <w:rsid w:val="1EE478F8"/>
    <w:rsid w:val="1F0E03BD"/>
    <w:rsid w:val="1F36360B"/>
    <w:rsid w:val="1F6A2F47"/>
    <w:rsid w:val="1F956FE2"/>
    <w:rsid w:val="1FA85D73"/>
    <w:rsid w:val="1FF62B78"/>
    <w:rsid w:val="20236A3E"/>
    <w:rsid w:val="206D3B6C"/>
    <w:rsid w:val="208F0EEE"/>
    <w:rsid w:val="21B539C8"/>
    <w:rsid w:val="225D766B"/>
    <w:rsid w:val="23962A57"/>
    <w:rsid w:val="239F5676"/>
    <w:rsid w:val="23AF2050"/>
    <w:rsid w:val="23D017CA"/>
    <w:rsid w:val="241F2A33"/>
    <w:rsid w:val="24496D69"/>
    <w:rsid w:val="24503850"/>
    <w:rsid w:val="247B4086"/>
    <w:rsid w:val="249B3414"/>
    <w:rsid w:val="24E02803"/>
    <w:rsid w:val="24EA1DE0"/>
    <w:rsid w:val="250836B6"/>
    <w:rsid w:val="252C1252"/>
    <w:rsid w:val="25566C82"/>
    <w:rsid w:val="25A1363C"/>
    <w:rsid w:val="264E4D1A"/>
    <w:rsid w:val="26501CEE"/>
    <w:rsid w:val="267433F0"/>
    <w:rsid w:val="26B620BC"/>
    <w:rsid w:val="26C256C4"/>
    <w:rsid w:val="27316154"/>
    <w:rsid w:val="275B47DC"/>
    <w:rsid w:val="279A662B"/>
    <w:rsid w:val="27A25564"/>
    <w:rsid w:val="28014CCC"/>
    <w:rsid w:val="28345CB9"/>
    <w:rsid w:val="28A3157D"/>
    <w:rsid w:val="28E468D2"/>
    <w:rsid w:val="294B7A7C"/>
    <w:rsid w:val="294D2990"/>
    <w:rsid w:val="29B4678E"/>
    <w:rsid w:val="2A341FD2"/>
    <w:rsid w:val="2A5F13A7"/>
    <w:rsid w:val="2AAA2925"/>
    <w:rsid w:val="2AAF3B36"/>
    <w:rsid w:val="2B362C7A"/>
    <w:rsid w:val="2B4F070A"/>
    <w:rsid w:val="2B9525D8"/>
    <w:rsid w:val="2B995C53"/>
    <w:rsid w:val="2BA037BB"/>
    <w:rsid w:val="2C420226"/>
    <w:rsid w:val="2C6E3523"/>
    <w:rsid w:val="2C73562D"/>
    <w:rsid w:val="2C794C81"/>
    <w:rsid w:val="2C9245FF"/>
    <w:rsid w:val="2CA614D2"/>
    <w:rsid w:val="2CB852B6"/>
    <w:rsid w:val="2D013A66"/>
    <w:rsid w:val="2D5D5FDA"/>
    <w:rsid w:val="2D8E7D40"/>
    <w:rsid w:val="2DE2150B"/>
    <w:rsid w:val="2EBE13B9"/>
    <w:rsid w:val="2ECE00A9"/>
    <w:rsid w:val="2EF04512"/>
    <w:rsid w:val="2F855ABB"/>
    <w:rsid w:val="2FB8217C"/>
    <w:rsid w:val="308265BA"/>
    <w:rsid w:val="30916070"/>
    <w:rsid w:val="30985AB1"/>
    <w:rsid w:val="30CF0835"/>
    <w:rsid w:val="30F03DFA"/>
    <w:rsid w:val="313930FF"/>
    <w:rsid w:val="314B4163"/>
    <w:rsid w:val="315B7C6B"/>
    <w:rsid w:val="31872E04"/>
    <w:rsid w:val="31891D82"/>
    <w:rsid w:val="31F1618F"/>
    <w:rsid w:val="32005397"/>
    <w:rsid w:val="323568F8"/>
    <w:rsid w:val="323B7FFE"/>
    <w:rsid w:val="32553B73"/>
    <w:rsid w:val="32E16C49"/>
    <w:rsid w:val="32EE3326"/>
    <w:rsid w:val="336C796C"/>
    <w:rsid w:val="33A717F8"/>
    <w:rsid w:val="33BE058E"/>
    <w:rsid w:val="340169DA"/>
    <w:rsid w:val="34CF45BC"/>
    <w:rsid w:val="351C6510"/>
    <w:rsid w:val="35207F9E"/>
    <w:rsid w:val="35635B07"/>
    <w:rsid w:val="35657930"/>
    <w:rsid w:val="35B44532"/>
    <w:rsid w:val="35CF1819"/>
    <w:rsid w:val="36004B30"/>
    <w:rsid w:val="361C1378"/>
    <w:rsid w:val="367140EF"/>
    <w:rsid w:val="367C45A2"/>
    <w:rsid w:val="36932D65"/>
    <w:rsid w:val="36D3772D"/>
    <w:rsid w:val="36EE0BD9"/>
    <w:rsid w:val="37177A68"/>
    <w:rsid w:val="37F80A98"/>
    <w:rsid w:val="38102C5D"/>
    <w:rsid w:val="382E19C0"/>
    <w:rsid w:val="38593A85"/>
    <w:rsid w:val="388A5DE8"/>
    <w:rsid w:val="389E6465"/>
    <w:rsid w:val="38CC2B51"/>
    <w:rsid w:val="393C4A38"/>
    <w:rsid w:val="394502E8"/>
    <w:rsid w:val="394D714F"/>
    <w:rsid w:val="3976081F"/>
    <w:rsid w:val="3983329A"/>
    <w:rsid w:val="39A66DD8"/>
    <w:rsid w:val="39BB38E5"/>
    <w:rsid w:val="3A3F1A49"/>
    <w:rsid w:val="3A64667B"/>
    <w:rsid w:val="3A6D1DF0"/>
    <w:rsid w:val="3A8861B8"/>
    <w:rsid w:val="3AAB5BAD"/>
    <w:rsid w:val="3ACD5F0B"/>
    <w:rsid w:val="3ACD67DA"/>
    <w:rsid w:val="3AF01648"/>
    <w:rsid w:val="3B273ADD"/>
    <w:rsid w:val="3C437BC4"/>
    <w:rsid w:val="3CDA63FD"/>
    <w:rsid w:val="3CFC33A6"/>
    <w:rsid w:val="3DD205E2"/>
    <w:rsid w:val="3F151678"/>
    <w:rsid w:val="3F7F34BC"/>
    <w:rsid w:val="3F862B55"/>
    <w:rsid w:val="3FB65279"/>
    <w:rsid w:val="400F5610"/>
    <w:rsid w:val="40BF3306"/>
    <w:rsid w:val="40C802B9"/>
    <w:rsid w:val="418450F7"/>
    <w:rsid w:val="41953547"/>
    <w:rsid w:val="41FD6252"/>
    <w:rsid w:val="421E3A3B"/>
    <w:rsid w:val="42DD4ED6"/>
    <w:rsid w:val="430C7821"/>
    <w:rsid w:val="432626DC"/>
    <w:rsid w:val="43762C3D"/>
    <w:rsid w:val="441322DC"/>
    <w:rsid w:val="4462676B"/>
    <w:rsid w:val="447B7EB4"/>
    <w:rsid w:val="44E372C7"/>
    <w:rsid w:val="44E80311"/>
    <w:rsid w:val="451F195C"/>
    <w:rsid w:val="45223ABD"/>
    <w:rsid w:val="45B069B3"/>
    <w:rsid w:val="46760D2B"/>
    <w:rsid w:val="46F13A07"/>
    <w:rsid w:val="47E9125D"/>
    <w:rsid w:val="47F17A06"/>
    <w:rsid w:val="47F505DD"/>
    <w:rsid w:val="4879604A"/>
    <w:rsid w:val="490E02CD"/>
    <w:rsid w:val="496B7D78"/>
    <w:rsid w:val="49764BB8"/>
    <w:rsid w:val="49A75D4B"/>
    <w:rsid w:val="49CB02DE"/>
    <w:rsid w:val="4A21385E"/>
    <w:rsid w:val="4A6002EB"/>
    <w:rsid w:val="4A763A10"/>
    <w:rsid w:val="4ADE2E72"/>
    <w:rsid w:val="4BE60882"/>
    <w:rsid w:val="4D3E7333"/>
    <w:rsid w:val="4D6F7103"/>
    <w:rsid w:val="4E1104E7"/>
    <w:rsid w:val="4E443E3C"/>
    <w:rsid w:val="4EB33D4B"/>
    <w:rsid w:val="4ECF0C25"/>
    <w:rsid w:val="4ED957B8"/>
    <w:rsid w:val="4EE30A09"/>
    <w:rsid w:val="4F015911"/>
    <w:rsid w:val="4F0936D1"/>
    <w:rsid w:val="4F7D3320"/>
    <w:rsid w:val="4FA1224D"/>
    <w:rsid w:val="50231277"/>
    <w:rsid w:val="50530FD2"/>
    <w:rsid w:val="50680C7A"/>
    <w:rsid w:val="50FD5220"/>
    <w:rsid w:val="51364674"/>
    <w:rsid w:val="517A54EF"/>
    <w:rsid w:val="51EA7D2A"/>
    <w:rsid w:val="52193772"/>
    <w:rsid w:val="52241516"/>
    <w:rsid w:val="52A43471"/>
    <w:rsid w:val="52C723C5"/>
    <w:rsid w:val="52CE7B29"/>
    <w:rsid w:val="53143C76"/>
    <w:rsid w:val="533F605B"/>
    <w:rsid w:val="538E25D9"/>
    <w:rsid w:val="538F283F"/>
    <w:rsid w:val="544A7DDE"/>
    <w:rsid w:val="54BB3E9D"/>
    <w:rsid w:val="54D866BF"/>
    <w:rsid w:val="54DA4F58"/>
    <w:rsid w:val="550A7B54"/>
    <w:rsid w:val="551B359B"/>
    <w:rsid w:val="551F76E6"/>
    <w:rsid w:val="554C2943"/>
    <w:rsid w:val="554C2E4C"/>
    <w:rsid w:val="55CE553D"/>
    <w:rsid w:val="566469E9"/>
    <w:rsid w:val="567A168B"/>
    <w:rsid w:val="568B628B"/>
    <w:rsid w:val="56F9126E"/>
    <w:rsid w:val="5724664B"/>
    <w:rsid w:val="580010B1"/>
    <w:rsid w:val="583D7CF2"/>
    <w:rsid w:val="58704C2D"/>
    <w:rsid w:val="596F3BFA"/>
    <w:rsid w:val="59A10C9E"/>
    <w:rsid w:val="59D10B5F"/>
    <w:rsid w:val="59DC7B4C"/>
    <w:rsid w:val="59EC75E0"/>
    <w:rsid w:val="59EF0A81"/>
    <w:rsid w:val="5A575839"/>
    <w:rsid w:val="5A835309"/>
    <w:rsid w:val="5AC56494"/>
    <w:rsid w:val="5B206A5A"/>
    <w:rsid w:val="5B711CFB"/>
    <w:rsid w:val="5B7219C1"/>
    <w:rsid w:val="5BD60ABA"/>
    <w:rsid w:val="5BEF026B"/>
    <w:rsid w:val="5C0B6516"/>
    <w:rsid w:val="5C3F425E"/>
    <w:rsid w:val="5C8D515A"/>
    <w:rsid w:val="5CE4559D"/>
    <w:rsid w:val="5D692489"/>
    <w:rsid w:val="5D7C3793"/>
    <w:rsid w:val="5D8563A7"/>
    <w:rsid w:val="5DA75C6B"/>
    <w:rsid w:val="5E48254A"/>
    <w:rsid w:val="5E8725F8"/>
    <w:rsid w:val="5F247BF6"/>
    <w:rsid w:val="5FE35892"/>
    <w:rsid w:val="602250B9"/>
    <w:rsid w:val="61594CEB"/>
    <w:rsid w:val="61C30742"/>
    <w:rsid w:val="62EF3110"/>
    <w:rsid w:val="6319094A"/>
    <w:rsid w:val="63C57042"/>
    <w:rsid w:val="64D85A36"/>
    <w:rsid w:val="652F2244"/>
    <w:rsid w:val="6547142D"/>
    <w:rsid w:val="65767348"/>
    <w:rsid w:val="65C7030B"/>
    <w:rsid w:val="666A2E4D"/>
    <w:rsid w:val="666C1604"/>
    <w:rsid w:val="66C33BCC"/>
    <w:rsid w:val="66D80480"/>
    <w:rsid w:val="66FB00FF"/>
    <w:rsid w:val="67694D9C"/>
    <w:rsid w:val="67A50CAB"/>
    <w:rsid w:val="68B467A8"/>
    <w:rsid w:val="68BD3F05"/>
    <w:rsid w:val="691B5623"/>
    <w:rsid w:val="692E1D9F"/>
    <w:rsid w:val="6A36045F"/>
    <w:rsid w:val="6A6C675E"/>
    <w:rsid w:val="6AB71A2A"/>
    <w:rsid w:val="6AC6738D"/>
    <w:rsid w:val="6B9B0D78"/>
    <w:rsid w:val="6BD50AE2"/>
    <w:rsid w:val="6BE9714A"/>
    <w:rsid w:val="6BF413B9"/>
    <w:rsid w:val="6CEC62A7"/>
    <w:rsid w:val="6CFB6337"/>
    <w:rsid w:val="6CFD1E73"/>
    <w:rsid w:val="6D1D0982"/>
    <w:rsid w:val="6D3210E6"/>
    <w:rsid w:val="6D3C0532"/>
    <w:rsid w:val="6D4A7C3D"/>
    <w:rsid w:val="6D657E15"/>
    <w:rsid w:val="6DC072BA"/>
    <w:rsid w:val="6DEB5E39"/>
    <w:rsid w:val="6E0C51E5"/>
    <w:rsid w:val="6E30763C"/>
    <w:rsid w:val="6E8C3894"/>
    <w:rsid w:val="6EB51B52"/>
    <w:rsid w:val="6ECE25BF"/>
    <w:rsid w:val="6F0028F8"/>
    <w:rsid w:val="6F017FD9"/>
    <w:rsid w:val="6F0740F2"/>
    <w:rsid w:val="6F3935FE"/>
    <w:rsid w:val="6F3B201E"/>
    <w:rsid w:val="6F862AB4"/>
    <w:rsid w:val="6FB800D6"/>
    <w:rsid w:val="6FC31426"/>
    <w:rsid w:val="6FF3299D"/>
    <w:rsid w:val="70216FF3"/>
    <w:rsid w:val="708763CE"/>
    <w:rsid w:val="70FC5925"/>
    <w:rsid w:val="719A593E"/>
    <w:rsid w:val="71A35A58"/>
    <w:rsid w:val="71A44B9C"/>
    <w:rsid w:val="71AC2F36"/>
    <w:rsid w:val="71F6544C"/>
    <w:rsid w:val="728A5EC9"/>
    <w:rsid w:val="72A0730C"/>
    <w:rsid w:val="72DF3E4B"/>
    <w:rsid w:val="72E832DA"/>
    <w:rsid w:val="73297F00"/>
    <w:rsid w:val="735C0845"/>
    <w:rsid w:val="747555BC"/>
    <w:rsid w:val="74D63E8E"/>
    <w:rsid w:val="74E27E40"/>
    <w:rsid w:val="74E939DC"/>
    <w:rsid w:val="751A34F6"/>
    <w:rsid w:val="75231212"/>
    <w:rsid w:val="756C0211"/>
    <w:rsid w:val="75D607E4"/>
    <w:rsid w:val="76841BD5"/>
    <w:rsid w:val="76E70481"/>
    <w:rsid w:val="772B43E7"/>
    <w:rsid w:val="781D2593"/>
    <w:rsid w:val="782B471E"/>
    <w:rsid w:val="789914C5"/>
    <w:rsid w:val="78A6154A"/>
    <w:rsid w:val="79091026"/>
    <w:rsid w:val="7949545E"/>
    <w:rsid w:val="79733EE5"/>
    <w:rsid w:val="79D84F64"/>
    <w:rsid w:val="79FE470C"/>
    <w:rsid w:val="7AAD1751"/>
    <w:rsid w:val="7ABD75DA"/>
    <w:rsid w:val="7AFA1C30"/>
    <w:rsid w:val="7B1C21BD"/>
    <w:rsid w:val="7B60700B"/>
    <w:rsid w:val="7B6F2120"/>
    <w:rsid w:val="7BC60F85"/>
    <w:rsid w:val="7C6D2BFD"/>
    <w:rsid w:val="7C9A3C5D"/>
    <w:rsid w:val="7CCC7734"/>
    <w:rsid w:val="7D1932E6"/>
    <w:rsid w:val="7D291199"/>
    <w:rsid w:val="7D8815D4"/>
    <w:rsid w:val="7DAC7AE2"/>
    <w:rsid w:val="7DDD4B37"/>
    <w:rsid w:val="7E232986"/>
    <w:rsid w:val="7EA91B24"/>
    <w:rsid w:val="7EAF215D"/>
    <w:rsid w:val="7EC85753"/>
    <w:rsid w:val="7F2E6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28"/>
    <w:qFormat/>
    <w:uiPriority w:val="0"/>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30"/>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paragraph" w:customStyle="1" w:styleId="19">
    <w:name w:val="_Style 18"/>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
    <w:name w:val="List Paragraph1"/>
    <w:basedOn w:val="1"/>
    <w:qFormat/>
    <w:uiPriority w:val="0"/>
    <w:pPr>
      <w:ind w:firstLine="420" w:firstLineChars="200"/>
    </w:pPr>
    <w:rPr>
      <w:rFonts w:ascii="Calibri" w:hAnsi="Calibri"/>
      <w:szCs w:val="22"/>
    </w:rPr>
  </w:style>
  <w:style w:type="paragraph" w:customStyle="1" w:styleId="21">
    <w:name w:val="_Style 20"/>
    <w:unhideWhenUsed/>
    <w:qFormat/>
    <w:uiPriority w:val="99"/>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页脚 字符"/>
    <w:link w:val="8"/>
    <w:qFormat/>
    <w:uiPriority w:val="99"/>
    <w:rPr>
      <w:kern w:val="2"/>
      <w:sz w:val="18"/>
      <w:szCs w:val="18"/>
    </w:rPr>
  </w:style>
  <w:style w:type="character" w:customStyle="1" w:styleId="24">
    <w:name w:val="font41"/>
    <w:qFormat/>
    <w:uiPriority w:val="0"/>
    <w:rPr>
      <w:rFonts w:ascii="Arial" w:hAnsi="Arial" w:cs="Arial"/>
      <w:b/>
      <w:color w:val="000000"/>
      <w:sz w:val="20"/>
      <w:szCs w:val="20"/>
      <w:u w:val="none"/>
    </w:rPr>
  </w:style>
  <w:style w:type="character" w:customStyle="1" w:styleId="25">
    <w:name w:val="批注文字 字符"/>
    <w:link w:val="5"/>
    <w:qFormat/>
    <w:uiPriority w:val="0"/>
    <w:rPr>
      <w:kern w:val="2"/>
      <w:sz w:val="21"/>
      <w:szCs w:val="24"/>
    </w:rPr>
  </w:style>
  <w:style w:type="character" w:customStyle="1" w:styleId="26">
    <w:name w:val="font31"/>
    <w:qFormat/>
    <w:uiPriority w:val="0"/>
    <w:rPr>
      <w:rFonts w:hint="eastAsia" w:ascii="宋体" w:hAnsi="宋体" w:eastAsia="宋体" w:cs="宋体"/>
      <w:color w:val="000000"/>
      <w:sz w:val="20"/>
      <w:szCs w:val="20"/>
      <w:u w:val="none"/>
    </w:rPr>
  </w:style>
  <w:style w:type="character" w:customStyle="1" w:styleId="27">
    <w:name w:val="标题 1 字符"/>
    <w:link w:val="2"/>
    <w:qFormat/>
    <w:uiPriority w:val="0"/>
    <w:rPr>
      <w:b/>
      <w:bCs/>
      <w:kern w:val="44"/>
      <w:sz w:val="44"/>
      <w:szCs w:val="44"/>
    </w:rPr>
  </w:style>
  <w:style w:type="character" w:customStyle="1" w:styleId="28">
    <w:name w:val="批注框文本 字符"/>
    <w:link w:val="7"/>
    <w:qFormat/>
    <w:uiPriority w:val="0"/>
    <w:rPr>
      <w:kern w:val="2"/>
      <w:sz w:val="18"/>
      <w:szCs w:val="18"/>
    </w:rPr>
  </w:style>
  <w:style w:type="character" w:customStyle="1" w:styleId="29">
    <w:name w:val="font11"/>
    <w:qFormat/>
    <w:uiPriority w:val="0"/>
    <w:rPr>
      <w:rFonts w:ascii="宋体" w:hAnsi="宋体" w:eastAsia="宋体" w:cs="宋体"/>
      <w:color w:val="000000"/>
      <w:sz w:val="20"/>
      <w:szCs w:val="20"/>
      <w:u w:val="none"/>
    </w:rPr>
  </w:style>
  <w:style w:type="character" w:customStyle="1" w:styleId="30">
    <w:name w:val="批注主题 字符"/>
    <w:link w:val="12"/>
    <w:qFormat/>
    <w:uiPriority w:val="0"/>
    <w:rPr>
      <w:b/>
      <w:bCs/>
      <w:kern w:val="2"/>
      <w:sz w:val="21"/>
      <w:szCs w:val="24"/>
    </w:rPr>
  </w:style>
  <w:style w:type="character" w:customStyle="1" w:styleId="31">
    <w:name w:val="页眉 字符"/>
    <w:link w:val="9"/>
    <w:qFormat/>
    <w:uiPriority w:val="0"/>
    <w:rPr>
      <w:kern w:val="2"/>
      <w:sz w:val="18"/>
      <w:szCs w:val="18"/>
    </w:rPr>
  </w:style>
  <w:style w:type="character" w:customStyle="1" w:styleId="32">
    <w:name w:val="font01"/>
    <w:basedOn w:val="15"/>
    <w:qFormat/>
    <w:uiPriority w:val="0"/>
    <w:rPr>
      <w:rFonts w:hint="default" w:ascii="Arial" w:hAnsi="Arial" w:cs="Arial"/>
      <w:color w:val="000000"/>
      <w:sz w:val="18"/>
      <w:szCs w:val="18"/>
      <w:u w:val="none"/>
    </w:rPr>
  </w:style>
  <w:style w:type="character" w:customStyle="1" w:styleId="33">
    <w:name w:val="font51"/>
    <w:basedOn w:val="15"/>
    <w:qFormat/>
    <w:uiPriority w:val="0"/>
    <w:rPr>
      <w:rFonts w:hint="eastAsia" w:ascii="宋体" w:hAnsi="宋体" w:eastAsia="宋体" w:cs="宋体"/>
      <w:color w:val="000000"/>
      <w:sz w:val="18"/>
      <w:szCs w:val="18"/>
      <w:u w:val="none"/>
    </w:rPr>
  </w:style>
  <w:style w:type="character" w:customStyle="1" w:styleId="34">
    <w:name w:val="font71"/>
    <w:basedOn w:val="15"/>
    <w:qFormat/>
    <w:uiPriority w:val="0"/>
    <w:rPr>
      <w:rFonts w:hint="eastAsia" w:ascii="宋体" w:hAnsi="宋体" w:eastAsia="宋体" w:cs="宋体"/>
      <w:color w:val="000000"/>
      <w:sz w:val="20"/>
      <w:szCs w:val="20"/>
      <w:u w:val="none"/>
    </w:rPr>
  </w:style>
  <w:style w:type="character" w:customStyle="1" w:styleId="35">
    <w:name w:val="font6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Company>WIN</Company>
  <Pages>65</Pages>
  <Words>11673</Words>
  <Characters>66540</Characters>
  <Lines>554</Lines>
  <Paragraphs>156</Paragraphs>
  <TotalTime>18</TotalTime>
  <ScaleCrop>false</ScaleCrop>
  <LinksUpToDate>false</LinksUpToDate>
  <CharactersWithSpaces>78057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2020-06-06T08:24:00Z</dcterms:created>
  <dc:creator>zhenny</dc:creator>
  <cp:lastModifiedBy>zhenny</cp:lastModifiedBy>
  <dcterms:modified xsi:type="dcterms:W3CDTF">2020-08-13T01:14:00Z</dcterms:modified>
  <dc:title>信托计划监管报告</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