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DD27D4" w:rsidRPr="00DD27D4">
        <w:rPr>
          <w:rFonts w:ascii="仿宋_GB2312" w:eastAsia="仿宋_GB2312" w:hAnsi="仿宋" w:hint="eastAsia"/>
          <w:sz w:val="28"/>
        </w:rPr>
        <w:t>(2021)京0105民初53376号</w:t>
      </w:r>
      <w:r w:rsidR="00DD27D4">
        <w:rPr>
          <w:rFonts w:ascii="仿宋_GB2312" w:eastAsia="仿宋_GB2312" w:hAnsi="仿宋" w:hint="eastAsia"/>
          <w:sz w:val="28"/>
        </w:rPr>
        <w:t>白宝玲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DD27D4">
        <w:rPr>
          <w:rFonts w:ascii="仿宋_GB2312" w:eastAsia="仿宋_GB2312" w:hAnsi="仿宋" w:hint="eastAsia"/>
          <w:sz w:val="28"/>
        </w:rPr>
        <w:t>杜申</w:t>
      </w:r>
      <w:r w:rsidR="00BF5AFE" w:rsidRPr="0052057F">
        <w:rPr>
          <w:rFonts w:ascii="仿宋_GB2312" w:eastAsia="仿宋_GB2312" w:hAnsi="仿宋" w:hint="eastAsia"/>
          <w:sz w:val="28"/>
        </w:rPr>
        <w:t>离婚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DD27D4" w:rsidRPr="00DD27D4">
        <w:rPr>
          <w:rFonts w:ascii="仿宋_GB2312" w:eastAsia="仿宋_GB2312" w:hAnsi="仿宋" w:hint="eastAsia"/>
          <w:sz w:val="28"/>
        </w:rPr>
        <w:t>北京市朝阳区来广营北路88号东洲家园4号楼3单元1402号</w:t>
      </w:r>
      <w:r w:rsidR="002A3E4C" w:rsidRPr="0052057F">
        <w:rPr>
          <w:rFonts w:ascii="仿宋_GB2312" w:eastAsia="仿宋_GB2312" w:hAnsi="仿宋" w:hint="eastAsia"/>
          <w:sz w:val="28"/>
        </w:rPr>
        <w:t>房产现价值进行评估鉴定。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DD27D4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DD27D4">
        <w:rPr>
          <w:rFonts w:ascii="仿宋_GB2312" w:eastAsia="仿宋_GB2312" w:hAnsi="仿宋" w:hint="eastAsia"/>
          <w:sz w:val="28"/>
        </w:rPr>
        <w:t>北京市朝阳区来广营北路88号东洲家园4号楼3单元1402号</w:t>
      </w:r>
      <w:r w:rsidR="00745DBD" w:rsidRPr="0052057F">
        <w:rPr>
          <w:rFonts w:ascii="仿宋_GB2312" w:eastAsia="仿宋_GB2312" w:hAnsi="仿宋" w:hint="eastAsia"/>
          <w:sz w:val="28"/>
        </w:rPr>
        <w:t>房屋</w:t>
      </w:r>
      <w:r w:rsidR="004C1D5B" w:rsidRPr="0052057F">
        <w:rPr>
          <w:rFonts w:ascii="仿宋_GB2312" w:eastAsia="仿宋_GB2312" w:hAnsi="仿宋" w:hint="eastAsia"/>
          <w:sz w:val="28"/>
        </w:rPr>
        <w:t>（登记地址</w:t>
      </w:r>
      <w:r>
        <w:rPr>
          <w:rFonts w:ascii="仿宋_GB2312" w:eastAsia="仿宋_GB2312" w:hAnsi="仿宋" w:hint="eastAsia"/>
          <w:sz w:val="28"/>
        </w:rPr>
        <w:t>(尚未提供资料,</w:t>
      </w:r>
      <w:r w:rsidR="000766ED">
        <w:rPr>
          <w:rFonts w:ascii="仿宋_GB2312" w:eastAsia="仿宋_GB2312" w:hAnsi="仿宋" w:hint="eastAsia"/>
          <w:sz w:val="28"/>
        </w:rPr>
        <w:t>暂定一致</w:t>
      </w:r>
      <w:r>
        <w:rPr>
          <w:rFonts w:ascii="仿宋_GB2312" w:eastAsia="仿宋_GB2312" w:hAnsi="仿宋" w:hint="eastAsia"/>
          <w:sz w:val="28"/>
        </w:rPr>
        <w:t>)</w:t>
      </w:r>
      <w:r w:rsidR="004C1D5B" w:rsidRPr="0052057F">
        <w:rPr>
          <w:rFonts w:ascii="仿宋_GB2312" w:eastAsia="仿宋_GB2312" w:hAnsi="仿宋" w:hint="eastAsia"/>
          <w:sz w:val="28"/>
        </w:rPr>
        <w:t>：</w:t>
      </w:r>
      <w:r w:rsidRPr="00DD27D4">
        <w:rPr>
          <w:rFonts w:ascii="仿宋_GB2312" w:eastAsia="仿宋_GB2312" w:hAnsi="仿宋" w:hint="eastAsia"/>
          <w:sz w:val="28"/>
        </w:rPr>
        <w:t>北京市朝阳区来广营北路88号东洲家园4号楼3单元1402</w:t>
      </w:r>
      <w:r w:rsidR="004C1D5B" w:rsidRPr="0052057F">
        <w:rPr>
          <w:rFonts w:ascii="仿宋_GB2312" w:eastAsia="仿宋_GB2312" w:hAnsi="仿宋" w:hint="eastAsia"/>
          <w:sz w:val="28"/>
        </w:rPr>
        <w:t>）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</w:t>
      </w:r>
      <w:r w:rsidR="00DD27D4">
        <w:rPr>
          <w:rFonts w:ascii="仿宋_GB2312" w:eastAsia="仿宋_GB2312" w:hAnsi="仿宋" w:hint="eastAsia"/>
          <w:sz w:val="28"/>
        </w:rPr>
        <w:t>尚未提供相关资料</w:t>
      </w:r>
      <w:r w:rsidR="004C1D5B" w:rsidRPr="0052057F">
        <w:rPr>
          <w:rFonts w:ascii="仿宋_GB2312" w:eastAsia="仿宋_GB2312" w:hAnsi="仿宋" w:hint="eastAsia"/>
          <w:sz w:val="28"/>
        </w:rPr>
        <w:t>，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DD27D4" w:rsidRPr="00DD27D4">
        <w:rPr>
          <w:rFonts w:ascii="仿宋_GB2312" w:eastAsia="仿宋_GB2312" w:hAnsi="仿宋" w:hint="eastAsia"/>
          <w:sz w:val="28"/>
        </w:rPr>
        <w:t>北京市朝阳区来广营北路88号东洲家园4号楼3单元1402号</w:t>
      </w:r>
      <w:r w:rsidR="00DD27D4" w:rsidRPr="0052057F">
        <w:rPr>
          <w:rFonts w:ascii="仿宋_GB2312" w:eastAsia="仿宋_GB2312" w:hAnsi="仿宋" w:hint="eastAsia"/>
          <w:sz w:val="28"/>
        </w:rPr>
        <w:t>房屋（登记地址：</w:t>
      </w:r>
      <w:r w:rsidR="00DD27D4" w:rsidRPr="00DD27D4">
        <w:rPr>
          <w:rFonts w:ascii="仿宋_GB2312" w:eastAsia="仿宋_GB2312" w:hAnsi="仿宋" w:hint="eastAsia"/>
          <w:sz w:val="28"/>
        </w:rPr>
        <w:t>北京市朝阳区来广营北路88号东洲家园4号楼3单元1402</w:t>
      </w:r>
      <w:r w:rsidR="00DD27D4" w:rsidRPr="0052057F">
        <w:rPr>
          <w:rFonts w:ascii="仿宋_GB2312" w:eastAsia="仿宋_GB2312" w:hAnsi="仿宋" w:hint="eastAsia"/>
          <w:sz w:val="28"/>
        </w:rPr>
        <w:t>）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</w:t>
      </w:r>
      <w:bookmarkStart w:id="0" w:name="_GoBack"/>
      <w:bookmarkEnd w:id="0"/>
      <w:r w:rsidR="006B3228" w:rsidRPr="0052057F">
        <w:rPr>
          <w:rFonts w:ascii="仿宋_GB2312" w:eastAsia="仿宋_GB2312" w:hAnsi="仿宋" w:hint="eastAsia"/>
          <w:sz w:val="28"/>
        </w:rPr>
        <w:t>在认真分析现有资料的基础上，通</w:t>
      </w:r>
      <w:r w:rsidR="006B3228" w:rsidRPr="0052057F">
        <w:rPr>
          <w:rFonts w:ascii="仿宋_GB2312" w:eastAsia="仿宋_GB2312" w:hAnsi="仿宋" w:hint="eastAsia"/>
          <w:sz w:val="28"/>
        </w:rPr>
        <w:lastRenderedPageBreak/>
        <w:t>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p w:rsidR="009A1F8D" w:rsidRPr="0052057F" w:rsidRDefault="009A1F8D">
      <w:pPr>
        <w:rPr>
          <w:rFonts w:ascii="仿宋_GB2312" w:eastAsia="仿宋_GB2312" w:hAnsi="仿宋"/>
          <w:sz w:val="28"/>
        </w:rPr>
      </w:pPr>
    </w:p>
    <w:sectPr w:rsidR="009A1F8D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A5" w:rsidRDefault="002811A5" w:rsidP="00EC5757">
      <w:r>
        <w:separator/>
      </w:r>
    </w:p>
  </w:endnote>
  <w:endnote w:type="continuationSeparator" w:id="0">
    <w:p w:rsidR="002811A5" w:rsidRDefault="002811A5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A5" w:rsidRDefault="002811A5" w:rsidP="00EC5757">
      <w:r>
        <w:separator/>
      </w:r>
    </w:p>
  </w:footnote>
  <w:footnote w:type="continuationSeparator" w:id="0">
    <w:p w:rsidR="002811A5" w:rsidRDefault="002811A5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56551"/>
    <w:rsid w:val="000766ED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66105"/>
    <w:rsid w:val="002811A5"/>
    <w:rsid w:val="002A3E4C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1589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460</Characters>
  <Application>Microsoft Office Word</Application>
  <DocSecurity>0</DocSecurity>
  <Lines>3</Lines>
  <Paragraphs>1</Paragraphs>
  <ScaleCrop>false</ScaleCrop>
  <Company>LG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3</cp:revision>
  <cp:lastPrinted>2021-12-30T01:46:00Z</cp:lastPrinted>
  <dcterms:created xsi:type="dcterms:W3CDTF">2021-08-30T02:35:00Z</dcterms:created>
  <dcterms:modified xsi:type="dcterms:W3CDTF">2021-12-30T01:46:00Z</dcterms:modified>
</cp:coreProperties>
</file>