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hint="eastAsia" w:asciiTheme="minorEastAsia" w:hAnsiTheme="minorEastAsia" w:eastAsiaTheme="minorEastAsia" w:cstheme="minorEastAsia"/>
        </w:rPr>
      </w:pPr>
    </w:p>
    <w:p>
      <w:pPr>
        <w:spacing w:line="480" w:lineRule="auto"/>
        <w:jc w:val="both"/>
        <w:rPr>
          <w:rFonts w:hint="eastAsia" w:asciiTheme="minorEastAsia" w:hAnsiTheme="minorEastAsia" w:eastAsiaTheme="minorEastAsia" w:cstheme="minorEastAsia"/>
          <w:b/>
          <w:sz w:val="28"/>
          <w:szCs w:val="28"/>
        </w:rPr>
      </w:pPr>
    </w:p>
    <w:p>
      <w:pPr>
        <w:pStyle w:val="2"/>
        <w:ind w:firstLine="0" w:firstLineChars="0"/>
        <w:rPr>
          <w:rFonts w:hint="eastAsia" w:asciiTheme="minorEastAsia" w:hAnsiTheme="minorEastAsia" w:eastAsiaTheme="minorEastAsia" w:cstheme="minorEastAsia"/>
        </w:rPr>
      </w:pPr>
    </w:p>
    <w:p>
      <w:pPr>
        <w:pStyle w:val="2"/>
        <w:ind w:firstLine="0" w:firstLineChars="0"/>
        <w:rPr>
          <w:rFonts w:hint="eastAsia" w:asciiTheme="minorEastAsia" w:hAnsiTheme="minorEastAsia" w:eastAsiaTheme="minorEastAsia" w:cstheme="minorEastAsia"/>
        </w:rPr>
      </w:pPr>
    </w:p>
    <w:p>
      <w:pPr>
        <w:pStyle w:val="2"/>
        <w:ind w:firstLine="0" w:firstLineChars="0"/>
        <w:rPr>
          <w:rFonts w:hint="eastAsia" w:asciiTheme="minorEastAsia" w:hAnsiTheme="minorEastAsia" w:eastAsiaTheme="minorEastAsia" w:cstheme="minorEastAsia"/>
        </w:rPr>
      </w:pPr>
    </w:p>
    <w:p>
      <w:pPr>
        <w:pStyle w:val="2"/>
        <w:ind w:firstLine="0" w:firstLineChars="0"/>
        <w:rPr>
          <w:rFonts w:hint="eastAsia" w:asciiTheme="minorEastAsia" w:hAnsiTheme="minorEastAsia" w:eastAsiaTheme="minorEastAsia" w:cstheme="minorEastAsia"/>
        </w:rPr>
      </w:pPr>
    </w:p>
    <w:p>
      <w:pPr>
        <w:spacing w:line="480" w:lineRule="auto"/>
        <w:jc w:val="both"/>
        <w:rPr>
          <w:rFonts w:hint="eastAsia" w:asciiTheme="minorEastAsia" w:hAnsiTheme="minorEastAsia" w:eastAsiaTheme="minorEastAsia" w:cstheme="minorEastAsia"/>
          <w:b/>
          <w:sz w:val="30"/>
          <w:szCs w:val="30"/>
        </w:rPr>
      </w:pPr>
    </w:p>
    <w:p>
      <w:pPr>
        <w:spacing w:line="480" w:lineRule="auto"/>
        <w:jc w:val="center"/>
        <w:rPr>
          <w:rFonts w:hint="eastAsia" w:asciiTheme="minorEastAsia" w:hAnsiTheme="minorEastAsia" w:eastAsiaTheme="minorEastAsia" w:cstheme="minorEastAsia"/>
          <w:b/>
          <w:sz w:val="30"/>
          <w:szCs w:val="30"/>
        </w:rPr>
      </w:pPr>
    </w:p>
    <w:p>
      <w:pPr>
        <w:spacing w:line="480" w:lineRule="auto"/>
        <w:jc w:val="center"/>
        <w:rPr>
          <w:rFonts w:hint="eastAsia" w:asciiTheme="minorEastAsia" w:hAnsiTheme="minorEastAsia" w:eastAsiaTheme="minorEastAsia" w:cstheme="minorEastAsia"/>
          <w:b/>
          <w:sz w:val="30"/>
          <w:szCs w:val="30"/>
        </w:rPr>
      </w:pPr>
    </w:p>
    <w:p>
      <w:pPr>
        <w:pStyle w:val="2"/>
        <w:rPr>
          <w:rFonts w:hint="eastAsia" w:asciiTheme="minorEastAsia" w:hAnsiTheme="minorEastAsia" w:eastAsiaTheme="minorEastAsia" w:cstheme="minorEastAsia"/>
        </w:rPr>
      </w:pPr>
    </w:p>
    <w:p>
      <w:pPr>
        <w:spacing w:line="48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五矿信托-恒信共筑341号-蓝山23号集合资金信托计划</w:t>
      </w:r>
    </w:p>
    <w:p>
      <w:pPr>
        <w:spacing w:line="48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（五矿信托·扬州崇源项目）</w:t>
      </w:r>
    </w:p>
    <w:p>
      <w:pPr>
        <w:spacing w:line="480" w:lineRule="auto"/>
        <w:jc w:val="center"/>
        <w:rPr>
          <w:rFonts w:hint="eastAsia" w:asciiTheme="minorEastAsia" w:hAnsiTheme="minorEastAsia" w:eastAsiaTheme="minorEastAsia" w:cstheme="minorEastAsia"/>
          <w:b/>
          <w:sz w:val="28"/>
          <w:szCs w:val="30"/>
        </w:rPr>
      </w:pPr>
    </w:p>
    <w:p>
      <w:pPr>
        <w:spacing w:line="480" w:lineRule="auto"/>
        <w:jc w:val="center"/>
        <w:rPr>
          <w:rFonts w:hint="eastAsia" w:asciiTheme="minorEastAsia" w:hAnsiTheme="minorEastAsia" w:eastAsiaTheme="minorEastAsia" w:cstheme="minorEastAsia"/>
          <w:b/>
          <w:sz w:val="28"/>
          <w:szCs w:val="30"/>
        </w:rPr>
      </w:pPr>
      <w:r>
        <w:rPr>
          <w:rFonts w:hint="eastAsia" w:asciiTheme="minorEastAsia" w:hAnsiTheme="minorEastAsia" w:eastAsiaTheme="minorEastAsia" w:cstheme="minorEastAsia"/>
          <w:b/>
          <w:sz w:val="28"/>
          <w:szCs w:val="30"/>
        </w:rPr>
        <w:t>监管月报</w:t>
      </w:r>
    </w:p>
    <w:p>
      <w:pPr>
        <w:pStyle w:val="2"/>
        <w:ind w:firstLine="210"/>
        <w:rPr>
          <w:rFonts w:hint="eastAsia" w:asciiTheme="minorEastAsia" w:hAnsiTheme="minorEastAsia" w:eastAsiaTheme="minorEastAsia" w:cstheme="minorEastAsia"/>
        </w:rPr>
      </w:pPr>
    </w:p>
    <w:p>
      <w:pPr>
        <w:spacing w:line="480" w:lineRule="auto"/>
        <w:jc w:val="center"/>
        <w:rPr>
          <w:rFonts w:hint="eastAsia" w:asciiTheme="minorEastAsia" w:hAnsiTheme="minorEastAsia" w:eastAsiaTheme="minorEastAsia" w:cstheme="minorEastAsia"/>
          <w:b/>
          <w:sz w:val="28"/>
          <w:szCs w:val="30"/>
        </w:rPr>
      </w:pPr>
      <w:r>
        <w:rPr>
          <w:rFonts w:hint="eastAsia" w:asciiTheme="minorEastAsia" w:hAnsiTheme="minorEastAsia" w:eastAsiaTheme="minorEastAsia" w:cstheme="minorEastAsia"/>
          <w:b/>
          <w:sz w:val="28"/>
          <w:szCs w:val="30"/>
        </w:rPr>
        <w:t>第1期</w:t>
      </w:r>
    </w:p>
    <w:p>
      <w:pPr>
        <w:pStyle w:val="2"/>
        <w:ind w:firstLine="210"/>
        <w:rPr>
          <w:rFonts w:hint="eastAsia" w:asciiTheme="minorEastAsia" w:hAnsiTheme="minorEastAsia" w:eastAsiaTheme="minorEastAsia" w:cstheme="minorEastAsia"/>
        </w:rPr>
      </w:pPr>
    </w:p>
    <w:p>
      <w:pPr>
        <w:spacing w:line="480" w:lineRule="auto"/>
        <w:jc w:val="center"/>
        <w:rPr>
          <w:rFonts w:hint="eastAsia" w:asciiTheme="minorEastAsia" w:hAnsiTheme="minorEastAsia" w:eastAsiaTheme="minorEastAsia" w:cstheme="minorEastAsia"/>
          <w:b/>
          <w:sz w:val="28"/>
          <w:szCs w:val="30"/>
        </w:rPr>
      </w:pPr>
      <w:r>
        <w:rPr>
          <w:rFonts w:hint="eastAsia" w:asciiTheme="minorEastAsia" w:hAnsiTheme="minorEastAsia" w:eastAsiaTheme="minorEastAsia" w:cstheme="minorEastAsia"/>
          <w:b/>
          <w:sz w:val="28"/>
          <w:szCs w:val="30"/>
        </w:rPr>
        <w:t>（2020年12月29日-2021年2月2日）</w:t>
      </w:r>
    </w:p>
    <w:p>
      <w:pPr>
        <w:pStyle w:val="2"/>
        <w:ind w:firstLine="210"/>
        <w:rPr>
          <w:rFonts w:hint="eastAsia" w:asciiTheme="minorEastAsia" w:hAnsiTheme="minorEastAsia" w:eastAsiaTheme="minorEastAsia" w:cstheme="minorEastAsia"/>
        </w:rPr>
      </w:pPr>
    </w:p>
    <w:p>
      <w:pPr>
        <w:spacing w:line="480" w:lineRule="auto"/>
        <w:jc w:val="center"/>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28"/>
          <w:szCs w:val="30"/>
        </w:rPr>
        <w:t>编号：001</w:t>
      </w:r>
    </w:p>
    <w:p>
      <w:pPr>
        <w:spacing w:line="480" w:lineRule="auto"/>
        <w:jc w:val="both"/>
        <w:rPr>
          <w:rFonts w:hint="eastAsia" w:asciiTheme="minorEastAsia" w:hAnsiTheme="minorEastAsia" w:eastAsiaTheme="minorEastAsia" w:cstheme="minorEastAsia"/>
          <w:sz w:val="13"/>
          <w:szCs w:val="13"/>
        </w:rPr>
      </w:pPr>
    </w:p>
    <w:p>
      <w:pPr>
        <w:spacing w:line="480" w:lineRule="auto"/>
        <w:jc w:val="both"/>
        <w:rPr>
          <w:rFonts w:hint="eastAsia" w:asciiTheme="minorEastAsia" w:hAnsiTheme="minorEastAsia" w:eastAsiaTheme="minorEastAsia" w:cstheme="minorEastAsia"/>
          <w:sz w:val="13"/>
          <w:szCs w:val="13"/>
        </w:rPr>
      </w:pPr>
    </w:p>
    <w:p>
      <w:pPr>
        <w:spacing w:line="480" w:lineRule="auto"/>
        <w:ind w:firstLine="1922" w:firstLineChars="800"/>
        <w:jc w:val="both"/>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编制单位：</w:t>
      </w:r>
      <w:r>
        <w:rPr>
          <w:rFonts w:hint="eastAsia" w:asciiTheme="minorEastAsia" w:hAnsiTheme="minorEastAsia" w:eastAsiaTheme="minorEastAsia" w:cstheme="minorEastAsia"/>
          <w:b/>
          <w:bCs/>
        </w:rPr>
        <w:t>北京康正宏基房地产评估有限公司</w:t>
      </w:r>
    </w:p>
    <w:p>
      <w:pPr>
        <w:spacing w:line="480" w:lineRule="auto"/>
        <w:ind w:firstLine="1922" w:firstLineChars="8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rPr>
        <w:t>编制时间：</w:t>
      </w:r>
      <w:r>
        <w:rPr>
          <w:rFonts w:hint="eastAsia" w:asciiTheme="minorEastAsia" w:hAnsiTheme="minorEastAsia" w:eastAsiaTheme="minorEastAsia" w:cstheme="minorEastAsia"/>
          <w:b/>
          <w:bCs/>
        </w:rPr>
        <w:t>2021年2月1</w:t>
      </w:r>
      <w:r>
        <w:rPr>
          <w:rFonts w:hint="eastAsia" w:asciiTheme="minorEastAsia" w:hAnsiTheme="minorEastAsia" w:eastAsiaTheme="minorEastAsia" w:cstheme="minorEastAsia"/>
          <w:b/>
          <w:bCs/>
        </w:rPr>
        <w:t>8</w:t>
      </w:r>
      <w:r>
        <w:rPr>
          <w:rFonts w:hint="eastAsia" w:asciiTheme="minorEastAsia" w:hAnsiTheme="minorEastAsia" w:eastAsiaTheme="minorEastAsia" w:cstheme="minorEastAsia"/>
          <w:b/>
          <w:bCs/>
        </w:rPr>
        <w:t>日</w:t>
      </w:r>
    </w:p>
    <w:p>
      <w:pPr>
        <w:spacing w:line="276" w:lineRule="auto"/>
        <w:jc w:val="center"/>
        <w:rPr>
          <w:rFonts w:hint="eastAsia" w:asciiTheme="minorEastAsia" w:hAnsiTheme="minorEastAsia" w:eastAsiaTheme="minorEastAsia" w:cstheme="minorEastAsia"/>
          <w:b/>
          <w:bCs/>
          <w:sz w:val="28"/>
        </w:rPr>
      </w:pPr>
    </w:p>
    <w:p>
      <w:pPr>
        <w:spacing w:line="276"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目  录</w:t>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TOC \o "1-3" \h \z \u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"_Toc64970464"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bCs/>
          <w:sz w:val="21"/>
          <w:szCs w:val="21"/>
        </w:rPr>
        <w:t>摘  要</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_Toc64970464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"_Toc64970465"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一、项目基本情况介绍</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_Toc64970465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"_Toc64970466"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二、项目证件办理情况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_Toc64970466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"_Toc64970467"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三、项目开发建设情况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_Toc64970467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"_Toc64970468"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四、项目成本执行情况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_Toc64970468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"_Toc64970469"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五、项目销售情况统计</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_Toc64970469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"_Toc64970470"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六、项目银行账户情况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_Toc64970470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"_Toc64970471"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七、银行账户支出情况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_Toc64970471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"_Toc64970472"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八、银行账户流入情况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_Toc64970472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"_Toc64970473"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九、项目周边竞品情况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_Toc64970473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"_Toc64970474"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lang w:eastAsia="zh-Hans"/>
        </w:rPr>
        <w:t>十一、</w:t>
      </w:r>
      <w:r>
        <w:rPr>
          <w:rStyle w:val="22"/>
          <w:rFonts w:hint="eastAsia" w:asciiTheme="minorEastAsia" w:hAnsiTheme="minorEastAsia" w:eastAsiaTheme="minorEastAsia" w:cstheme="minorEastAsia"/>
          <w:sz w:val="21"/>
          <w:szCs w:val="21"/>
        </w:rPr>
        <w:t>项目公司资金计划执行情况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_Toc64970474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12</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"_Toc64970475"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十二、项目公司用印情况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_Toc64970475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13</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"_Toc64970476"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十三</w:t>
      </w:r>
      <w:r>
        <w:rPr>
          <w:rStyle w:val="22"/>
          <w:rFonts w:hint="eastAsia" w:asciiTheme="minorEastAsia" w:hAnsiTheme="minorEastAsia" w:eastAsiaTheme="minorEastAsia" w:cstheme="minorEastAsia"/>
          <w:sz w:val="21"/>
          <w:szCs w:val="21"/>
          <w:lang w:eastAsia="zh-Hans"/>
        </w:rPr>
        <w:t>、</w:t>
      </w:r>
      <w:r>
        <w:rPr>
          <w:rStyle w:val="22"/>
          <w:rFonts w:hint="eastAsia" w:asciiTheme="minorEastAsia" w:hAnsiTheme="minorEastAsia" w:eastAsiaTheme="minorEastAsia" w:cstheme="minorEastAsia"/>
          <w:sz w:val="21"/>
          <w:szCs w:val="21"/>
        </w:rPr>
        <w:t>项目公司印章证照使用情况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_Toc64970476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"_Toc64970477"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十四</w:t>
      </w:r>
      <w:r>
        <w:rPr>
          <w:rStyle w:val="22"/>
          <w:rFonts w:hint="eastAsia" w:asciiTheme="minorEastAsia" w:hAnsiTheme="minorEastAsia" w:eastAsiaTheme="minorEastAsia" w:cstheme="minorEastAsia"/>
          <w:sz w:val="21"/>
          <w:szCs w:val="21"/>
          <w:lang w:eastAsia="zh-Hans"/>
        </w:rPr>
        <w:t>、</w:t>
      </w:r>
      <w:r>
        <w:rPr>
          <w:rStyle w:val="22"/>
          <w:rFonts w:hint="eastAsia" w:asciiTheme="minorEastAsia" w:hAnsiTheme="minorEastAsia" w:eastAsiaTheme="minorEastAsia" w:cstheme="minorEastAsia"/>
          <w:sz w:val="21"/>
          <w:szCs w:val="21"/>
        </w:rPr>
        <w:t>项目公司签约情况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_Toc64970477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17</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"_Toc64970478"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十五、项目整体运行情况分析</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_Toc64970478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18</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"_Toc64970479"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十六、附件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_Toc64970479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18</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"_Toc64970480"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附件一：银行余额截图</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_Toc64970480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"_Toc64970481"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附件二：项目形象进度表及照片</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_Toc64970481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20</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16"/>
        <w:tabs>
          <w:tab w:val="right" w:leader="dot" w:pos="8302"/>
        </w:tabs>
        <w:rPr>
          <w:rFonts w:hint="eastAsia" w:asciiTheme="minorEastAsia" w:hAnsiTheme="minorEastAsia" w:eastAsiaTheme="minorEastAsia" w:cstheme="minorEastAsia"/>
          <w:kern w:val="2"/>
          <w:sz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"_Toc64970482" </w:instrText>
      </w:r>
      <w:r>
        <w:rPr>
          <w:rFonts w:hint="eastAsia" w:asciiTheme="minorEastAsia" w:hAnsiTheme="minorEastAsia" w:eastAsiaTheme="minorEastAsia" w:cstheme="minorEastAsia"/>
        </w:rPr>
        <w:fldChar w:fldCharType="separate"/>
      </w:r>
      <w:r>
        <w:rPr>
          <w:rStyle w:val="22"/>
          <w:rFonts w:hint="eastAsia" w:asciiTheme="minorEastAsia" w:hAnsiTheme="minorEastAsia" w:eastAsiaTheme="minorEastAsia" w:cstheme="minorEastAsia"/>
          <w:sz w:val="21"/>
          <w:szCs w:val="21"/>
        </w:rPr>
        <w:t>附件三：项目公司月度财务报表（资产负债表、利润表、现金流量表）</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_Toc64970482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25</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spacing w:line="276" w:lineRule="auto"/>
        <w:rPr>
          <w:rFonts w:hint="eastAsia" w:asciiTheme="minorEastAsia" w:hAnsiTheme="minorEastAsia" w:eastAsiaTheme="minorEastAsia" w:cstheme="minorEastAsia"/>
          <w:bCs/>
          <w:lang w:val="zh-CN"/>
        </w:rPr>
      </w:pPr>
      <w:r>
        <w:rPr>
          <w:rFonts w:hint="eastAsia" w:asciiTheme="minorEastAsia" w:hAnsiTheme="minorEastAsia" w:eastAsiaTheme="minorEastAsia" w:cstheme="minorEastAsia"/>
          <w:bCs/>
          <w:sz w:val="21"/>
          <w:szCs w:val="21"/>
          <w:lang w:val="zh-CN"/>
        </w:rPr>
        <w:fldChar w:fldCharType="end"/>
      </w: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lang w:val="zh-CN"/>
        </w:rPr>
      </w:pPr>
    </w:p>
    <w:p>
      <w:pPr>
        <w:pStyle w:val="2"/>
        <w:ind w:firstLine="21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为方便阅读之目的，本报告中将部分名称简写为：</w:t>
      </w:r>
    </w:p>
    <w:p>
      <w:pPr>
        <w:pStyle w:val="2"/>
        <w:ind w:firstLine="21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•项目公司：扬州崇源房地产开发有限公司</w:t>
      </w:r>
    </w:p>
    <w:p>
      <w:pPr>
        <w:pStyle w:val="2"/>
        <w:ind w:firstLine="21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•五矿信托：五矿国际信托有限公司</w:t>
      </w:r>
    </w:p>
    <w:p>
      <w:pPr>
        <w:pStyle w:val="2"/>
        <w:ind w:firstLine="21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kern w:val="0"/>
          <w:szCs w:val="21"/>
        </w:rPr>
        <w:t>•康正宏基：北京康正宏基房地产评估有限公司</w:t>
      </w:r>
    </w:p>
    <w:p>
      <w:pPr>
        <w:pStyle w:val="4"/>
        <w:spacing w:before="163" w:beforeLines="50" w:after="163" w:afterLines="50" w:line="480" w:lineRule="auto"/>
        <w:ind w:firstLine="4204" w:firstLineChars="2000"/>
        <w:rPr>
          <w:rFonts w:hint="eastAsia" w:asciiTheme="minorEastAsia" w:hAnsiTheme="minorEastAsia" w:eastAsiaTheme="minorEastAsia" w:cstheme="minorEastAsia"/>
          <w:sz w:val="21"/>
          <w:szCs w:val="21"/>
        </w:rPr>
      </w:pPr>
      <w:bookmarkStart w:id="0" w:name="_Toc64970464"/>
      <w:r>
        <w:rPr>
          <w:rFonts w:hint="eastAsia" w:asciiTheme="minorEastAsia" w:hAnsiTheme="minorEastAsia" w:eastAsiaTheme="minorEastAsia" w:cstheme="minorEastAsia"/>
          <w:bCs/>
          <w:sz w:val="21"/>
          <w:szCs w:val="21"/>
        </w:rPr>
        <w:t>摘  要</w:t>
      </w:r>
      <w:bookmarkEnd w:id="0"/>
    </w:p>
    <w:p>
      <w:pPr>
        <w:adjustRightInd w:val="0"/>
        <w:snapToGrid w:val="0"/>
        <w:spacing w:line="480" w:lineRule="auto"/>
        <w:rPr>
          <w:rFonts w:hint="eastAsia" w:asciiTheme="minorEastAsia" w:hAnsiTheme="minorEastAsia" w:eastAsiaTheme="minorEastAsia" w:cstheme="minorEastAsia"/>
          <w:b/>
          <w:sz w:val="21"/>
          <w:szCs w:val="21"/>
        </w:rPr>
      </w:pPr>
      <w:bookmarkStart w:id="1" w:name="_Toc133693353"/>
      <w:r>
        <w:rPr>
          <w:rFonts w:hint="eastAsia" w:asciiTheme="minorEastAsia" w:hAnsiTheme="minorEastAsia" w:eastAsiaTheme="minorEastAsia" w:cstheme="minorEastAsia"/>
          <w:b/>
          <w:sz w:val="21"/>
          <w:szCs w:val="21"/>
        </w:rPr>
        <w:t>五矿国际信托有限公司：</w:t>
      </w:r>
      <w:bookmarkEnd w:id="1"/>
    </w:p>
    <w:p>
      <w:pPr>
        <w:pStyle w:val="2"/>
        <w:spacing w:after="0" w:line="480" w:lineRule="auto"/>
        <w:ind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受委托，北京康正宏基房地产评估有限公司对扬州崇源房地产开发有限公司开发建设的位于扬州市邗江区的房地产项目提供监管服务。我司就标的项目本期项目合同签署情况、证照办理情况、工程款支付情况、销售情况、账户余额情况、项目存在的风险情况等方面进行了较为全面的分析研究。</w:t>
      </w:r>
    </w:p>
    <w:p>
      <w:pPr>
        <w:pStyle w:val="2"/>
        <w:spacing w:after="0" w:line="480" w:lineRule="auto"/>
        <w:ind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主要内容摘录如下：</w:t>
      </w:r>
    </w:p>
    <w:p>
      <w:pPr>
        <w:pStyle w:val="2"/>
        <w:spacing w:after="0" w:line="480" w:lineRule="auto"/>
        <w:ind w:firstLine="420"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1.项目合同签署情况</w:t>
      </w:r>
    </w:p>
    <w:p>
      <w:pPr>
        <w:pStyle w:val="2"/>
        <w:spacing w:after="0" w:line="480" w:lineRule="auto"/>
        <w:ind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w:t>
      </w:r>
      <w:r>
        <w:rPr>
          <w:rFonts w:hint="eastAsia" w:asciiTheme="minorEastAsia" w:hAnsiTheme="minorEastAsia" w:eastAsiaTheme="minorEastAsia" w:cstheme="minorEastAsia"/>
          <w:szCs w:val="21"/>
        </w:rPr>
        <w:t>期项目公司共签署商业合同17份</w:t>
      </w:r>
      <w:r>
        <w:rPr>
          <w:rFonts w:hint="eastAsia" w:asciiTheme="minorEastAsia" w:hAnsiTheme="minorEastAsia" w:eastAsiaTheme="minorEastAsia" w:cstheme="minorEastAsia"/>
          <w:szCs w:val="21"/>
          <w:lang w:eastAsia="zh-Hans"/>
        </w:rPr>
        <w:t>：</w:t>
      </w:r>
      <w:r>
        <w:rPr>
          <w:rFonts w:hint="eastAsia" w:asciiTheme="minorEastAsia" w:hAnsiTheme="minorEastAsia" w:eastAsiaTheme="minorEastAsia" w:cstheme="minorEastAsia"/>
          <w:szCs w:val="21"/>
        </w:rPr>
        <w:t>其中营销合同14份，前期物业服务托管合同1份，物业托管三方协议1份，人防工程施工图设计合同1份，详见后文项目公司签约情况。</w:t>
      </w:r>
    </w:p>
    <w:p>
      <w:pPr>
        <w:pStyle w:val="2"/>
        <w:spacing w:after="0" w:line="480" w:lineRule="auto"/>
        <w:ind w:firstLine="420"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2.项目证照办理情况</w:t>
      </w:r>
    </w:p>
    <w:p>
      <w:pPr>
        <w:pStyle w:val="2"/>
        <w:spacing w:after="0" w:line="480" w:lineRule="auto"/>
        <w:ind w:firstLineChars="200"/>
        <w:rPr>
          <w:rFonts w:hint="eastAsia" w:asciiTheme="minorEastAsia" w:hAnsiTheme="minorEastAsia" w:eastAsiaTheme="minorEastAsia" w:cstheme="minorEastAsia"/>
          <w:szCs w:val="21"/>
          <w:lang w:eastAsia="zh-Hans"/>
        </w:rPr>
      </w:pPr>
      <w:r>
        <w:rPr>
          <w:rFonts w:hint="eastAsia" w:asciiTheme="minorEastAsia" w:hAnsiTheme="minorEastAsia" w:eastAsiaTheme="minorEastAsia" w:cstheme="minorEastAsia"/>
          <w:szCs w:val="21"/>
          <w:lang w:eastAsia="zh-Hans"/>
        </w:rPr>
        <w:t>截至本期期末，项目公司已取得《不动产权证书》、《建设用地规划许可证》、《建设工程规划许可证》、《建筑工程施工许可证》，暂未取得《商品房预售许可证》，详见后文项目公司证件办理情况。</w:t>
      </w:r>
    </w:p>
    <w:p>
      <w:pPr>
        <w:pStyle w:val="2"/>
        <w:spacing w:after="0" w:line="480" w:lineRule="auto"/>
        <w:ind w:firstLine="420"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3.工程款支付情况</w:t>
      </w:r>
    </w:p>
    <w:p>
      <w:pPr>
        <w:pStyle w:val="2"/>
        <w:spacing w:after="0" w:line="480" w:lineRule="auto"/>
        <w:ind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本期项目公司支付</w:t>
      </w:r>
      <w:r>
        <w:rPr>
          <w:rFonts w:hint="eastAsia" w:asciiTheme="minorEastAsia" w:hAnsiTheme="minorEastAsia" w:eastAsiaTheme="minorEastAsia" w:cstheme="minorEastAsia"/>
          <w:color w:val="000000" w:themeColor="text1"/>
          <w:szCs w:val="21"/>
          <w:lang w:eastAsia="zh-Hans"/>
          <w14:textFill>
            <w14:solidFill>
              <w14:schemeClr w14:val="tx1"/>
            </w14:solidFill>
          </w14:textFill>
        </w:rPr>
        <w:t>工程款</w:t>
      </w:r>
      <w:r>
        <w:rPr>
          <w:rFonts w:hint="eastAsia" w:asciiTheme="minorEastAsia" w:hAnsiTheme="minorEastAsia" w:eastAsiaTheme="minorEastAsia" w:cstheme="minorEastAsia"/>
          <w:color w:val="000000" w:themeColor="text1"/>
          <w:szCs w:val="21"/>
          <w14:textFill>
            <w14:solidFill>
              <w14:schemeClr w14:val="tx1"/>
            </w14:solidFill>
          </w14:textFill>
        </w:rPr>
        <w:t>0万元。</w:t>
      </w:r>
    </w:p>
    <w:p>
      <w:pPr>
        <w:pStyle w:val="2"/>
        <w:spacing w:after="0" w:line="480" w:lineRule="auto"/>
        <w:ind w:firstLine="420"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4.销售情况</w:t>
      </w:r>
    </w:p>
    <w:p>
      <w:pPr>
        <w:pStyle w:val="2"/>
        <w:spacing w:after="0" w:line="480" w:lineRule="auto"/>
        <w:ind w:firstLineChars="200"/>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szCs w:val="21"/>
          <w:lang w:eastAsia="zh-Hans"/>
        </w:rPr>
        <w:t>因未取得预售证，本期项目公司暂无销售数据。</w:t>
      </w:r>
    </w:p>
    <w:p>
      <w:pPr>
        <w:pStyle w:val="2"/>
        <w:spacing w:after="0" w:line="480" w:lineRule="auto"/>
        <w:ind w:firstLine="420"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5.账户余额情况</w:t>
      </w:r>
    </w:p>
    <w:p>
      <w:pPr>
        <w:pStyle w:val="2"/>
        <w:spacing w:after="0" w:line="480" w:lineRule="auto"/>
        <w:ind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截至2021年2月1日,项目公司各账户余额共计</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139,605.44元，</w:t>
      </w:r>
      <w:r>
        <w:rPr>
          <w:rFonts w:hint="eastAsia" w:asciiTheme="minorEastAsia" w:hAnsiTheme="minorEastAsia" w:eastAsiaTheme="minorEastAsia" w:cstheme="minorEastAsia"/>
          <w:color w:val="000000" w:themeColor="text1"/>
          <w:szCs w:val="21"/>
          <w:lang w:eastAsia="zh-Hans"/>
          <w14:textFill>
            <w14:solidFill>
              <w14:schemeClr w14:val="tx1"/>
            </w14:solidFill>
          </w14:textFill>
        </w:rPr>
        <w:t>其中</w:t>
      </w:r>
      <w:r>
        <w:rPr>
          <w:rFonts w:hint="eastAsia" w:asciiTheme="minorEastAsia" w:hAnsiTheme="minorEastAsia" w:eastAsiaTheme="minorEastAsia" w:cstheme="minorEastAsia"/>
          <w:color w:val="000000" w:themeColor="text1"/>
          <w:szCs w:val="21"/>
          <w14:textFill>
            <w14:solidFill>
              <w14:schemeClr w14:val="tx1"/>
            </w14:solidFill>
          </w14:textFill>
        </w:rPr>
        <w:t>建设银行（基本户1702）账户余额：129,805.44元；江苏银行（一般户8685）账户余额：9,800元；江苏银行（</w:t>
      </w:r>
      <w:r>
        <w:rPr>
          <w:rFonts w:hint="eastAsia" w:asciiTheme="minorEastAsia" w:hAnsiTheme="minorEastAsia" w:eastAsiaTheme="minorEastAsia" w:cstheme="minorEastAsia"/>
          <w:color w:val="000000" w:themeColor="text1"/>
          <w:szCs w:val="21"/>
          <w14:textFill>
            <w14:solidFill>
              <w14:schemeClr w14:val="tx1"/>
            </w14:solidFill>
          </w14:textFill>
        </w:rPr>
        <w:t>监管账</w:t>
      </w:r>
      <w:r>
        <w:rPr>
          <w:rFonts w:hint="eastAsia" w:asciiTheme="minorEastAsia" w:hAnsiTheme="minorEastAsia" w:eastAsiaTheme="minorEastAsia" w:cstheme="minorEastAsia"/>
          <w:color w:val="000000" w:themeColor="text1"/>
          <w:szCs w:val="21"/>
          <w14:textFill>
            <w14:solidFill>
              <w14:schemeClr w14:val="tx1"/>
            </w14:solidFill>
          </w14:textFill>
        </w:rPr>
        <w:t>户8767、0334）、中国银行（一般户6508）、邮政储蓄银行（一般户6667），账户余额均为0元。</w:t>
      </w:r>
    </w:p>
    <w:p>
      <w:pPr>
        <w:pStyle w:val="2"/>
        <w:spacing w:after="0" w:line="480" w:lineRule="auto"/>
        <w:ind w:firstLine="420"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6.项目存在的风险情况</w:t>
      </w:r>
    </w:p>
    <w:p>
      <w:pPr>
        <w:spacing w:line="480" w:lineRule="auto"/>
        <w:ind w:firstLine="420" w:firstLineChars="200"/>
        <w:rPr>
          <w:rFonts w:hint="eastAsia" w:asciiTheme="minorEastAsia" w:hAnsiTheme="minorEastAsia" w:eastAsiaTheme="minorEastAsia" w:cstheme="minorEastAsia"/>
          <w:color w:val="000000" w:themeColor="text1"/>
          <w:kern w:val="2"/>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本期项目</w:t>
      </w:r>
      <w:r>
        <w:rPr>
          <w:rFonts w:hint="eastAsia" w:asciiTheme="minorEastAsia" w:hAnsiTheme="minorEastAsia" w:eastAsiaTheme="minorEastAsia" w:cstheme="minorEastAsia"/>
          <w:color w:val="000000" w:themeColor="text1"/>
          <w:kern w:val="2"/>
          <w:sz w:val="21"/>
          <w:szCs w:val="21"/>
          <w:lang w:eastAsia="zh-Hans"/>
          <w14:textFill>
            <w14:solidFill>
              <w14:schemeClr w14:val="tx1"/>
            </w14:solidFill>
          </w14:textFill>
        </w:rPr>
        <w:t>暂</w:t>
      </w:r>
      <w:r>
        <w:rPr>
          <w:rFonts w:hint="eastAsia" w:asciiTheme="minorEastAsia" w:hAnsiTheme="minorEastAsia" w:eastAsiaTheme="minorEastAsia" w:cstheme="minorEastAsia"/>
          <w:color w:val="000000" w:themeColor="text1"/>
          <w:kern w:val="2"/>
          <w:sz w:val="21"/>
          <w:szCs w:val="21"/>
          <w14:textFill>
            <w14:solidFill>
              <w14:schemeClr w14:val="tx1"/>
            </w14:solidFill>
          </w14:textFill>
        </w:rPr>
        <w:t>不存在风险。</w:t>
      </w:r>
    </w:p>
    <w:p>
      <w:pPr>
        <w:pStyle w:val="2"/>
        <w:numPr>
          <w:ilvl w:val="0"/>
          <w:numId w:val="1"/>
        </w:numPr>
        <w:ind w:firstLine="420"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大事记</w:t>
      </w:r>
    </w:p>
    <w:p>
      <w:pPr>
        <w:pStyle w:val="2"/>
        <w:spacing w:after="0" w:line="480" w:lineRule="auto"/>
        <w:ind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1、2020年12月29日，项目公司、五矿信托与康正宏基共同对项目公司开立的账户信息进行现场核实，对其刻制的印鉴进行了备案查询。在五矿信托监督下</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康正宏基对项目公司的</w:t>
      </w:r>
      <w:r>
        <w:rPr>
          <w:rFonts w:hint="eastAsia" w:asciiTheme="minorEastAsia" w:hAnsiTheme="minorEastAsia" w:eastAsiaTheme="minorEastAsia" w:cstheme="minorEastAsia"/>
          <w:color w:val="000000" w:themeColor="text1"/>
          <w:szCs w:val="21"/>
          <w14:textFill>
            <w14:solidFill>
              <w14:schemeClr w14:val="tx1"/>
            </w14:solidFill>
          </w14:textFill>
        </w:rPr>
        <w:t>证照</w:t>
      </w:r>
      <w:r>
        <w:rPr>
          <w:rFonts w:hint="eastAsia" w:asciiTheme="minorEastAsia" w:hAnsiTheme="minorEastAsia" w:eastAsiaTheme="minorEastAsia" w:cstheme="minorEastAsia"/>
          <w:color w:val="000000" w:themeColor="text1"/>
          <w:szCs w:val="21"/>
          <w14:textFill>
            <w14:solidFill>
              <w14:schemeClr w14:val="tx1"/>
            </w14:solidFill>
          </w14:textFill>
        </w:rPr>
        <w:t>、印章、</w:t>
      </w:r>
      <w:r>
        <w:rPr>
          <w:rFonts w:hint="eastAsia" w:asciiTheme="minorEastAsia" w:hAnsiTheme="minorEastAsia" w:eastAsiaTheme="minorEastAsia" w:cstheme="minorEastAsia"/>
          <w:color w:val="000000" w:themeColor="text1"/>
          <w:szCs w:val="21"/>
          <w14:textFill>
            <w14:solidFill>
              <w14:schemeClr w14:val="tx1"/>
            </w14:solidFill>
          </w14:textFill>
        </w:rPr>
        <w:t>最高权限</w:t>
      </w:r>
      <w:r>
        <w:rPr>
          <w:rFonts w:hint="eastAsia" w:asciiTheme="minorEastAsia" w:hAnsiTheme="minorEastAsia" w:eastAsiaTheme="minorEastAsia" w:cstheme="minorEastAsia"/>
          <w:color w:val="000000" w:themeColor="text1"/>
          <w:szCs w:val="21"/>
          <w14:textFill>
            <w14:solidFill>
              <w14:schemeClr w14:val="tx1"/>
            </w14:solidFill>
          </w14:textFill>
        </w:rPr>
        <w:t>网银</w:t>
      </w:r>
      <w:r>
        <w:rPr>
          <w:rFonts w:hint="eastAsia" w:asciiTheme="minorEastAsia" w:hAnsiTheme="minorEastAsia" w:eastAsiaTheme="minorEastAsia" w:cstheme="minorEastAsia"/>
          <w:color w:val="000000" w:themeColor="text1"/>
          <w:szCs w:val="21"/>
          <w14:textFill>
            <w14:solidFill>
              <w14:schemeClr w14:val="tx1"/>
            </w14:solidFill>
          </w14:textFill>
        </w:rPr>
        <w:t>复核</w:t>
      </w:r>
      <w:r>
        <w:rPr>
          <w:rFonts w:hint="eastAsia" w:asciiTheme="minorEastAsia" w:hAnsiTheme="minorEastAsia" w:eastAsiaTheme="minorEastAsia" w:cstheme="minorEastAsia"/>
          <w:color w:val="000000" w:themeColor="text1"/>
          <w:szCs w:val="21"/>
          <w14:textFill>
            <w14:solidFill>
              <w14:schemeClr w14:val="tx1"/>
            </w14:solidFill>
          </w14:textFill>
        </w:rPr>
        <w:t>盾</w:t>
      </w:r>
      <w:r>
        <w:rPr>
          <w:rFonts w:hint="eastAsia" w:asciiTheme="minorEastAsia" w:hAnsiTheme="minorEastAsia" w:eastAsiaTheme="minorEastAsia" w:cstheme="minorEastAsia"/>
          <w:color w:val="000000" w:themeColor="text1"/>
          <w:szCs w:val="21"/>
          <w14:textFill>
            <w14:solidFill>
              <w14:schemeClr w14:val="tx1"/>
            </w14:solidFill>
          </w14:textFill>
        </w:rPr>
        <w:t>等</w:t>
      </w:r>
      <w:r>
        <w:rPr>
          <w:rFonts w:hint="eastAsia" w:asciiTheme="minorEastAsia" w:hAnsiTheme="minorEastAsia" w:eastAsiaTheme="minorEastAsia" w:cstheme="minorEastAsia"/>
          <w:color w:val="000000" w:themeColor="text1"/>
          <w:szCs w:val="21"/>
          <w14:textFill>
            <w14:solidFill>
              <w14:schemeClr w14:val="tx1"/>
            </w14:solidFill>
          </w14:textFill>
        </w:rPr>
        <w:t>完成共管。</w:t>
      </w:r>
    </w:p>
    <w:p>
      <w:pPr>
        <w:pStyle w:val="2"/>
        <w:spacing w:after="0" w:line="480" w:lineRule="auto"/>
        <w:ind w:firstLineChars="200"/>
        <w:rPr>
          <w:rFonts w:hint="eastAsia" w:asciiTheme="minorEastAsia" w:hAnsiTheme="minorEastAsia" w:eastAsiaTheme="minorEastAsia" w:cstheme="minorEastAsia"/>
          <w:bCs/>
          <w:kern w:val="44"/>
          <w:szCs w:val="21"/>
        </w:rPr>
      </w:pPr>
      <w:r>
        <w:rPr>
          <w:rFonts w:hint="eastAsia" w:asciiTheme="minorEastAsia" w:hAnsiTheme="minorEastAsia" w:eastAsiaTheme="minorEastAsia" w:cstheme="minorEastAsia"/>
          <w:color w:val="000000" w:themeColor="text1"/>
          <w:szCs w:val="21"/>
          <w14:textFill>
            <w14:solidFill>
              <w14:schemeClr w14:val="tx1"/>
            </w14:solidFill>
          </w14:textFill>
        </w:rPr>
        <w:t>2、</w:t>
      </w:r>
      <w:r>
        <w:rPr>
          <w:rFonts w:hint="eastAsia" w:asciiTheme="minorEastAsia" w:hAnsiTheme="minorEastAsia" w:eastAsiaTheme="minorEastAsia" w:cstheme="minorEastAsia"/>
          <w:kern w:val="0"/>
          <w:szCs w:val="21"/>
        </w:rPr>
        <w:t>2021年1月15日，项目公司开立邮储银行邗江支行一般户（6667户），于2021年1月18日开立中国银行扬州国贸支行一般户（6508户），银行账户由</w:t>
      </w:r>
      <w:r>
        <w:rPr>
          <w:rFonts w:hint="eastAsia" w:asciiTheme="minorEastAsia" w:hAnsiTheme="minorEastAsia" w:eastAsiaTheme="minorEastAsia" w:cstheme="minorEastAsia"/>
          <w:color w:val="000000" w:themeColor="text1"/>
          <w:szCs w:val="21"/>
          <w14:textFill>
            <w14:solidFill>
              <w14:schemeClr w14:val="tx1"/>
            </w14:solidFill>
          </w14:textFill>
        </w:rPr>
        <w:t>项目公司</w:t>
      </w:r>
      <w:r>
        <w:rPr>
          <w:rFonts w:hint="eastAsia" w:asciiTheme="minorEastAsia" w:hAnsiTheme="minorEastAsia" w:eastAsiaTheme="minorEastAsia" w:cstheme="minorEastAsia"/>
          <w:kern w:val="0"/>
          <w:szCs w:val="21"/>
        </w:rPr>
        <w:t>和康正宏基收归共管</w:t>
      </w:r>
      <w:r>
        <w:rPr>
          <w:rFonts w:hint="eastAsia" w:asciiTheme="minorEastAsia" w:hAnsiTheme="minorEastAsia" w:eastAsiaTheme="minorEastAsia" w:cstheme="minorEastAsia"/>
          <w:bCs/>
          <w:kern w:val="44"/>
          <w:szCs w:val="21"/>
        </w:rPr>
        <w:t>；</w:t>
      </w:r>
      <w:r>
        <w:rPr>
          <w:rFonts w:hint="eastAsia" w:asciiTheme="minorEastAsia" w:hAnsiTheme="minorEastAsia" w:eastAsiaTheme="minorEastAsia" w:cstheme="minorEastAsia"/>
          <w:color w:val="000000" w:themeColor="text1"/>
          <w:szCs w:val="21"/>
          <w14:textFill>
            <w14:solidFill>
              <w14:schemeClr w14:val="tx1"/>
            </w14:solidFill>
          </w14:textFill>
        </w:rPr>
        <w:t>于2</w:t>
      </w:r>
      <w:r>
        <w:rPr>
          <w:rFonts w:hint="eastAsia" w:asciiTheme="minorEastAsia" w:hAnsiTheme="minorEastAsia" w:eastAsiaTheme="minorEastAsia" w:cstheme="minorEastAsia"/>
          <w:color w:val="000000" w:themeColor="text1"/>
          <w:szCs w:val="21"/>
          <w14:textFill>
            <w14:solidFill>
              <w14:schemeClr w14:val="tx1"/>
            </w14:solidFill>
          </w14:textFill>
        </w:rPr>
        <w:t>021</w:t>
      </w:r>
      <w:r>
        <w:rPr>
          <w:rFonts w:hint="eastAsia" w:asciiTheme="minorEastAsia" w:hAnsiTheme="minorEastAsia" w:eastAsiaTheme="minorEastAsia" w:cstheme="minorEastAsia"/>
          <w:color w:val="000000" w:themeColor="text1"/>
          <w:szCs w:val="21"/>
          <w14:textFill>
            <w14:solidFill>
              <w14:schemeClr w14:val="tx1"/>
            </w14:solidFill>
          </w14:textFill>
        </w:rPr>
        <w:t>年2月</w:t>
      </w:r>
      <w:r>
        <w:rPr>
          <w:rFonts w:hint="eastAsia" w:asciiTheme="minorEastAsia" w:hAnsiTheme="minorEastAsia" w:eastAsiaTheme="minorEastAsia" w:cstheme="minorEastAsia"/>
          <w:color w:val="000000" w:themeColor="text1"/>
          <w:szCs w:val="21"/>
          <w14:textFill>
            <w14:solidFill>
              <w14:schemeClr w14:val="tx1"/>
            </w14:solidFill>
          </w14:textFill>
        </w:rPr>
        <w:t>2</w:t>
      </w:r>
      <w:r>
        <w:rPr>
          <w:rFonts w:hint="eastAsia" w:asciiTheme="minorEastAsia" w:hAnsiTheme="minorEastAsia" w:eastAsiaTheme="minorEastAsia" w:cstheme="minorEastAsia"/>
          <w:color w:val="000000" w:themeColor="text1"/>
          <w:szCs w:val="21"/>
          <w14:textFill>
            <w14:solidFill>
              <w14:schemeClr w14:val="tx1"/>
            </w14:solidFill>
          </w14:textFill>
        </w:rPr>
        <w:t>日开立江苏银行开发贷专用账户（1</w:t>
      </w:r>
      <w:r>
        <w:rPr>
          <w:rFonts w:hint="eastAsia" w:asciiTheme="minorEastAsia" w:hAnsiTheme="minorEastAsia" w:eastAsiaTheme="minorEastAsia" w:cstheme="minorEastAsia"/>
          <w:color w:val="000000" w:themeColor="text1"/>
          <w:szCs w:val="21"/>
          <w14:textFill>
            <w14:solidFill>
              <w14:schemeClr w14:val="tx1"/>
            </w14:solidFill>
          </w14:textFill>
        </w:rPr>
        <w:t>571</w:t>
      </w:r>
      <w:r>
        <w:rPr>
          <w:rFonts w:hint="eastAsia" w:asciiTheme="minorEastAsia" w:hAnsiTheme="minorEastAsia" w:eastAsiaTheme="minorEastAsia" w:cstheme="minorEastAsia"/>
          <w:color w:val="000000" w:themeColor="text1"/>
          <w:szCs w:val="21"/>
          <w14:textFill>
            <w14:solidFill>
              <w14:schemeClr w14:val="tx1"/>
            </w14:solidFill>
          </w14:textFill>
        </w:rPr>
        <w:t>户及1</w:t>
      </w:r>
      <w:r>
        <w:rPr>
          <w:rFonts w:hint="eastAsia" w:asciiTheme="minorEastAsia" w:hAnsiTheme="minorEastAsia" w:eastAsiaTheme="minorEastAsia" w:cstheme="minorEastAsia"/>
          <w:color w:val="000000" w:themeColor="text1"/>
          <w:szCs w:val="21"/>
          <w14:textFill>
            <w14:solidFill>
              <w14:schemeClr w14:val="tx1"/>
            </w14:solidFill>
          </w14:textFill>
        </w:rPr>
        <w:t>653</w:t>
      </w:r>
      <w:r>
        <w:rPr>
          <w:rFonts w:hint="eastAsia" w:asciiTheme="minorEastAsia" w:hAnsiTheme="minorEastAsia" w:eastAsiaTheme="minorEastAsia" w:cstheme="minorEastAsia"/>
          <w:color w:val="000000" w:themeColor="text1"/>
          <w:szCs w:val="21"/>
          <w14:textFill>
            <w14:solidFill>
              <w14:schemeClr w14:val="tx1"/>
            </w14:solidFill>
          </w14:textFill>
        </w:rPr>
        <w:t>户），因当天项目公司归还五矿全部本息，监管结束，故未收归共管。</w:t>
      </w:r>
    </w:p>
    <w:p>
      <w:pPr>
        <w:pStyle w:val="2"/>
        <w:spacing w:line="480" w:lineRule="auto"/>
        <w:ind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3、2021年2月2日，</w:t>
      </w:r>
      <w:r>
        <w:rPr>
          <w:rFonts w:hint="eastAsia" w:asciiTheme="minorEastAsia" w:hAnsiTheme="minorEastAsia" w:eastAsiaTheme="minorEastAsia" w:cstheme="minorEastAsia"/>
          <w:color w:val="000000" w:themeColor="text1"/>
          <w:szCs w:val="21"/>
          <w14:textFill>
            <w14:solidFill>
              <w14:schemeClr w14:val="tx1"/>
            </w14:solidFill>
          </w14:textFill>
        </w:rPr>
        <w:t>当天</w:t>
      </w:r>
      <w:r>
        <w:rPr>
          <w:rFonts w:hint="eastAsia" w:asciiTheme="minorEastAsia" w:hAnsiTheme="minorEastAsia" w:eastAsiaTheme="minorEastAsia" w:cstheme="minorEastAsia"/>
          <w:color w:val="000000" w:themeColor="text1"/>
          <w:szCs w:val="21"/>
          <w14:textFill>
            <w14:solidFill>
              <w14:schemeClr w14:val="tx1"/>
            </w14:solidFill>
          </w14:textFill>
        </w:rPr>
        <w:t>项目公司归还五矿信托借款本金6.5亿元并支付利息，至此，项目公司归还五矿信托全部本息。五矿信托和项目公司办理了股权解除质押手续并注销土地抵押权登记；在五矿信托的监管下，康正宏基与项目公司结束对印鉴和证照的共管，五矿信托正式退出。</w:t>
      </w:r>
    </w:p>
    <w:p>
      <w:pPr>
        <w:pStyle w:val="2"/>
        <w:ind w:firstLine="0" w:firstLineChars="0"/>
        <w:rPr>
          <w:rFonts w:hint="eastAsia" w:asciiTheme="minorEastAsia" w:hAnsiTheme="minorEastAsia" w:eastAsiaTheme="minorEastAsia" w:cstheme="minorEastAsia"/>
          <w:b/>
          <w:bCs/>
          <w:sz w:val="28"/>
          <w:szCs w:val="28"/>
        </w:rPr>
      </w:pPr>
    </w:p>
    <w:p>
      <w:pPr>
        <w:pStyle w:val="2"/>
        <w:ind w:firstLine="0" w:firstLineChars="0"/>
        <w:rPr>
          <w:rFonts w:hint="eastAsia" w:asciiTheme="minorEastAsia" w:hAnsiTheme="minorEastAsia" w:eastAsiaTheme="minorEastAsia" w:cstheme="minorEastAsia"/>
          <w:b/>
          <w:bCs/>
          <w:sz w:val="28"/>
          <w:szCs w:val="28"/>
        </w:rPr>
      </w:pP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五矿信托·扬州崇源项目</w:t>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监管月报</w:t>
      </w:r>
    </w:p>
    <w:p>
      <w:pPr>
        <w:pStyle w:val="2"/>
        <w:spacing w:line="480" w:lineRule="auto"/>
        <w:ind w:firstLine="211"/>
        <w:outlineLvl w:val="0"/>
        <w:rPr>
          <w:rFonts w:hint="eastAsia" w:asciiTheme="minorEastAsia" w:hAnsiTheme="minorEastAsia" w:eastAsiaTheme="minorEastAsia" w:cstheme="minorEastAsia"/>
          <w:b/>
        </w:rPr>
      </w:pPr>
      <w:bookmarkStart w:id="2" w:name="_Toc64970465"/>
      <w:r>
        <w:rPr>
          <w:rFonts w:hint="eastAsia" w:asciiTheme="minorEastAsia" w:hAnsiTheme="minorEastAsia" w:eastAsiaTheme="minorEastAsia" w:cstheme="minorEastAsia"/>
          <w:b/>
        </w:rPr>
        <w:t>一、项目基本情况介绍</w:t>
      </w:r>
      <w:bookmarkEnd w:id="2"/>
    </w:p>
    <w:p>
      <w:pPr>
        <w:pStyle w:val="2"/>
        <w:numPr>
          <w:ilvl w:val="0"/>
          <w:numId w:val="2"/>
        </w:numPr>
        <w:spacing w:line="480" w:lineRule="auto"/>
        <w:ind w:firstLineChars="0"/>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项目公司股东的基本情况及关联关系</w:t>
      </w:r>
    </w:p>
    <w:p>
      <w:pPr>
        <w:pStyle w:val="2"/>
        <w:spacing w:line="480" w:lineRule="auto"/>
        <w:ind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泰兴市广源房地产开发有限公司是扬州崇源房地产开发公司100%控股股东。成立于2009年11月17日，注册地位于泰兴市鼓楼北路333号(威尼斯城—爱丽舍宫11#楼)，法定代表人为张见德。经营范围包括房地产开发经营；房地产中介服务；百货销售。泰兴市广源房地产开发有限公司对外投资12家公司。 </w:t>
      </w:r>
    </w:p>
    <w:p>
      <w:pPr>
        <w:pStyle w:val="2"/>
        <w:numPr>
          <w:ilvl w:val="0"/>
          <w:numId w:val="2"/>
        </w:numPr>
        <w:spacing w:line="480" w:lineRule="auto"/>
        <w:ind w:firstLine="211"/>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项目各项经济指标</w:t>
      </w:r>
    </w:p>
    <w:p>
      <w:pPr>
        <w:ind w:firstLine="360" w:firstLineChars="200"/>
        <w:jc w:val="center"/>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表一：项目规划指标情况</w:t>
      </w:r>
    </w:p>
    <w:tbl>
      <w:tblPr>
        <w:tblStyle w:val="24"/>
        <w:tblW w:w="8931" w:type="dxa"/>
        <w:tblInd w:w="-34" w:type="dxa"/>
        <w:tblLayout w:type="autofit"/>
        <w:tblCellMar>
          <w:top w:w="0" w:type="dxa"/>
          <w:left w:w="108" w:type="dxa"/>
          <w:bottom w:w="0" w:type="dxa"/>
          <w:right w:w="108" w:type="dxa"/>
        </w:tblCellMar>
      </w:tblPr>
      <w:tblGrid>
        <w:gridCol w:w="2836"/>
        <w:gridCol w:w="2835"/>
        <w:gridCol w:w="3260"/>
      </w:tblGrid>
      <w:tr>
        <w:trPr>
          <w:trHeight w:val="340" w:hRule="atLeast"/>
        </w:trPr>
        <w:tc>
          <w:tcPr>
            <w:tcW w:w="283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项目名称</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规划指标</w:t>
            </w:r>
          </w:p>
        </w:tc>
        <w:tc>
          <w:tcPr>
            <w:tcW w:w="326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备注</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用地面积（㎡）</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106,709.00</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总建筑面积（㎡）</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255,713.31</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总计容面积（㎡）</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184,216.43</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容积率</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1.71</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建筑密度</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≤33%</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绿化率</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29%</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可售建筑面积（㎡）</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155,448.63</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其中：高层住宅（㎡）</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129,595.84</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占比83.37%</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xml:space="preserve">      商业（㎡）</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25,852.79</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占比16.63%</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地下建筑面积（㎡）</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37,319.00</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其中：可售车位（个）</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1,229</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r>
      <w:tr>
        <w:trPr>
          <w:trHeight w:val="340" w:hRule="atLeast"/>
        </w:trPr>
        <w:tc>
          <w:tcPr>
            <w:tcW w:w="2836" w:type="dxa"/>
            <w:tcBorders>
              <w:top w:val="nil"/>
              <w:left w:val="single" w:color="auto" w:sz="4" w:space="0"/>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自持商业面积（㎡）</w:t>
            </w:r>
          </w:p>
        </w:tc>
        <w:tc>
          <w:tcPr>
            <w:tcW w:w="2835" w:type="dxa"/>
            <w:tcBorders>
              <w:top w:val="nil"/>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25,000</w:t>
            </w:r>
          </w:p>
        </w:tc>
        <w:tc>
          <w:tcPr>
            <w:tcW w:w="3260" w:type="dxa"/>
            <w:tcBorders>
              <w:top w:val="nil"/>
              <w:left w:val="nil"/>
              <w:bottom w:val="single" w:color="auto" w:sz="4" w:space="0"/>
              <w:right w:val="single" w:color="auto" w:sz="4" w:space="0"/>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拟开发文旅项目</w:t>
            </w:r>
          </w:p>
        </w:tc>
      </w:tr>
    </w:tbl>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（1）存在的问题、原因及潜在风险</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本期暂无问题及潜在风险。</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（2）建议措施及后期需关注事项</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1）建议措施</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2）后期需关注事项</w:t>
      </w:r>
    </w:p>
    <w:p>
      <w:pPr>
        <w:spacing w:line="480" w:lineRule="auto"/>
        <w:ind w:left="420"/>
        <w:rPr>
          <w:rFonts w:hint="eastAsia" w:asciiTheme="minorEastAsia" w:hAnsiTheme="minorEastAsia" w:eastAsiaTheme="minorEastAsia" w:cstheme="minorEastAsia"/>
          <w:kern w:val="2"/>
          <w:sz w:val="21"/>
        </w:rPr>
      </w:pPr>
      <w:r>
        <w:rPr>
          <w:rFonts w:hint="eastAsia" w:asciiTheme="minorEastAsia" w:hAnsiTheme="minorEastAsia" w:eastAsiaTheme="minorEastAsia" w:cstheme="minorEastAsia"/>
          <w:bCs/>
          <w:sz w:val="21"/>
          <w:szCs w:val="21"/>
          <w:lang w:eastAsia="zh-Hans"/>
        </w:rPr>
        <w:t>本期暂无。</w:t>
      </w:r>
    </w:p>
    <w:p>
      <w:pPr>
        <w:pStyle w:val="2"/>
        <w:spacing w:line="480" w:lineRule="auto"/>
        <w:ind w:firstLine="0" w:firstLineChars="0"/>
        <w:outlineLvl w:val="0"/>
        <w:rPr>
          <w:rFonts w:hint="eastAsia" w:asciiTheme="minorEastAsia" w:hAnsiTheme="minorEastAsia" w:eastAsiaTheme="minorEastAsia" w:cstheme="minorEastAsia"/>
          <w:bCs/>
          <w:sz w:val="18"/>
          <w:szCs w:val="18"/>
        </w:rPr>
      </w:pPr>
      <w:bookmarkStart w:id="3" w:name="_Toc64970466"/>
      <w:r>
        <w:rPr>
          <w:rFonts w:hint="eastAsia" w:asciiTheme="minorEastAsia" w:hAnsiTheme="minorEastAsia" w:eastAsiaTheme="minorEastAsia" w:cstheme="minorEastAsia"/>
          <w:b/>
        </w:rPr>
        <w:t>二、项目证件办理情况</w:t>
      </w:r>
      <w:bookmarkEnd w:id="3"/>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表二：项目五证办理情况</w:t>
      </w:r>
    </w:p>
    <w:tbl>
      <w:tblPr>
        <w:tblStyle w:val="24"/>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73"/>
        <w:gridCol w:w="3402"/>
        <w:gridCol w:w="1709"/>
        <w:gridCol w:w="1218"/>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tblHeader/>
          <w:jc w:val="center"/>
        </w:trPr>
        <w:tc>
          <w:tcPr>
            <w:tcW w:w="677" w:type="dxa"/>
            <w:vAlign w:val="center"/>
          </w:tcPr>
          <w:p>
            <w:pPr>
              <w:jc w:val="center"/>
              <w:textAlignment w:val="center"/>
              <w:rPr>
                <w:rFonts w:hint="eastAsia" w:asciiTheme="minorEastAsia" w:hAnsiTheme="minorEastAsia" w:eastAsiaTheme="minorEastAsia" w:cstheme="minorEastAsia"/>
                <w:b/>
                <w:bCs/>
                <w:sz w:val="18"/>
                <w:szCs w:val="15"/>
              </w:rPr>
            </w:pPr>
            <w:r>
              <w:rPr>
                <w:rFonts w:hint="eastAsia" w:asciiTheme="minorEastAsia" w:hAnsiTheme="minorEastAsia" w:eastAsiaTheme="minorEastAsia" w:cstheme="minorEastAsia"/>
                <w:b/>
                <w:bCs/>
                <w:sz w:val="18"/>
                <w:szCs w:val="15"/>
              </w:rPr>
              <w:t>序号</w:t>
            </w:r>
          </w:p>
        </w:tc>
        <w:tc>
          <w:tcPr>
            <w:tcW w:w="1073" w:type="dxa"/>
            <w:vAlign w:val="center"/>
          </w:tcPr>
          <w:p>
            <w:pPr>
              <w:ind w:left="-120" w:leftChars="-50" w:right="-120" w:rightChars="-50"/>
              <w:jc w:val="center"/>
              <w:textAlignment w:val="center"/>
              <w:rPr>
                <w:rFonts w:hint="eastAsia" w:asciiTheme="minorEastAsia" w:hAnsiTheme="minorEastAsia" w:eastAsiaTheme="minorEastAsia" w:cstheme="minorEastAsia"/>
                <w:b/>
                <w:bCs/>
                <w:sz w:val="18"/>
                <w:szCs w:val="15"/>
              </w:rPr>
            </w:pPr>
            <w:r>
              <w:rPr>
                <w:rFonts w:hint="eastAsia" w:asciiTheme="minorEastAsia" w:hAnsiTheme="minorEastAsia" w:eastAsiaTheme="minorEastAsia" w:cstheme="minorEastAsia"/>
                <w:b/>
                <w:bCs/>
                <w:sz w:val="18"/>
                <w:szCs w:val="15"/>
              </w:rPr>
              <w:t>证件名称</w:t>
            </w:r>
          </w:p>
        </w:tc>
        <w:tc>
          <w:tcPr>
            <w:tcW w:w="3402" w:type="dxa"/>
            <w:vAlign w:val="center"/>
          </w:tcPr>
          <w:p>
            <w:pPr>
              <w:jc w:val="center"/>
              <w:textAlignment w:val="center"/>
              <w:rPr>
                <w:rFonts w:hint="eastAsia" w:asciiTheme="minorEastAsia" w:hAnsiTheme="minorEastAsia" w:eastAsiaTheme="minorEastAsia" w:cstheme="minorEastAsia"/>
                <w:b/>
                <w:bCs/>
                <w:sz w:val="18"/>
                <w:szCs w:val="15"/>
              </w:rPr>
            </w:pPr>
            <w:r>
              <w:rPr>
                <w:rFonts w:hint="eastAsia" w:asciiTheme="minorEastAsia" w:hAnsiTheme="minorEastAsia" w:eastAsiaTheme="minorEastAsia" w:cstheme="minorEastAsia"/>
                <w:b/>
                <w:bCs/>
                <w:sz w:val="18"/>
                <w:szCs w:val="15"/>
              </w:rPr>
              <w:t>政策要求</w:t>
            </w:r>
          </w:p>
        </w:tc>
        <w:tc>
          <w:tcPr>
            <w:tcW w:w="1709" w:type="dxa"/>
            <w:vAlign w:val="center"/>
          </w:tcPr>
          <w:p>
            <w:pPr>
              <w:jc w:val="center"/>
              <w:textAlignment w:val="center"/>
              <w:rPr>
                <w:rFonts w:hint="eastAsia" w:asciiTheme="minorEastAsia" w:hAnsiTheme="minorEastAsia" w:eastAsiaTheme="minorEastAsia" w:cstheme="minorEastAsia"/>
                <w:b/>
                <w:bCs/>
                <w:sz w:val="18"/>
                <w:szCs w:val="15"/>
              </w:rPr>
            </w:pPr>
            <w:r>
              <w:rPr>
                <w:rFonts w:hint="eastAsia" w:asciiTheme="minorEastAsia" w:hAnsiTheme="minorEastAsia" w:eastAsiaTheme="minorEastAsia" w:cstheme="minorEastAsia"/>
                <w:b/>
                <w:bCs/>
                <w:sz w:val="18"/>
                <w:szCs w:val="15"/>
              </w:rPr>
              <w:t>实际取证日期</w:t>
            </w:r>
          </w:p>
        </w:tc>
        <w:tc>
          <w:tcPr>
            <w:tcW w:w="1218" w:type="dxa"/>
            <w:vAlign w:val="center"/>
          </w:tcPr>
          <w:p>
            <w:pPr>
              <w:ind w:left="-120" w:leftChars="-50" w:right="-120" w:rightChars="-50"/>
              <w:jc w:val="center"/>
              <w:textAlignment w:val="center"/>
              <w:rPr>
                <w:rFonts w:hint="eastAsia" w:asciiTheme="minorEastAsia" w:hAnsiTheme="minorEastAsia" w:eastAsiaTheme="minorEastAsia" w:cstheme="minorEastAsia"/>
                <w:b/>
                <w:bCs/>
                <w:sz w:val="18"/>
                <w:szCs w:val="15"/>
              </w:rPr>
            </w:pPr>
            <w:r>
              <w:rPr>
                <w:rFonts w:hint="eastAsia" w:asciiTheme="minorEastAsia" w:hAnsiTheme="minorEastAsia" w:eastAsiaTheme="minorEastAsia" w:cstheme="minorEastAsia"/>
                <w:b/>
                <w:bCs/>
                <w:sz w:val="18"/>
                <w:szCs w:val="15"/>
              </w:rPr>
              <w:t>证载面积</w:t>
            </w:r>
          </w:p>
        </w:tc>
        <w:tc>
          <w:tcPr>
            <w:tcW w:w="822" w:type="dxa"/>
            <w:vAlign w:val="center"/>
          </w:tcPr>
          <w:p>
            <w:pPr>
              <w:ind w:left="-120" w:leftChars="-50" w:right="-120" w:rightChars="-50"/>
              <w:jc w:val="center"/>
              <w:textAlignment w:val="center"/>
              <w:rPr>
                <w:rFonts w:hint="eastAsia" w:asciiTheme="minorEastAsia" w:hAnsiTheme="minorEastAsia" w:eastAsiaTheme="minorEastAsia" w:cstheme="minorEastAsia"/>
                <w:b/>
                <w:bCs/>
                <w:sz w:val="18"/>
                <w:szCs w:val="15"/>
              </w:rPr>
            </w:pPr>
            <w:r>
              <w:rPr>
                <w:rFonts w:hint="eastAsia" w:asciiTheme="minorEastAsia" w:hAnsiTheme="minorEastAsia" w:eastAsiaTheme="minorEastAsia" w:cstheme="minorEastAsia"/>
                <w:b/>
                <w:bCs/>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9" w:hRule="atLeast"/>
          <w:jc w:val="center"/>
        </w:trPr>
        <w:tc>
          <w:tcPr>
            <w:tcW w:w="677" w:type="dxa"/>
            <w:vAlign w:val="center"/>
          </w:tcPr>
          <w:p>
            <w:pPr>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1</w:t>
            </w:r>
          </w:p>
        </w:tc>
        <w:tc>
          <w:tcPr>
            <w:tcW w:w="1073"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不动产权证书</w:t>
            </w:r>
          </w:p>
        </w:tc>
        <w:tc>
          <w:tcPr>
            <w:tcW w:w="3402" w:type="dxa"/>
            <w:vAlign w:val="center"/>
          </w:tcPr>
          <w:p>
            <w:pPr>
              <w:pStyle w:val="29"/>
              <w:spacing w:line="240" w:lineRule="auto"/>
              <w:jc w:val="center"/>
              <w:rPr>
                <w:rFonts w:hint="eastAsia" w:asciiTheme="minorEastAsia" w:hAnsiTheme="minorEastAsia" w:eastAsiaTheme="minorEastAsia" w:cstheme="minorEastAsia"/>
                <w:color w:val="auto"/>
                <w:sz w:val="18"/>
                <w:szCs w:val="15"/>
              </w:rPr>
            </w:pPr>
            <w:r>
              <w:rPr>
                <w:rFonts w:hint="eastAsia" w:asciiTheme="minorEastAsia" w:hAnsiTheme="minorEastAsia" w:eastAsiaTheme="minorEastAsia" w:cstheme="minorEastAsia"/>
                <w:color w:val="auto"/>
                <w:sz w:val="18"/>
                <w:szCs w:val="15"/>
              </w:rPr>
              <w:t>法人身份证明；营业执照复印件；委托书及委托人身份证原件；土地合同；交付土地协议；出让金票据及土地契税票据；权籍调查表；宗地图</w:t>
            </w:r>
          </w:p>
        </w:tc>
        <w:tc>
          <w:tcPr>
            <w:tcW w:w="1709" w:type="dxa"/>
            <w:vAlign w:val="center"/>
          </w:tcPr>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2020年07月29日</w:t>
            </w:r>
          </w:p>
        </w:tc>
        <w:tc>
          <w:tcPr>
            <w:tcW w:w="1218" w:type="dxa"/>
            <w:vAlign w:val="center"/>
          </w:tcPr>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106709.00㎡</w:t>
            </w:r>
          </w:p>
        </w:tc>
        <w:tc>
          <w:tcPr>
            <w:tcW w:w="822" w:type="dxa"/>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3" w:hRule="atLeast"/>
          <w:jc w:val="center"/>
        </w:trPr>
        <w:tc>
          <w:tcPr>
            <w:tcW w:w="677" w:type="dxa"/>
            <w:vMerge w:val="restart"/>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w:t>
            </w:r>
          </w:p>
        </w:tc>
        <w:tc>
          <w:tcPr>
            <w:tcW w:w="1073" w:type="dxa"/>
            <w:vMerge w:val="restart"/>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建设用地规划许可证</w:t>
            </w:r>
          </w:p>
        </w:tc>
        <w:tc>
          <w:tcPr>
            <w:tcW w:w="3402" w:type="dxa"/>
            <w:vMerge w:val="restart"/>
            <w:vAlign w:val="center"/>
          </w:tcPr>
          <w:p>
            <w:pPr>
              <w:pStyle w:val="18"/>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选址意见书及规划设计要求；提供营业执照及法人身份证复印件、法人授权委托书及委托代理人身份证复印件</w:t>
            </w:r>
          </w:p>
        </w:tc>
        <w:tc>
          <w:tcPr>
            <w:tcW w:w="1709" w:type="dxa"/>
            <w:vMerge w:val="restart"/>
            <w:vAlign w:val="center"/>
          </w:tcPr>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2020年07月20日　</w:t>
            </w:r>
          </w:p>
        </w:tc>
        <w:tc>
          <w:tcPr>
            <w:tcW w:w="1218" w:type="dxa"/>
            <w:vAlign w:val="center"/>
          </w:tcPr>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74430㎡</w:t>
            </w:r>
          </w:p>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（A地块）</w:t>
            </w:r>
          </w:p>
        </w:tc>
        <w:tc>
          <w:tcPr>
            <w:tcW w:w="822" w:type="dxa"/>
            <w:vMerge w:val="restart"/>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 w:hRule="atLeast"/>
          <w:jc w:val="center"/>
        </w:trPr>
        <w:tc>
          <w:tcPr>
            <w:tcW w:w="677"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1073"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3402" w:type="dxa"/>
            <w:vMerge w:val="continue"/>
            <w:vAlign w:val="center"/>
          </w:tcPr>
          <w:p>
            <w:pPr>
              <w:pStyle w:val="18"/>
              <w:ind w:left="480" w:firstLine="360"/>
              <w:jc w:val="center"/>
              <w:rPr>
                <w:rFonts w:hint="eastAsia" w:asciiTheme="minorEastAsia" w:hAnsiTheme="minorEastAsia" w:eastAsiaTheme="minorEastAsia" w:cstheme="minorEastAsia"/>
                <w:sz w:val="18"/>
                <w:szCs w:val="15"/>
              </w:rPr>
            </w:pPr>
          </w:p>
        </w:tc>
        <w:tc>
          <w:tcPr>
            <w:tcW w:w="1709" w:type="dxa"/>
            <w:vMerge w:val="continue"/>
            <w:vAlign w:val="center"/>
          </w:tcPr>
          <w:p>
            <w:pPr>
              <w:ind w:left="-120" w:leftChars="-50" w:right="-120" w:rightChars="-50"/>
              <w:jc w:val="center"/>
              <w:rPr>
                <w:rFonts w:hint="eastAsia" w:asciiTheme="minorEastAsia" w:hAnsiTheme="minorEastAsia" w:eastAsiaTheme="minorEastAsia" w:cstheme="minorEastAsia"/>
                <w:sz w:val="18"/>
                <w:szCs w:val="15"/>
              </w:rPr>
            </w:pPr>
          </w:p>
        </w:tc>
        <w:tc>
          <w:tcPr>
            <w:tcW w:w="1218" w:type="dxa"/>
            <w:vAlign w:val="center"/>
          </w:tcPr>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32279㎡</w:t>
            </w:r>
          </w:p>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（B地块）</w:t>
            </w:r>
          </w:p>
        </w:tc>
        <w:tc>
          <w:tcPr>
            <w:tcW w:w="822" w:type="dxa"/>
            <w:vMerge w:val="continue"/>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5" w:hRule="atLeast"/>
          <w:jc w:val="center"/>
        </w:trPr>
        <w:tc>
          <w:tcPr>
            <w:tcW w:w="677" w:type="dxa"/>
            <w:vMerge w:val="restart"/>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3</w:t>
            </w:r>
          </w:p>
        </w:tc>
        <w:tc>
          <w:tcPr>
            <w:tcW w:w="1073" w:type="dxa"/>
            <w:vMerge w:val="restart"/>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建设工程规划许可证</w:t>
            </w:r>
          </w:p>
        </w:tc>
        <w:tc>
          <w:tcPr>
            <w:tcW w:w="3402" w:type="dxa"/>
            <w:vMerge w:val="restart"/>
            <w:vAlign w:val="center"/>
          </w:tcPr>
          <w:p>
            <w:pPr>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按照规定需要编制修建性详细规划的建设项目，需提交修建性详细规划；土地出让合同（划拨决定书）及附件、方案审查通知书中要求的材料；建设项目涉及建设、消防、安监、绿化、环保、房管、文保、民政等部门的，需征求主管部门的意见；建设工程施工图设计文件；建筑工程设计方案；使用土地的证明文件；建设项目审批、核准、备案文件；建设工程规划许可证申请表</w:t>
            </w:r>
          </w:p>
        </w:tc>
        <w:tc>
          <w:tcPr>
            <w:tcW w:w="1709" w:type="dxa"/>
            <w:vAlign w:val="center"/>
          </w:tcPr>
          <w:p>
            <w:pPr>
              <w:ind w:left="-120" w:leftChars="-50" w:right="-120" w:rightChars="-50"/>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2020年11月20日</w:t>
            </w:r>
          </w:p>
        </w:tc>
        <w:tc>
          <w:tcPr>
            <w:tcW w:w="1218"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186721㎡</w:t>
            </w:r>
          </w:p>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（A地块）</w:t>
            </w:r>
          </w:p>
        </w:tc>
        <w:tc>
          <w:tcPr>
            <w:tcW w:w="822" w:type="dxa"/>
            <w:vMerge w:val="restart"/>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8" w:hRule="atLeast"/>
          <w:jc w:val="center"/>
        </w:trPr>
        <w:tc>
          <w:tcPr>
            <w:tcW w:w="677"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1073"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3402" w:type="dxa"/>
            <w:vMerge w:val="continue"/>
            <w:vAlign w:val="center"/>
          </w:tcPr>
          <w:p>
            <w:pPr>
              <w:pStyle w:val="18"/>
              <w:ind w:left="480" w:firstLine="360"/>
              <w:jc w:val="center"/>
              <w:rPr>
                <w:rFonts w:hint="eastAsia" w:asciiTheme="minorEastAsia" w:hAnsiTheme="minorEastAsia" w:eastAsiaTheme="minorEastAsia" w:cstheme="minorEastAsia"/>
                <w:sz w:val="18"/>
                <w:szCs w:val="15"/>
              </w:rPr>
            </w:pPr>
          </w:p>
        </w:tc>
        <w:tc>
          <w:tcPr>
            <w:tcW w:w="1709"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2020年12月18日</w:t>
            </w:r>
          </w:p>
        </w:tc>
        <w:tc>
          <w:tcPr>
            <w:tcW w:w="1218"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25288.97㎡</w:t>
            </w:r>
          </w:p>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（B地块地库）</w:t>
            </w:r>
          </w:p>
        </w:tc>
        <w:tc>
          <w:tcPr>
            <w:tcW w:w="822" w:type="dxa"/>
            <w:vMerge w:val="continue"/>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6" w:hRule="atLeast"/>
          <w:jc w:val="center"/>
        </w:trPr>
        <w:tc>
          <w:tcPr>
            <w:tcW w:w="677" w:type="dxa"/>
            <w:vMerge w:val="restart"/>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4</w:t>
            </w:r>
          </w:p>
        </w:tc>
        <w:tc>
          <w:tcPr>
            <w:tcW w:w="1073" w:type="dxa"/>
            <w:vMerge w:val="restart"/>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建筑工程施工许可证</w:t>
            </w:r>
          </w:p>
        </w:tc>
        <w:tc>
          <w:tcPr>
            <w:tcW w:w="3402" w:type="dxa"/>
            <w:vMerge w:val="restart"/>
            <w:vAlign w:val="center"/>
          </w:tcPr>
          <w:p>
            <w:pPr>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危险性较大的分部分项工程清单（如有危大工程，需提交）；施工单位安全生产许可证；建设工程规划许可证；安管人员安全生产知识考核合格证书；施工条件报告；施工图审查合格书；建设用地批准书或国有建设用地划拨决定书；施工合同或施工合同协议书部分；经施工单位确认的工程款支付安排计划；安全文明施工措施费支付计划；五方责任主体及项目负责人承诺书、法定代表人授权书（如无监理，可容缺）；工程项目安全生产事故应急救援预案审核审批表；施工组织设计审核审批表；建筑工程施工许可申请表</w:t>
            </w:r>
          </w:p>
        </w:tc>
        <w:tc>
          <w:tcPr>
            <w:tcW w:w="1709" w:type="dxa"/>
            <w:vAlign w:val="center"/>
          </w:tcPr>
          <w:p>
            <w:pPr>
              <w:widowControl w:val="0"/>
              <w:jc w:val="both"/>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2020年12月22日</w:t>
            </w:r>
          </w:p>
        </w:tc>
        <w:tc>
          <w:tcPr>
            <w:tcW w:w="1218"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54293.75㎡</w:t>
            </w:r>
          </w:p>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（A地块一标段）</w:t>
            </w:r>
          </w:p>
        </w:tc>
        <w:tc>
          <w:tcPr>
            <w:tcW w:w="822" w:type="dxa"/>
            <w:vMerge w:val="restart"/>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0" w:hRule="atLeast"/>
          <w:jc w:val="center"/>
        </w:trPr>
        <w:tc>
          <w:tcPr>
            <w:tcW w:w="677"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1073"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3402" w:type="dxa"/>
            <w:vMerge w:val="continue"/>
            <w:vAlign w:val="center"/>
          </w:tcPr>
          <w:p>
            <w:pPr>
              <w:jc w:val="center"/>
              <w:rPr>
                <w:rFonts w:hint="eastAsia" w:asciiTheme="minorEastAsia" w:hAnsiTheme="minorEastAsia" w:eastAsiaTheme="minorEastAsia" w:cstheme="minorEastAsia"/>
                <w:sz w:val="18"/>
                <w:szCs w:val="15"/>
              </w:rPr>
            </w:pPr>
          </w:p>
        </w:tc>
        <w:tc>
          <w:tcPr>
            <w:tcW w:w="1709" w:type="dxa"/>
            <w:vAlign w:val="center"/>
          </w:tcPr>
          <w:p>
            <w:pPr>
              <w:widowControl w:val="0"/>
              <w:jc w:val="both"/>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2020年12月25日</w:t>
            </w:r>
          </w:p>
        </w:tc>
        <w:tc>
          <w:tcPr>
            <w:tcW w:w="1218"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58730.04㎡</w:t>
            </w:r>
          </w:p>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（A地块二标段）</w:t>
            </w:r>
          </w:p>
        </w:tc>
        <w:tc>
          <w:tcPr>
            <w:tcW w:w="822" w:type="dxa"/>
            <w:vMerge w:val="continue"/>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atLeast"/>
          <w:jc w:val="center"/>
        </w:trPr>
        <w:tc>
          <w:tcPr>
            <w:tcW w:w="677"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1073" w:type="dxa"/>
            <w:vMerge w:val="continue"/>
            <w:vAlign w:val="center"/>
          </w:tcPr>
          <w:p>
            <w:pPr>
              <w:widowControl w:val="0"/>
              <w:jc w:val="center"/>
              <w:textAlignment w:val="center"/>
              <w:rPr>
                <w:rFonts w:hint="eastAsia" w:asciiTheme="minorEastAsia" w:hAnsiTheme="minorEastAsia" w:eastAsiaTheme="minorEastAsia" w:cstheme="minorEastAsia"/>
                <w:sz w:val="18"/>
                <w:szCs w:val="15"/>
              </w:rPr>
            </w:pPr>
          </w:p>
        </w:tc>
        <w:tc>
          <w:tcPr>
            <w:tcW w:w="3402" w:type="dxa"/>
            <w:vMerge w:val="continue"/>
            <w:vAlign w:val="center"/>
          </w:tcPr>
          <w:p>
            <w:pPr>
              <w:jc w:val="center"/>
              <w:rPr>
                <w:rFonts w:hint="eastAsia" w:asciiTheme="minorEastAsia" w:hAnsiTheme="minorEastAsia" w:eastAsiaTheme="minorEastAsia" w:cstheme="minorEastAsia"/>
                <w:sz w:val="18"/>
                <w:szCs w:val="15"/>
              </w:rPr>
            </w:pPr>
          </w:p>
        </w:tc>
        <w:tc>
          <w:tcPr>
            <w:tcW w:w="1709" w:type="dxa"/>
            <w:vAlign w:val="center"/>
          </w:tcPr>
          <w:p>
            <w:pPr>
              <w:widowControl w:val="0"/>
              <w:jc w:val="both"/>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2021年01月06日</w:t>
            </w:r>
          </w:p>
        </w:tc>
        <w:tc>
          <w:tcPr>
            <w:tcW w:w="1218"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74330.86㎡</w:t>
            </w:r>
          </w:p>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（A地块三、四标段）</w:t>
            </w:r>
          </w:p>
        </w:tc>
        <w:tc>
          <w:tcPr>
            <w:tcW w:w="822" w:type="dxa"/>
            <w:vMerge w:val="continue"/>
            <w:vAlign w:val="center"/>
          </w:tcPr>
          <w:p>
            <w:pPr>
              <w:jc w:val="center"/>
              <w:textAlignment w:val="center"/>
              <w:rPr>
                <w:rFonts w:hint="eastAsia" w:asciiTheme="minorEastAsia" w:hAnsiTheme="minorEastAsia" w:eastAsiaTheme="minorEastAsia" w:cstheme="minorEastAsia"/>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6" w:hRule="atLeast"/>
          <w:jc w:val="center"/>
        </w:trPr>
        <w:tc>
          <w:tcPr>
            <w:tcW w:w="677"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5</w:t>
            </w:r>
          </w:p>
        </w:tc>
        <w:tc>
          <w:tcPr>
            <w:tcW w:w="1073" w:type="dxa"/>
            <w:vAlign w:val="center"/>
          </w:tcPr>
          <w:p>
            <w:pPr>
              <w:widowControl w:val="0"/>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商品房预售许可证</w:t>
            </w:r>
          </w:p>
        </w:tc>
        <w:tc>
          <w:tcPr>
            <w:tcW w:w="3402" w:type="dxa"/>
            <w:vAlign w:val="center"/>
          </w:tcPr>
          <w:p>
            <w:pPr>
              <w:jc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商品房预售方案；建设工程施工合同、进度、进度说明；营业执照；商品房开发建设资金投入证明；建设工程施工许可证；建设工程规划许可证及附图；国有土地证或国有土地出让合同；开发企业资质证书；商品房预售许可证申请表</w:t>
            </w:r>
          </w:p>
        </w:tc>
        <w:tc>
          <w:tcPr>
            <w:tcW w:w="1709" w:type="dxa"/>
            <w:vAlign w:val="center"/>
          </w:tcPr>
          <w:p>
            <w:pPr>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w:t>
            </w:r>
          </w:p>
        </w:tc>
        <w:tc>
          <w:tcPr>
            <w:tcW w:w="1218" w:type="dxa"/>
            <w:vAlign w:val="center"/>
          </w:tcPr>
          <w:p>
            <w:pPr>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w:t>
            </w:r>
          </w:p>
        </w:tc>
        <w:tc>
          <w:tcPr>
            <w:tcW w:w="822" w:type="dxa"/>
            <w:vAlign w:val="center"/>
          </w:tcPr>
          <w:p>
            <w:pPr>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暂未</w:t>
            </w:r>
          </w:p>
          <w:p>
            <w:pPr>
              <w:jc w:val="center"/>
              <w:textAlignment w:val="center"/>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取得</w:t>
            </w:r>
          </w:p>
        </w:tc>
      </w:tr>
    </w:tbl>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（1）存在的问题、原因及潜在风险</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本期暂无问题及潜在风险。</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（2）建议措施及后期需关注事项</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1）建议措施</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2）后期需关注事项</w:t>
      </w:r>
    </w:p>
    <w:p>
      <w:pPr>
        <w:spacing w:line="480" w:lineRule="auto"/>
        <w:ind w:firstLine="420" w:firstLineChars="200"/>
        <w:jc w:val="both"/>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21"/>
          <w:szCs w:val="21"/>
        </w:rPr>
        <w:t>后期特别关注预售证办理进度。</w:t>
      </w:r>
    </w:p>
    <w:p>
      <w:pPr>
        <w:pStyle w:val="2"/>
        <w:spacing w:line="480" w:lineRule="auto"/>
        <w:ind w:firstLine="0" w:firstLineChars="0"/>
        <w:outlineLvl w:val="0"/>
        <w:rPr>
          <w:rFonts w:hint="eastAsia" w:asciiTheme="minorEastAsia" w:hAnsiTheme="minorEastAsia" w:eastAsiaTheme="minorEastAsia" w:cstheme="minorEastAsia"/>
          <w:b/>
        </w:rPr>
      </w:pPr>
      <w:bookmarkStart w:id="4" w:name="_Toc64970467"/>
      <w:r>
        <w:rPr>
          <w:rFonts w:hint="eastAsia" w:asciiTheme="minorEastAsia" w:hAnsiTheme="minorEastAsia" w:eastAsiaTheme="minorEastAsia" w:cstheme="minorEastAsia"/>
          <w:b/>
        </w:rPr>
        <w:t>三、项目开发建设情况</w:t>
      </w:r>
      <w:bookmarkEnd w:id="4"/>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表三：项目形象进度表</w:t>
      </w:r>
    </w:p>
    <w:tbl>
      <w:tblPr>
        <w:tblStyle w:val="24"/>
        <w:tblW w:w="9476" w:type="dxa"/>
        <w:jc w:val="center"/>
        <w:tblLayout w:type="fixed"/>
        <w:tblCellMar>
          <w:top w:w="15" w:type="dxa"/>
          <w:left w:w="15" w:type="dxa"/>
          <w:bottom w:w="15" w:type="dxa"/>
          <w:right w:w="15" w:type="dxa"/>
        </w:tblCellMar>
      </w:tblPr>
      <w:tblGrid>
        <w:gridCol w:w="704"/>
        <w:gridCol w:w="945"/>
        <w:gridCol w:w="2716"/>
        <w:gridCol w:w="1061"/>
        <w:gridCol w:w="1753"/>
        <w:gridCol w:w="790"/>
        <w:gridCol w:w="840"/>
        <w:gridCol w:w="667"/>
      </w:tblGrid>
      <w:tr>
        <w:trPr>
          <w:trHeight w:val="567" w:hRule="atLeast"/>
          <w:tblHeader/>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楼栋号</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形象进度</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工期情况</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是否满足预售节点</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质量</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安全</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备注</w:t>
            </w: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三层顶板浇筑工作完成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绑扎负一层墙板柱钢筋</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否</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绑扎负一层墙板柱钢筋</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否</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绑扎负一层墙板柱钢筋</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否</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三层顶板浇筑工作完成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三层顶板浇筑工作完成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三层顶板浇筑工作完成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三层顶板浇筑工作完成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16#</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三层顶板浇筑工作完成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567"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17#</w:t>
            </w:r>
          </w:p>
        </w:tc>
        <w:tc>
          <w:tcPr>
            <w:tcW w:w="27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筏板基础垫层浇筑工作完成</w:t>
            </w:r>
          </w:p>
        </w:tc>
        <w:tc>
          <w:tcPr>
            <w:tcW w:w="10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正常</w:t>
            </w:r>
          </w:p>
        </w:tc>
        <w:tc>
          <w:tcPr>
            <w:tcW w:w="17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否</w:t>
            </w:r>
          </w:p>
        </w:tc>
        <w:tc>
          <w:tcPr>
            <w:tcW w:w="7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受控</w:t>
            </w:r>
          </w:p>
        </w:tc>
        <w:tc>
          <w:tcPr>
            <w:tcW w:w="66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p>
        </w:tc>
      </w:tr>
      <w:tr>
        <w:trPr>
          <w:trHeight w:val="835" w:hRule="exact"/>
          <w:jc w:val="center"/>
        </w:trPr>
        <w:tc>
          <w:tcPr>
            <w:tcW w:w="704" w:type="dxa"/>
            <w:tcBorders>
              <w:top w:val="single" w:color="000000" w:sz="4" w:space="0"/>
              <w:left w:val="single" w:color="000000" w:sz="4" w:space="0"/>
              <w:bottom w:val="single" w:color="auto" w:sz="4" w:space="0"/>
              <w:right w:val="single" w:color="000000"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项目整体评价</w:t>
            </w:r>
          </w:p>
        </w:tc>
        <w:tc>
          <w:tcPr>
            <w:tcW w:w="8772" w:type="dxa"/>
            <w:gridSpan w:val="7"/>
            <w:tcBorders>
              <w:top w:val="single" w:color="000000" w:sz="4" w:space="0"/>
              <w:left w:val="single" w:color="000000" w:sz="4" w:space="0"/>
              <w:bottom w:val="single" w:color="000000" w:sz="4" w:space="0"/>
              <w:right w:val="single" w:color="000000" w:sz="4" w:space="0"/>
            </w:tcBorders>
            <w:vAlign w:val="center"/>
          </w:tcPr>
          <w:p>
            <w:pPr>
              <w:ind w:firstLine="450" w:firstLineChars="250"/>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本期标的项目施工进度正常，安全、质量可控，暂无事故发生。</w:t>
            </w:r>
          </w:p>
        </w:tc>
      </w:tr>
    </w:tbl>
    <w:p>
      <w:pPr>
        <w:spacing w:line="48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（1）存在的问题、原因及潜在风险</w:t>
      </w:r>
    </w:p>
    <w:p>
      <w:pPr>
        <w:spacing w:line="480" w:lineRule="auto"/>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本期暂无问题及潜在风险。</w:t>
      </w:r>
    </w:p>
    <w:p>
      <w:pPr>
        <w:spacing w:line="48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（2）建议措施及后期需关注事项</w:t>
      </w:r>
    </w:p>
    <w:p>
      <w:pPr>
        <w:spacing w:line="48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1）建议措施</w:t>
      </w:r>
    </w:p>
    <w:p>
      <w:pPr>
        <w:spacing w:line="480" w:lineRule="auto"/>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w:t>
      </w:r>
    </w:p>
    <w:p>
      <w:pPr>
        <w:spacing w:line="48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2）后期需关注事项</w:t>
      </w:r>
    </w:p>
    <w:p>
      <w:pPr>
        <w:spacing w:line="480" w:lineRule="auto"/>
        <w:jc w:val="both"/>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 w:val="21"/>
          <w:szCs w:val="21"/>
        </w:rPr>
        <w:t>后期特别关注现场施工进度情况。</w:t>
      </w:r>
    </w:p>
    <w:p>
      <w:pPr>
        <w:pStyle w:val="2"/>
        <w:spacing w:line="480" w:lineRule="auto"/>
        <w:ind w:firstLine="0" w:firstLineChars="0"/>
        <w:outlineLvl w:val="0"/>
        <w:rPr>
          <w:rFonts w:hint="eastAsia" w:asciiTheme="minorEastAsia" w:hAnsiTheme="minorEastAsia" w:eastAsiaTheme="minorEastAsia" w:cstheme="minorEastAsia"/>
          <w:b/>
        </w:rPr>
      </w:pPr>
      <w:bookmarkStart w:id="5" w:name="_Toc64970468"/>
      <w:r>
        <w:rPr>
          <w:rFonts w:hint="eastAsia" w:asciiTheme="minorEastAsia" w:hAnsiTheme="minorEastAsia" w:eastAsiaTheme="minorEastAsia" w:cstheme="minorEastAsia"/>
          <w:b/>
        </w:rPr>
        <w:t>四、项目成本执行情况</w:t>
      </w:r>
      <w:bookmarkEnd w:id="5"/>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表四：项目成本执行情况</w:t>
      </w:r>
    </w:p>
    <w:tbl>
      <w:tblPr>
        <w:tblStyle w:val="24"/>
        <w:tblpPr w:leftFromText="180" w:rightFromText="180" w:vertAnchor="text" w:horzAnchor="page" w:tblpXSpec="center" w:tblpY="329"/>
        <w:tblOverlap w:val="never"/>
        <w:tblW w:w="10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701"/>
        <w:gridCol w:w="1559"/>
        <w:gridCol w:w="1559"/>
        <w:gridCol w:w="2410"/>
        <w:gridCol w:w="992"/>
      </w:tblGrid>
      <w:tr>
        <w:trPr>
          <w:trHeight w:val="699" w:hRule="atLeast"/>
          <w:tblHeader/>
          <w:jc w:val="center"/>
        </w:trPr>
        <w:tc>
          <w:tcPr>
            <w:tcW w:w="675"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序号</w:t>
            </w:r>
          </w:p>
        </w:tc>
        <w:tc>
          <w:tcPr>
            <w:tcW w:w="156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成本科目</w:t>
            </w:r>
          </w:p>
        </w:tc>
        <w:tc>
          <w:tcPr>
            <w:tcW w:w="1701"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目标成本</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（万元）</w:t>
            </w:r>
          </w:p>
        </w:tc>
        <w:tc>
          <w:tcPr>
            <w:tcW w:w="1559"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本期金额</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（万元）</w:t>
            </w:r>
          </w:p>
        </w:tc>
        <w:tc>
          <w:tcPr>
            <w:tcW w:w="1559"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累计金额</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（万元）</w:t>
            </w:r>
          </w:p>
        </w:tc>
        <w:tc>
          <w:tcPr>
            <w:tcW w:w="241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评价成本支出的合理性</w:t>
            </w:r>
          </w:p>
        </w:tc>
        <w:tc>
          <w:tcPr>
            <w:tcW w:w="992"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土地费用</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103,975.00</w:t>
            </w: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0.00</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104,077.95</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含土地价款、契税、印花税及耕地占用税</w:t>
            </w:r>
          </w:p>
        </w:tc>
        <w:tc>
          <w:tcPr>
            <w:tcW w:w="992"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前期费用</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7,089.00</w:t>
            </w: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151.18</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583.64</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本期支付物业费及测绘费，要件齐全，事项合理</w:t>
            </w:r>
          </w:p>
        </w:tc>
        <w:tc>
          <w:tcPr>
            <w:tcW w:w="992"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建安工程费</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89,966.00</w:t>
            </w: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0.00</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1879.64</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92"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配套及基础设施</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13,535.00</w:t>
            </w: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0.00</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2025.13</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92"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jc w:val="center"/>
        </w:trPr>
        <w:tc>
          <w:tcPr>
            <w:tcW w:w="6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管理费用</w:t>
            </w:r>
          </w:p>
        </w:tc>
        <w:tc>
          <w:tcPr>
            <w:tcW w:w="1701" w:type="dxa"/>
            <w:vAlign w:val="center"/>
          </w:tcPr>
          <w:p>
            <w:pPr>
              <w:ind w:left="-120" w:leftChars="-5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3,577.00</w:t>
            </w:r>
          </w:p>
        </w:tc>
        <w:tc>
          <w:tcPr>
            <w:tcW w:w="1559" w:type="dxa"/>
            <w:vAlign w:val="center"/>
          </w:tcPr>
          <w:p>
            <w:pPr>
              <w:ind w:left="-120" w:leftChars="-5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23.64</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134.17</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日常费用报销，要件齐全，事项合理</w:t>
            </w:r>
          </w:p>
        </w:tc>
        <w:tc>
          <w:tcPr>
            <w:tcW w:w="992"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7</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营销费用</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2,170.00</w:t>
            </w: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65.09</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92"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6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8</w:t>
            </w:r>
          </w:p>
        </w:tc>
        <w:tc>
          <w:tcPr>
            <w:tcW w:w="1560"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财务费用</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11,215.00</w:t>
            </w: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1,001.71</w:t>
            </w: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3,020.82</w:t>
            </w:r>
          </w:p>
        </w:tc>
        <w:tc>
          <w:tcPr>
            <w:tcW w:w="241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支付五矿信托利息费用</w:t>
            </w:r>
          </w:p>
        </w:tc>
        <w:tc>
          <w:tcPr>
            <w:tcW w:w="992"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jc w:val="center"/>
        </w:trPr>
        <w:tc>
          <w:tcPr>
            <w:tcW w:w="2235" w:type="dxa"/>
            <w:gridSpan w:val="2"/>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合计</w:t>
            </w:r>
          </w:p>
        </w:tc>
        <w:tc>
          <w:tcPr>
            <w:tcW w:w="1701" w:type="dxa"/>
            <w:vAlign w:val="center"/>
          </w:tcPr>
          <w:p>
            <w:pPr>
              <w:ind w:left="-120" w:leftChars="-50"/>
              <w:jc w:val="center"/>
              <w:textAlignment w:val="center"/>
              <w:rPr>
                <w:rFonts w:hint="eastAsia" w:asciiTheme="minorEastAsia" w:hAnsiTheme="minorEastAsia" w:eastAsiaTheme="minorEastAsia" w:cstheme="minorEastAsia"/>
                <w:sz w:val="18"/>
                <w:szCs w:val="18"/>
              </w:rPr>
            </w:pPr>
          </w:p>
        </w:tc>
        <w:tc>
          <w:tcPr>
            <w:tcW w:w="1559" w:type="dxa"/>
            <w:vAlign w:val="center"/>
          </w:tcPr>
          <w:p>
            <w:pPr>
              <w:ind w:left="-120" w:leftChars="-50"/>
              <w:jc w:val="center"/>
              <w:textAlignment w:val="center"/>
              <w:rPr>
                <w:rFonts w:hint="eastAsia" w:asciiTheme="minorEastAsia" w:hAnsiTheme="minorEastAsia" w:eastAsiaTheme="minorEastAsia" w:cstheme="minorEastAsia"/>
                <w:sz w:val="18"/>
                <w:szCs w:val="18"/>
              </w:rPr>
            </w:pPr>
          </w:p>
        </w:tc>
        <w:tc>
          <w:tcPr>
            <w:tcW w:w="1559"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241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w:t>
            </w:r>
          </w:p>
        </w:tc>
        <w:tc>
          <w:tcPr>
            <w:tcW w:w="992"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sz w:val="18"/>
                <w:szCs w:val="18"/>
                <w:lang w:bidi="ar"/>
              </w:rPr>
              <w:t>-</w:t>
            </w:r>
          </w:p>
        </w:tc>
      </w:tr>
    </w:tbl>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（1）存在的问题、原因及潜在风险</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本期暂无问题及潜在风险。</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（2）建议措施及后期需关注事项</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1）建议措施</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2）后期需关注事项</w:t>
      </w:r>
    </w:p>
    <w:p>
      <w:pPr>
        <w:spacing w:line="480" w:lineRule="auto"/>
        <w:ind w:firstLine="420" w:firstLineChars="200"/>
        <w:jc w:val="both"/>
        <w:rPr>
          <w:rFonts w:hint="eastAsia" w:asciiTheme="minorEastAsia" w:hAnsiTheme="minorEastAsia" w:eastAsiaTheme="minorEastAsia" w:cstheme="minorEastAsia"/>
          <w:sz w:val="21"/>
          <w:szCs w:val="21"/>
          <w:lang w:eastAsia="zh-Hans" w:bidi="ar"/>
        </w:rPr>
      </w:pPr>
      <w:r>
        <w:rPr>
          <w:rFonts w:hint="eastAsia" w:asciiTheme="minorEastAsia" w:hAnsiTheme="minorEastAsia" w:eastAsiaTheme="minorEastAsia" w:cstheme="minorEastAsia"/>
          <w:bCs/>
          <w:sz w:val="21"/>
          <w:szCs w:val="21"/>
        </w:rPr>
        <w:t>本期暂无。</w:t>
      </w:r>
    </w:p>
    <w:p>
      <w:pPr>
        <w:pStyle w:val="2"/>
        <w:spacing w:line="480" w:lineRule="auto"/>
        <w:ind w:firstLine="0" w:firstLineChars="0"/>
        <w:outlineLvl w:val="0"/>
        <w:rPr>
          <w:rFonts w:hint="eastAsia" w:asciiTheme="minorEastAsia" w:hAnsiTheme="minorEastAsia" w:eastAsiaTheme="minorEastAsia" w:cstheme="minorEastAsia"/>
          <w:b/>
        </w:rPr>
      </w:pPr>
      <w:bookmarkStart w:id="6" w:name="_Toc64970469"/>
      <w:r>
        <w:rPr>
          <w:rFonts w:hint="eastAsia" w:asciiTheme="minorEastAsia" w:hAnsiTheme="minorEastAsia" w:eastAsiaTheme="minorEastAsia" w:cstheme="minorEastAsia"/>
          <w:b/>
        </w:rPr>
        <w:t>五、项目销售情况统计</w:t>
      </w:r>
      <w:bookmarkEnd w:id="6"/>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表五：</w:t>
      </w:r>
      <w:r>
        <w:rPr>
          <w:rFonts w:hint="eastAsia" w:asciiTheme="minorEastAsia" w:hAnsiTheme="minorEastAsia" w:eastAsiaTheme="minorEastAsia" w:cstheme="minorEastAsia"/>
          <w:bCs/>
          <w:sz w:val="18"/>
          <w:szCs w:val="18"/>
        </w:rPr>
        <w:t>项目销售情况</w:t>
      </w:r>
    </w:p>
    <w:tbl>
      <w:tblPr>
        <w:tblStyle w:val="24"/>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1"/>
        <w:gridCol w:w="857"/>
        <w:gridCol w:w="980"/>
        <w:gridCol w:w="1060"/>
        <w:gridCol w:w="1120"/>
        <w:gridCol w:w="820"/>
        <w:gridCol w:w="1160"/>
        <w:gridCol w:w="1260"/>
        <w:gridCol w:w="780"/>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47" w:type="dxa"/>
            <w:vMerge w:val="restart"/>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序号</w:t>
            </w:r>
          </w:p>
        </w:tc>
        <w:tc>
          <w:tcPr>
            <w:tcW w:w="851" w:type="dxa"/>
            <w:vMerge w:val="restart"/>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项目</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业态</w:t>
            </w:r>
          </w:p>
        </w:tc>
        <w:tc>
          <w:tcPr>
            <w:tcW w:w="857" w:type="dxa"/>
            <w:vMerge w:val="restart"/>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可售面积/套（万平米）</w:t>
            </w:r>
          </w:p>
        </w:tc>
        <w:tc>
          <w:tcPr>
            <w:tcW w:w="980" w:type="dxa"/>
            <w:vMerge w:val="restart"/>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已售面积/套（万平米）</w:t>
            </w:r>
          </w:p>
        </w:tc>
        <w:tc>
          <w:tcPr>
            <w:tcW w:w="3000" w:type="dxa"/>
            <w:gridSpan w:val="3"/>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累计销售情况</w:t>
            </w:r>
          </w:p>
        </w:tc>
        <w:tc>
          <w:tcPr>
            <w:tcW w:w="3200" w:type="dxa"/>
            <w:gridSpan w:val="3"/>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本月销售情况</w:t>
            </w:r>
          </w:p>
        </w:tc>
        <w:tc>
          <w:tcPr>
            <w:tcW w:w="620" w:type="dxa"/>
            <w:vMerge w:val="restart"/>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8" w:hRule="atLeast"/>
          <w:jc w:val="center"/>
        </w:trPr>
        <w:tc>
          <w:tcPr>
            <w:tcW w:w="447" w:type="dxa"/>
            <w:vMerge w:val="continue"/>
            <w:vAlign w:val="center"/>
          </w:tcPr>
          <w:p>
            <w:pPr>
              <w:jc w:val="center"/>
              <w:textAlignment w:val="center"/>
              <w:rPr>
                <w:rFonts w:hint="eastAsia" w:asciiTheme="minorEastAsia" w:hAnsiTheme="minorEastAsia" w:eastAsiaTheme="minorEastAsia" w:cstheme="minorEastAsia"/>
                <w:b/>
                <w:bCs/>
                <w:sz w:val="18"/>
                <w:szCs w:val="18"/>
                <w:lang w:bidi="ar"/>
              </w:rPr>
            </w:pPr>
          </w:p>
        </w:tc>
        <w:tc>
          <w:tcPr>
            <w:tcW w:w="851" w:type="dxa"/>
            <w:vMerge w:val="continue"/>
            <w:vAlign w:val="center"/>
          </w:tcPr>
          <w:p>
            <w:pPr>
              <w:jc w:val="center"/>
              <w:textAlignment w:val="center"/>
              <w:rPr>
                <w:rFonts w:hint="eastAsia" w:asciiTheme="minorEastAsia" w:hAnsiTheme="minorEastAsia" w:eastAsiaTheme="minorEastAsia" w:cstheme="minorEastAsia"/>
                <w:b/>
                <w:bCs/>
                <w:sz w:val="18"/>
                <w:szCs w:val="18"/>
                <w:lang w:bidi="ar"/>
              </w:rPr>
            </w:pPr>
          </w:p>
        </w:tc>
        <w:tc>
          <w:tcPr>
            <w:tcW w:w="857" w:type="dxa"/>
            <w:vMerge w:val="continue"/>
            <w:vAlign w:val="center"/>
          </w:tcPr>
          <w:p>
            <w:pPr>
              <w:jc w:val="center"/>
              <w:textAlignment w:val="center"/>
              <w:rPr>
                <w:rFonts w:hint="eastAsia" w:asciiTheme="minorEastAsia" w:hAnsiTheme="minorEastAsia" w:eastAsiaTheme="minorEastAsia" w:cstheme="minorEastAsia"/>
                <w:b/>
                <w:bCs/>
                <w:sz w:val="18"/>
                <w:szCs w:val="18"/>
                <w:lang w:bidi="ar"/>
              </w:rPr>
            </w:pPr>
          </w:p>
        </w:tc>
        <w:tc>
          <w:tcPr>
            <w:tcW w:w="980" w:type="dxa"/>
            <w:vMerge w:val="continue"/>
            <w:vAlign w:val="center"/>
          </w:tcPr>
          <w:p>
            <w:pPr>
              <w:jc w:val="center"/>
              <w:textAlignment w:val="center"/>
              <w:rPr>
                <w:rFonts w:hint="eastAsia" w:asciiTheme="minorEastAsia" w:hAnsiTheme="minorEastAsia" w:eastAsiaTheme="minorEastAsia" w:cstheme="minorEastAsia"/>
                <w:b/>
                <w:bCs/>
                <w:sz w:val="18"/>
                <w:szCs w:val="18"/>
                <w:lang w:bidi="ar"/>
              </w:rPr>
            </w:pPr>
          </w:p>
        </w:tc>
        <w:tc>
          <w:tcPr>
            <w:tcW w:w="1060" w:type="dxa"/>
            <w:vAlign w:val="center"/>
          </w:tcPr>
          <w:p>
            <w:pPr>
              <w:widowControl w:val="0"/>
              <w:spacing w:line="360" w:lineRule="auto"/>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已签约金额（亿元）</w:t>
            </w:r>
          </w:p>
        </w:tc>
        <w:tc>
          <w:tcPr>
            <w:tcW w:w="1120" w:type="dxa"/>
            <w:vAlign w:val="center"/>
          </w:tcPr>
          <w:p>
            <w:pPr>
              <w:widowControl w:val="0"/>
              <w:spacing w:line="360" w:lineRule="auto"/>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回款金额</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（亿元）</w:t>
            </w:r>
          </w:p>
        </w:tc>
        <w:tc>
          <w:tcPr>
            <w:tcW w:w="820" w:type="dxa"/>
            <w:vAlign w:val="center"/>
          </w:tcPr>
          <w:p>
            <w:pPr>
              <w:widowControl w:val="0"/>
              <w:spacing w:line="360" w:lineRule="auto"/>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去化率</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(100%)</w:t>
            </w:r>
          </w:p>
        </w:tc>
        <w:tc>
          <w:tcPr>
            <w:tcW w:w="1160" w:type="dxa"/>
            <w:vAlign w:val="center"/>
          </w:tcPr>
          <w:p>
            <w:pPr>
              <w:widowControl w:val="0"/>
              <w:spacing w:line="360" w:lineRule="auto"/>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已签约金额</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（亿元）</w:t>
            </w:r>
          </w:p>
        </w:tc>
        <w:tc>
          <w:tcPr>
            <w:tcW w:w="126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回款金额</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（亿元）</w:t>
            </w:r>
          </w:p>
        </w:tc>
        <w:tc>
          <w:tcPr>
            <w:tcW w:w="78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较上</w:t>
            </w:r>
          </w:p>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b/>
                <w:bCs/>
                <w:sz w:val="18"/>
                <w:szCs w:val="18"/>
                <w:lang w:bidi="ar"/>
              </w:rPr>
              <w:t>月比</w:t>
            </w:r>
          </w:p>
        </w:tc>
        <w:tc>
          <w:tcPr>
            <w:tcW w:w="620" w:type="dxa"/>
            <w:vMerge w:val="continue"/>
            <w:vAlign w:val="center"/>
          </w:tcPr>
          <w:p>
            <w:pPr>
              <w:jc w:val="center"/>
              <w:textAlignment w:val="center"/>
              <w:rPr>
                <w:rFonts w:hint="eastAsia" w:asciiTheme="minorEastAsia" w:hAnsiTheme="minorEastAsia" w:eastAsiaTheme="minorEastAsia" w:cs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47" w:type="dxa"/>
            <w:vAlign w:val="center"/>
          </w:tcPr>
          <w:p>
            <w:pPr>
              <w:jc w:val="center"/>
              <w:textAlignment w:val="center"/>
              <w:rPr>
                <w:rFonts w:hint="eastAsia" w:asciiTheme="minorEastAsia" w:hAnsiTheme="minorEastAsia" w:eastAsiaTheme="minorEastAsia" w:cstheme="minorEastAsia"/>
                <w:sz w:val="18"/>
                <w:szCs w:val="18"/>
                <w:lang w:bidi="ar"/>
              </w:rPr>
            </w:pPr>
          </w:p>
        </w:tc>
        <w:tc>
          <w:tcPr>
            <w:tcW w:w="851"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857"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8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06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12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82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16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126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78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62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47"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p>
        </w:tc>
        <w:tc>
          <w:tcPr>
            <w:tcW w:w="851"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合计</w:t>
            </w:r>
          </w:p>
        </w:tc>
        <w:tc>
          <w:tcPr>
            <w:tcW w:w="857" w:type="dxa"/>
            <w:vAlign w:val="center"/>
          </w:tcPr>
          <w:p>
            <w:pPr>
              <w:jc w:val="center"/>
              <w:textAlignment w:val="center"/>
              <w:rPr>
                <w:rFonts w:hint="eastAsia" w:asciiTheme="minorEastAsia" w:hAnsiTheme="minorEastAsia" w:eastAsiaTheme="minorEastAsia" w:cstheme="minorEastAsia"/>
                <w:sz w:val="18"/>
                <w:szCs w:val="18"/>
                <w:highlight w:val="red"/>
                <w:lang w:bidi="ar"/>
              </w:rPr>
            </w:pPr>
          </w:p>
        </w:tc>
        <w:tc>
          <w:tcPr>
            <w:tcW w:w="980" w:type="dxa"/>
            <w:vAlign w:val="center"/>
          </w:tcPr>
          <w:p>
            <w:pPr>
              <w:jc w:val="center"/>
              <w:textAlignment w:val="center"/>
              <w:rPr>
                <w:rFonts w:hint="eastAsia" w:asciiTheme="minorEastAsia" w:hAnsiTheme="minorEastAsia" w:eastAsiaTheme="minorEastAsia" w:cstheme="minorEastAsia"/>
                <w:sz w:val="18"/>
                <w:szCs w:val="18"/>
                <w:highlight w:val="red"/>
                <w:lang w:bidi="ar"/>
              </w:rPr>
            </w:pPr>
          </w:p>
        </w:tc>
        <w:tc>
          <w:tcPr>
            <w:tcW w:w="1060" w:type="dxa"/>
            <w:vAlign w:val="center"/>
          </w:tcPr>
          <w:p>
            <w:pPr>
              <w:jc w:val="center"/>
              <w:textAlignment w:val="center"/>
              <w:rPr>
                <w:rFonts w:hint="eastAsia" w:asciiTheme="minorEastAsia" w:hAnsiTheme="minorEastAsia" w:eastAsiaTheme="minorEastAsia" w:cstheme="minorEastAsia"/>
                <w:sz w:val="18"/>
                <w:szCs w:val="18"/>
                <w:highlight w:val="red"/>
                <w:lang w:eastAsia="zh-Hans" w:bidi="ar"/>
              </w:rPr>
            </w:pPr>
          </w:p>
        </w:tc>
        <w:tc>
          <w:tcPr>
            <w:tcW w:w="1120" w:type="dxa"/>
            <w:vAlign w:val="center"/>
          </w:tcPr>
          <w:p>
            <w:pPr>
              <w:jc w:val="center"/>
              <w:textAlignment w:val="center"/>
              <w:rPr>
                <w:rFonts w:hint="eastAsia" w:asciiTheme="minorEastAsia" w:hAnsiTheme="minorEastAsia" w:eastAsiaTheme="minorEastAsia" w:cstheme="minorEastAsia"/>
                <w:sz w:val="18"/>
                <w:szCs w:val="18"/>
                <w:highlight w:val="red"/>
                <w:lang w:bidi="ar"/>
              </w:rPr>
            </w:pPr>
          </w:p>
        </w:tc>
        <w:tc>
          <w:tcPr>
            <w:tcW w:w="820" w:type="dxa"/>
            <w:vAlign w:val="center"/>
          </w:tcPr>
          <w:p>
            <w:pPr>
              <w:jc w:val="center"/>
              <w:textAlignment w:val="center"/>
              <w:rPr>
                <w:rFonts w:hint="eastAsia" w:asciiTheme="minorEastAsia" w:hAnsiTheme="minorEastAsia" w:eastAsiaTheme="minorEastAsia" w:cstheme="minorEastAsia"/>
                <w:sz w:val="18"/>
                <w:szCs w:val="18"/>
                <w:highlight w:val="red"/>
                <w:lang w:bidi="ar"/>
              </w:rPr>
            </w:pPr>
          </w:p>
        </w:tc>
        <w:tc>
          <w:tcPr>
            <w:tcW w:w="1160" w:type="dxa"/>
            <w:vAlign w:val="center"/>
          </w:tcPr>
          <w:p>
            <w:pPr>
              <w:jc w:val="center"/>
              <w:textAlignment w:val="center"/>
              <w:rPr>
                <w:rFonts w:hint="eastAsia" w:asciiTheme="minorEastAsia" w:hAnsiTheme="minorEastAsia" w:eastAsiaTheme="minorEastAsia" w:cstheme="minorEastAsia"/>
                <w:sz w:val="18"/>
                <w:szCs w:val="18"/>
                <w:highlight w:val="red"/>
                <w:lang w:bidi="ar"/>
              </w:rPr>
            </w:pPr>
          </w:p>
        </w:tc>
        <w:tc>
          <w:tcPr>
            <w:tcW w:w="1260" w:type="dxa"/>
            <w:vAlign w:val="center"/>
          </w:tcPr>
          <w:p>
            <w:pPr>
              <w:jc w:val="center"/>
              <w:textAlignment w:val="center"/>
              <w:rPr>
                <w:rFonts w:hint="eastAsia" w:asciiTheme="minorEastAsia" w:hAnsiTheme="minorEastAsia" w:eastAsiaTheme="minorEastAsia" w:cstheme="minorEastAsia"/>
                <w:sz w:val="18"/>
                <w:szCs w:val="18"/>
                <w:highlight w:val="red"/>
                <w:lang w:bidi="ar"/>
              </w:rPr>
            </w:pPr>
          </w:p>
        </w:tc>
        <w:tc>
          <w:tcPr>
            <w:tcW w:w="780" w:type="dxa"/>
            <w:vAlign w:val="center"/>
          </w:tcPr>
          <w:p>
            <w:pPr>
              <w:jc w:val="center"/>
              <w:textAlignment w:val="center"/>
              <w:rPr>
                <w:rFonts w:hint="eastAsia" w:asciiTheme="minorEastAsia" w:hAnsiTheme="minorEastAsia" w:eastAsiaTheme="minorEastAsia" w:cstheme="minorEastAsia"/>
                <w:sz w:val="18"/>
                <w:szCs w:val="18"/>
              </w:rPr>
            </w:pPr>
          </w:p>
        </w:tc>
        <w:tc>
          <w:tcPr>
            <w:tcW w:w="620" w:type="dxa"/>
            <w:vAlign w:val="center"/>
          </w:tcPr>
          <w:p>
            <w:pPr>
              <w:jc w:val="center"/>
              <w:textAlignment w:val="center"/>
              <w:rPr>
                <w:rFonts w:hint="eastAsia" w:asciiTheme="minorEastAsia" w:hAnsiTheme="minorEastAsia" w:eastAsiaTheme="minorEastAsia" w:cstheme="minorEastAsia"/>
                <w:sz w:val="18"/>
                <w:szCs w:val="18"/>
                <w:lang w:bidi="ar"/>
              </w:rPr>
            </w:pPr>
          </w:p>
        </w:tc>
      </w:tr>
    </w:tbl>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本期暂不涉及。</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（1）存在的问题、原因及潜在风险</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本期暂无问题及潜在风险。</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（2）建议措施及后期需关注事项</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1）建议措施</w:t>
      </w:r>
    </w:p>
    <w:p>
      <w:pPr>
        <w:spacing w:line="480" w:lineRule="auto"/>
        <w:ind w:firstLine="420" w:firstLineChars="200"/>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lang w:eastAsia="zh-Hans"/>
        </w:rPr>
        <w:t>本期暂无。</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2）后期需关注事项</w:t>
      </w:r>
    </w:p>
    <w:p>
      <w:pPr>
        <w:spacing w:line="480" w:lineRule="auto"/>
        <w:ind w:firstLine="420" w:firstLineChars="200"/>
        <w:jc w:val="both"/>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本期暂无。</w:t>
      </w:r>
    </w:p>
    <w:p>
      <w:pPr>
        <w:pStyle w:val="2"/>
        <w:ind w:firstLine="210"/>
        <w:rPr>
          <w:rFonts w:hint="eastAsia" w:asciiTheme="minorEastAsia" w:hAnsiTheme="minorEastAsia" w:eastAsiaTheme="minorEastAsia" w:cstheme="minorEastAsia"/>
          <w:lang w:bidi="ar"/>
        </w:rPr>
      </w:pPr>
    </w:p>
    <w:p>
      <w:pPr>
        <w:pStyle w:val="2"/>
        <w:spacing w:line="480" w:lineRule="auto"/>
        <w:ind w:firstLine="0" w:firstLineChars="0"/>
        <w:outlineLvl w:val="0"/>
        <w:rPr>
          <w:rFonts w:hint="eastAsia" w:asciiTheme="minorEastAsia" w:hAnsiTheme="minorEastAsia" w:eastAsiaTheme="minorEastAsia" w:cstheme="minorEastAsia"/>
          <w:b/>
        </w:rPr>
      </w:pPr>
      <w:bookmarkStart w:id="7" w:name="_Toc64970470"/>
      <w:r>
        <w:rPr>
          <w:rFonts w:hint="eastAsia" w:asciiTheme="minorEastAsia" w:hAnsiTheme="minorEastAsia" w:eastAsiaTheme="minorEastAsia" w:cstheme="minorEastAsia"/>
          <w:b/>
        </w:rPr>
        <w:t>六、项目银行账户情况</w:t>
      </w:r>
      <w:bookmarkEnd w:id="7"/>
    </w:p>
    <w:p>
      <w:pPr>
        <w:spacing w:line="480" w:lineRule="auto"/>
        <w:ind w:firstLine="420" w:firstLineChars="200"/>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21"/>
          <w:szCs w:val="21"/>
        </w:rPr>
        <w:t>截至2021年2月1日,项目公司各账户余额共计：</w:t>
      </w:r>
      <w:r>
        <w:rPr>
          <w:rFonts w:hint="eastAsia" w:asciiTheme="minorEastAsia" w:hAnsiTheme="minorEastAsia" w:eastAsiaTheme="minorEastAsia" w:cstheme="minorEastAsia"/>
          <w:sz w:val="21"/>
          <w:szCs w:val="21"/>
        </w:rPr>
        <w:t>139,605.44</w:t>
      </w:r>
      <w:r>
        <w:rPr>
          <w:rFonts w:hint="eastAsia" w:asciiTheme="minorEastAsia" w:hAnsiTheme="minorEastAsia" w:eastAsiaTheme="minorEastAsia" w:cstheme="minorEastAsia"/>
          <w:bCs/>
          <w:sz w:val="21"/>
          <w:szCs w:val="21"/>
        </w:rPr>
        <w:t>元</w:t>
      </w:r>
      <w:r>
        <w:rPr>
          <w:rFonts w:hint="eastAsia" w:asciiTheme="minorEastAsia" w:hAnsiTheme="minorEastAsia" w:eastAsiaTheme="minorEastAsia" w:cstheme="minorEastAsia"/>
          <w:bCs/>
          <w:sz w:val="21"/>
          <w:szCs w:val="21"/>
          <w:lang w:eastAsia="zh-Hans"/>
        </w:rPr>
        <w:t>。</w:t>
      </w:r>
      <w:r>
        <w:rPr>
          <w:rFonts w:hint="eastAsia" w:asciiTheme="minorEastAsia" w:hAnsiTheme="minorEastAsia" w:eastAsiaTheme="minorEastAsia" w:cstheme="minorEastAsia"/>
          <w:bCs/>
          <w:sz w:val="21"/>
          <w:szCs w:val="21"/>
        </w:rPr>
        <w:t>各账户信息如下:</w:t>
      </w:r>
    </w:p>
    <w:p>
      <w:pPr>
        <w:ind w:firstLine="3060" w:firstLineChars="1700"/>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sz w:val="18"/>
          <w:szCs w:val="18"/>
        </w:rPr>
        <w:t>表六：</w:t>
      </w:r>
      <w:r>
        <w:rPr>
          <w:rFonts w:hint="eastAsia" w:asciiTheme="minorEastAsia" w:hAnsiTheme="minorEastAsia" w:eastAsiaTheme="minorEastAsia" w:cstheme="minorEastAsia"/>
          <w:bCs/>
          <w:sz w:val="18"/>
          <w:szCs w:val="18"/>
        </w:rPr>
        <w:t>银行账户基本情况</w:t>
      </w:r>
    </w:p>
    <w:tbl>
      <w:tblPr>
        <w:tblStyle w:val="24"/>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22"/>
        <w:gridCol w:w="1225"/>
        <w:gridCol w:w="1418"/>
        <w:gridCol w:w="1405"/>
        <w:gridCol w:w="1426"/>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1222" w:type="dxa"/>
            <w:shd w:val="clear" w:color="000000" w:fill="auto"/>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银行名称</w:t>
            </w:r>
          </w:p>
        </w:tc>
        <w:tc>
          <w:tcPr>
            <w:tcW w:w="1225" w:type="dxa"/>
            <w:shd w:val="clear" w:color="000000" w:fill="auto"/>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账户性质</w:t>
            </w:r>
          </w:p>
        </w:tc>
        <w:tc>
          <w:tcPr>
            <w:tcW w:w="1418" w:type="dxa"/>
            <w:shd w:val="clear" w:color="000000" w:fill="auto"/>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是否监管</w:t>
            </w:r>
          </w:p>
        </w:tc>
        <w:tc>
          <w:tcPr>
            <w:tcW w:w="1405" w:type="dxa"/>
            <w:shd w:val="clear" w:color="000000" w:fill="auto"/>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是否开通网银</w:t>
            </w:r>
          </w:p>
        </w:tc>
        <w:tc>
          <w:tcPr>
            <w:tcW w:w="1426" w:type="dxa"/>
            <w:shd w:val="clear" w:color="000000" w:fill="auto"/>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本期余额（元）</w:t>
            </w:r>
          </w:p>
        </w:tc>
        <w:tc>
          <w:tcPr>
            <w:tcW w:w="1624" w:type="dxa"/>
            <w:shd w:val="clear" w:color="000000" w:fill="auto"/>
            <w:noWrap/>
            <w:vAlign w:val="center"/>
          </w:tcPr>
          <w:p>
            <w:pPr>
              <w:jc w:val="center"/>
              <w:textAlignment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1"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222" w:type="dxa"/>
            <w:shd w:val="clear" w:color="000000" w:fill="auto"/>
            <w:vAlign w:val="center"/>
          </w:tcPr>
          <w:p>
            <w:pPr>
              <w:widowControl w:val="0"/>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中国建设银行开发区支行</w:t>
            </w:r>
          </w:p>
        </w:tc>
        <w:tc>
          <w:tcPr>
            <w:tcW w:w="122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32050174453600001702</w:t>
            </w:r>
          </w:p>
        </w:tc>
        <w:tc>
          <w:tcPr>
            <w:tcW w:w="1418"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第三方监管</w:t>
            </w:r>
          </w:p>
        </w:tc>
        <w:tc>
          <w:tcPr>
            <w:tcW w:w="140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1426"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129,805.44</w:t>
            </w:r>
          </w:p>
        </w:tc>
        <w:tc>
          <w:tcPr>
            <w:tcW w:w="1624" w:type="dxa"/>
            <w:shd w:val="clear" w:color="000000" w:fill="auto"/>
            <w:noWrap/>
            <w:vAlign w:val="center"/>
          </w:tcPr>
          <w:p>
            <w:pPr>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222" w:type="dxa"/>
            <w:vMerge w:val="restart"/>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江苏银行京杭支行</w:t>
            </w:r>
          </w:p>
        </w:tc>
        <w:tc>
          <w:tcPr>
            <w:tcW w:w="122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90110188000148685</w:t>
            </w:r>
          </w:p>
        </w:tc>
        <w:tc>
          <w:tcPr>
            <w:tcW w:w="1418" w:type="dxa"/>
            <w:shd w:val="clear" w:color="000000" w:fill="auto"/>
            <w:vAlign w:val="center"/>
          </w:tcPr>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18"/>
                <w:szCs w:val="18"/>
              </w:rPr>
              <w:t>第三方监管</w:t>
            </w:r>
          </w:p>
        </w:tc>
        <w:tc>
          <w:tcPr>
            <w:tcW w:w="140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1426"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9,800</w:t>
            </w:r>
          </w:p>
        </w:tc>
        <w:tc>
          <w:tcPr>
            <w:tcW w:w="1624" w:type="dxa"/>
            <w:shd w:val="clear" w:color="000000" w:fill="auto"/>
            <w:noWrap/>
            <w:vAlign w:val="center"/>
          </w:tcPr>
          <w:p>
            <w:pPr>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222" w:type="dxa"/>
            <w:vMerge w:val="continue"/>
            <w:shd w:val="clear" w:color="000000" w:fill="auto"/>
            <w:vAlign w:val="center"/>
          </w:tcPr>
          <w:p>
            <w:pPr>
              <w:jc w:val="center"/>
              <w:rPr>
                <w:rFonts w:hint="eastAsia" w:asciiTheme="minorEastAsia" w:hAnsiTheme="minorEastAsia" w:eastAsiaTheme="minorEastAsia" w:cstheme="minorEastAsia"/>
                <w:sz w:val="18"/>
                <w:szCs w:val="18"/>
              </w:rPr>
            </w:pPr>
          </w:p>
        </w:tc>
        <w:tc>
          <w:tcPr>
            <w:tcW w:w="122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90110188000148767</w:t>
            </w:r>
          </w:p>
        </w:tc>
        <w:tc>
          <w:tcPr>
            <w:tcW w:w="1418"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第三方监管</w:t>
            </w:r>
          </w:p>
        </w:tc>
        <w:tc>
          <w:tcPr>
            <w:tcW w:w="140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1426"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24" w:type="dxa"/>
            <w:shd w:val="clear" w:color="000000" w:fill="auto"/>
            <w:noWrap/>
            <w:vAlign w:val="center"/>
          </w:tcPr>
          <w:p>
            <w:pPr>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222" w:type="dxa"/>
            <w:vMerge w:val="continue"/>
            <w:shd w:val="clear" w:color="000000" w:fill="auto"/>
            <w:vAlign w:val="center"/>
          </w:tcPr>
          <w:p>
            <w:pPr>
              <w:jc w:val="center"/>
              <w:rPr>
                <w:rFonts w:hint="eastAsia" w:asciiTheme="minorEastAsia" w:hAnsiTheme="minorEastAsia" w:eastAsiaTheme="minorEastAsia" w:cstheme="minorEastAsia"/>
                <w:sz w:val="18"/>
                <w:szCs w:val="18"/>
              </w:rPr>
            </w:pPr>
          </w:p>
        </w:tc>
        <w:tc>
          <w:tcPr>
            <w:tcW w:w="122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90110188000150334</w:t>
            </w:r>
          </w:p>
        </w:tc>
        <w:tc>
          <w:tcPr>
            <w:tcW w:w="1418"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第三方监管、预售资金监管</w:t>
            </w:r>
          </w:p>
        </w:tc>
        <w:tc>
          <w:tcPr>
            <w:tcW w:w="140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1426"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24" w:type="dxa"/>
            <w:shd w:val="clear" w:color="000000" w:fill="auto"/>
            <w:noWrap/>
            <w:vAlign w:val="center"/>
          </w:tcPr>
          <w:p>
            <w:pPr>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222" w:type="dxa"/>
            <w:shd w:val="clear" w:color="000000" w:fill="auto"/>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中国银行扬州国贸支行</w:t>
            </w:r>
          </w:p>
        </w:tc>
        <w:tc>
          <w:tcPr>
            <w:tcW w:w="122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513175656508</w:t>
            </w:r>
          </w:p>
        </w:tc>
        <w:tc>
          <w:tcPr>
            <w:tcW w:w="1418"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第三方监管</w:t>
            </w:r>
          </w:p>
        </w:tc>
        <w:tc>
          <w:tcPr>
            <w:tcW w:w="140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1426"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24" w:type="dxa"/>
            <w:shd w:val="clear" w:color="000000" w:fill="auto"/>
            <w:noWrap/>
            <w:vAlign w:val="center"/>
          </w:tcPr>
          <w:p>
            <w:pPr>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71"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1222" w:type="dxa"/>
            <w:shd w:val="clear" w:color="000000" w:fill="auto"/>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中国邮政储蓄银行邗江支行</w:t>
            </w:r>
          </w:p>
        </w:tc>
        <w:tc>
          <w:tcPr>
            <w:tcW w:w="122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932007010101956667</w:t>
            </w:r>
          </w:p>
        </w:tc>
        <w:tc>
          <w:tcPr>
            <w:tcW w:w="1418"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第三方监管</w:t>
            </w:r>
          </w:p>
        </w:tc>
        <w:tc>
          <w:tcPr>
            <w:tcW w:w="1405"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w:t>
            </w:r>
          </w:p>
        </w:tc>
        <w:tc>
          <w:tcPr>
            <w:tcW w:w="1426"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24" w:type="dxa"/>
            <w:shd w:val="clear" w:color="000000" w:fill="auto"/>
            <w:noWrap/>
            <w:vAlign w:val="center"/>
          </w:tcPr>
          <w:p>
            <w:pPr>
              <w:jc w:val="center"/>
              <w:rPr>
                <w:rFonts w:hint="eastAsia" w:asciiTheme="minorEastAsia" w:hAnsiTheme="minorEastAsia" w:eastAsiaTheme="minorEastAsia" w:cstheme="minorEastAsia"/>
                <w:sz w:val="18"/>
                <w:szCs w:val="18"/>
              </w:rPr>
            </w:pPr>
          </w:p>
        </w:tc>
      </w:tr>
    </w:tbl>
    <w:p>
      <w:pPr>
        <w:rPr>
          <w:rFonts w:hint="eastAsia" w:asciiTheme="minorEastAsia" w:hAnsiTheme="minorEastAsia" w:eastAsiaTheme="minorEastAsia" w:cstheme="minorEastAsia"/>
          <w:bCs/>
          <w:sz w:val="18"/>
          <w:szCs w:val="18"/>
        </w:rPr>
      </w:pPr>
    </w:p>
    <w:p>
      <w:pPr>
        <w:pStyle w:val="2"/>
        <w:spacing w:line="480" w:lineRule="auto"/>
        <w:ind w:firstLine="0" w:firstLineChars="0"/>
        <w:outlineLvl w:val="0"/>
        <w:rPr>
          <w:rFonts w:hint="eastAsia" w:asciiTheme="minorEastAsia" w:hAnsiTheme="minorEastAsia" w:eastAsiaTheme="minorEastAsia" w:cstheme="minorEastAsia"/>
          <w:b/>
        </w:rPr>
      </w:pPr>
      <w:bookmarkStart w:id="8" w:name="_Toc64970471"/>
      <w:r>
        <w:rPr>
          <w:rFonts w:hint="eastAsia" w:asciiTheme="minorEastAsia" w:hAnsiTheme="minorEastAsia" w:eastAsiaTheme="minorEastAsia" w:cstheme="minorEastAsia"/>
          <w:b/>
        </w:rPr>
        <w:t>七、银行账户支出情况</w:t>
      </w:r>
      <w:bookmarkEnd w:id="8"/>
    </w:p>
    <w:p>
      <w:pPr>
        <w:spacing w:line="480" w:lineRule="auto"/>
        <w:jc w:val="center"/>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表七：银行账户用款情况</w:t>
      </w:r>
    </w:p>
    <w:tbl>
      <w:tblPr>
        <w:tblStyle w:val="24"/>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372"/>
        <w:gridCol w:w="2309"/>
        <w:gridCol w:w="1715"/>
        <w:gridCol w:w="171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jc w:val="center"/>
        </w:trPr>
        <w:tc>
          <w:tcPr>
            <w:tcW w:w="866" w:type="dxa"/>
            <w:shd w:val="clear" w:color="auto" w:fill="auto"/>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序号</w:t>
            </w:r>
          </w:p>
        </w:tc>
        <w:tc>
          <w:tcPr>
            <w:tcW w:w="1372" w:type="dxa"/>
            <w:shd w:val="clear" w:color="auto" w:fill="auto"/>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款项名细</w:t>
            </w:r>
          </w:p>
        </w:tc>
        <w:tc>
          <w:tcPr>
            <w:tcW w:w="2309" w:type="dxa"/>
            <w:shd w:val="clear" w:color="auto" w:fill="auto"/>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对方单位</w:t>
            </w:r>
          </w:p>
        </w:tc>
        <w:tc>
          <w:tcPr>
            <w:tcW w:w="1715" w:type="dxa"/>
            <w:shd w:val="clear" w:color="auto" w:fill="auto"/>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支出金额（元）</w:t>
            </w:r>
          </w:p>
        </w:tc>
        <w:tc>
          <w:tcPr>
            <w:tcW w:w="1713" w:type="dxa"/>
            <w:shd w:val="clear" w:color="auto" w:fill="auto"/>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支出日期</w:t>
            </w:r>
          </w:p>
        </w:tc>
        <w:tc>
          <w:tcPr>
            <w:tcW w:w="1116"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出款行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报销款</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董小凯等</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55,319.29</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2020/12/31</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咨询费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江苏金星光律师事务所</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 xml:space="preserve">30,000.00 </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2020/12/31</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设计费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扬州首创图文有限公司</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47,533.00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2020/12/31</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lang w:eastAsia="zh-Hans" w:bidi="ar"/>
              </w:rPr>
              <w:t>施工电费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国网江苏省电力有限公司电费收缴资金过渡户</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40,475.98</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2021/</w:t>
            </w:r>
            <w:r>
              <w:rPr>
                <w:rFonts w:hint="eastAsia" w:asciiTheme="minorEastAsia" w:hAnsiTheme="minorEastAsia" w:eastAsiaTheme="minorEastAsia" w:cstheme="minorEastAsia"/>
                <w:sz w:val="18"/>
                <w:szCs w:val="18"/>
                <w:lang w:eastAsia="zh-Hans" w:bidi="ar"/>
              </w:rPr>
              <w:t>1</w:t>
            </w:r>
            <w:r>
              <w:rPr>
                <w:rFonts w:hint="eastAsia" w:asciiTheme="minorEastAsia" w:hAnsiTheme="minorEastAsia" w:eastAsiaTheme="minorEastAsia" w:cstheme="minorEastAsia"/>
                <w:sz w:val="18"/>
                <w:szCs w:val="18"/>
                <w:lang w:bidi="ar"/>
              </w:rPr>
              <w:t>/</w:t>
            </w:r>
            <w:r>
              <w:rPr>
                <w:rFonts w:hint="eastAsia" w:asciiTheme="minorEastAsia" w:hAnsiTheme="minorEastAsia" w:eastAsiaTheme="minorEastAsia" w:cstheme="minorEastAsia"/>
                <w:sz w:val="18"/>
                <w:szCs w:val="18"/>
                <w:lang w:eastAsia="zh-Hans" w:bidi="ar"/>
              </w:rPr>
              <w:t>4</w:t>
            </w:r>
            <w:r>
              <w:rPr>
                <w:rFonts w:hint="eastAsia" w:asciiTheme="minorEastAsia" w:hAnsiTheme="minorEastAsia" w:eastAsiaTheme="minorEastAsia" w:cstheme="minorEastAsia"/>
                <w:sz w:val="18"/>
                <w:szCs w:val="18"/>
                <w:lang w:bidi="ar"/>
              </w:rPr>
              <w:t xml:space="preserve"> </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lang w:eastAsia="zh-Hans" w:bidi="ar"/>
              </w:rPr>
              <w:t>施工电费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国网江苏省电力有限公司电费收缴资金过渡户</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34,194.80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2021/</w:t>
            </w:r>
            <w:r>
              <w:rPr>
                <w:rFonts w:hint="eastAsia" w:asciiTheme="minorEastAsia" w:hAnsiTheme="minorEastAsia" w:eastAsiaTheme="minorEastAsia" w:cstheme="minorEastAsia"/>
                <w:sz w:val="18"/>
                <w:szCs w:val="18"/>
                <w:lang w:eastAsia="zh-Hans" w:bidi="ar"/>
              </w:rPr>
              <w:t>1</w:t>
            </w:r>
            <w:r>
              <w:rPr>
                <w:rFonts w:hint="eastAsia" w:asciiTheme="minorEastAsia" w:hAnsiTheme="minorEastAsia" w:eastAsiaTheme="minorEastAsia" w:cstheme="minorEastAsia"/>
                <w:sz w:val="18"/>
                <w:szCs w:val="18"/>
                <w:lang w:bidi="ar"/>
              </w:rPr>
              <w:t>/</w:t>
            </w:r>
            <w:r>
              <w:rPr>
                <w:rFonts w:hint="eastAsia" w:asciiTheme="minorEastAsia" w:hAnsiTheme="minorEastAsia" w:eastAsiaTheme="minorEastAsia" w:cstheme="minorEastAsia"/>
                <w:sz w:val="18"/>
                <w:szCs w:val="18"/>
                <w:lang w:eastAsia="zh-Hans" w:bidi="ar"/>
              </w:rPr>
              <w:t>4</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lang w:eastAsia="zh-Hans" w:bidi="ar"/>
              </w:rPr>
              <w:t>施工水费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江苏长江水务股份有限公司</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11,400.00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2021/</w:t>
            </w:r>
            <w:r>
              <w:rPr>
                <w:rFonts w:hint="eastAsia" w:asciiTheme="minorEastAsia" w:hAnsiTheme="minorEastAsia" w:eastAsiaTheme="minorEastAsia" w:cstheme="minorEastAsia"/>
                <w:sz w:val="18"/>
                <w:szCs w:val="18"/>
                <w:lang w:eastAsia="zh-Hans" w:bidi="ar"/>
              </w:rPr>
              <w:t>1</w:t>
            </w:r>
            <w:r>
              <w:rPr>
                <w:rFonts w:hint="eastAsia" w:asciiTheme="minorEastAsia" w:hAnsiTheme="minorEastAsia" w:eastAsiaTheme="minorEastAsia" w:cstheme="minorEastAsia"/>
                <w:sz w:val="18"/>
                <w:szCs w:val="18"/>
                <w:lang w:bidi="ar"/>
              </w:rPr>
              <w:t>/5</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lang w:eastAsia="zh-Hans" w:bidi="ar"/>
              </w:rPr>
              <w:t>备用金</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项卫东</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 xml:space="preserve"> 15,000.00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2021/</w:t>
            </w:r>
            <w:r>
              <w:rPr>
                <w:rFonts w:hint="eastAsia" w:asciiTheme="minorEastAsia" w:hAnsiTheme="minorEastAsia" w:eastAsiaTheme="minorEastAsia" w:cstheme="minorEastAsia"/>
                <w:sz w:val="18"/>
                <w:szCs w:val="18"/>
                <w:lang w:eastAsia="zh-Hans" w:bidi="ar"/>
              </w:rPr>
              <w:t>1</w:t>
            </w:r>
            <w:r>
              <w:rPr>
                <w:rFonts w:hint="eastAsia" w:asciiTheme="minorEastAsia" w:hAnsiTheme="minorEastAsia" w:eastAsiaTheme="minorEastAsia" w:cstheme="minorEastAsia"/>
                <w:sz w:val="18"/>
                <w:szCs w:val="18"/>
                <w:lang w:bidi="ar"/>
              </w:rPr>
              <w:t>/</w:t>
            </w:r>
            <w:r>
              <w:rPr>
                <w:rFonts w:hint="eastAsia" w:asciiTheme="minorEastAsia" w:hAnsiTheme="minorEastAsia" w:eastAsiaTheme="minorEastAsia" w:cstheme="minorEastAsia"/>
                <w:sz w:val="18"/>
                <w:szCs w:val="18"/>
                <w:lang w:eastAsia="zh-Hans" w:bidi="ar"/>
              </w:rPr>
              <w:t>6</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rPr>
              <w:t>测绘费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扬州市房地产测绘中心</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30,774.59</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2021/1/8</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维修资金</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扬州市区物业管理工作领导小组办公室</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281,433.52</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2021/1/8</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备用金</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许青、孙旭艳</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40,000.00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2021/1/8</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报销款</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于伟、李明</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3318.00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2021/1/8</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油卡存储</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中国石化销售股份有限公司江苏扬州石油分公司</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2021/1/11</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转账手续费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建设银行</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497.20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2021/1/14</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印花税</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待报解预算收入（财库联网集中户）</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2021/1/18</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城镇土地使用税</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待报解预算收入（财库联网集中户）</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106,709.00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2021/1/18</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16</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物业费（前介费，承接查验费，开办费）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扬州城市房产发展集团有限公司</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908,059.50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2021/1/19</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17</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物业招投标履约保证金</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扬州城市房产发展集团有限公司</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648,224.10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2021/1/19</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18</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水费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江苏长江水务股份有限公司</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19,950.00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2021/1/22</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19</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员工备用金</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张鸿远/张冬</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40,000.00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2021/1/25</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银行手续费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建设银行</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454.00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2021/1/26</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21</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询证函手续费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江苏银行</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200.00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2021/1/26</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江苏银行京杭支行（8685户）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866"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22</w:t>
            </w:r>
          </w:p>
        </w:tc>
        <w:tc>
          <w:tcPr>
            <w:tcW w:w="1372"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施工图审查费</w:t>
            </w:r>
          </w:p>
        </w:tc>
        <w:tc>
          <w:tcPr>
            <w:tcW w:w="2309"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扬州市建设工程施工图设计审查中心</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15,509.52</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2021/1/27</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4547" w:type="dxa"/>
            <w:gridSpan w:val="3"/>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合计</w:t>
            </w:r>
          </w:p>
        </w:tc>
        <w:tc>
          <w:tcPr>
            <w:tcW w:w="1715" w:type="dxa"/>
            <w:shd w:val="clear" w:color="000000" w:fill="auto"/>
            <w:vAlign w:val="center"/>
          </w:tcPr>
          <w:p>
            <w:pPr>
              <w:jc w:val="right"/>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2,339,052.50</w:t>
            </w:r>
          </w:p>
        </w:tc>
        <w:tc>
          <w:tcPr>
            <w:tcW w:w="1713" w:type="dxa"/>
            <w:shd w:val="clear" w:color="000000" w:fill="auto"/>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116" w:type="dxa"/>
            <w:shd w:val="clear" w:color="000000" w:fill="auto"/>
            <w:vAlign w:val="center"/>
          </w:tcPr>
          <w:p>
            <w:pPr>
              <w:widowControl w:val="0"/>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bl>
    <w:p>
      <w:pPr>
        <w:pStyle w:val="2"/>
        <w:ind w:firstLine="0" w:firstLineChars="0"/>
        <w:rPr>
          <w:rFonts w:hint="eastAsia" w:asciiTheme="minorEastAsia" w:hAnsiTheme="minorEastAsia" w:eastAsiaTheme="minorEastAsia" w:cstheme="minorEastAsia"/>
        </w:rPr>
      </w:pPr>
    </w:p>
    <w:p>
      <w:pPr>
        <w:pStyle w:val="2"/>
        <w:spacing w:line="480" w:lineRule="auto"/>
        <w:ind w:firstLine="0" w:firstLineChars="0"/>
        <w:outlineLvl w:val="0"/>
        <w:rPr>
          <w:rFonts w:hint="eastAsia" w:asciiTheme="minorEastAsia" w:hAnsiTheme="minorEastAsia" w:eastAsiaTheme="minorEastAsia" w:cstheme="minorEastAsia"/>
          <w:b/>
        </w:rPr>
      </w:pPr>
      <w:bookmarkStart w:id="9" w:name="_Toc64970472"/>
      <w:r>
        <w:rPr>
          <w:rFonts w:hint="eastAsia" w:asciiTheme="minorEastAsia" w:hAnsiTheme="minorEastAsia" w:eastAsiaTheme="minorEastAsia" w:cstheme="minorEastAsia"/>
          <w:b/>
        </w:rPr>
        <w:t>八、银行账户流入情况</w:t>
      </w:r>
      <w:bookmarkEnd w:id="9"/>
    </w:p>
    <w:p>
      <w:pPr>
        <w:pStyle w:val="2"/>
        <w:ind w:firstLine="18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表八：银行入账情况明细表</w:t>
      </w:r>
    </w:p>
    <w:tbl>
      <w:tblPr>
        <w:tblStyle w:val="24"/>
        <w:tblW w:w="9135" w:type="dxa"/>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877"/>
        <w:gridCol w:w="1327"/>
        <w:gridCol w:w="1981"/>
        <w:gridCol w:w="1596"/>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blHeader/>
        </w:trPr>
        <w:tc>
          <w:tcPr>
            <w:tcW w:w="750" w:type="dxa"/>
            <w:shd w:val="clear" w:color="auto" w:fill="FFFFFF" w:themeFill="background1"/>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序号</w:t>
            </w:r>
          </w:p>
        </w:tc>
        <w:tc>
          <w:tcPr>
            <w:tcW w:w="1877" w:type="dxa"/>
            <w:shd w:val="clear" w:color="auto" w:fill="FFFFFF" w:themeFill="background1"/>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日期</w:t>
            </w:r>
          </w:p>
        </w:tc>
        <w:tc>
          <w:tcPr>
            <w:tcW w:w="1327" w:type="dxa"/>
            <w:shd w:val="clear" w:color="auto" w:fill="FFFFFF" w:themeFill="background1"/>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款项类型</w:t>
            </w:r>
          </w:p>
        </w:tc>
        <w:tc>
          <w:tcPr>
            <w:tcW w:w="1981" w:type="dxa"/>
            <w:shd w:val="clear" w:color="auto" w:fill="FFFFFF" w:themeFill="background1"/>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款项来源</w:t>
            </w:r>
          </w:p>
        </w:tc>
        <w:tc>
          <w:tcPr>
            <w:tcW w:w="1596" w:type="dxa"/>
            <w:shd w:val="clear" w:color="auto" w:fill="FFFFFF" w:themeFill="background1"/>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金额（元）</w:t>
            </w:r>
          </w:p>
        </w:tc>
        <w:tc>
          <w:tcPr>
            <w:tcW w:w="1604" w:type="dxa"/>
            <w:shd w:val="clear" w:color="auto" w:fill="FFFFFF" w:themeFill="background1"/>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750"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87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2020/12/30</w:t>
            </w:r>
          </w:p>
        </w:tc>
        <w:tc>
          <w:tcPr>
            <w:tcW w:w="132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往来款</w:t>
            </w:r>
          </w:p>
        </w:tc>
        <w:tc>
          <w:tcPr>
            <w:tcW w:w="1981"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扬州港源置业管理有限公司</w:t>
            </w:r>
          </w:p>
        </w:tc>
        <w:tc>
          <w:tcPr>
            <w:tcW w:w="1596" w:type="dxa"/>
            <w:shd w:val="clear" w:color="auto" w:fill="FFFFFF" w:themeFill="background1"/>
            <w:vAlign w:val="center"/>
          </w:tcPr>
          <w:p>
            <w:pPr>
              <w:jc w:val="right"/>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100,000.00</w:t>
            </w:r>
          </w:p>
        </w:tc>
        <w:tc>
          <w:tcPr>
            <w:tcW w:w="1604"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750"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87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2021/1/4</w:t>
            </w:r>
          </w:p>
        </w:tc>
        <w:tc>
          <w:tcPr>
            <w:tcW w:w="132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往来款</w:t>
            </w:r>
          </w:p>
        </w:tc>
        <w:tc>
          <w:tcPr>
            <w:tcW w:w="1981"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扬州港源置业管理有限公司</w:t>
            </w:r>
          </w:p>
        </w:tc>
        <w:tc>
          <w:tcPr>
            <w:tcW w:w="1596" w:type="dxa"/>
            <w:shd w:val="clear" w:color="auto" w:fill="FFFFFF" w:themeFill="background1"/>
            <w:vAlign w:val="center"/>
          </w:tcPr>
          <w:p>
            <w:pPr>
              <w:jc w:val="right"/>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6,000,000.00</w:t>
            </w:r>
          </w:p>
        </w:tc>
        <w:tc>
          <w:tcPr>
            <w:tcW w:w="1604"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750"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87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2021/1/4</w:t>
            </w:r>
          </w:p>
        </w:tc>
        <w:tc>
          <w:tcPr>
            <w:tcW w:w="132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往来款</w:t>
            </w:r>
          </w:p>
        </w:tc>
        <w:tc>
          <w:tcPr>
            <w:tcW w:w="1981"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宁港佳源投资咨询集团有限公司</w:t>
            </w:r>
          </w:p>
        </w:tc>
        <w:tc>
          <w:tcPr>
            <w:tcW w:w="1596" w:type="dxa"/>
            <w:shd w:val="clear" w:color="auto" w:fill="FFFFFF" w:themeFill="background1"/>
            <w:vAlign w:val="center"/>
          </w:tcPr>
          <w:p>
            <w:pPr>
              <w:jc w:val="right"/>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28,000,000.00</w:t>
            </w:r>
          </w:p>
        </w:tc>
        <w:tc>
          <w:tcPr>
            <w:tcW w:w="1604"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750"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4</w:t>
            </w:r>
          </w:p>
        </w:tc>
        <w:tc>
          <w:tcPr>
            <w:tcW w:w="187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2021/1/4</w:t>
            </w:r>
          </w:p>
        </w:tc>
        <w:tc>
          <w:tcPr>
            <w:tcW w:w="132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往来款</w:t>
            </w:r>
          </w:p>
        </w:tc>
        <w:tc>
          <w:tcPr>
            <w:tcW w:w="1981"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扬州港源置业管理有限公司</w:t>
            </w:r>
          </w:p>
        </w:tc>
        <w:tc>
          <w:tcPr>
            <w:tcW w:w="1596" w:type="dxa"/>
            <w:shd w:val="clear" w:color="auto" w:fill="FFFFFF" w:themeFill="background1"/>
            <w:vAlign w:val="center"/>
          </w:tcPr>
          <w:p>
            <w:pPr>
              <w:jc w:val="right"/>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1,300,000.00</w:t>
            </w:r>
          </w:p>
        </w:tc>
        <w:tc>
          <w:tcPr>
            <w:tcW w:w="1604"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750"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w:t>
            </w:r>
          </w:p>
        </w:tc>
        <w:tc>
          <w:tcPr>
            <w:tcW w:w="187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2021/1/19</w:t>
            </w:r>
          </w:p>
        </w:tc>
        <w:tc>
          <w:tcPr>
            <w:tcW w:w="1327"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往来款</w:t>
            </w:r>
          </w:p>
        </w:tc>
        <w:tc>
          <w:tcPr>
            <w:tcW w:w="1981"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扬州港源置业管理有限公司</w:t>
            </w:r>
          </w:p>
        </w:tc>
        <w:tc>
          <w:tcPr>
            <w:tcW w:w="1596" w:type="dxa"/>
            <w:shd w:val="clear" w:color="auto" w:fill="FFFFFF" w:themeFill="background1"/>
            <w:vAlign w:val="center"/>
          </w:tcPr>
          <w:p>
            <w:pPr>
              <w:jc w:val="right"/>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1,000,000.00</w:t>
            </w:r>
          </w:p>
        </w:tc>
        <w:tc>
          <w:tcPr>
            <w:tcW w:w="1604"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建行开发区支行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5935" w:type="dxa"/>
            <w:gridSpan w:val="4"/>
            <w:shd w:val="clear" w:color="auto" w:fill="FFFFFF" w:themeFill="background1"/>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合计</w:t>
            </w:r>
          </w:p>
        </w:tc>
        <w:tc>
          <w:tcPr>
            <w:tcW w:w="1596" w:type="dxa"/>
            <w:shd w:val="clear" w:color="auto" w:fill="FFFFFF" w:themeFill="background1"/>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36,400,000.00</w:t>
            </w:r>
          </w:p>
        </w:tc>
        <w:tc>
          <w:tcPr>
            <w:tcW w:w="1604" w:type="dxa"/>
            <w:shd w:val="clear" w:color="auto" w:fill="FFFFFF" w:themeFill="background1"/>
            <w:vAlign w:val="center"/>
          </w:tcPr>
          <w:p>
            <w:pPr>
              <w:jc w:val="center"/>
              <w:rPr>
                <w:rFonts w:hint="eastAsia" w:asciiTheme="minorEastAsia" w:hAnsiTheme="minorEastAsia" w:eastAsiaTheme="minorEastAsia" w:cstheme="minorEastAsia"/>
                <w:sz w:val="18"/>
                <w:szCs w:val="18"/>
                <w:lang w:bidi="ar"/>
              </w:rPr>
            </w:pPr>
          </w:p>
        </w:tc>
      </w:tr>
    </w:tbl>
    <w:p>
      <w:pPr>
        <w:pStyle w:val="2"/>
        <w:spacing w:line="480" w:lineRule="auto"/>
        <w:ind w:firstLine="0" w:firstLineChars="0"/>
        <w:outlineLvl w:val="0"/>
        <w:rPr>
          <w:rFonts w:hint="eastAsia" w:asciiTheme="minorEastAsia" w:hAnsiTheme="minorEastAsia" w:eastAsiaTheme="minorEastAsia" w:cstheme="minorEastAsia"/>
          <w:b/>
        </w:rPr>
      </w:pPr>
      <w:bookmarkStart w:id="10" w:name="_Toc64970473"/>
      <w:r>
        <w:rPr>
          <w:rFonts w:hint="eastAsia" w:asciiTheme="minorEastAsia" w:hAnsiTheme="minorEastAsia" w:eastAsiaTheme="minorEastAsia" w:cstheme="minorEastAsia"/>
          <w:b/>
        </w:rPr>
        <w:t>九、项目周边竞品情况</w:t>
      </w:r>
      <w:bookmarkEnd w:id="10"/>
    </w:p>
    <w:p>
      <w:pPr>
        <w:spacing w:line="360" w:lineRule="auto"/>
        <w:ind w:firstLine="3060" w:firstLineChars="1700"/>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sz w:val="18"/>
          <w:szCs w:val="18"/>
        </w:rPr>
        <w:t>表九：</w:t>
      </w:r>
      <w:r>
        <w:rPr>
          <w:rFonts w:hint="eastAsia" w:asciiTheme="minorEastAsia" w:hAnsiTheme="minorEastAsia" w:eastAsiaTheme="minorEastAsia" w:cstheme="minorEastAsia"/>
          <w:bCs/>
          <w:sz w:val="18"/>
          <w:szCs w:val="18"/>
        </w:rPr>
        <w:t>项目周边竞品情况</w:t>
      </w:r>
    </w:p>
    <w:tbl>
      <w:tblPr>
        <w:tblStyle w:val="24"/>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475"/>
        <w:gridCol w:w="1425"/>
        <w:gridCol w:w="1100"/>
        <w:gridCol w:w="1275"/>
        <w:gridCol w:w="1050"/>
        <w:gridCol w:w="97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tblHeader/>
          <w:jc w:val="center"/>
        </w:trPr>
        <w:tc>
          <w:tcPr>
            <w:tcW w:w="634"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序号</w:t>
            </w:r>
          </w:p>
        </w:tc>
        <w:tc>
          <w:tcPr>
            <w:tcW w:w="1475"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名称</w:t>
            </w:r>
          </w:p>
        </w:tc>
        <w:tc>
          <w:tcPr>
            <w:tcW w:w="1425"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业态</w:t>
            </w:r>
          </w:p>
        </w:tc>
        <w:tc>
          <w:tcPr>
            <w:tcW w:w="110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是否为直接竞品</w:t>
            </w:r>
          </w:p>
        </w:tc>
        <w:tc>
          <w:tcPr>
            <w:tcW w:w="1275"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已推出房源</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（套）</w:t>
            </w:r>
          </w:p>
        </w:tc>
        <w:tc>
          <w:tcPr>
            <w:tcW w:w="1050"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已售房源</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（套）</w:t>
            </w:r>
          </w:p>
        </w:tc>
        <w:tc>
          <w:tcPr>
            <w:tcW w:w="975"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eastAsia="zh-Hans" w:bidi="ar"/>
              </w:rPr>
              <w:t>本期去化套数</w:t>
            </w:r>
          </w:p>
        </w:tc>
        <w:tc>
          <w:tcPr>
            <w:tcW w:w="1234" w:type="dxa"/>
            <w:vAlign w:val="center"/>
          </w:tcPr>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销售单价</w:t>
            </w:r>
          </w:p>
          <w:p>
            <w:pPr>
              <w:jc w:val="center"/>
              <w:textAlignment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（元/平米）</w:t>
            </w:r>
          </w:p>
        </w:tc>
      </w:tr>
      <w:tr>
        <w:trPr>
          <w:trHeight w:val="505" w:hRule="atLeast"/>
          <w:jc w:val="center"/>
        </w:trPr>
        <w:tc>
          <w:tcPr>
            <w:tcW w:w="634"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w:t>
            </w:r>
          </w:p>
        </w:tc>
        <w:tc>
          <w:tcPr>
            <w:tcW w:w="14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万科四季都会</w:t>
            </w:r>
          </w:p>
        </w:tc>
        <w:tc>
          <w:tcPr>
            <w:tcW w:w="142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高层</w:t>
            </w:r>
          </w:p>
        </w:tc>
        <w:tc>
          <w:tcPr>
            <w:tcW w:w="110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是</w:t>
            </w:r>
          </w:p>
        </w:tc>
        <w:tc>
          <w:tcPr>
            <w:tcW w:w="12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1452</w:t>
            </w:r>
          </w:p>
        </w:tc>
        <w:tc>
          <w:tcPr>
            <w:tcW w:w="1050" w:type="dxa"/>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75"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155</w:t>
            </w:r>
          </w:p>
        </w:tc>
        <w:tc>
          <w:tcPr>
            <w:tcW w:w="1234"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18,860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34"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2</w:t>
            </w:r>
          </w:p>
        </w:tc>
        <w:tc>
          <w:tcPr>
            <w:tcW w:w="14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新能源·云潮望</w:t>
            </w:r>
          </w:p>
        </w:tc>
        <w:tc>
          <w:tcPr>
            <w:tcW w:w="142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高层</w:t>
            </w:r>
          </w:p>
        </w:tc>
        <w:tc>
          <w:tcPr>
            <w:tcW w:w="110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是</w:t>
            </w:r>
          </w:p>
        </w:tc>
        <w:tc>
          <w:tcPr>
            <w:tcW w:w="12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579</w:t>
            </w:r>
          </w:p>
        </w:tc>
        <w:tc>
          <w:tcPr>
            <w:tcW w:w="1050" w:type="dxa"/>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75"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101</w:t>
            </w:r>
          </w:p>
        </w:tc>
        <w:tc>
          <w:tcPr>
            <w:tcW w:w="1234"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19,990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634"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w:t>
            </w:r>
          </w:p>
        </w:tc>
        <w:tc>
          <w:tcPr>
            <w:tcW w:w="14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绿地健康城</w:t>
            </w:r>
          </w:p>
        </w:tc>
        <w:tc>
          <w:tcPr>
            <w:tcW w:w="142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高层、洋房、叠加、联排</w:t>
            </w:r>
          </w:p>
        </w:tc>
        <w:tc>
          <w:tcPr>
            <w:tcW w:w="110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否</w:t>
            </w:r>
          </w:p>
        </w:tc>
        <w:tc>
          <w:tcPr>
            <w:tcW w:w="12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1484</w:t>
            </w:r>
          </w:p>
        </w:tc>
        <w:tc>
          <w:tcPr>
            <w:tcW w:w="1050" w:type="dxa"/>
            <w:vAlign w:val="center"/>
          </w:tcPr>
          <w:p>
            <w:pPr>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75"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98</w:t>
            </w:r>
          </w:p>
        </w:tc>
        <w:tc>
          <w:tcPr>
            <w:tcW w:w="1234"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634"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p>
        </w:tc>
        <w:tc>
          <w:tcPr>
            <w:tcW w:w="1475" w:type="dxa"/>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合计</w:t>
            </w:r>
          </w:p>
        </w:tc>
        <w:tc>
          <w:tcPr>
            <w:tcW w:w="1425" w:type="dxa"/>
            <w:vAlign w:val="center"/>
          </w:tcPr>
          <w:p>
            <w:pPr>
              <w:jc w:val="center"/>
              <w:textAlignment w:val="center"/>
              <w:rPr>
                <w:rFonts w:hint="eastAsia" w:asciiTheme="minorEastAsia" w:hAnsiTheme="minorEastAsia" w:eastAsiaTheme="minorEastAsia" w:cstheme="minorEastAsia"/>
                <w:sz w:val="18"/>
                <w:szCs w:val="18"/>
                <w:lang w:bidi="ar"/>
              </w:rPr>
            </w:pPr>
          </w:p>
        </w:tc>
        <w:tc>
          <w:tcPr>
            <w:tcW w:w="1100" w:type="dxa"/>
            <w:vAlign w:val="center"/>
          </w:tcPr>
          <w:p>
            <w:pPr>
              <w:jc w:val="center"/>
              <w:textAlignment w:val="center"/>
              <w:rPr>
                <w:rFonts w:hint="eastAsia" w:asciiTheme="minorEastAsia" w:hAnsiTheme="minorEastAsia" w:eastAsiaTheme="minorEastAsia" w:cstheme="minorEastAsia"/>
                <w:sz w:val="18"/>
                <w:szCs w:val="18"/>
                <w:lang w:bidi="ar"/>
              </w:rPr>
            </w:pPr>
          </w:p>
        </w:tc>
        <w:tc>
          <w:tcPr>
            <w:tcW w:w="12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3515</w:t>
            </w:r>
          </w:p>
        </w:tc>
        <w:tc>
          <w:tcPr>
            <w:tcW w:w="1050"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c>
          <w:tcPr>
            <w:tcW w:w="975"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354</w:t>
            </w:r>
          </w:p>
        </w:tc>
        <w:tc>
          <w:tcPr>
            <w:tcW w:w="1234" w:type="dxa"/>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w:t>
            </w:r>
          </w:p>
        </w:tc>
      </w:tr>
    </w:tbl>
    <w:p>
      <w:pPr>
        <w:spacing w:line="360" w:lineRule="auto"/>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sz w:val="18"/>
          <w:szCs w:val="18"/>
        </w:rPr>
        <w:t>注：数据来自扬州市房地产信息网。</w:t>
      </w:r>
    </w:p>
    <w:p>
      <w:pPr>
        <w:pStyle w:val="2"/>
        <w:spacing w:after="0" w:line="480" w:lineRule="auto"/>
        <w:ind w:firstLine="420" w:firstLineChars="200"/>
        <w:rPr>
          <w:rFonts w:hint="eastAsia" w:asciiTheme="minorEastAsia" w:hAnsiTheme="minorEastAsia" w:eastAsiaTheme="minorEastAsia" w:cstheme="minorEastAsia"/>
          <w:b/>
          <w:color w:val="000000" w:themeColor="text1"/>
          <w:kern w:val="0"/>
          <w:szCs w:val="21"/>
          <w:lang w:bidi="ar"/>
          <w14:textFill>
            <w14:solidFill>
              <w14:schemeClr w14:val="tx1"/>
            </w14:solidFill>
          </w14:textFill>
        </w:rPr>
      </w:pPr>
      <w:r>
        <w:rPr>
          <w:rFonts w:hint="eastAsia" w:asciiTheme="minorEastAsia" w:hAnsiTheme="minorEastAsia" w:eastAsiaTheme="minorEastAsia" w:cstheme="minorEastAsia"/>
          <w:b/>
          <w:kern w:val="0"/>
          <w:szCs w:val="21"/>
          <w:lang w:bidi="ar"/>
        </w:rPr>
        <w:t>1</w:t>
      </w:r>
      <w:r>
        <w:rPr>
          <w:rFonts w:hint="eastAsia" w:asciiTheme="minorEastAsia" w:hAnsiTheme="minorEastAsia" w:eastAsiaTheme="minorEastAsia" w:cstheme="minorEastAsia"/>
          <w:b/>
          <w:color w:val="000000" w:themeColor="text1"/>
          <w:kern w:val="0"/>
          <w:szCs w:val="21"/>
          <w:lang w:bidi="ar"/>
          <w14:textFill>
            <w14:solidFill>
              <w14:schemeClr w14:val="tx1"/>
            </w14:solidFill>
          </w14:textFill>
        </w:rPr>
        <w:t>.客群情况分析</w:t>
      </w:r>
    </w:p>
    <w:p>
      <w:pPr>
        <w:pStyle w:val="2"/>
        <w:spacing w:line="480" w:lineRule="auto"/>
        <w:ind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color w:val="000000" w:themeColor="text1"/>
          <w:kern w:val="0"/>
          <w:szCs w:val="21"/>
          <w14:textFill>
            <w14:solidFill>
              <w14:schemeClr w14:val="tx1"/>
            </w14:solidFill>
          </w14:textFill>
        </w:rPr>
        <w:t>本期暂无涉及。</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2.政策分析</w:t>
      </w:r>
    </w:p>
    <w:p>
      <w:pPr>
        <w:pStyle w:val="2"/>
        <w:spacing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（1）预售政策：</w:t>
      </w:r>
    </w:p>
    <w:p>
      <w:pPr>
        <w:pStyle w:val="2"/>
        <w:spacing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按拟办理预售的商品房计算，投入开发建设的资金达到工程建设总投资的25％以上。</w:t>
      </w:r>
    </w:p>
    <w:p>
      <w:pPr>
        <w:pStyle w:val="2"/>
        <w:spacing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（2）限购限售政策：</w:t>
      </w:r>
    </w:p>
    <w:p>
      <w:pPr>
        <w:pStyle w:val="2"/>
        <w:spacing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在市区范围内拥有第三套及以上住房的居民家庭，不得再次认购新建商品住房。</w:t>
      </w:r>
    </w:p>
    <w:p>
      <w:pPr>
        <w:pStyle w:val="2"/>
        <w:spacing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在市区范围内户籍居民家庭拥有第二套住房及以上、非市区范围内户籍居民家庭拥有第一套住房及以上的，自取得《房屋所有权证》或《不动产权证书》起，未满3年不得上市交易，以房产证(或不动产证)上的日期为准。</w:t>
      </w:r>
    </w:p>
    <w:p>
      <w:pPr>
        <w:pStyle w:val="2"/>
        <w:spacing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（3）限价政策：</w:t>
      </w:r>
    </w:p>
    <w:p>
      <w:pPr>
        <w:pStyle w:val="2"/>
        <w:spacing w:after="0"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限价商品住房用于中等偏下收入住房困难家庭保障、棚改居民安置及符合市政府相关规定享有保障资格的其他人群保障。中等偏下收入住房困难家庭，是指市区范围内人均可支配收入低于统计部门公布的上年度城镇居民人均可支配收入的80%，且人均住房建筑面积低于20平方米的家庭。</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3.同业态售房成交量分析</w:t>
      </w:r>
    </w:p>
    <w:p>
      <w:pPr>
        <w:pStyle w:val="2"/>
        <w:spacing w:after="0"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本区域地块销售状况较好，同区域有三个楼盘名列市区预售销售排行榜前十。</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4.土地成交量分析</w:t>
      </w:r>
    </w:p>
    <w:p>
      <w:pPr>
        <w:pStyle w:val="2"/>
        <w:spacing w:after="0"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本月</w:t>
      </w:r>
      <w:r>
        <w:rPr>
          <w:rFonts w:hint="eastAsia" w:asciiTheme="minorEastAsia" w:hAnsiTheme="minorEastAsia" w:eastAsiaTheme="minorEastAsia" w:cstheme="minorEastAsia"/>
          <w:bCs/>
          <w:kern w:val="0"/>
          <w:szCs w:val="21"/>
          <w:lang w:eastAsia="zh-Hans"/>
        </w:rPr>
        <w:t>项目所在区域</w:t>
      </w:r>
      <w:r>
        <w:rPr>
          <w:rFonts w:hint="eastAsia" w:asciiTheme="minorEastAsia" w:hAnsiTheme="minorEastAsia" w:eastAsiaTheme="minorEastAsia" w:cstheme="minorEastAsia"/>
          <w:bCs/>
          <w:kern w:val="0"/>
          <w:szCs w:val="21"/>
        </w:rPr>
        <w:t>暂无土地成交记录。</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5.其他</w:t>
      </w:r>
    </w:p>
    <w:p>
      <w:pPr>
        <w:pStyle w:val="2"/>
        <w:spacing w:after="0" w:line="480" w:lineRule="auto"/>
        <w:ind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暂无</w:t>
      </w:r>
    </w:p>
    <w:p>
      <w:pPr>
        <w:pStyle w:val="2"/>
        <w:spacing w:line="480" w:lineRule="auto"/>
        <w:ind w:firstLine="0" w:firstLineChars="0"/>
        <w:outlineLvl w:val="0"/>
        <w:rPr>
          <w:rFonts w:hint="eastAsia" w:asciiTheme="minorEastAsia" w:hAnsiTheme="minorEastAsia" w:eastAsiaTheme="minorEastAsia" w:cstheme="minorEastAsia"/>
          <w:b/>
        </w:rPr>
      </w:pPr>
      <w:bookmarkStart w:id="11" w:name="_Toc64970474"/>
      <w:r>
        <w:rPr>
          <w:rFonts w:hint="eastAsia" w:asciiTheme="minorEastAsia" w:hAnsiTheme="minorEastAsia" w:eastAsiaTheme="minorEastAsia" w:cstheme="minorEastAsia"/>
          <w:b/>
          <w:lang w:eastAsia="zh-Hans"/>
        </w:rPr>
        <w:t>十一、</w:t>
      </w:r>
      <w:r>
        <w:rPr>
          <w:rFonts w:hint="eastAsia" w:asciiTheme="minorEastAsia" w:hAnsiTheme="minorEastAsia" w:eastAsiaTheme="minorEastAsia" w:cstheme="minorEastAsia"/>
          <w:b/>
        </w:rPr>
        <w:t>项目公司资金计划执行情况</w:t>
      </w:r>
      <w:bookmarkEnd w:id="11"/>
    </w:p>
    <w:p>
      <w:pPr>
        <w:pStyle w:val="2"/>
        <w:spacing w:after="0" w:line="480" w:lineRule="auto"/>
        <w:ind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bCs/>
          <w:szCs w:val="21"/>
        </w:rPr>
        <w:t>项目公司递交2021年1月资金计划共计75笔，合计金额14,300.00万元。其中前期费用（含前期工程费）计划支出约2,062.30万元；建筑工程费用计划支出约4,483.81万元；营销费用计划支出约195.63万元；管理费用计划支出约128.75万元；财务费用计划支出约1030.00万元；不可预见性费用计划支出约6,400.00万元。</w:t>
      </w:r>
      <w:r>
        <w:rPr>
          <w:rFonts w:hint="eastAsia" w:asciiTheme="minorEastAsia" w:hAnsiTheme="minorEastAsia" w:eastAsiaTheme="minorEastAsia" w:cstheme="minorEastAsia"/>
          <w:bCs/>
          <w:szCs w:val="21"/>
        </w:rPr>
        <w:t>本月资金计划使用率非常低，可能原因是项目公司打算在五矿信托退场后支付，简化审批流程。</w:t>
      </w:r>
      <w:r>
        <w:rPr>
          <w:rFonts w:hint="eastAsia" w:asciiTheme="minorEastAsia" w:hAnsiTheme="minorEastAsia" w:eastAsiaTheme="minorEastAsia" w:cstheme="minorEastAsia"/>
          <w:bCs/>
          <w:szCs w:val="21"/>
        </w:rPr>
        <w:t>截至2021年1月31日，项目公司2021年1月份资金计划金额与执行情况对比如下表：</w:t>
      </w:r>
    </w:p>
    <w:p>
      <w:pPr>
        <w:pStyle w:val="2"/>
        <w:spacing w:after="0" w:line="480" w:lineRule="auto"/>
        <w:ind w:firstLine="360" w:firstLineChars="20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表十：资金计划执行情况（</w:t>
      </w:r>
      <w:r>
        <w:rPr>
          <w:rFonts w:hint="default" w:asciiTheme="minorEastAsia" w:hAnsiTheme="minorEastAsia" w:eastAsiaTheme="minorEastAsia" w:cstheme="minorEastAsia"/>
          <w:kern w:val="0"/>
          <w:sz w:val="18"/>
          <w:szCs w:val="18"/>
        </w:rPr>
        <w:t>1</w:t>
      </w:r>
      <w:r>
        <w:rPr>
          <w:rFonts w:hint="eastAsia" w:asciiTheme="minorEastAsia" w:hAnsiTheme="minorEastAsia" w:eastAsiaTheme="minorEastAsia" w:cstheme="minorEastAsia"/>
          <w:kern w:val="0"/>
          <w:sz w:val="18"/>
          <w:szCs w:val="18"/>
        </w:rPr>
        <w:t>月）</w:t>
      </w:r>
    </w:p>
    <w:tbl>
      <w:tblPr>
        <w:tblStyle w:val="25"/>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559"/>
        <w:gridCol w:w="1559"/>
        <w:gridCol w:w="1559"/>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44" w:type="dxa"/>
            <w:noWrap/>
            <w:vAlign w:val="center"/>
          </w:tcPr>
          <w:p>
            <w:pPr>
              <w:pStyle w:val="2"/>
              <w:spacing w:after="0"/>
              <w:ind w:firstLine="0" w:firstLineChars="0"/>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项目</w:t>
            </w:r>
          </w:p>
        </w:tc>
        <w:tc>
          <w:tcPr>
            <w:tcW w:w="1559" w:type="dxa"/>
            <w:vAlign w:val="center"/>
          </w:tcPr>
          <w:p>
            <w:pPr>
              <w:pStyle w:val="2"/>
              <w:spacing w:after="0"/>
              <w:ind w:firstLine="0" w:firstLineChars="0"/>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计划支付金额（万元）</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实际支付金额（万元）</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月度资金计划使用率</w:t>
            </w:r>
          </w:p>
        </w:tc>
        <w:tc>
          <w:tcPr>
            <w:tcW w:w="3402" w:type="dxa"/>
            <w:noWrap/>
            <w:vAlign w:val="center"/>
          </w:tcPr>
          <w:p>
            <w:pPr>
              <w:pStyle w:val="2"/>
              <w:spacing w:after="0"/>
              <w:ind w:firstLine="0" w:firstLineChars="0"/>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44" w:type="dxa"/>
            <w:noWrap/>
            <w:vAlign w:val="center"/>
          </w:tcPr>
          <w:p>
            <w:pPr>
              <w:pStyle w:val="2"/>
              <w:spacing w:after="0"/>
              <w:ind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前期费用</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2,062.30</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155.63</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7.55%</w:t>
            </w:r>
          </w:p>
        </w:tc>
        <w:tc>
          <w:tcPr>
            <w:tcW w:w="3402" w:type="dxa"/>
            <w:noWrap/>
            <w:vAlign w:val="center"/>
          </w:tcPr>
          <w:p>
            <w:pPr>
              <w:pStyle w:val="2"/>
              <w:spacing w:after="0"/>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物业费及其保证金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44" w:type="dxa"/>
            <w:noWrap/>
            <w:vAlign w:val="center"/>
          </w:tcPr>
          <w:p>
            <w:pPr>
              <w:pStyle w:val="2"/>
              <w:spacing w:after="0"/>
              <w:ind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建筑工程费</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4,483.81</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3402" w:type="dxa"/>
            <w:noWrap/>
            <w:vAlign w:val="center"/>
          </w:tcPr>
          <w:p>
            <w:pPr>
              <w:pStyle w:val="2"/>
              <w:spacing w:after="0"/>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本期未支付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44" w:type="dxa"/>
            <w:noWrap/>
            <w:vAlign w:val="center"/>
          </w:tcPr>
          <w:p>
            <w:pPr>
              <w:pStyle w:val="2"/>
              <w:spacing w:after="0"/>
              <w:ind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营销费用</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195.63</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3402" w:type="dxa"/>
            <w:noWrap/>
            <w:vAlign w:val="center"/>
          </w:tcPr>
          <w:p>
            <w:pPr>
              <w:pStyle w:val="2"/>
              <w:spacing w:after="0"/>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本期未支付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44" w:type="dxa"/>
            <w:noWrap/>
            <w:vAlign w:val="center"/>
          </w:tcPr>
          <w:p>
            <w:pPr>
              <w:pStyle w:val="2"/>
              <w:spacing w:after="0"/>
              <w:ind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管理费用</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128.75</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20.95</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16.27%</w:t>
            </w:r>
          </w:p>
        </w:tc>
        <w:tc>
          <w:tcPr>
            <w:tcW w:w="3402" w:type="dxa"/>
            <w:noWrap/>
            <w:vAlign w:val="center"/>
          </w:tcPr>
          <w:p>
            <w:pPr>
              <w:pStyle w:val="2"/>
              <w:spacing w:after="0"/>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日常费用报销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844" w:type="dxa"/>
            <w:noWrap/>
            <w:vAlign w:val="center"/>
          </w:tcPr>
          <w:p>
            <w:pPr>
              <w:pStyle w:val="2"/>
              <w:spacing w:after="0"/>
              <w:ind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财务费用</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1,030.00</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1,001.71</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97.25%</w:t>
            </w:r>
          </w:p>
        </w:tc>
        <w:tc>
          <w:tcPr>
            <w:tcW w:w="3402" w:type="dxa"/>
            <w:noWrap/>
            <w:vAlign w:val="center"/>
          </w:tcPr>
          <w:p>
            <w:pPr>
              <w:pStyle w:val="2"/>
              <w:spacing w:after="0"/>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支付五款信托利息1001.71万元，于2021年2月2日支付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1844" w:type="dxa"/>
            <w:noWrap/>
            <w:vAlign w:val="center"/>
          </w:tcPr>
          <w:p>
            <w:pPr>
              <w:pStyle w:val="2"/>
              <w:spacing w:after="0"/>
              <w:ind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不可预见性费用</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6,400.00</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31.22</w:t>
            </w:r>
          </w:p>
        </w:tc>
        <w:tc>
          <w:tcPr>
            <w:tcW w:w="1559" w:type="dxa"/>
            <w:noWrap/>
            <w:vAlign w:val="center"/>
          </w:tcPr>
          <w:p>
            <w:pPr>
              <w:pStyle w:val="2"/>
              <w:spacing w:after="0"/>
              <w:ind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0.49%</w:t>
            </w:r>
          </w:p>
        </w:tc>
        <w:tc>
          <w:tcPr>
            <w:tcW w:w="3402" w:type="dxa"/>
            <w:noWrap/>
            <w:vAlign w:val="center"/>
          </w:tcPr>
          <w:p>
            <w:pPr>
              <w:pStyle w:val="2"/>
              <w:spacing w:after="0"/>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测绘费及维修资金</w:t>
            </w:r>
          </w:p>
        </w:tc>
      </w:tr>
    </w:tbl>
    <w:p>
      <w:pPr>
        <w:pStyle w:val="4"/>
        <w:spacing w:line="480" w:lineRule="auto"/>
        <w:rPr>
          <w:rFonts w:hint="eastAsia" w:asciiTheme="minorEastAsia" w:hAnsiTheme="minorEastAsia" w:eastAsiaTheme="minorEastAsia" w:cstheme="minorEastAsia"/>
          <w:sz w:val="21"/>
          <w:szCs w:val="21"/>
        </w:rPr>
      </w:pPr>
      <w:bookmarkStart w:id="12" w:name="_Toc64970475"/>
      <w:r>
        <w:rPr>
          <w:rFonts w:hint="eastAsia" w:asciiTheme="minorEastAsia" w:hAnsiTheme="minorEastAsia" w:eastAsiaTheme="minorEastAsia" w:cstheme="minorEastAsia"/>
          <w:sz w:val="21"/>
          <w:szCs w:val="21"/>
        </w:rPr>
        <w:t>十二、项目公司用印情况</w:t>
      </w:r>
      <w:bookmarkEnd w:id="12"/>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w:t>
      </w:r>
      <w:r>
        <w:rPr>
          <w:rFonts w:hint="eastAsia" w:asciiTheme="minorEastAsia" w:hAnsiTheme="minorEastAsia" w:eastAsiaTheme="minorEastAsia" w:cstheme="minorEastAsia"/>
          <w:sz w:val="18"/>
          <w:szCs w:val="18"/>
          <w:lang w:eastAsia="zh-Hans"/>
        </w:rPr>
        <w:t>十一</w:t>
      </w:r>
      <w:r>
        <w:rPr>
          <w:rFonts w:hint="eastAsia" w:asciiTheme="minorEastAsia" w:hAnsiTheme="minorEastAsia" w:eastAsiaTheme="minorEastAsia" w:cstheme="minorEastAsia"/>
          <w:sz w:val="18"/>
          <w:szCs w:val="18"/>
        </w:rPr>
        <w:t>：报告期间用印情况</w:t>
      </w:r>
    </w:p>
    <w:tbl>
      <w:tblPr>
        <w:tblStyle w:val="24"/>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24"/>
        <w:gridCol w:w="2777"/>
        <w:gridCol w:w="3798"/>
        <w:gridCol w:w="920"/>
      </w:tblGrid>
      <w:tr>
        <w:trPr>
          <w:tblHeader/>
          <w:jc w:val="center"/>
        </w:trPr>
        <w:tc>
          <w:tcPr>
            <w:tcW w:w="740" w:type="dxa"/>
            <w:vAlign w:val="center"/>
          </w:tcPr>
          <w:p>
            <w:pPr>
              <w:widowControl w:val="0"/>
              <w:jc w:val="cente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t>序号</w:t>
            </w:r>
          </w:p>
        </w:tc>
        <w:tc>
          <w:tcPr>
            <w:tcW w:w="1724" w:type="dxa"/>
            <w:vAlign w:val="center"/>
          </w:tcPr>
          <w:p>
            <w:pPr>
              <w:widowControl w:val="0"/>
              <w:jc w:val="cente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t>用印日期</w:t>
            </w:r>
          </w:p>
        </w:tc>
        <w:tc>
          <w:tcPr>
            <w:tcW w:w="2777" w:type="dxa"/>
            <w:vAlign w:val="center"/>
          </w:tcPr>
          <w:p>
            <w:pPr>
              <w:widowControl w:val="0"/>
              <w:jc w:val="cente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t>用印事由</w:t>
            </w:r>
          </w:p>
        </w:tc>
        <w:tc>
          <w:tcPr>
            <w:tcW w:w="3798" w:type="dxa"/>
            <w:vAlign w:val="center"/>
          </w:tcPr>
          <w:p>
            <w:pPr>
              <w:widowControl w:val="0"/>
              <w:jc w:val="cente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t>用印文件</w:t>
            </w:r>
          </w:p>
        </w:tc>
        <w:tc>
          <w:tcPr>
            <w:tcW w:w="920" w:type="dxa"/>
            <w:vAlign w:val="center"/>
          </w:tcPr>
          <w:p>
            <w:pPr>
              <w:widowControl w:val="0"/>
              <w:jc w:val="cente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lang w:bidi="ar"/>
                <w14:textFill>
                  <w14:solidFill>
                    <w14:schemeClr w14:val="tx1"/>
                  </w14:solidFill>
                </w14:textFill>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740"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w:t>
            </w:r>
          </w:p>
        </w:tc>
        <w:tc>
          <w:tcPr>
            <w:tcW w:w="1724"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2020/12/30</w:t>
            </w:r>
          </w:p>
        </w:tc>
        <w:tc>
          <w:tcPr>
            <w:tcW w:w="2777"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GZ181地块现场查勘（办理施工许可证）资料用印</w:t>
            </w:r>
          </w:p>
        </w:tc>
        <w:tc>
          <w:tcPr>
            <w:tcW w:w="3798"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法人（建设单位）授权书、建设工程开工现场查勘表</w:t>
            </w:r>
          </w:p>
        </w:tc>
        <w:tc>
          <w:tcPr>
            <w:tcW w:w="920" w:type="dxa"/>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w:t>
            </w:r>
          </w:p>
        </w:tc>
        <w:tc>
          <w:tcPr>
            <w:tcW w:w="1724"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2020/12/30</w:t>
            </w:r>
          </w:p>
        </w:tc>
        <w:tc>
          <w:tcPr>
            <w:tcW w:w="2777"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GZ181物价局备案情况说明用印</w:t>
            </w:r>
          </w:p>
        </w:tc>
        <w:tc>
          <w:tcPr>
            <w:tcW w:w="3798"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情况说明</w:t>
            </w:r>
          </w:p>
        </w:tc>
        <w:tc>
          <w:tcPr>
            <w:tcW w:w="920" w:type="dxa"/>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w:t>
            </w:r>
          </w:p>
        </w:tc>
        <w:tc>
          <w:tcPr>
            <w:tcW w:w="1724"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2020/12/30</w:t>
            </w:r>
          </w:p>
        </w:tc>
        <w:tc>
          <w:tcPr>
            <w:tcW w:w="2777"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崇源办理开发贷业务的资料用印</w:t>
            </w:r>
          </w:p>
        </w:tc>
        <w:tc>
          <w:tcPr>
            <w:tcW w:w="3798"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股东会决议、情况说明</w:t>
            </w:r>
          </w:p>
        </w:tc>
        <w:tc>
          <w:tcPr>
            <w:tcW w:w="920" w:type="dxa"/>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w:t>
            </w:r>
          </w:p>
        </w:tc>
        <w:tc>
          <w:tcPr>
            <w:tcW w:w="1724"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2020/12/30</w:t>
            </w:r>
          </w:p>
        </w:tc>
        <w:tc>
          <w:tcPr>
            <w:tcW w:w="2777"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南京康星《借款合同》（走账使用）</w:t>
            </w:r>
          </w:p>
        </w:tc>
        <w:tc>
          <w:tcPr>
            <w:tcW w:w="3798"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借款合同</w:t>
            </w:r>
          </w:p>
        </w:tc>
        <w:tc>
          <w:tcPr>
            <w:tcW w:w="920" w:type="dxa"/>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5</w:t>
            </w:r>
          </w:p>
        </w:tc>
        <w:tc>
          <w:tcPr>
            <w:tcW w:w="1724"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2020/12/30</w:t>
            </w:r>
          </w:p>
        </w:tc>
        <w:tc>
          <w:tcPr>
            <w:tcW w:w="2777"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GZ181地块办理施工合同备案资料用印</w:t>
            </w:r>
          </w:p>
        </w:tc>
        <w:tc>
          <w:tcPr>
            <w:tcW w:w="3798"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A地块三标段备案合同及承诺书</w:t>
            </w:r>
          </w:p>
        </w:tc>
        <w:tc>
          <w:tcPr>
            <w:tcW w:w="920" w:type="dxa"/>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6</w:t>
            </w:r>
          </w:p>
        </w:tc>
        <w:tc>
          <w:tcPr>
            <w:tcW w:w="1724"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2020/12/30</w:t>
            </w:r>
          </w:p>
        </w:tc>
        <w:tc>
          <w:tcPr>
            <w:tcW w:w="2777"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办理施工许可证资料用印</w:t>
            </w:r>
          </w:p>
        </w:tc>
        <w:tc>
          <w:tcPr>
            <w:tcW w:w="3798" w:type="dxa"/>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工程款支付计划书、安全文明施工措施费支付使用合同、承诺函、工程备案合同、建设单位质量终身责任承诺书、法定代表人授权书、资金落实承诺书、建设单位安全生产扬尘治理承诺书</w:t>
            </w:r>
          </w:p>
        </w:tc>
        <w:tc>
          <w:tcPr>
            <w:tcW w:w="920" w:type="dxa"/>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7</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直发包监理备案人员变更用印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GZ181地块A、B（住宅）项目7#-10#、12#-14#楼监理人员备案人员变更</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8</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监理直接发包手续</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合同信息表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9</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直接发包（天凯）审批表用印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直接发包（天凯）审批表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10</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投后监管协议用印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投后监管协议</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监理直发包审批表用印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监理直发包审批表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施工直发包（昌水）审批表用印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施工直发包（昌水）审批表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维修基金申报资料用印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施工许可证复印件、规划许可证复印件、总平图</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办理项目物业招标手续提前开标申请资料用印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提前开标申请</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办理缴纳物业维修资金、公共配套明细表和缴纳详情表用印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配套明细表、缴纳详情表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16</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合同归集用印（北京昌水）</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合同信息表（北京昌水）</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17</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水土保持方案承诺书用印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水土保持方案承诺书</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18</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办理施工许可证资料用印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施工许可阶段申请表、分部分项工程清单</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19</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预售测绘资料用印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测绘委托书、施工许可证复印件、建设工程规划许可证复印件、总平图</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西城印象A区配套用房资料审核用印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配套用房审核表、施工许可证复印件、建设工程鬼狐许可证复印件、总平图</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西城印象社区、养老用房资料审核用印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社区、养老用房初审表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2021/1/6</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合同归集用印（天凯）</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建设工程施工合同信息表（天凯）</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2021/1/6</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办理施工许可证资料用印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分部分项工程清单、施工许可证申请表</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2021/1/6</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办理临时排水备案手续、供水审图回复意见用印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施工排水备案表、临时排水档案、供水审图意见回复、高层住宅供水办理告知函、规划许可证复印件、施工许可证复印件</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2021/1/6</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施工合同归集补盖用印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建设工程施工合同信息表（昌水）</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26</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2021/1/7</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征信报告申办资料用印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授权委托书、身份证复印件、营业执照副本复印件</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27</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农行广陵支行准入资料用印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基础资料法人授权书、企业征信授权书</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28</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民生银行准入资料补充</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资产负债表、利润表、建筑工程施工许可证</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29</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建行、苏行、中行、邮储、工行、浦发、恒丰银行准入资料补充</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建筑工程施工许可证</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30</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配套费申报</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西城配套费用申报表、建筑面积复核技术服务报告</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G2181地块住宅图纸会审</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图纸会审</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2021/1/13</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建行按揭资料</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建行开发区个人住房借款最高额保证合同</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2021/1/13</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建行POS机协议</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建行开发区POS支付结算协议</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2021/1/14</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办理西城印象A区物业托管</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西城印象物业三方托管协议审签单</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邮储开户</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开立账户申请书，单证申购书，印鉴卡，开户理由书，信息采集表，业务授权书，服务协议书，机构身份证，自然人登记表</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36</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物业备案</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西城物业服务托管协议</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37</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2021/1/18</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人防工程质量监督申报手续</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人防工程质量监督申报表申报表、不擅自穿越管线承诺书、落实人防工程平展转换告知书、人防施工图报审表、行政审批书和审查合格书、发包通知书、总包及监理合同（报审用）</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38</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2021/1/18</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验收记录表及扬尘治理</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各方责任主体基本情况表、养成治理承诺书、装配式结构样板验收记录表、地基验槽处理记录</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39</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2021/1/18</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年度审计询证函</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年度审计江苏银行及建行开发区支行询证函</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40</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2021/1/18</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中行开户</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申请开户公函、业务授权书、结算账户管理协议、银企对账信息、开户申请书、印鉴卡等</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2021/1/20</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取消邮储账户通兑功能</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变更申请书、单位公函、业务委托书</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2021/1/20</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人防工程质量监督申报手续（资料更新）</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人防工程质量监督申报表申报表、不擅自穿越管线承诺书、落实人防工程平展转换告知书、人防施工图报审表、行政审批书和审查合格书、发包通知书、总包及监理合同（报审用）</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2021/1/20</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测绘情况说明</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关于A区预测封闭阳台及弱电通信机房的使用范围说明</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2021/1/20</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邮储银行定存准入基础资料（入场前申请，补充资料）</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工程规划许可证</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商品房销售价格备案</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备案申请表、一房一价表、承诺书、测绘成果表、装修标准明细</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46</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银行准入基础资料（五矿进场前申请，补充资料）</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工程规划许可证</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47</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物业招标陪标合同</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陪标合同</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48</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2021/1/25</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西城房管局资金监管账户建立</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监管账户建立计划表、用款清册、成本表、材质分析以及公司基本证照和资料</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49</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2021/1/26</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G2181地块A区人防工程设计合同</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G2181地块A区人防工程设计合同</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50</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2021/1/26</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项目经理变更</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G2181地块A区住宅一标段项目经理变更</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51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2021/1/27</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产值表</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G2181地块售楼处景观产值表（配合对方审计，不作为结算依据）</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52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2021/1/28</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商业定位顾问确认函</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工作确认函：江苏正和元邦企业</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53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2021/1/28</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样板间整改</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样板间整改说明</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2021/1/29</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工程招标代理合同</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招标代理合同</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2021/1/29</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直接发包资料（室内装修）</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直接发包备案审批表1-10 11-18</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56</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2021/1/29</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办理施工许可证、质监安监</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备案合同及补充说明、资金承诺书、扬尘治理承诺书、安全文明施工措施费、现场平面布置图</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57</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2021/1/29</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住宅装饰工程履约保证金承诺书</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住宅装饰工程履约保证金承诺书</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58</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2021/1/29</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提前支付申请</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五矿信托提前支付申请</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59</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2021/2/1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江苏银行合作协议</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江苏银行京杭支行个人购房合作协议</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60</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2021/2/1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办理西城印象A区物业托管</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西城印象物业三方托管协议（重盖）</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61</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2021/2/1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办理施工许可证</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建设工程施工备案合同</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62</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2021/2/1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办理施工许可证</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直接发包备案表、扬尘治理承诺、授权书、承诺函、施工备案合同及相关补充协议，施工现场平面图、开工现场勘查表、工程合同归集表</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63</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2021/2/1</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中止施工安全监督申请 停复工说明</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建筑单位中止施工安全监督申请书、春节文明大检查及停复工说明</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64</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2021/2/2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江苏银行开户用于开发贷提款还款；购买电汇票用于给五矿信托还款</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开立结算账户申请书、信息确认函、账户管理协议、空白凭证购买单、印鉴卡等</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65</w:t>
            </w:r>
          </w:p>
        </w:tc>
        <w:tc>
          <w:tcPr>
            <w:tcW w:w="17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2021/2/2</w:t>
            </w:r>
          </w:p>
        </w:tc>
        <w:tc>
          <w:tcPr>
            <w:tcW w:w="277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开发贷用印资料</w:t>
            </w:r>
          </w:p>
        </w:tc>
        <w:tc>
          <w:tcPr>
            <w:tcW w:w="37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sz w:val="18"/>
                <w:szCs w:val="18"/>
              </w:rPr>
              <w:t>股东决议文件及相关合同文件</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Theme="minorEastAsia" w:hAnsiTheme="minorEastAsia" w:eastAsiaTheme="minorEastAsia" w:cstheme="minorEastAsia"/>
                <w:color w:val="000000"/>
                <w:sz w:val="18"/>
                <w:szCs w:val="18"/>
                <w:lang w:bidi="ar"/>
              </w:rPr>
            </w:pPr>
            <w:r>
              <w:rPr>
                <w:rFonts w:hint="eastAsia" w:asciiTheme="minorEastAsia" w:hAnsiTheme="minorEastAsia" w:eastAsiaTheme="minorEastAsia" w:cstheme="minorEastAsia"/>
                <w:color w:val="000000"/>
                <w:sz w:val="18"/>
                <w:szCs w:val="18"/>
              </w:rPr>
              <w:t>8</w:t>
            </w:r>
          </w:p>
        </w:tc>
      </w:tr>
    </w:tbl>
    <w:p>
      <w:pPr>
        <w:pStyle w:val="2"/>
        <w:ind w:firstLine="210"/>
        <w:rPr>
          <w:rFonts w:hint="eastAsia" w:asciiTheme="minorEastAsia" w:hAnsiTheme="minorEastAsia" w:eastAsiaTheme="minorEastAsia" w:cstheme="minorEastAsia"/>
        </w:rPr>
      </w:pPr>
    </w:p>
    <w:p>
      <w:pPr>
        <w:pStyle w:val="4"/>
        <w:spacing w:line="480" w:lineRule="auto"/>
        <w:rPr>
          <w:rFonts w:hint="eastAsia" w:asciiTheme="minorEastAsia" w:hAnsiTheme="minorEastAsia" w:eastAsiaTheme="minorEastAsia" w:cstheme="minorEastAsia"/>
          <w:sz w:val="21"/>
          <w:szCs w:val="21"/>
        </w:rPr>
      </w:pPr>
      <w:bookmarkStart w:id="13" w:name="_Toc64970476"/>
      <w:r>
        <w:rPr>
          <w:rFonts w:hint="eastAsia" w:asciiTheme="minorEastAsia" w:hAnsiTheme="minorEastAsia" w:eastAsiaTheme="minorEastAsia" w:cstheme="minorEastAsia"/>
          <w:sz w:val="21"/>
          <w:szCs w:val="21"/>
        </w:rPr>
        <w:t>十三</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rPr>
        <w:t>项目公司印章证照使用情况</w:t>
      </w:r>
      <w:bookmarkEnd w:id="13"/>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18"/>
          <w:szCs w:val="18"/>
        </w:rPr>
        <w:t>表十二：印章证照使用情况</w:t>
      </w:r>
    </w:p>
    <w:tbl>
      <w:tblPr>
        <w:tblStyle w:val="24"/>
        <w:tblW w:w="9577" w:type="dxa"/>
        <w:jc w:val="center"/>
        <w:tblLayout w:type="fixed"/>
        <w:tblCellMar>
          <w:top w:w="15" w:type="dxa"/>
          <w:left w:w="15" w:type="dxa"/>
          <w:bottom w:w="15" w:type="dxa"/>
          <w:right w:w="15" w:type="dxa"/>
        </w:tblCellMar>
      </w:tblPr>
      <w:tblGrid>
        <w:gridCol w:w="1059"/>
        <w:gridCol w:w="3651"/>
        <w:gridCol w:w="1096"/>
        <w:gridCol w:w="1592"/>
        <w:gridCol w:w="855"/>
        <w:gridCol w:w="1324"/>
      </w:tblGrid>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eastAsia="zh-Hans" w:bidi="ar"/>
              </w:rPr>
            </w:pPr>
            <w:r>
              <w:rPr>
                <w:rFonts w:hint="eastAsia" w:asciiTheme="minorEastAsia" w:hAnsiTheme="minorEastAsia" w:eastAsiaTheme="minorEastAsia" w:cstheme="minorEastAsia"/>
                <w:b/>
                <w:sz w:val="18"/>
                <w:szCs w:val="18"/>
                <w:lang w:eastAsia="zh-Hans" w:bidi="ar"/>
              </w:rPr>
              <w:t>日期</w:t>
            </w:r>
          </w:p>
        </w:tc>
        <w:tc>
          <w:tcPr>
            <w:tcW w:w="365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章证照类别</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使用部门</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外借事由</w:t>
            </w:r>
          </w:p>
        </w:tc>
        <w:tc>
          <w:tcPr>
            <w:tcW w:w="85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bidi="ar"/>
              </w:rPr>
            </w:pPr>
            <w:r>
              <w:rPr>
                <w:rFonts w:hint="eastAsia" w:asciiTheme="minorEastAsia" w:hAnsiTheme="minorEastAsia" w:eastAsiaTheme="minorEastAsia" w:cstheme="minorEastAsia"/>
                <w:b/>
                <w:sz w:val="18"/>
                <w:szCs w:val="18"/>
                <w:lang w:bidi="ar"/>
              </w:rPr>
              <w:t>领用人</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eastAsia="zh-Hans" w:bidi="ar"/>
              </w:rPr>
            </w:pPr>
            <w:r>
              <w:rPr>
                <w:rFonts w:hint="eastAsia" w:asciiTheme="minorEastAsia" w:hAnsiTheme="minorEastAsia" w:eastAsiaTheme="minorEastAsia" w:cstheme="minorEastAsia"/>
                <w:b/>
                <w:sz w:val="18"/>
                <w:szCs w:val="18"/>
                <w:lang w:eastAsia="zh-Hans" w:bidi="ar"/>
              </w:rPr>
              <w:t>监印人</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rPr>
              <w:t>2021/1/7</w:t>
            </w:r>
          </w:p>
        </w:tc>
        <w:tc>
          <w:tcPr>
            <w:tcW w:w="365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营业执照副本</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财务部</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人民银行打印征信</w:t>
            </w:r>
          </w:p>
        </w:tc>
        <w:tc>
          <w:tcPr>
            <w:tcW w:w="85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李明</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hint="eastAsia" w:asciiTheme="minorEastAsia" w:hAnsiTheme="minorEastAsia" w:eastAsiaTheme="minorEastAsia" w:cstheme="minorEastAsia"/>
                <w:b/>
                <w:sz w:val="18"/>
                <w:szCs w:val="18"/>
                <w:lang w:eastAsia="zh-Hans" w:bidi="ar"/>
              </w:rPr>
            </w:pPr>
            <w:r>
              <w:rPr>
                <w:rFonts w:hint="eastAsia" w:asciiTheme="minorEastAsia" w:hAnsiTheme="minorEastAsia" w:eastAsiaTheme="minorEastAsia" w:cstheme="minorEastAsia"/>
                <w:color w:val="000000"/>
                <w:sz w:val="18"/>
                <w:szCs w:val="18"/>
              </w:rPr>
              <w:t>吴国军</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2021/1/18</w:t>
            </w:r>
          </w:p>
        </w:tc>
        <w:tc>
          <w:tcPr>
            <w:tcW w:w="36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营业执照正副本、公章、财务章、法人章</w:t>
            </w:r>
          </w:p>
        </w:tc>
        <w:tc>
          <w:tcPr>
            <w:tcW w:w="109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财务部</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color w:val="000000"/>
                <w:sz w:val="18"/>
                <w:szCs w:val="18"/>
              </w:rPr>
              <w:t>中行开户</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eastAsia="zh-Hans" w:bidi="ar"/>
              </w:rPr>
            </w:pPr>
            <w:r>
              <w:rPr>
                <w:rFonts w:hint="eastAsia" w:asciiTheme="minorEastAsia" w:hAnsiTheme="minorEastAsia" w:eastAsiaTheme="minorEastAsia" w:cstheme="minorEastAsia"/>
                <w:sz w:val="18"/>
                <w:szCs w:val="18"/>
                <w:lang w:bidi="ar"/>
              </w:rPr>
              <w:t>李明</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孙春雨</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2021/1/22</w:t>
            </w:r>
          </w:p>
        </w:tc>
        <w:tc>
          <w:tcPr>
            <w:tcW w:w="36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公章、法人章</w:t>
            </w:r>
          </w:p>
        </w:tc>
        <w:tc>
          <w:tcPr>
            <w:tcW w:w="109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财务部</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邮储开户</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李明</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孙春雨</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2021/1/26</w:t>
            </w:r>
          </w:p>
        </w:tc>
        <w:tc>
          <w:tcPr>
            <w:tcW w:w="36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营业执照正本</w:t>
            </w:r>
          </w:p>
        </w:tc>
        <w:tc>
          <w:tcPr>
            <w:tcW w:w="109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营销部</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房管局</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赵敏</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color w:val="000000"/>
                <w:sz w:val="18"/>
                <w:szCs w:val="18"/>
              </w:rPr>
              <w:t>孙春雨</w:t>
            </w:r>
          </w:p>
        </w:tc>
      </w:tr>
      <w:tr>
        <w:trPr>
          <w:trHeight w:val="438"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w:t>
            </w:r>
          </w:p>
        </w:tc>
        <w:tc>
          <w:tcPr>
            <w:tcW w:w="36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营业执照副本、公章、财务章、法人章</w:t>
            </w:r>
          </w:p>
        </w:tc>
        <w:tc>
          <w:tcPr>
            <w:tcW w:w="109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财务部</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江苏银行开户及开发贷合同文件用印</w:t>
            </w:r>
          </w:p>
        </w:tc>
        <w:tc>
          <w:tcPr>
            <w:tcW w:w="85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lang w:bidi="ar"/>
              </w:rPr>
              <w:t>朱秀花</w:t>
            </w:r>
          </w:p>
        </w:tc>
        <w:tc>
          <w:tcPr>
            <w:tcW w:w="13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孙春雨</w:t>
            </w:r>
          </w:p>
        </w:tc>
      </w:tr>
    </w:tbl>
    <w:p>
      <w:pPr>
        <w:pStyle w:val="4"/>
        <w:spacing w:line="480" w:lineRule="auto"/>
        <w:rPr>
          <w:rFonts w:hint="eastAsia" w:asciiTheme="minorEastAsia" w:hAnsiTheme="minorEastAsia" w:eastAsiaTheme="minorEastAsia" w:cstheme="minorEastAsia"/>
          <w:sz w:val="21"/>
          <w:szCs w:val="21"/>
        </w:rPr>
      </w:pPr>
      <w:bookmarkStart w:id="14" w:name="_Toc64970477"/>
      <w:r>
        <w:rPr>
          <w:rFonts w:hint="eastAsia" w:asciiTheme="minorEastAsia" w:hAnsiTheme="minorEastAsia" w:eastAsiaTheme="minorEastAsia" w:cstheme="minorEastAsia"/>
          <w:sz w:val="21"/>
          <w:szCs w:val="21"/>
        </w:rPr>
        <w:t>十四</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rPr>
        <w:t>项目公司签约情况</w:t>
      </w:r>
      <w:bookmarkEnd w:id="14"/>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18"/>
          <w:szCs w:val="18"/>
        </w:rPr>
        <w:t>表十三：报告期间合同签订情况</w:t>
      </w:r>
    </w:p>
    <w:tbl>
      <w:tblPr>
        <w:tblStyle w:val="24"/>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60"/>
        <w:gridCol w:w="2100"/>
        <w:gridCol w:w="2360"/>
        <w:gridCol w:w="1740"/>
        <w:gridCol w:w="1027"/>
      </w:tblGrid>
      <w:tr>
        <w:trPr>
          <w:tblHeader/>
          <w:jc w:val="center"/>
        </w:trPr>
        <w:tc>
          <w:tcPr>
            <w:tcW w:w="748" w:type="dxa"/>
            <w:vAlign w:val="center"/>
          </w:tcPr>
          <w:p>
            <w:pPr>
              <w:widowControl w:val="0"/>
              <w:jc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序号</w:t>
            </w:r>
          </w:p>
        </w:tc>
        <w:tc>
          <w:tcPr>
            <w:tcW w:w="1660" w:type="dxa"/>
            <w:vAlign w:val="center"/>
          </w:tcPr>
          <w:p>
            <w:pPr>
              <w:widowControl w:val="0"/>
              <w:jc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签订日期</w:t>
            </w:r>
          </w:p>
        </w:tc>
        <w:tc>
          <w:tcPr>
            <w:tcW w:w="2100" w:type="dxa"/>
            <w:vAlign w:val="center"/>
          </w:tcPr>
          <w:p>
            <w:pPr>
              <w:widowControl w:val="0"/>
              <w:jc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对方单位</w:t>
            </w:r>
          </w:p>
        </w:tc>
        <w:tc>
          <w:tcPr>
            <w:tcW w:w="2360" w:type="dxa"/>
            <w:vAlign w:val="center"/>
          </w:tcPr>
          <w:p>
            <w:pPr>
              <w:widowControl w:val="0"/>
              <w:jc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合同名称</w:t>
            </w:r>
          </w:p>
        </w:tc>
        <w:tc>
          <w:tcPr>
            <w:tcW w:w="1740" w:type="dxa"/>
            <w:vAlign w:val="center"/>
          </w:tcPr>
          <w:p>
            <w:pPr>
              <w:widowControl w:val="0"/>
              <w:jc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合同金额（元）</w:t>
            </w:r>
          </w:p>
        </w:tc>
        <w:tc>
          <w:tcPr>
            <w:tcW w:w="1027" w:type="dxa"/>
            <w:vAlign w:val="center"/>
          </w:tcPr>
          <w:p>
            <w:pPr>
              <w:widowControl w:val="0"/>
              <w:jc w:val="center"/>
              <w:rPr>
                <w:rFonts w:hint="eastAsia" w:asciiTheme="minorEastAsia" w:hAnsiTheme="minorEastAsia" w:eastAsiaTheme="minorEastAsia" w:cstheme="minorEastAsia"/>
                <w:b/>
                <w:bCs/>
                <w:sz w:val="18"/>
                <w:szCs w:val="18"/>
                <w:lang w:bidi="ar"/>
              </w:rPr>
            </w:pPr>
            <w:r>
              <w:rPr>
                <w:rFonts w:hint="eastAsia" w:asciiTheme="minorEastAsia" w:hAnsiTheme="minorEastAsia" w:eastAsiaTheme="minorEastAsia" w:cstheme="minorEastAsia"/>
                <w:b/>
                <w:bCs/>
                <w:sz w:val="18"/>
                <w:szCs w:val="18"/>
                <w:lang w:bidi="ar"/>
              </w:rPr>
              <w:t>签订份数</w:t>
            </w:r>
          </w:p>
        </w:tc>
      </w:tr>
      <w:tr>
        <w:trPr>
          <w:trHeight w:val="520"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2021/1/5</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扬州千玮房地产营销策划有限公司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西城印象乡镇巡演活动合作协议、廉洁协议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80,247.00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highlight w:val="red"/>
                <w:lang w:bidi="ar"/>
              </w:rPr>
            </w:pPr>
            <w:r>
              <w:rPr>
                <w:rFonts w:hint="eastAsia" w:asciiTheme="minorEastAsia" w:hAnsiTheme="minorEastAsia" w:eastAsiaTheme="minorEastAsia" w:cstheme="minorEastAsia"/>
                <w:sz w:val="18"/>
                <w:szCs w:val="18"/>
              </w:rPr>
              <w:t>2</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2021/1/5</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北京搜房科技发展有限公司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佳源西城印象房天下营销合同、廉洁协议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60,000.00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highlight w:val="red"/>
                <w:lang w:bidi="ar"/>
              </w:rPr>
            </w:pPr>
            <w:r>
              <w:rPr>
                <w:rFonts w:hint="eastAsia" w:asciiTheme="minorEastAsia" w:hAnsiTheme="minorEastAsia" w:eastAsiaTheme="minorEastAsia" w:cstheme="minorEastAsia"/>
                <w:sz w:val="18"/>
                <w:szCs w:val="18"/>
              </w:rPr>
              <w:t>3</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2021/1/5</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扬州万象广告有限公司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扬州佳源西城印象新春包装合同、廉洁协议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38,048.00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4</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2021/1/5</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扬州万润广告传媒有限公司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佳源西城印象1月暖场活动合同、廉洁协议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139,534.00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5</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2021/1/5</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扬州亿新信息技术有限公司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今日头条＆抖音信息发布协议、廉洁协议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109,200.00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6</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2021/1/8</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江苏光之媒科技发展有限公司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西城印象快递柜广告发布协议合同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50,400.00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7</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2021/1/8</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扬州千玮房地产营销策划有限公司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西城印象乡镇墙体广告发布协议合同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185,400.00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8</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2021/1/8</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江苏天颂广告传媒有限红丝</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西城印象安居客广告发布协议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71,200.00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9</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2021/1/11</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浙江佳源物业服务集团有限公司扬州分公司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溪城印象花园A区前期物业服务托管合同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暂无金额</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10</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2021/1/11</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扬州初唐文化传媒有限公司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西城印象社区道闸广告合同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72,000.00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11</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2021/1/11</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扬州万润广告传媒有限公司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仪征宝能环球汇柱体灯箱广告合同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75,705.00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12</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2021/1/11</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江苏策无忧房地产咨询有限公司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西城印象渠道分销合同（策无忧）</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费率计提</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13</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2021/1/11</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扬州吉房网络科技有限公司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西城印象渠道分销合同（吉房）</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费率计提</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14</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2021/1/14</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扬州源宇设计印务有限公司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西城印象物料印刷合同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85,880.00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15</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2021/1/14</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北京微客联盟信息科技有限公司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西城印象微信朋友圈固定投广告合同</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50,000.00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16</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2021/1/15</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扬州城市房产发展集团有限公司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西城物业托管三方协议</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1,556,283.60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748" w:type="dxa"/>
            <w:vAlign w:val="center"/>
          </w:tcPr>
          <w:p>
            <w:pPr>
              <w:widowControl w:val="0"/>
              <w:jc w:val="center"/>
              <w:rPr>
                <w:rFonts w:hint="eastAsia" w:asciiTheme="minorEastAsia" w:hAnsiTheme="minorEastAsia" w:eastAsiaTheme="minorEastAsia" w:cstheme="minorEastAsia"/>
                <w:sz w:val="18"/>
                <w:szCs w:val="18"/>
                <w:lang w:bidi="ar"/>
              </w:rPr>
            </w:pPr>
            <w:r>
              <w:rPr>
                <w:rFonts w:hint="eastAsia" w:asciiTheme="minorEastAsia" w:hAnsiTheme="minorEastAsia" w:eastAsiaTheme="minorEastAsia" w:cstheme="minorEastAsia"/>
                <w:sz w:val="18"/>
                <w:szCs w:val="18"/>
              </w:rPr>
              <w:t>17</w:t>
            </w:r>
          </w:p>
        </w:tc>
        <w:tc>
          <w:tcPr>
            <w:tcW w:w="16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2021/1/26</w:t>
            </w:r>
          </w:p>
        </w:tc>
        <w:tc>
          <w:tcPr>
            <w:tcW w:w="210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江苏省建筑工程集团有限公司</w:t>
            </w:r>
          </w:p>
        </w:tc>
        <w:tc>
          <w:tcPr>
            <w:tcW w:w="236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GZ181地块A区块人防工程施工图设计</w:t>
            </w:r>
          </w:p>
        </w:tc>
        <w:tc>
          <w:tcPr>
            <w:tcW w:w="1740"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191,675.00 </w:t>
            </w:r>
          </w:p>
        </w:tc>
        <w:tc>
          <w:tcPr>
            <w:tcW w:w="1027" w:type="dxa"/>
            <w:vAlign w:val="center"/>
          </w:tcPr>
          <w:p>
            <w:pPr>
              <w:jc w:val="center"/>
              <w:textAlignment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bl>
    <w:p>
      <w:pPr>
        <w:pStyle w:val="4"/>
        <w:spacing w:line="480" w:lineRule="auto"/>
        <w:rPr>
          <w:rFonts w:hint="eastAsia" w:asciiTheme="minorEastAsia" w:hAnsiTheme="minorEastAsia" w:eastAsiaTheme="minorEastAsia" w:cstheme="minorEastAsia"/>
          <w:sz w:val="21"/>
          <w:szCs w:val="21"/>
        </w:rPr>
      </w:pPr>
      <w:bookmarkStart w:id="15" w:name="_Toc64970478"/>
      <w:r>
        <w:rPr>
          <w:rFonts w:hint="eastAsia" w:asciiTheme="minorEastAsia" w:hAnsiTheme="minorEastAsia" w:eastAsiaTheme="minorEastAsia" w:cstheme="minorEastAsia"/>
          <w:sz w:val="21"/>
          <w:szCs w:val="21"/>
        </w:rPr>
        <w:t>十五、项目整体运行情况分析</w:t>
      </w:r>
      <w:bookmarkEnd w:id="15"/>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1.项目开发建设情况评价</w:t>
      </w:r>
    </w:p>
    <w:p>
      <w:pPr>
        <w:spacing w:line="48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项目公司已取得《不动产权证书》、《建设用地规划许可证》、《建设工程规划许可证》及《建筑工程施工许可证》、《不动产权证书》、《建设用地规划许可证》；2#、3#、4#绑扎负一层墙板柱钢筋；1#、5#、6#、11#、15#、16#三层顶板浇筑工作完成；17#筏板基础垫层浇筑工作完成。</w:t>
      </w:r>
      <w:r>
        <w:rPr>
          <w:rFonts w:hint="eastAsia" w:asciiTheme="minorEastAsia" w:hAnsiTheme="minorEastAsia" w:eastAsiaTheme="minorEastAsia" w:cstheme="minorEastAsia"/>
          <w:color w:val="000000" w:themeColor="text1"/>
          <w:sz w:val="21"/>
          <w:szCs w:val="21"/>
          <w:lang w:bidi="ar"/>
          <w14:textFill>
            <w14:solidFill>
              <w14:schemeClr w14:val="tx1"/>
            </w14:solidFill>
          </w14:textFill>
        </w:rPr>
        <w:t>项目公司</w:t>
      </w:r>
      <w:r>
        <w:rPr>
          <w:rFonts w:hint="eastAsia" w:asciiTheme="minorEastAsia" w:hAnsiTheme="minorEastAsia" w:eastAsiaTheme="minorEastAsia" w:cstheme="minorEastAsia"/>
          <w:bCs/>
          <w:sz w:val="21"/>
          <w:szCs w:val="21"/>
        </w:rPr>
        <w:t>开发建设工作整体评价：进度正常。</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2.项目销售情况评价</w:t>
      </w:r>
    </w:p>
    <w:p>
      <w:pPr>
        <w:spacing w:line="480" w:lineRule="auto"/>
        <w:ind w:firstLine="420" w:firstLineChars="200"/>
        <w:rPr>
          <w:rFonts w:hint="eastAsia" w:asciiTheme="minorEastAsia" w:hAnsiTheme="minorEastAsia" w:eastAsiaTheme="minorEastAsia" w:cstheme="minorEastAsia"/>
          <w:kern w:val="2"/>
          <w:sz w:val="18"/>
          <w:szCs w:val="18"/>
        </w:rPr>
      </w:pPr>
      <w:r>
        <w:rPr>
          <w:rFonts w:hint="eastAsia" w:asciiTheme="minorEastAsia" w:hAnsiTheme="minorEastAsia" w:eastAsiaTheme="minorEastAsia" w:cstheme="minorEastAsia"/>
          <w:kern w:val="2"/>
          <w:sz w:val="21"/>
          <w:szCs w:val="21"/>
          <w:lang w:eastAsia="zh-Hans"/>
        </w:rPr>
        <w:t>本期暂不涉及。</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3.资金（成本）使用评价</w:t>
      </w:r>
    </w:p>
    <w:p>
      <w:pPr>
        <w:pStyle w:val="2"/>
        <w:spacing w:line="480" w:lineRule="auto"/>
        <w:ind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截至本期期末，本期项目公司支出费用共计233.91万元。本期资金（成本）使用评价：本期项目公司资金（成本）支出</w:t>
      </w:r>
      <w:r>
        <w:rPr>
          <w:rFonts w:hint="eastAsia" w:asciiTheme="minorEastAsia" w:hAnsiTheme="minorEastAsia" w:eastAsiaTheme="minorEastAsia" w:cstheme="minorEastAsia"/>
          <w:szCs w:val="21"/>
        </w:rPr>
        <w:t>比计划支出偏低</w:t>
      </w:r>
      <w:r>
        <w:rPr>
          <w:rFonts w:hint="eastAsia" w:asciiTheme="minorEastAsia" w:hAnsiTheme="minorEastAsia" w:eastAsiaTheme="minorEastAsia" w:cstheme="minorEastAsia"/>
          <w:szCs w:val="21"/>
        </w:rPr>
        <w:t>。</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4.操作风险评价（项目公司内部管理）</w:t>
      </w:r>
    </w:p>
    <w:p>
      <w:pPr>
        <w:pStyle w:val="2"/>
        <w:spacing w:after="0" w:line="480" w:lineRule="auto"/>
        <w:ind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spacing w:after="0" w:line="480" w:lineRule="auto"/>
        <w:ind w:firstLine="420" w:firstLineChars="200"/>
        <w:rPr>
          <w:rFonts w:hint="eastAsia" w:asciiTheme="minorEastAsia" w:hAnsiTheme="minorEastAsia" w:eastAsiaTheme="minorEastAsia" w:cstheme="minorEastAsia"/>
          <w:b/>
          <w:kern w:val="0"/>
          <w:szCs w:val="21"/>
          <w:lang w:bidi="ar"/>
        </w:rPr>
      </w:pPr>
      <w:r>
        <w:rPr>
          <w:rFonts w:hint="eastAsia" w:asciiTheme="minorEastAsia" w:hAnsiTheme="minorEastAsia" w:eastAsiaTheme="minorEastAsia" w:cstheme="minorEastAsia"/>
          <w:b/>
          <w:kern w:val="0"/>
          <w:szCs w:val="21"/>
          <w:lang w:bidi="ar"/>
        </w:rPr>
        <w:t>5.其他</w:t>
      </w:r>
    </w:p>
    <w:p>
      <w:pPr>
        <w:spacing w:line="480" w:lineRule="auto"/>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kern w:val="2"/>
          <w:sz w:val="21"/>
          <w:szCs w:val="21"/>
        </w:rPr>
        <w:t>暂无</w:t>
      </w:r>
    </w:p>
    <w:p>
      <w:pPr>
        <w:pStyle w:val="4"/>
        <w:spacing w:line="480" w:lineRule="auto"/>
        <w:rPr>
          <w:rFonts w:hint="eastAsia" w:asciiTheme="minorEastAsia" w:hAnsiTheme="minorEastAsia" w:eastAsiaTheme="minorEastAsia" w:cstheme="minorEastAsia"/>
          <w:sz w:val="21"/>
          <w:szCs w:val="21"/>
        </w:rPr>
      </w:pPr>
      <w:bookmarkStart w:id="16" w:name="_Toc64970479"/>
      <w:r>
        <w:rPr>
          <w:rFonts w:hint="eastAsia" w:asciiTheme="minorEastAsia" w:hAnsiTheme="minorEastAsia" w:eastAsiaTheme="minorEastAsia" w:cstheme="minorEastAsia"/>
          <w:sz w:val="21"/>
          <w:szCs w:val="21"/>
        </w:rPr>
        <w:t>十六、附件</w:t>
      </w:r>
      <w:bookmarkEnd w:id="16"/>
    </w:p>
    <w:p>
      <w:pPr>
        <w:spacing w:line="480" w:lineRule="auto"/>
        <w:ind w:firstLine="42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附件一：银行账户流水</w:t>
      </w:r>
    </w:p>
    <w:p>
      <w:pPr>
        <w:spacing w:line="480" w:lineRule="auto"/>
        <w:ind w:firstLine="42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附件二：项目形象进度表及照片</w:t>
      </w:r>
    </w:p>
    <w:p>
      <w:pPr>
        <w:pStyle w:val="2"/>
        <w:spacing w:line="480" w:lineRule="auto"/>
        <w:ind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附件三：</w:t>
      </w:r>
      <w:r>
        <w:rPr>
          <w:rFonts w:hint="eastAsia" w:asciiTheme="minorEastAsia" w:hAnsiTheme="minorEastAsia" w:eastAsiaTheme="minorEastAsia" w:cstheme="minorEastAsia"/>
          <w:szCs w:val="21"/>
        </w:rPr>
        <w:t>项目公司月度财务报表（资产负债表、利润表、现金流量表）</w:t>
      </w:r>
    </w:p>
    <w:p>
      <w:pPr>
        <w:pStyle w:val="2"/>
        <w:ind w:firstLine="0" w:firstLineChars="0"/>
        <w:rPr>
          <w:rFonts w:hint="eastAsia" w:asciiTheme="minorEastAsia" w:hAnsiTheme="minorEastAsia" w:eastAsiaTheme="minorEastAsia" w:cstheme="minorEastAsia"/>
        </w:rPr>
      </w:pPr>
    </w:p>
    <w:p>
      <w:pPr>
        <w:rPr>
          <w:rFonts w:hint="eastAsia" w:asciiTheme="minorEastAsia" w:hAnsiTheme="minorEastAsia" w:eastAsiaTheme="minorEastAsia" w:cstheme="minorEastAsia"/>
          <w:sz w:val="21"/>
          <w:szCs w:val="21"/>
        </w:rPr>
      </w:pPr>
      <w:bookmarkStart w:id="17" w:name="_Toc64970480"/>
      <w:r>
        <w:rPr>
          <w:rFonts w:hint="eastAsia" w:asciiTheme="minorEastAsia" w:hAnsiTheme="minorEastAsia" w:eastAsiaTheme="minorEastAsia" w:cstheme="minorEastAsia"/>
          <w:sz w:val="21"/>
          <w:szCs w:val="21"/>
        </w:rPr>
        <w:br w:type="page"/>
      </w:r>
    </w:p>
    <w:p>
      <w:pPr>
        <w:pStyle w:val="4"/>
        <w:spacing w:line="48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附件一：银行余额截图</w:t>
      </w:r>
      <w:bookmarkEnd w:id="17"/>
    </w:p>
    <w:p>
      <w:pPr>
        <w:pStyle w:val="2"/>
        <w:ind w:firstLine="0"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建设银行（1702</w:t>
      </w:r>
      <w:r>
        <w:rPr>
          <w:rFonts w:hint="eastAsia" w:asciiTheme="minorEastAsia" w:hAnsiTheme="minorEastAsia" w:eastAsiaTheme="minorEastAsia" w:cstheme="minorEastAsia"/>
          <w:lang w:val="en-US" w:eastAsia="zh-Hans"/>
        </w:rPr>
        <w:t>账</w:t>
      </w:r>
      <w:r>
        <w:rPr>
          <w:rFonts w:hint="eastAsia" w:asciiTheme="minorEastAsia" w:hAnsiTheme="minorEastAsia" w:eastAsiaTheme="minorEastAsia" w:cstheme="minorEastAsia"/>
        </w:rPr>
        <w:t>户）</w:t>
      </w:r>
    </w:p>
    <w:p>
      <w:pPr>
        <w:pStyle w:val="2"/>
        <w:ind w:firstLine="0"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518785" cy="1746250"/>
            <wp:effectExtent l="0" t="0" r="571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5520526" cy="1746750"/>
                    </a:xfrm>
                    <a:prstGeom prst="rect">
                      <a:avLst/>
                    </a:prstGeom>
                  </pic:spPr>
                </pic:pic>
              </a:graphicData>
            </a:graphic>
          </wp:inline>
        </w:drawing>
      </w:r>
    </w:p>
    <w:p>
      <w:pPr>
        <w:pStyle w:val="2"/>
        <w:ind w:firstLine="0"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江苏银行（8685</w:t>
      </w:r>
      <w:r>
        <w:rPr>
          <w:rFonts w:hint="eastAsia" w:asciiTheme="minorEastAsia" w:hAnsiTheme="minorEastAsia" w:eastAsiaTheme="minorEastAsia" w:cstheme="minorEastAsia"/>
          <w:lang w:val="en-US" w:eastAsia="zh-Hans"/>
        </w:rPr>
        <w:t>账</w:t>
      </w:r>
      <w:r>
        <w:rPr>
          <w:rFonts w:hint="eastAsia" w:asciiTheme="minorEastAsia" w:hAnsiTheme="minorEastAsia" w:eastAsiaTheme="minorEastAsia" w:cstheme="minorEastAsia"/>
        </w:rPr>
        <w:t>户）</w:t>
      </w:r>
    </w:p>
    <w:p>
      <w:pPr>
        <w:pStyle w:val="2"/>
        <w:ind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5396865" cy="1968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401977" cy="1970277"/>
                    </a:xfrm>
                    <a:prstGeom prst="rect">
                      <a:avLst/>
                    </a:prstGeom>
                  </pic:spPr>
                </pic:pic>
              </a:graphicData>
            </a:graphic>
          </wp:inline>
        </w:drawing>
      </w:r>
    </w:p>
    <w:p>
      <w:pPr>
        <w:pStyle w:val="2"/>
        <w:ind w:firstLine="0" w:firstLineChars="0"/>
        <w:rPr>
          <w:rFonts w:hint="eastAsia" w:asciiTheme="minorEastAsia" w:hAnsiTheme="minorEastAsia" w:eastAsiaTheme="minorEastAsia" w:cstheme="minorEastAsia"/>
          <w:sz w:val="18"/>
          <w:szCs w:val="18"/>
        </w:rPr>
      </w:pPr>
    </w:p>
    <w:p>
      <w:pPr>
        <w:pStyle w:val="2"/>
        <w:ind w:firstLine="0"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其他银行余额均为0</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p>
      <w:pPr>
        <w:pStyle w:val="4"/>
        <w:spacing w:line="480" w:lineRule="auto"/>
        <w:rPr>
          <w:rFonts w:hint="eastAsia" w:asciiTheme="minorEastAsia" w:hAnsiTheme="minorEastAsia" w:eastAsiaTheme="minorEastAsia" w:cstheme="minorEastAsia"/>
          <w:sz w:val="21"/>
          <w:szCs w:val="21"/>
        </w:rPr>
      </w:pPr>
      <w:bookmarkStart w:id="18" w:name="_Toc64970481"/>
      <w:r>
        <w:rPr>
          <w:rFonts w:hint="eastAsia" w:asciiTheme="minorEastAsia" w:hAnsiTheme="minorEastAsia" w:eastAsiaTheme="minorEastAsia" w:cstheme="minorEastAsia"/>
          <w:sz w:val="21"/>
          <w:szCs w:val="21"/>
        </w:rPr>
        <w:t>附件二：项目形象进度表及照片</w:t>
      </w:r>
      <w:bookmarkEnd w:id="18"/>
    </w:p>
    <w:p>
      <w:pPr>
        <w:pStyle w:val="2"/>
        <w:spacing w:line="360" w:lineRule="auto"/>
        <w:ind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因2月1日</w:t>
      </w:r>
      <w:r>
        <w:rPr>
          <w:rFonts w:hint="eastAsia" w:asciiTheme="minorEastAsia" w:hAnsiTheme="minorEastAsia" w:eastAsiaTheme="minorEastAsia" w:cstheme="minorEastAsia"/>
          <w:szCs w:val="21"/>
        </w:rPr>
        <w:t>起</w:t>
      </w:r>
      <w:r>
        <w:rPr>
          <w:rFonts w:hint="eastAsia" w:asciiTheme="minorEastAsia" w:hAnsiTheme="minorEastAsia" w:eastAsiaTheme="minorEastAsia" w:cstheme="minorEastAsia"/>
          <w:szCs w:val="21"/>
        </w:rPr>
        <w:t>工地春节停工，以下为1月底项目形象进度照片：</w:t>
      </w:r>
    </w:p>
    <w:p>
      <w:pPr>
        <w:pStyle w:val="2"/>
        <w:spacing w:line="360" w:lineRule="auto"/>
        <w:ind w:firstLineChars="20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658360" cy="3494405"/>
            <wp:effectExtent l="0" t="0" r="152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8360" cy="3494405"/>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1#楼：三层顶板浇筑工作完成</w:t>
      </w:r>
    </w:p>
    <w:p>
      <w:pPr>
        <w:pStyle w:val="2"/>
        <w:spacing w:line="360" w:lineRule="auto"/>
        <w:ind w:firstLineChars="20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595495" cy="3446780"/>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5495" cy="3446780"/>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2#楼：绑扎负一层墙板柱钢筋</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5102860" cy="38265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2860" cy="3826510"/>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3#楼：绑扎负一层墙板柱钢筋</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5059680" cy="3795395"/>
            <wp:effectExtent l="0" t="0" r="2032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9680" cy="3795395"/>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4#楼：绑扎负一层墙板柱钢筋</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5123180" cy="3842385"/>
            <wp:effectExtent l="0" t="0" r="762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3180" cy="3842385"/>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5#楼：三层顶板浇筑工作完成</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5144135" cy="3858260"/>
            <wp:effectExtent l="0" t="0" r="1206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4135" cy="3858260"/>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6#楼：三层顶板浇筑工作完成</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999355" cy="3746500"/>
            <wp:effectExtent l="0" t="0" r="444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9355" cy="3746500"/>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11#楼：三层顶板浇筑工作完成</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5006975" cy="3756025"/>
            <wp:effectExtent l="0" t="0" r="2222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6975" cy="3756025"/>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15#楼：三层顶板浇筑工作完成</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912360" cy="3684270"/>
            <wp:effectExtent l="0" t="0" r="15240" b="241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2360" cy="3684270"/>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16#楼：三层顶板浇筑工作完成</w:t>
      </w:r>
    </w:p>
    <w:p>
      <w:pPr>
        <w:pStyle w:val="2"/>
        <w:spacing w:line="360" w:lineRule="auto"/>
        <w:ind w:firstLine="0" w:firstLineChars="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4932680" cy="3700145"/>
            <wp:effectExtent l="0" t="0" r="2032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2680" cy="3700145"/>
                    </a:xfrm>
                    <a:prstGeom prst="rect">
                      <a:avLst/>
                    </a:prstGeom>
                  </pic:spPr>
                </pic:pic>
              </a:graphicData>
            </a:graphic>
          </wp:inline>
        </w:drawing>
      </w:r>
    </w:p>
    <w:p>
      <w:pPr>
        <w:pStyle w:val="2"/>
        <w:spacing w:line="36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17#楼：完成筏板基础垫层浇筑工作</w:t>
      </w:r>
    </w:p>
    <w:p>
      <w:pPr>
        <w:pStyle w:val="2"/>
        <w:spacing w:line="360" w:lineRule="auto"/>
        <w:ind w:firstLine="0" w:firstLineChars="0"/>
        <w:jc w:val="cente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color w:val="000000"/>
          <w:sz w:val="18"/>
          <w:szCs w:val="18"/>
        </w:rPr>
        <w:sectPr>
          <w:footerReference r:id="rId5" w:type="first"/>
          <w:headerReference r:id="rId3" w:type="default"/>
          <w:footerReference r:id="rId4" w:type="default"/>
          <w:pgSz w:w="11906" w:h="16838"/>
          <w:pgMar w:top="1440" w:right="1797" w:bottom="1213" w:left="1797" w:header="851" w:footer="992" w:gutter="0"/>
          <w:pgNumType w:start="0"/>
          <w:cols w:space="425" w:num="1"/>
          <w:titlePg/>
          <w:docGrid w:type="lines" w:linePitch="326" w:charSpace="0"/>
        </w:sectPr>
      </w:pPr>
    </w:p>
    <w:tbl>
      <w:tblPr>
        <w:tblStyle w:val="24"/>
        <w:tblW w:w="12414" w:type="dxa"/>
        <w:jc w:val="center"/>
        <w:tblLayout w:type="autofit"/>
        <w:tblCellMar>
          <w:top w:w="0" w:type="dxa"/>
          <w:left w:w="108" w:type="dxa"/>
          <w:bottom w:w="0" w:type="dxa"/>
          <w:right w:w="108" w:type="dxa"/>
        </w:tblCellMar>
      </w:tblPr>
      <w:tblGrid>
        <w:gridCol w:w="2356"/>
        <w:gridCol w:w="615"/>
        <w:gridCol w:w="1577"/>
        <w:gridCol w:w="1576"/>
        <w:gridCol w:w="2945"/>
        <w:gridCol w:w="577"/>
        <w:gridCol w:w="1479"/>
        <w:gridCol w:w="1668"/>
      </w:tblGrid>
      <w:tr>
        <w:trPr>
          <w:trHeight w:val="525" w:hRule="atLeast"/>
          <w:jc w:val="center"/>
        </w:trPr>
        <w:tc>
          <w:tcPr>
            <w:tcW w:w="12414" w:type="dxa"/>
            <w:gridSpan w:val="8"/>
            <w:tcBorders>
              <w:top w:val="nil"/>
              <w:left w:val="nil"/>
              <w:bottom w:val="nil"/>
              <w:right w:val="nil"/>
            </w:tcBorders>
            <w:shd w:val="clear" w:color="auto" w:fill="auto"/>
            <w:noWrap/>
            <w:vAlign w:val="center"/>
          </w:tcPr>
          <w:p>
            <w:pPr>
              <w:pStyle w:val="4"/>
              <w:spacing w:line="480" w:lineRule="auto"/>
              <w:rPr>
                <w:rFonts w:hint="eastAsia" w:asciiTheme="minorEastAsia" w:hAnsiTheme="minorEastAsia" w:eastAsiaTheme="minorEastAsia" w:cstheme="minorEastAsia"/>
                <w:sz w:val="21"/>
                <w:szCs w:val="21"/>
              </w:rPr>
            </w:pPr>
            <w:bookmarkStart w:id="19" w:name="_Toc64970482"/>
            <w:r>
              <w:rPr>
                <w:rFonts w:hint="eastAsia" w:asciiTheme="minorEastAsia" w:hAnsiTheme="minorEastAsia" w:eastAsiaTheme="minorEastAsia" w:cstheme="minorEastAsia"/>
                <w:sz w:val="21"/>
                <w:szCs w:val="21"/>
              </w:rPr>
              <w:t>附件三：项目公司月度财务报表（资产负债表、利润表、现金流量表）</w:t>
            </w:r>
            <w:bookmarkEnd w:id="19"/>
          </w:p>
          <w:p>
            <w:pPr>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表十四：资产负债表</w:t>
            </w:r>
          </w:p>
        </w:tc>
      </w:tr>
      <w:tr>
        <w:trPr>
          <w:trHeight w:val="270" w:hRule="atLeast"/>
          <w:jc w:val="center"/>
        </w:trPr>
        <w:tc>
          <w:tcPr>
            <w:tcW w:w="12414" w:type="dxa"/>
            <w:gridSpan w:val="8"/>
            <w:tcBorders>
              <w:top w:val="nil"/>
              <w:left w:val="nil"/>
              <w:bottom w:val="nil"/>
              <w:right w:val="nil"/>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会企01表</w:t>
            </w:r>
          </w:p>
        </w:tc>
      </w:tr>
      <w:tr>
        <w:trPr>
          <w:trHeight w:val="270" w:hRule="atLeast"/>
          <w:jc w:val="center"/>
        </w:trPr>
        <w:tc>
          <w:tcPr>
            <w:tcW w:w="6124" w:type="dxa"/>
            <w:gridSpan w:val="4"/>
            <w:tcBorders>
              <w:top w:val="nil"/>
              <w:left w:val="nil"/>
              <w:bottom w:val="single" w:color="auto" w:sz="4" w:space="0"/>
              <w:right w:val="nil"/>
            </w:tcBorders>
            <w:shd w:val="clear" w:color="auto" w:fill="auto"/>
            <w:noWrap/>
            <w:vAlign w:val="center"/>
          </w:tcPr>
          <w:p>
            <w:pP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单位:扬州崇源房地产开发有限公司</w:t>
            </w:r>
          </w:p>
        </w:tc>
        <w:tc>
          <w:tcPr>
            <w:tcW w:w="0" w:type="auto"/>
            <w:gridSpan w:val="3"/>
            <w:tcBorders>
              <w:top w:val="nil"/>
              <w:left w:val="nil"/>
              <w:bottom w:val="single" w:color="auto" w:sz="4" w:space="0"/>
              <w:right w:val="nil"/>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会计月:2021-01</w:t>
            </w:r>
          </w:p>
        </w:tc>
        <w:tc>
          <w:tcPr>
            <w:tcW w:w="1668" w:type="dxa"/>
            <w:tcBorders>
              <w:top w:val="nil"/>
              <w:left w:val="nil"/>
              <w:bottom w:val="single" w:color="auto" w:sz="4" w:space="0"/>
              <w:right w:val="nil"/>
            </w:tcBorders>
            <w:shd w:val="clear" w:color="auto" w:fill="auto"/>
            <w:noWrap/>
            <w:vAlign w:val="center"/>
          </w:tcPr>
          <w:p>
            <w:pPr>
              <w:jc w:val="righ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单位: 元</w:t>
            </w:r>
          </w:p>
        </w:tc>
      </w:tr>
      <w:tr>
        <w:trPr>
          <w:trHeight w:val="270" w:hRule="atLeast"/>
          <w:jc w:val="center"/>
        </w:trPr>
        <w:tc>
          <w:tcPr>
            <w:tcW w:w="2210" w:type="dxa"/>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资 产</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序号</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期末余额</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期初余额</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负债和所有者权益</w:t>
            </w:r>
          </w:p>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（或股东权益）</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序号</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期末余额</w:t>
            </w:r>
          </w:p>
        </w:tc>
        <w:tc>
          <w:tcPr>
            <w:tcW w:w="1668" w:type="dxa"/>
            <w:tcBorders>
              <w:top w:val="single" w:color="auto" w:sz="4" w:space="0"/>
              <w:left w:val="nil"/>
              <w:bottom w:val="single" w:color="000000" w:sz="4" w:space="0"/>
              <w:right w:val="single" w:color="auto" w:sz="4" w:space="0"/>
            </w:tcBorders>
            <w:shd w:val="clear" w:color="auto" w:fill="auto"/>
            <w:noWrap/>
            <w:vAlign w:val="center"/>
          </w:tcPr>
          <w:p>
            <w:pPr>
              <w:jc w:val="center"/>
              <w:rPr>
                <w:rFonts w:hint="eastAsia"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b/>
                <w:bCs/>
                <w:color w:val="000000"/>
                <w:sz w:val="18"/>
                <w:szCs w:val="18"/>
              </w:rPr>
              <w:t>期初余额</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流动资产：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流动负债：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货币资金</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139,605.44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45,805.65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短期借款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583"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以公允价值计量且其变动计入当期损益的金融资产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6,500,000.00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6,500,000.00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以公允价值计量且其变动计入当期损益的金融负债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衍生金融资产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衍生金融负债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应收票据</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应付票据</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应收账款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应付账款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309030.95</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225002.95</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预付款项</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4,677,320.87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4,219,101.00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预收款项</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其他应收款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1,062,600.00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应付职工薪酬</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存货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1,085,663,632.06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1,078,528,890.99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应交税费</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-978,607.20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-976,865.24</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持有待售的资产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其他应付款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1,078,689,879.81</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1,072,035,305.81</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一年内到期的非流动资产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持有待售负债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353"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其他流动资产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一年内到期的非流动负债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流动资产合计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1,096,980,558.37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1,090,356,397.64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其他流动负债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非流动资产：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流动负债合计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42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1,078,020,303.56</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1,071,283,443.52</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可供出售金融资产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非流动负债：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持有至到期投资</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长期借款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长期应收款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应付债券</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长期股权投资</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其中：优先股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投资性房地产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永续债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固定资产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5,470.30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5,631.19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长期应付款</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在建工程</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预计负债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生产性生物资产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递延收益</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油气资产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递延所得税负债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无形资产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其他非流动负债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开发支出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非流动负债合计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52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商誉</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负债合计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53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1,078,020,303.56</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1,071,283,443.52</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长期待摊费用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所有者权益(或股东权益)：</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递延所得税资产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实收资本(或股本)</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20,000,000.00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20,000,000.00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其他非流动资产</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其他权益工具</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非流动资产合计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28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5,470.30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5,631.19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其中：优先股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56</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永续债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57</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资本公积</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58</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减：库存股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59</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其他综合收益</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专项储备</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61</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盈余公积</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62</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一般风险准备</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63</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未分配利润</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64</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-1,034,274.89</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-921,414.69</w:t>
            </w:r>
          </w:p>
        </w:tc>
      </w:tr>
      <w:tr>
        <w:trPr>
          <w:trHeight w:val="270" w:hRule="atLeast"/>
          <w:jc w:val="center"/>
        </w:trPr>
        <w:tc>
          <w:tcPr>
            <w:tcW w:w="221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所有者权益合计</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65</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18,965,725.11</w:t>
            </w:r>
          </w:p>
        </w:tc>
        <w:tc>
          <w:tcPr>
            <w:tcW w:w="166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19,078,585.31</w:t>
            </w:r>
          </w:p>
        </w:tc>
      </w:tr>
      <w:tr>
        <w:trPr>
          <w:trHeight w:val="270" w:hRule="atLeast"/>
          <w:jc w:val="center"/>
        </w:trPr>
        <w:tc>
          <w:tcPr>
            <w:tcW w:w="2210"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资产总计</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29</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1,096,986,028.67</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1,090,362,028.83</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负债和所有者权益总计</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66</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1,096,986,028.67</w:t>
            </w:r>
          </w:p>
        </w:tc>
        <w:tc>
          <w:tcPr>
            <w:tcW w:w="1668" w:type="dxa"/>
            <w:tcBorders>
              <w:top w:val="single" w:color="000000" w:sz="4" w:space="0"/>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1,090,362,028.83</w:t>
            </w:r>
          </w:p>
        </w:tc>
      </w:tr>
    </w:tbl>
    <w:p>
      <w:pPr>
        <w:pStyle w:val="4"/>
        <w:spacing w:line="480" w:lineRule="auto"/>
        <w:rPr>
          <w:rFonts w:hint="eastAsia" w:asciiTheme="minorEastAsia" w:hAnsiTheme="minorEastAsia" w:eastAsiaTheme="minorEastAsia" w:cstheme="minorEastAsia"/>
        </w:rPr>
        <w:sectPr>
          <w:pgSz w:w="16838" w:h="11906" w:orient="landscape"/>
          <w:pgMar w:top="1797" w:right="1440" w:bottom="1797" w:left="1213" w:header="851" w:footer="992" w:gutter="0"/>
          <w:cols w:space="425" w:num="1"/>
          <w:titlePg/>
          <w:docGrid w:type="lines" w:linePitch="326" w:charSpace="0"/>
        </w:sectPr>
      </w:pPr>
    </w:p>
    <w:p>
      <w:pPr>
        <w:pStyle w:val="4"/>
        <w:spacing w:line="480" w:lineRule="auto"/>
        <w:rPr>
          <w:rFonts w:hint="eastAsia" w:asciiTheme="minorEastAsia" w:hAnsiTheme="minorEastAsia" w:eastAsiaTheme="minorEastAsia" w:cstheme="minorEastAsia"/>
          <w:sz w:val="21"/>
          <w:szCs w:val="21"/>
        </w:rPr>
      </w:pPr>
      <w:bookmarkStart w:id="20" w:name="_GoBack"/>
      <w:bookmarkEnd w:id="20"/>
    </w:p>
    <w:tbl>
      <w:tblPr>
        <w:tblStyle w:val="24"/>
        <w:tblW w:w="0" w:type="auto"/>
        <w:tblInd w:w="-34" w:type="dxa"/>
        <w:tblLayout w:type="autofit"/>
        <w:tblCellMar>
          <w:top w:w="0" w:type="dxa"/>
          <w:left w:w="108" w:type="dxa"/>
          <w:bottom w:w="0" w:type="dxa"/>
          <w:right w:w="108" w:type="dxa"/>
        </w:tblCellMar>
      </w:tblPr>
      <w:tblGrid>
        <w:gridCol w:w="3702"/>
        <w:gridCol w:w="577"/>
        <w:gridCol w:w="1250"/>
        <w:gridCol w:w="1417"/>
        <w:gridCol w:w="1419"/>
      </w:tblGrid>
      <w:tr>
        <w:trPr>
          <w:trHeight w:val="525" w:hRule="atLeast"/>
        </w:trPr>
        <w:tc>
          <w:tcPr>
            <w:tcW w:w="8364" w:type="dxa"/>
            <w:gridSpan w:val="5"/>
            <w:tcBorders>
              <w:top w:val="nil"/>
              <w:left w:val="nil"/>
              <w:bottom w:val="nil"/>
              <w:right w:val="nil"/>
            </w:tcBorders>
            <w:shd w:val="clear" w:color="auto" w:fill="auto"/>
            <w:noWrap/>
            <w:vAlign w:val="center"/>
          </w:tcPr>
          <w:p>
            <w:pPr>
              <w:jc w:val="center"/>
              <w:rPr>
                <w:rFonts w:hint="eastAsia" w:asciiTheme="minorEastAsia" w:hAnsiTheme="minorEastAsia" w:eastAsiaTheme="minorEastAsia" w:cstheme="minorEastAsia"/>
                <w:b/>
                <w:bCs/>
                <w:sz w:val="34"/>
                <w:szCs w:val="34"/>
              </w:rPr>
            </w:pPr>
            <w:r>
              <w:rPr>
                <w:rFonts w:hint="eastAsia" w:asciiTheme="minorEastAsia" w:hAnsiTheme="minorEastAsia" w:eastAsiaTheme="minorEastAsia" w:cstheme="minorEastAsia"/>
                <w:color w:val="000000"/>
                <w:sz w:val="18"/>
                <w:szCs w:val="18"/>
              </w:rPr>
              <w:t>表十五：利润表</w:t>
            </w:r>
          </w:p>
        </w:tc>
      </w:tr>
      <w:tr>
        <w:trPr>
          <w:trHeight w:val="298" w:hRule="atLeast"/>
        </w:trPr>
        <w:tc>
          <w:tcPr>
            <w:tcW w:w="8364" w:type="dxa"/>
            <w:gridSpan w:val="5"/>
            <w:tcBorders>
              <w:top w:val="nil"/>
              <w:left w:val="nil"/>
              <w:right w:val="nil"/>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会企02表</w:t>
            </w:r>
          </w:p>
        </w:tc>
      </w:tr>
      <w:tr>
        <w:trPr>
          <w:trHeight w:val="298" w:hRule="atLeast"/>
        </w:trPr>
        <w:tc>
          <w:tcPr>
            <w:tcW w:w="3702" w:type="dxa"/>
            <w:tcBorders>
              <w:top w:val="nil"/>
              <w:bottom w:val="single" w:color="auto"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单位:扬州崇源房地产开发有限公司</w:t>
            </w:r>
          </w:p>
        </w:tc>
        <w:tc>
          <w:tcPr>
            <w:tcW w:w="3244" w:type="dxa"/>
            <w:gridSpan w:val="3"/>
            <w:tcBorders>
              <w:top w:val="nil"/>
              <w:bottom w:val="single" w:color="auto" w:sz="4" w:space="0"/>
            </w:tcBorders>
            <w:shd w:val="clear" w:color="auto" w:fill="auto"/>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会计月：2021-01</w:t>
            </w:r>
          </w:p>
        </w:tc>
        <w:tc>
          <w:tcPr>
            <w:tcW w:w="1418" w:type="dxa"/>
            <w:tcBorders>
              <w:top w:val="nil"/>
              <w:bottom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单位：元</w:t>
            </w:r>
          </w:p>
        </w:tc>
      </w:tr>
      <w:tr>
        <w:trPr>
          <w:trHeight w:val="298" w:hRule="atLeast"/>
        </w:trPr>
        <w:tc>
          <w:tcPr>
            <w:tcW w:w="3702" w:type="dxa"/>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项 目</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1249" w:type="dxa"/>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本期发生</w:t>
            </w:r>
          </w:p>
        </w:tc>
        <w:tc>
          <w:tcPr>
            <w:tcW w:w="1417" w:type="dxa"/>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本年累计发生</w:t>
            </w:r>
          </w:p>
        </w:tc>
        <w:tc>
          <w:tcPr>
            <w:tcW w:w="1418" w:type="dxa"/>
            <w:tcBorders>
              <w:top w:val="single" w:color="auto" w:sz="4" w:space="0"/>
              <w:left w:val="nil"/>
              <w:bottom w:val="single" w:color="000000" w:sz="4" w:space="0"/>
              <w:right w:val="single" w:color="auto"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上年累计发生</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一、营业收入</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减：营业成本</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税金及附加</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111709.00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111709.00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销售费用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管理费用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研发费用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财务费用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1151.20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1151.20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其中：利息费用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利息收入</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加：其他收益</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投资收益（损失以“-”号填列）</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其中：对联营企业和合营企业的投资收益</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公允价值变动收益（损失以“-”号填列）</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资产减值损失（损失以“-”号填列）</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资产处置收益（损失以“-”号填列）</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15</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二、营业利润（亏损以“-”号填列）</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16</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-112860.20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-112860.20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加：营业外收入</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17</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减：营业外支出</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18</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三、利润总额（亏损总额以“-”号填列）</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19</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-112860.20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-112860.20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r>
      <w:tr>
        <w:trPr>
          <w:trHeight w:val="298" w:hRule="atLeast"/>
        </w:trPr>
        <w:tc>
          <w:tcPr>
            <w:tcW w:w="3702"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减：所得税费用</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w:t>
            </w:r>
          </w:p>
        </w:tc>
        <w:tc>
          <w:tcPr>
            <w:tcW w:w="1249"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7" w:type="dxa"/>
            <w:tcBorders>
              <w:top w:val="single" w:color="000000" w:sz="4" w:space="0"/>
              <w:left w:val="nil"/>
              <w:bottom w:val="single" w:color="000000"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c>
          <w:tcPr>
            <w:tcW w:w="1418" w:type="dxa"/>
            <w:tcBorders>
              <w:top w:val="single" w:color="000000" w:sz="4" w:space="0"/>
              <w:left w:val="nil"/>
              <w:bottom w:val="single" w:color="000000"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0.00</w:t>
            </w:r>
          </w:p>
        </w:tc>
      </w:tr>
      <w:tr>
        <w:trPr>
          <w:trHeight w:val="298" w:hRule="atLeast"/>
        </w:trPr>
        <w:tc>
          <w:tcPr>
            <w:tcW w:w="3702"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四、净利润（净亏损以“-”号填列）</w:t>
            </w:r>
          </w:p>
        </w:tc>
        <w:tc>
          <w:tcPr>
            <w:tcW w:w="0" w:type="auto"/>
            <w:tcBorders>
              <w:top w:val="single" w:color="000000" w:sz="4" w:space="0"/>
              <w:left w:val="nil"/>
              <w:bottom w:val="single" w:color="auto"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21</w:t>
            </w:r>
          </w:p>
        </w:tc>
        <w:tc>
          <w:tcPr>
            <w:tcW w:w="1249" w:type="dxa"/>
            <w:tcBorders>
              <w:top w:val="single" w:color="000000" w:sz="4" w:space="0"/>
              <w:left w:val="nil"/>
              <w:bottom w:val="single" w:color="auto"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-112860.20</w:t>
            </w:r>
          </w:p>
        </w:tc>
        <w:tc>
          <w:tcPr>
            <w:tcW w:w="1417" w:type="dxa"/>
            <w:tcBorders>
              <w:top w:val="single" w:color="000000" w:sz="4" w:space="0"/>
              <w:left w:val="nil"/>
              <w:bottom w:val="single" w:color="auto" w:sz="4" w:space="0"/>
              <w:right w:val="single" w:color="000000" w:sz="4" w:space="0"/>
            </w:tcBorders>
            <w:shd w:val="clear" w:color="auto" w:fill="auto"/>
            <w:noWrap/>
            <w:vAlign w:val="bottom"/>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-112860.20</w:t>
            </w:r>
          </w:p>
        </w:tc>
        <w:tc>
          <w:tcPr>
            <w:tcW w:w="1418" w:type="dxa"/>
            <w:tcBorders>
              <w:top w:val="single" w:color="000000" w:sz="4" w:space="0"/>
              <w:left w:val="nil"/>
              <w:bottom w:val="single" w:color="auto" w:sz="4" w:space="0"/>
              <w:right w:val="single" w:color="auto" w:sz="4" w:space="0"/>
            </w:tcBorders>
            <w:shd w:val="clear" w:color="auto" w:fill="auto"/>
            <w:noWrap/>
            <w:vAlign w:val="center"/>
          </w:tcPr>
          <w:p>
            <w:pPr>
              <w:jc w:val="righ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0.00</w:t>
            </w:r>
          </w:p>
        </w:tc>
      </w:tr>
    </w:tbl>
    <w:p>
      <w:pPr>
        <w:pStyle w:val="4"/>
        <w:spacing w:line="480" w:lineRule="auto"/>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pStyle w:val="2"/>
        <w:ind w:firstLine="210"/>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color w:val="000000"/>
          <w:sz w:val="18"/>
          <w:szCs w:val="18"/>
        </w:rPr>
        <w:sectPr>
          <w:pgSz w:w="11906" w:h="16838"/>
          <w:pgMar w:top="1440" w:right="1797" w:bottom="1213" w:left="1797" w:header="851" w:footer="992" w:gutter="0"/>
          <w:cols w:space="425" w:num="1"/>
          <w:titlePg/>
          <w:docGrid w:type="lines" w:linePitch="326" w:charSpace="0"/>
        </w:sectPr>
      </w:pPr>
    </w:p>
    <w:tbl>
      <w:tblPr>
        <w:tblStyle w:val="24"/>
        <w:tblW w:w="11114" w:type="dxa"/>
        <w:jc w:val="center"/>
        <w:tblLayout w:type="fixed"/>
        <w:tblCellMar>
          <w:top w:w="0" w:type="dxa"/>
          <w:left w:w="108" w:type="dxa"/>
          <w:bottom w:w="0" w:type="dxa"/>
          <w:right w:w="108" w:type="dxa"/>
        </w:tblCellMar>
      </w:tblPr>
      <w:tblGrid>
        <w:gridCol w:w="3050"/>
        <w:gridCol w:w="1186"/>
        <w:gridCol w:w="1276"/>
        <w:gridCol w:w="2977"/>
        <w:gridCol w:w="1350"/>
        <w:gridCol w:w="1275"/>
      </w:tblGrid>
      <w:tr>
        <w:trPr>
          <w:trHeight w:val="553" w:hRule="atLeast"/>
          <w:tblHeader/>
          <w:jc w:val="center"/>
        </w:trPr>
        <w:tc>
          <w:tcPr>
            <w:tcW w:w="11114" w:type="dxa"/>
            <w:gridSpan w:val="6"/>
            <w:tcBorders>
              <w:top w:val="nil"/>
              <w:left w:val="nil"/>
              <w:bottom w:val="nil"/>
              <w:right w:val="nil"/>
            </w:tcBorders>
            <w:shd w:val="clear" w:color="auto" w:fill="auto"/>
            <w:vAlign w:val="center"/>
          </w:tcPr>
          <w:p>
            <w:pPr>
              <w:jc w:val="center"/>
              <w:rPr>
                <w:rFonts w:hint="eastAsia" w:asciiTheme="minorEastAsia" w:hAnsiTheme="minorEastAsia" w:eastAsiaTheme="minorEastAsia" w:cstheme="minorEastAsia"/>
                <w:b/>
                <w:bCs/>
                <w:sz w:val="34"/>
                <w:szCs w:val="34"/>
              </w:rPr>
            </w:pPr>
            <w:r>
              <w:rPr>
                <w:rFonts w:hint="eastAsia" w:asciiTheme="minorEastAsia" w:hAnsiTheme="minorEastAsia" w:eastAsiaTheme="minorEastAsia" w:cstheme="minorEastAsia"/>
                <w:color w:val="000000"/>
                <w:sz w:val="18"/>
                <w:szCs w:val="18"/>
              </w:rPr>
              <w:t>表十六：现金流量表</w:t>
            </w:r>
          </w:p>
        </w:tc>
      </w:tr>
      <w:tr>
        <w:trPr>
          <w:trHeight w:val="283" w:hRule="atLeast"/>
          <w:tblHeader/>
          <w:jc w:val="center"/>
        </w:trPr>
        <w:tc>
          <w:tcPr>
            <w:tcW w:w="3050" w:type="dxa"/>
            <w:tcBorders>
              <w:top w:val="nil"/>
              <w:left w:val="nil"/>
              <w:right w:val="nil"/>
            </w:tcBorders>
            <w:shd w:val="clear" w:color="auto" w:fill="auto"/>
            <w:vAlign w:val="center"/>
          </w:tcPr>
          <w:p>
            <w:pPr>
              <w:jc w:val="center"/>
              <w:rPr>
                <w:rFonts w:hint="eastAsia" w:asciiTheme="minorEastAsia" w:hAnsiTheme="minorEastAsia" w:eastAsiaTheme="minorEastAsia" w:cstheme="minorEastAsia"/>
                <w:b/>
                <w:bCs/>
                <w:sz w:val="34"/>
                <w:szCs w:val="34"/>
              </w:rPr>
            </w:pPr>
          </w:p>
        </w:tc>
        <w:tc>
          <w:tcPr>
            <w:tcW w:w="1186" w:type="dxa"/>
            <w:tcBorders>
              <w:top w:val="nil"/>
              <w:left w:val="nil"/>
              <w:right w:val="nil"/>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w:t>
            </w:r>
          </w:p>
        </w:tc>
        <w:tc>
          <w:tcPr>
            <w:tcW w:w="1276" w:type="dxa"/>
            <w:tcBorders>
              <w:top w:val="nil"/>
              <w:left w:val="nil"/>
              <w:right w:val="nil"/>
            </w:tcBorders>
            <w:shd w:val="clear" w:color="auto" w:fill="auto"/>
            <w:vAlign w:val="center"/>
          </w:tcPr>
          <w:p>
            <w:pPr>
              <w:rPr>
                <w:rFonts w:hint="eastAsia" w:asciiTheme="minorEastAsia" w:hAnsiTheme="minorEastAsia" w:eastAsiaTheme="minorEastAsia" w:cstheme="minorEastAsia"/>
                <w:sz w:val="16"/>
                <w:szCs w:val="16"/>
              </w:rPr>
            </w:pPr>
          </w:p>
        </w:tc>
        <w:tc>
          <w:tcPr>
            <w:tcW w:w="2977" w:type="dxa"/>
            <w:tcBorders>
              <w:top w:val="nil"/>
              <w:left w:val="nil"/>
              <w:right w:val="nil"/>
            </w:tcBorders>
            <w:shd w:val="clear" w:color="auto" w:fill="auto"/>
            <w:vAlign w:val="center"/>
          </w:tcPr>
          <w:p>
            <w:pPr>
              <w:rPr>
                <w:rFonts w:hint="eastAsia" w:asciiTheme="minorEastAsia" w:hAnsiTheme="minorEastAsia" w:eastAsiaTheme="minorEastAsia" w:cstheme="minorEastAsia"/>
                <w:sz w:val="20"/>
                <w:szCs w:val="20"/>
              </w:rPr>
            </w:pPr>
          </w:p>
        </w:tc>
        <w:tc>
          <w:tcPr>
            <w:tcW w:w="1350" w:type="dxa"/>
            <w:tcBorders>
              <w:top w:val="nil"/>
              <w:left w:val="nil"/>
              <w:right w:val="nil"/>
            </w:tcBorders>
            <w:shd w:val="clear" w:color="auto" w:fill="auto"/>
            <w:vAlign w:val="center"/>
          </w:tcPr>
          <w:p>
            <w:pPr>
              <w:rPr>
                <w:rFonts w:hint="eastAsia" w:asciiTheme="minorEastAsia" w:hAnsiTheme="minorEastAsia" w:eastAsiaTheme="minorEastAsia" w:cstheme="minorEastAsia"/>
                <w:sz w:val="20"/>
                <w:szCs w:val="20"/>
              </w:rPr>
            </w:pPr>
          </w:p>
        </w:tc>
        <w:tc>
          <w:tcPr>
            <w:tcW w:w="1275" w:type="dxa"/>
            <w:tcBorders>
              <w:top w:val="nil"/>
              <w:left w:val="nil"/>
              <w:right w:val="nil"/>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 w:val="16"/>
                <w:szCs w:val="16"/>
              </w:rPr>
              <w:t>会企03表</w:t>
            </w:r>
            <w:r>
              <w:rPr>
                <w:rFonts w:hint="eastAsia" w:asciiTheme="minorEastAsia" w:hAnsiTheme="minorEastAsia" w:eastAsiaTheme="minorEastAsia" w:cstheme="minorEastAsia"/>
                <w:sz w:val="16"/>
                <w:szCs w:val="16"/>
              </w:rPr>
              <w:t xml:space="preserve"> </w:t>
            </w:r>
          </w:p>
        </w:tc>
      </w:tr>
      <w:tr>
        <w:trPr>
          <w:trHeight w:val="283" w:hRule="atLeast"/>
          <w:tblHeader/>
          <w:jc w:val="center"/>
        </w:trPr>
        <w:tc>
          <w:tcPr>
            <w:tcW w:w="4236" w:type="dxa"/>
            <w:gridSpan w:val="2"/>
            <w:tcBorders>
              <w:top w:val="nil"/>
              <w:bottom w:val="nil"/>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单位:扬州崇源房地产开发有限公司</w:t>
            </w:r>
          </w:p>
        </w:tc>
        <w:tc>
          <w:tcPr>
            <w:tcW w:w="1276" w:type="dxa"/>
            <w:tcBorders>
              <w:top w:val="nil"/>
              <w:bottom w:val="nil"/>
            </w:tcBorders>
            <w:shd w:val="clear" w:color="auto" w:fill="auto"/>
            <w:vAlign w:val="center"/>
          </w:tcPr>
          <w:p>
            <w:pPr>
              <w:rPr>
                <w:rFonts w:hint="eastAsia" w:asciiTheme="minorEastAsia" w:hAnsiTheme="minorEastAsia" w:eastAsiaTheme="minorEastAsia" w:cstheme="minorEastAsia"/>
                <w:sz w:val="16"/>
                <w:szCs w:val="16"/>
              </w:rPr>
            </w:pPr>
          </w:p>
        </w:tc>
        <w:tc>
          <w:tcPr>
            <w:tcW w:w="4327" w:type="dxa"/>
            <w:gridSpan w:val="2"/>
            <w:tcBorders>
              <w:top w:val="nil"/>
              <w:bottom w:val="nil"/>
            </w:tcBorders>
            <w:shd w:val="clear" w:color="auto" w:fill="auto"/>
            <w:vAlign w:val="center"/>
          </w:tcPr>
          <w:p>
            <w:pPr>
              <w:jc w:val="righ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会计月：</w:t>
            </w:r>
            <w:r>
              <w:rPr>
                <w:rFonts w:hint="eastAsia" w:asciiTheme="minorEastAsia" w:hAnsiTheme="minorEastAsia" w:eastAsiaTheme="minorEastAsia" w:cstheme="minorEastAsia"/>
                <w:sz w:val="18"/>
                <w:szCs w:val="18"/>
              </w:rPr>
              <w:t>2021-01</w:t>
            </w:r>
          </w:p>
        </w:tc>
        <w:tc>
          <w:tcPr>
            <w:tcW w:w="1275" w:type="dxa"/>
            <w:tcBorders>
              <w:top w:val="nil"/>
              <w:bottom w:val="nil"/>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 w:val="16"/>
                <w:szCs w:val="16"/>
              </w:rPr>
              <w:t xml:space="preserve">     </w:t>
            </w:r>
            <w:r>
              <w:rPr>
                <w:rFonts w:hint="eastAsia" w:asciiTheme="minorEastAsia" w:hAnsiTheme="minorEastAsia" w:eastAsiaTheme="minorEastAsia" w:cstheme="minorEastAsia"/>
                <w:sz w:val="16"/>
                <w:szCs w:val="16"/>
              </w:rPr>
              <w:t xml:space="preserve">单位：元 </w:t>
            </w:r>
            <w:r>
              <w:rPr>
                <w:rFonts w:hint="eastAsia" w:asciiTheme="minorEastAsia" w:hAnsiTheme="minorEastAsia" w:eastAsiaTheme="minorEastAsia" w:cstheme="minorEastAsia"/>
                <w:sz w:val="16"/>
                <w:szCs w:val="16"/>
              </w:rPr>
              <w:t xml:space="preserve">   </w:t>
            </w:r>
          </w:p>
        </w:tc>
      </w:tr>
      <w:tr>
        <w:trPr>
          <w:trHeight w:val="398"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000000" w:fill="C0C0C0"/>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项      目</w:t>
            </w:r>
          </w:p>
        </w:tc>
        <w:tc>
          <w:tcPr>
            <w:tcW w:w="1186" w:type="dxa"/>
            <w:tcBorders>
              <w:top w:val="single" w:color="000000" w:sz="4" w:space="0"/>
              <w:left w:val="nil"/>
              <w:bottom w:val="single" w:color="000000" w:sz="4" w:space="0"/>
              <w:right w:val="single" w:color="000000" w:sz="4" w:space="0"/>
            </w:tcBorders>
            <w:shd w:val="clear" w:color="000000" w:fill="C0C0C0"/>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本期发生</w:t>
            </w:r>
          </w:p>
        </w:tc>
        <w:tc>
          <w:tcPr>
            <w:tcW w:w="1276" w:type="dxa"/>
            <w:tcBorders>
              <w:top w:val="single" w:color="000000" w:sz="4" w:space="0"/>
              <w:left w:val="nil"/>
              <w:bottom w:val="single" w:color="000000" w:sz="4" w:space="0"/>
              <w:right w:val="single" w:color="000000" w:sz="4" w:space="0"/>
            </w:tcBorders>
            <w:shd w:val="clear" w:color="000000" w:fill="C0C0C0"/>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本年累计</w:t>
            </w:r>
          </w:p>
        </w:tc>
        <w:tc>
          <w:tcPr>
            <w:tcW w:w="2977" w:type="dxa"/>
            <w:tcBorders>
              <w:top w:val="single" w:color="000000" w:sz="4" w:space="0"/>
              <w:left w:val="nil"/>
              <w:bottom w:val="single" w:color="000000" w:sz="4" w:space="0"/>
              <w:right w:val="single" w:color="000000" w:sz="4" w:space="0"/>
            </w:tcBorders>
            <w:shd w:val="clear" w:color="000000" w:fill="C0C0C0"/>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补  充  资  料</w:t>
            </w:r>
          </w:p>
        </w:tc>
        <w:tc>
          <w:tcPr>
            <w:tcW w:w="1350" w:type="dxa"/>
            <w:tcBorders>
              <w:top w:val="single" w:color="000000" w:sz="4" w:space="0"/>
              <w:left w:val="nil"/>
              <w:bottom w:val="single" w:color="000000" w:sz="4" w:space="0"/>
              <w:right w:val="single" w:color="000000" w:sz="4" w:space="0"/>
            </w:tcBorders>
            <w:shd w:val="clear" w:color="000000" w:fill="C0C0C0"/>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 xml:space="preserve"> 本期发生</w:t>
            </w:r>
          </w:p>
        </w:tc>
        <w:tc>
          <w:tcPr>
            <w:tcW w:w="1275" w:type="dxa"/>
            <w:tcBorders>
              <w:top w:val="single" w:color="000000" w:sz="4" w:space="0"/>
              <w:left w:val="nil"/>
              <w:bottom w:val="single" w:color="000000" w:sz="4" w:space="0"/>
              <w:right w:val="single" w:color="000000" w:sz="4" w:space="0"/>
            </w:tcBorders>
            <w:shd w:val="clear" w:color="000000" w:fill="C0C0C0"/>
            <w:vAlign w:val="center"/>
          </w:tcPr>
          <w:p>
            <w:pPr>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本年累计</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一、经营活动产生的现金流量：</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1、将净利润调节为经营活动现金流量：</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销售商品、提供劳务收到的现金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净利润</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-112,860.20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-112,860.20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收到的税费返还</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加：计提的资产损失准备</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收到的其他与经营活动有关的现金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固定资产折旧</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160.89</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160.89</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现金流入小计</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无形资产摊销</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购买商品、接受劳务支付的现金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1,708,588.49</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1,708,588.49</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长期待摊费用摊销</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支付给职工以及为职工支付的现金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待摊费用减少（减：增加）</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支付的各项税费</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111,709.00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111,709.00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预提费用增加（减：减少）</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41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支付的其他与经营活动有关的现金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385,902.72</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385,902.72</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处置固定资产、无形资产和其他长期资产的损失（减：收益）</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现金流出小计</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2,206,200.21</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2,206,200.21</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固定资产报废损失</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经营活动产生的现金流量净额</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-2,206,200.21</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-2,206,200.21</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财务费用</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1,151.20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1,151.20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二、投资活动产生的现金流量：</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投资损失（减：收益）</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收回投资所收到的现金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递延税款贷项（减：借项）</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取得投资收益所收到的现金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存货的减少（减：增加）</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-7,134,741.07</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-7,134,741.07</w:t>
            </w:r>
          </w:p>
        </w:tc>
      </w:tr>
      <w:tr>
        <w:trPr>
          <w:trHeight w:val="41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处置固定资产、无形资产和其他长期资产所收回的现金净额</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经营性应收项目的减少（减：增加）</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-184,630,241.87</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-184,630,241.87</w:t>
            </w:r>
          </w:p>
        </w:tc>
      </w:tr>
      <w:tr>
        <w:trPr>
          <w:trHeight w:val="41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处置子公司及其他营业单位收到的现金净额</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经营性应付项目的增加（减：减少）</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189,670,330.84</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189,670,330.84</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收到的其他与投资活动有关的现金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其他</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现金流入小计</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经营活动产生的现金流量净额</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-2,206,200.21</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-2,206,200.21</w:t>
            </w:r>
          </w:p>
        </w:tc>
      </w:tr>
      <w:tr>
        <w:trPr>
          <w:trHeight w:val="41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购建固定资产、无形资产和其他长期资产所支付的现金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投资所支付的现金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41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取得子公司及其他营业单位支付的现金净额</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支付的其他与投资活动有关的现金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现金流出小计</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投资活动产生的现金流量净额</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2、不涉及现金收支的投资和筹资活动：</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三、筹资活动产生的现金流量：</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债务转为资本</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吸收投资所收到的现金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一年内到期的可转换公司债券</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借款所收到的现金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融资租入固定资产</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nil"/>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收到的其他与筹资活动有关的现金</w:t>
            </w:r>
          </w:p>
        </w:tc>
        <w:tc>
          <w:tcPr>
            <w:tcW w:w="118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2,300,000.00</w:t>
            </w:r>
          </w:p>
        </w:tc>
        <w:tc>
          <w:tcPr>
            <w:tcW w:w="1276"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2,300,000.00</w:t>
            </w:r>
          </w:p>
        </w:tc>
        <w:tc>
          <w:tcPr>
            <w:tcW w:w="2977" w:type="dxa"/>
            <w:tcBorders>
              <w:top w:val="nil"/>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nil"/>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现金流入小计</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2,300,000.00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2,300,000.00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偿还债务所支付的现金</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425"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分配股利、利润或偿付利息所支付的现金</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3、现金及现金等价物净增加情况：</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支付的其他与筹资活动有关的现金</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现金的期末余额</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139,605.44</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139,605.44</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现金流出小计</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减：现金的期初余额</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45,805.65</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45,805.65</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筹资活动产生的现金流量净额</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2,300,000.00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2,300,000.00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加：现金等价物的期末余额</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四、汇率变动对现金的影响</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0.00</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16"/>
                <w:szCs w:val="16"/>
              </w:rPr>
              <w:t xml:space="preserve">   减：现金等价物的期初余额</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sz w:val="14"/>
                <w:szCs w:val="14"/>
              </w:rPr>
              <w:t>0.00</w:t>
            </w:r>
          </w:p>
        </w:tc>
      </w:tr>
      <w:tr>
        <w:trPr>
          <w:trHeight w:val="383" w:hRule="atLeast"/>
          <w:tblHeader/>
          <w:jc w:val="center"/>
        </w:trPr>
        <w:tc>
          <w:tcPr>
            <w:tcW w:w="3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五、现金及现金等价物净增加额</w:t>
            </w:r>
          </w:p>
        </w:tc>
        <w:tc>
          <w:tcPr>
            <w:tcW w:w="118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93,799.79</w:t>
            </w:r>
          </w:p>
        </w:tc>
        <w:tc>
          <w:tcPr>
            <w:tcW w:w="1276"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93,799.79</w:t>
            </w:r>
          </w:p>
        </w:tc>
        <w:tc>
          <w:tcPr>
            <w:tcW w:w="2977" w:type="dxa"/>
            <w:tcBorders>
              <w:top w:val="single" w:color="000000" w:sz="4" w:space="0"/>
              <w:left w:val="nil"/>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sz w:val="16"/>
                <w:szCs w:val="16"/>
              </w:rPr>
            </w:pPr>
            <w:r>
              <w:rPr>
                <w:rFonts w:hint="eastAsia" w:asciiTheme="minorEastAsia" w:hAnsiTheme="minorEastAsia" w:eastAsiaTheme="minorEastAsia" w:cstheme="minorEastAsia"/>
                <w:b/>
                <w:bCs/>
                <w:sz w:val="16"/>
                <w:szCs w:val="16"/>
              </w:rPr>
              <w:t xml:space="preserve">   现金及现金等价物净增加额</w:t>
            </w:r>
          </w:p>
        </w:tc>
        <w:tc>
          <w:tcPr>
            <w:tcW w:w="1350"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93,799.79</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jc w:val="right"/>
              <w:rPr>
                <w:rFonts w:hint="eastAsia" w:asciiTheme="minorEastAsia" w:hAnsiTheme="minorEastAsia" w:eastAsiaTheme="minorEastAsia" w:cstheme="minorEastAsia"/>
                <w:b/>
                <w:bCs/>
                <w:sz w:val="14"/>
                <w:szCs w:val="14"/>
              </w:rPr>
            </w:pPr>
            <w:r>
              <w:rPr>
                <w:rFonts w:hint="eastAsia" w:asciiTheme="minorEastAsia" w:hAnsiTheme="minorEastAsia" w:eastAsiaTheme="minorEastAsia" w:cstheme="minorEastAsia"/>
                <w:b/>
                <w:bCs/>
                <w:sz w:val="14"/>
                <w:szCs w:val="14"/>
              </w:rPr>
              <w:t>93,799.79</w:t>
            </w:r>
          </w:p>
        </w:tc>
      </w:tr>
    </w:tbl>
    <w:p>
      <w:pPr>
        <w:pStyle w:val="2"/>
        <w:ind w:firstLine="0" w:firstLineChars="0"/>
        <w:rPr>
          <w:rFonts w:hint="eastAsia" w:asciiTheme="minorEastAsia" w:hAnsiTheme="minorEastAsia" w:eastAsiaTheme="minorEastAsia" w:cstheme="minorEastAsia"/>
        </w:rPr>
        <w:sectPr>
          <w:pgSz w:w="11906" w:h="16838"/>
          <w:pgMar w:top="1440" w:right="1797" w:bottom="1213" w:left="1797" w:header="851" w:footer="992" w:gutter="0"/>
          <w:cols w:space="425" w:num="1"/>
          <w:titlePg/>
          <w:docGrid w:type="linesAndChars" w:linePitch="326" w:charSpace="0"/>
        </w:sectPr>
      </w:pPr>
    </w:p>
    <w:p>
      <w:pPr>
        <w:pStyle w:val="2"/>
        <w:ind w:firstLine="0" w:firstLineChars="0"/>
        <w:rPr>
          <w:rFonts w:hint="eastAsia" w:asciiTheme="minorEastAsia" w:hAnsiTheme="minorEastAsia" w:eastAsiaTheme="minorEastAsia" w:cstheme="minorEastAsia"/>
        </w:rPr>
      </w:pPr>
    </w:p>
    <w:sectPr>
      <w:type w:val="continuous"/>
      <w:pgSz w:w="11906" w:h="16838"/>
      <w:pgMar w:top="1440" w:right="1797" w:bottom="1213" w:left="1797"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0000000000000000000"/>
    <w:charset w:val="86"/>
    <w:family w:val="modern"/>
    <w:pitch w:val="default"/>
    <w:sig w:usb0="00000000" w:usb1="00000000" w:usb2="00000010" w:usb3="00000000" w:csb0="00040000" w:csb1="00000000"/>
  </w:font>
  <w:font w:name="Calibri Light">
    <w:altName w:val="Helvetica Neue"/>
    <w:panose1 w:val="020F0302020204030204"/>
    <w:charset w:val="00"/>
    <w:family w:val="swiss"/>
    <w:pitch w:val="default"/>
    <w:sig w:usb0="00000000" w:usb1="00000000" w:usb2="00000000" w:usb3="00000000" w:csb0="000001FF" w:csb1="00000000"/>
  </w:font>
  <w:font w:name="Arial">
    <w:panose1 w:val="020B0604020202090204"/>
    <w:charset w:val="00"/>
    <w:family w:val="swiss"/>
    <w:pitch w:val="default"/>
    <w:sig w:usb0="E0000AFF" w:usb1="00007843" w:usb2="00000001" w:usb3="00000000" w:csb0="400001BF" w:csb1="DFF70000"/>
  </w:font>
  <w:font w:name="仿宋">
    <w:altName w:val="方正仿宋_GBK"/>
    <w:panose1 w:val="02010609060101010101"/>
    <w:charset w:val="86"/>
    <w:family w:val="modern"/>
    <w:pitch w:val="default"/>
    <w:sig w:usb0="00000000" w:usb1="00000000" w:usb2="00000016" w:usb3="00000000" w:csb0="00040001"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773657"/>
    </w:sdtPr>
    <w:sdtContent>
      <w:p>
        <w:pPr>
          <w:pStyle w:val="13"/>
          <w:jc w:val="center"/>
        </w:pPr>
        <w:r>
          <w:fldChar w:fldCharType="begin"/>
        </w:r>
        <w:r>
          <w:instrText xml:space="preserve">PAGE   \* MERGEFORMAT</w:instrText>
        </w:r>
        <w:r>
          <w:fldChar w:fldCharType="separate"/>
        </w:r>
        <w:r>
          <w:rPr>
            <w:lang w:val="zh-CN"/>
          </w:rPr>
          <w:t>81</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t>2020</w:t>
    </w:r>
    <w:r>
      <w:rPr>
        <w:rFonts w:hint="eastAsia"/>
      </w:rPr>
      <w:t>年1</w:t>
    </w:r>
    <w:r>
      <w:t>2</w:t>
    </w:r>
    <w:r>
      <w:rPr>
        <w:rFonts w:hint="eastAsia"/>
      </w:rPr>
      <w:t>月2</w:t>
    </w:r>
    <w:r>
      <w:t>9</w:t>
    </w:r>
    <w:r>
      <w:rPr>
        <w:rFonts w:hint="eastAsia"/>
      </w:rPr>
      <w:t>日-202</w:t>
    </w:r>
    <w:r>
      <w:t>1</w:t>
    </w:r>
    <w:r>
      <w:rPr>
        <w:rFonts w:hint="eastAsia"/>
      </w:rPr>
      <w:t>年</w:t>
    </w:r>
    <w:r>
      <w:t>2</w:t>
    </w:r>
    <w:r>
      <w:rPr>
        <w:rFonts w:hint="eastAsia"/>
      </w:rPr>
      <w:t>月</w:t>
    </w:r>
    <w:r>
      <w:t>2</w:t>
    </w:r>
    <w:r>
      <w:rPr>
        <w:rFonts w:hint="eastAsia"/>
      </w:rPr>
      <w:t>日监管报告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1251D"/>
    <w:multiLevelType w:val="singleLevel"/>
    <w:tmpl w:val="6001251D"/>
    <w:lvl w:ilvl="0" w:tentative="0">
      <w:start w:val="7"/>
      <w:numFmt w:val="decimal"/>
      <w:suff w:val="nothing"/>
      <w:lvlText w:val="%1."/>
      <w:lvlJc w:val="left"/>
    </w:lvl>
  </w:abstractNum>
  <w:abstractNum w:abstractNumId="1">
    <w:nsid w:val="600128B9"/>
    <w:multiLevelType w:val="singleLevel"/>
    <w:tmpl w:val="600128B9"/>
    <w:lvl w:ilvl="0" w:tentative="0">
      <w:start w:val="1"/>
      <w:numFmt w:val="decimal"/>
      <w:suff w:val="nothing"/>
      <w:lvlText w:val="%1."/>
      <w:lvlJc w:val="left"/>
      <w:pPr>
        <w:ind w:left="0" w:firstLine="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5E8"/>
    <w:rsid w:val="000050F0"/>
    <w:rsid w:val="0000775D"/>
    <w:rsid w:val="0001198C"/>
    <w:rsid w:val="000134F4"/>
    <w:rsid w:val="0001377E"/>
    <w:rsid w:val="00014E9E"/>
    <w:rsid w:val="0001768F"/>
    <w:rsid w:val="00021A11"/>
    <w:rsid w:val="000229B9"/>
    <w:rsid w:val="00022C1B"/>
    <w:rsid w:val="00023B38"/>
    <w:rsid w:val="000244F8"/>
    <w:rsid w:val="00024BC2"/>
    <w:rsid w:val="00025B2C"/>
    <w:rsid w:val="00026E7C"/>
    <w:rsid w:val="00032934"/>
    <w:rsid w:val="00032A55"/>
    <w:rsid w:val="00034059"/>
    <w:rsid w:val="00043EC9"/>
    <w:rsid w:val="00051D84"/>
    <w:rsid w:val="00051DA8"/>
    <w:rsid w:val="0005737E"/>
    <w:rsid w:val="00066895"/>
    <w:rsid w:val="00067BFF"/>
    <w:rsid w:val="000717A9"/>
    <w:rsid w:val="00071837"/>
    <w:rsid w:val="0007263F"/>
    <w:rsid w:val="0008016D"/>
    <w:rsid w:val="00084184"/>
    <w:rsid w:val="000872C5"/>
    <w:rsid w:val="00090214"/>
    <w:rsid w:val="0009050E"/>
    <w:rsid w:val="00096E91"/>
    <w:rsid w:val="000974EE"/>
    <w:rsid w:val="000A1EB5"/>
    <w:rsid w:val="000A327D"/>
    <w:rsid w:val="000A3718"/>
    <w:rsid w:val="000A6D6C"/>
    <w:rsid w:val="000B179B"/>
    <w:rsid w:val="000B3BF0"/>
    <w:rsid w:val="000B746D"/>
    <w:rsid w:val="000C4941"/>
    <w:rsid w:val="000C4E79"/>
    <w:rsid w:val="000C6979"/>
    <w:rsid w:val="000C6D70"/>
    <w:rsid w:val="000C7588"/>
    <w:rsid w:val="000C7A3B"/>
    <w:rsid w:val="000D4971"/>
    <w:rsid w:val="000E30E3"/>
    <w:rsid w:val="000E44C9"/>
    <w:rsid w:val="000E5B1B"/>
    <w:rsid w:val="000E7512"/>
    <w:rsid w:val="000F0895"/>
    <w:rsid w:val="000F5CD8"/>
    <w:rsid w:val="0010425F"/>
    <w:rsid w:val="0010591F"/>
    <w:rsid w:val="00107E38"/>
    <w:rsid w:val="00111C94"/>
    <w:rsid w:val="00114242"/>
    <w:rsid w:val="001216A6"/>
    <w:rsid w:val="001223FB"/>
    <w:rsid w:val="00122913"/>
    <w:rsid w:val="00125B8D"/>
    <w:rsid w:val="00127110"/>
    <w:rsid w:val="00130DFD"/>
    <w:rsid w:val="001330A4"/>
    <w:rsid w:val="001365FB"/>
    <w:rsid w:val="001371B7"/>
    <w:rsid w:val="0013792F"/>
    <w:rsid w:val="00137A4B"/>
    <w:rsid w:val="001420E4"/>
    <w:rsid w:val="00142C5C"/>
    <w:rsid w:val="00144CC7"/>
    <w:rsid w:val="00144F62"/>
    <w:rsid w:val="00145709"/>
    <w:rsid w:val="00145807"/>
    <w:rsid w:val="00145D3B"/>
    <w:rsid w:val="00150FC7"/>
    <w:rsid w:val="0015620D"/>
    <w:rsid w:val="00156898"/>
    <w:rsid w:val="00156CDA"/>
    <w:rsid w:val="00157DCF"/>
    <w:rsid w:val="001621C6"/>
    <w:rsid w:val="00162B49"/>
    <w:rsid w:val="001645AE"/>
    <w:rsid w:val="001656E1"/>
    <w:rsid w:val="001677BC"/>
    <w:rsid w:val="00172A27"/>
    <w:rsid w:val="00176576"/>
    <w:rsid w:val="00180D44"/>
    <w:rsid w:val="001814B5"/>
    <w:rsid w:val="0018502A"/>
    <w:rsid w:val="001854D5"/>
    <w:rsid w:val="00185ADB"/>
    <w:rsid w:val="001920D9"/>
    <w:rsid w:val="001929BD"/>
    <w:rsid w:val="00193834"/>
    <w:rsid w:val="00195D48"/>
    <w:rsid w:val="00195ED0"/>
    <w:rsid w:val="001A1F38"/>
    <w:rsid w:val="001A21B6"/>
    <w:rsid w:val="001A4793"/>
    <w:rsid w:val="001A6122"/>
    <w:rsid w:val="001A7A20"/>
    <w:rsid w:val="001B2A1D"/>
    <w:rsid w:val="001B459B"/>
    <w:rsid w:val="001B6211"/>
    <w:rsid w:val="001B773F"/>
    <w:rsid w:val="001C650E"/>
    <w:rsid w:val="001C7E0B"/>
    <w:rsid w:val="001D3423"/>
    <w:rsid w:val="001D3EC4"/>
    <w:rsid w:val="001D44A8"/>
    <w:rsid w:val="001D7E6A"/>
    <w:rsid w:val="001E3019"/>
    <w:rsid w:val="001E352D"/>
    <w:rsid w:val="001E5B80"/>
    <w:rsid w:val="001E5D1D"/>
    <w:rsid w:val="001F484D"/>
    <w:rsid w:val="001F74A0"/>
    <w:rsid w:val="0020480F"/>
    <w:rsid w:val="00205ACB"/>
    <w:rsid w:val="0021474F"/>
    <w:rsid w:val="00220977"/>
    <w:rsid w:val="0022439C"/>
    <w:rsid w:val="002268B0"/>
    <w:rsid w:val="00240921"/>
    <w:rsid w:val="002458D8"/>
    <w:rsid w:val="002518CC"/>
    <w:rsid w:val="002538A2"/>
    <w:rsid w:val="00254BEF"/>
    <w:rsid w:val="002555A6"/>
    <w:rsid w:val="002564F9"/>
    <w:rsid w:val="00257713"/>
    <w:rsid w:val="00263312"/>
    <w:rsid w:val="002658E4"/>
    <w:rsid w:val="002659E0"/>
    <w:rsid w:val="00265C59"/>
    <w:rsid w:val="00267789"/>
    <w:rsid w:val="00275EFF"/>
    <w:rsid w:val="00276D87"/>
    <w:rsid w:val="002824EB"/>
    <w:rsid w:val="00283985"/>
    <w:rsid w:val="002860DD"/>
    <w:rsid w:val="002865A6"/>
    <w:rsid w:val="002874D0"/>
    <w:rsid w:val="00287FA5"/>
    <w:rsid w:val="00290BA3"/>
    <w:rsid w:val="00290C9D"/>
    <w:rsid w:val="002A4F4E"/>
    <w:rsid w:val="002A5657"/>
    <w:rsid w:val="002A7FF6"/>
    <w:rsid w:val="002B1199"/>
    <w:rsid w:val="002B46E4"/>
    <w:rsid w:val="002C0144"/>
    <w:rsid w:val="002C3044"/>
    <w:rsid w:val="002C3F02"/>
    <w:rsid w:val="002C5CBF"/>
    <w:rsid w:val="002C7E24"/>
    <w:rsid w:val="002D0C93"/>
    <w:rsid w:val="002D2D6B"/>
    <w:rsid w:val="002D78C1"/>
    <w:rsid w:val="002E11B6"/>
    <w:rsid w:val="002E1E0E"/>
    <w:rsid w:val="002E4D4A"/>
    <w:rsid w:val="002F0039"/>
    <w:rsid w:val="002F3320"/>
    <w:rsid w:val="002F5E15"/>
    <w:rsid w:val="002F7EFB"/>
    <w:rsid w:val="0030025E"/>
    <w:rsid w:val="00302C59"/>
    <w:rsid w:val="00303FFC"/>
    <w:rsid w:val="00305045"/>
    <w:rsid w:val="00306630"/>
    <w:rsid w:val="00311BD2"/>
    <w:rsid w:val="00314443"/>
    <w:rsid w:val="00315489"/>
    <w:rsid w:val="00316254"/>
    <w:rsid w:val="00320DA3"/>
    <w:rsid w:val="00322B1B"/>
    <w:rsid w:val="0033326C"/>
    <w:rsid w:val="00334BA3"/>
    <w:rsid w:val="00337528"/>
    <w:rsid w:val="003375C3"/>
    <w:rsid w:val="003420AB"/>
    <w:rsid w:val="003445E8"/>
    <w:rsid w:val="00345AE3"/>
    <w:rsid w:val="0035681F"/>
    <w:rsid w:val="003671EB"/>
    <w:rsid w:val="0037084A"/>
    <w:rsid w:val="0038210B"/>
    <w:rsid w:val="00382AAA"/>
    <w:rsid w:val="00383881"/>
    <w:rsid w:val="00383B95"/>
    <w:rsid w:val="003853A0"/>
    <w:rsid w:val="00392510"/>
    <w:rsid w:val="00394BE6"/>
    <w:rsid w:val="00394E08"/>
    <w:rsid w:val="00396C9C"/>
    <w:rsid w:val="003976BC"/>
    <w:rsid w:val="003A0089"/>
    <w:rsid w:val="003A1186"/>
    <w:rsid w:val="003A206C"/>
    <w:rsid w:val="003A5096"/>
    <w:rsid w:val="003B2074"/>
    <w:rsid w:val="003B2D89"/>
    <w:rsid w:val="003B65AE"/>
    <w:rsid w:val="003B6A0F"/>
    <w:rsid w:val="003B6BA7"/>
    <w:rsid w:val="003B7560"/>
    <w:rsid w:val="003C1CFF"/>
    <w:rsid w:val="003C26BF"/>
    <w:rsid w:val="003C5D3D"/>
    <w:rsid w:val="003D4174"/>
    <w:rsid w:val="003D4E69"/>
    <w:rsid w:val="003D6F28"/>
    <w:rsid w:val="003E676C"/>
    <w:rsid w:val="003F365A"/>
    <w:rsid w:val="003F5167"/>
    <w:rsid w:val="003F7D03"/>
    <w:rsid w:val="004058D2"/>
    <w:rsid w:val="004072CF"/>
    <w:rsid w:val="00407929"/>
    <w:rsid w:val="004102B0"/>
    <w:rsid w:val="00412565"/>
    <w:rsid w:val="00413CAF"/>
    <w:rsid w:val="00423000"/>
    <w:rsid w:val="00423156"/>
    <w:rsid w:val="00425BD1"/>
    <w:rsid w:val="00430AA6"/>
    <w:rsid w:val="00434F6C"/>
    <w:rsid w:val="0043655D"/>
    <w:rsid w:val="00437B04"/>
    <w:rsid w:val="00440026"/>
    <w:rsid w:val="00441A3A"/>
    <w:rsid w:val="00451135"/>
    <w:rsid w:val="00451739"/>
    <w:rsid w:val="00451EB7"/>
    <w:rsid w:val="0045271D"/>
    <w:rsid w:val="00454518"/>
    <w:rsid w:val="00455545"/>
    <w:rsid w:val="00455B9D"/>
    <w:rsid w:val="0046410F"/>
    <w:rsid w:val="0046482B"/>
    <w:rsid w:val="00464ECE"/>
    <w:rsid w:val="00465E0A"/>
    <w:rsid w:val="00467191"/>
    <w:rsid w:val="00476AAF"/>
    <w:rsid w:val="00476B77"/>
    <w:rsid w:val="00476C1F"/>
    <w:rsid w:val="00476F37"/>
    <w:rsid w:val="004827F8"/>
    <w:rsid w:val="00483AAC"/>
    <w:rsid w:val="0048517F"/>
    <w:rsid w:val="00490FE6"/>
    <w:rsid w:val="00492CBE"/>
    <w:rsid w:val="00494107"/>
    <w:rsid w:val="004A0203"/>
    <w:rsid w:val="004A0960"/>
    <w:rsid w:val="004A1622"/>
    <w:rsid w:val="004A1752"/>
    <w:rsid w:val="004A4624"/>
    <w:rsid w:val="004A47A5"/>
    <w:rsid w:val="004A68EF"/>
    <w:rsid w:val="004A6ECE"/>
    <w:rsid w:val="004B0043"/>
    <w:rsid w:val="004B0EB5"/>
    <w:rsid w:val="004B37AA"/>
    <w:rsid w:val="004C3297"/>
    <w:rsid w:val="004C3BA7"/>
    <w:rsid w:val="004C713F"/>
    <w:rsid w:val="004D2C0C"/>
    <w:rsid w:val="004D37B3"/>
    <w:rsid w:val="004D41A8"/>
    <w:rsid w:val="004D4255"/>
    <w:rsid w:val="004D5842"/>
    <w:rsid w:val="004D6D4B"/>
    <w:rsid w:val="004D7234"/>
    <w:rsid w:val="004E14F9"/>
    <w:rsid w:val="004E3A85"/>
    <w:rsid w:val="004E48D2"/>
    <w:rsid w:val="004E63C0"/>
    <w:rsid w:val="004E67E1"/>
    <w:rsid w:val="004F09C2"/>
    <w:rsid w:val="004F3AA6"/>
    <w:rsid w:val="004F4177"/>
    <w:rsid w:val="004F707A"/>
    <w:rsid w:val="004F7677"/>
    <w:rsid w:val="00502AE3"/>
    <w:rsid w:val="00506EB2"/>
    <w:rsid w:val="005075D0"/>
    <w:rsid w:val="00516084"/>
    <w:rsid w:val="00521999"/>
    <w:rsid w:val="00521C5E"/>
    <w:rsid w:val="005257E7"/>
    <w:rsid w:val="00525D96"/>
    <w:rsid w:val="00530C7B"/>
    <w:rsid w:val="005435F6"/>
    <w:rsid w:val="00544072"/>
    <w:rsid w:val="005457A3"/>
    <w:rsid w:val="00552D59"/>
    <w:rsid w:val="005547DC"/>
    <w:rsid w:val="0056049A"/>
    <w:rsid w:val="005608C6"/>
    <w:rsid w:val="005631EA"/>
    <w:rsid w:val="005633A3"/>
    <w:rsid w:val="00563759"/>
    <w:rsid w:val="00567023"/>
    <w:rsid w:val="005719F7"/>
    <w:rsid w:val="005851CF"/>
    <w:rsid w:val="00597EEB"/>
    <w:rsid w:val="005A6508"/>
    <w:rsid w:val="005A73DA"/>
    <w:rsid w:val="005B1B97"/>
    <w:rsid w:val="005B38F2"/>
    <w:rsid w:val="005B42A2"/>
    <w:rsid w:val="005B6EBC"/>
    <w:rsid w:val="005C0B46"/>
    <w:rsid w:val="005C6B51"/>
    <w:rsid w:val="005C6CA9"/>
    <w:rsid w:val="005C6F98"/>
    <w:rsid w:val="005C7109"/>
    <w:rsid w:val="005C77A0"/>
    <w:rsid w:val="005D373B"/>
    <w:rsid w:val="005D5721"/>
    <w:rsid w:val="005D5EC2"/>
    <w:rsid w:val="005D6174"/>
    <w:rsid w:val="005D6375"/>
    <w:rsid w:val="005D76A7"/>
    <w:rsid w:val="005E1E3F"/>
    <w:rsid w:val="005E31FA"/>
    <w:rsid w:val="005E3822"/>
    <w:rsid w:val="005E46D5"/>
    <w:rsid w:val="005E6371"/>
    <w:rsid w:val="005F1F07"/>
    <w:rsid w:val="005F43C5"/>
    <w:rsid w:val="005F5ED2"/>
    <w:rsid w:val="005F7B25"/>
    <w:rsid w:val="006000B5"/>
    <w:rsid w:val="00602227"/>
    <w:rsid w:val="00604258"/>
    <w:rsid w:val="00604BEA"/>
    <w:rsid w:val="00605BBC"/>
    <w:rsid w:val="00605D6A"/>
    <w:rsid w:val="00605EC2"/>
    <w:rsid w:val="00606144"/>
    <w:rsid w:val="00613AD0"/>
    <w:rsid w:val="00614E1E"/>
    <w:rsid w:val="00617447"/>
    <w:rsid w:val="006231FC"/>
    <w:rsid w:val="00623B17"/>
    <w:rsid w:val="00631D04"/>
    <w:rsid w:val="00632002"/>
    <w:rsid w:val="00633A4A"/>
    <w:rsid w:val="0063521F"/>
    <w:rsid w:val="0064141D"/>
    <w:rsid w:val="00641AFB"/>
    <w:rsid w:val="00641CCC"/>
    <w:rsid w:val="00642E96"/>
    <w:rsid w:val="0065512F"/>
    <w:rsid w:val="006600C8"/>
    <w:rsid w:val="006628DC"/>
    <w:rsid w:val="00665055"/>
    <w:rsid w:val="00666CB5"/>
    <w:rsid w:val="00670F85"/>
    <w:rsid w:val="00672F4C"/>
    <w:rsid w:val="00673622"/>
    <w:rsid w:val="006767E2"/>
    <w:rsid w:val="00682ADF"/>
    <w:rsid w:val="00684C80"/>
    <w:rsid w:val="006875EB"/>
    <w:rsid w:val="006878A8"/>
    <w:rsid w:val="006902D4"/>
    <w:rsid w:val="00691B9A"/>
    <w:rsid w:val="00692DA9"/>
    <w:rsid w:val="006950D3"/>
    <w:rsid w:val="00696296"/>
    <w:rsid w:val="006967A7"/>
    <w:rsid w:val="006A231B"/>
    <w:rsid w:val="006A4891"/>
    <w:rsid w:val="006A4D59"/>
    <w:rsid w:val="006B2B79"/>
    <w:rsid w:val="006B3A30"/>
    <w:rsid w:val="006B4747"/>
    <w:rsid w:val="006B7789"/>
    <w:rsid w:val="006C2476"/>
    <w:rsid w:val="006C24EC"/>
    <w:rsid w:val="006D2DE6"/>
    <w:rsid w:val="006D394E"/>
    <w:rsid w:val="006D5B41"/>
    <w:rsid w:val="006D664B"/>
    <w:rsid w:val="006E131F"/>
    <w:rsid w:val="006E1E19"/>
    <w:rsid w:val="006E1FF5"/>
    <w:rsid w:val="006E2923"/>
    <w:rsid w:val="006E379E"/>
    <w:rsid w:val="006E588E"/>
    <w:rsid w:val="006E77CB"/>
    <w:rsid w:val="006F285C"/>
    <w:rsid w:val="006F4C45"/>
    <w:rsid w:val="006F771C"/>
    <w:rsid w:val="00700E25"/>
    <w:rsid w:val="00705649"/>
    <w:rsid w:val="007114EC"/>
    <w:rsid w:val="00713EBA"/>
    <w:rsid w:val="007156BD"/>
    <w:rsid w:val="0071680C"/>
    <w:rsid w:val="00716BF9"/>
    <w:rsid w:val="00724635"/>
    <w:rsid w:val="007274FC"/>
    <w:rsid w:val="00734ED3"/>
    <w:rsid w:val="00742AF7"/>
    <w:rsid w:val="00742F5A"/>
    <w:rsid w:val="007456A7"/>
    <w:rsid w:val="00745F9F"/>
    <w:rsid w:val="00753488"/>
    <w:rsid w:val="007602CC"/>
    <w:rsid w:val="0076293E"/>
    <w:rsid w:val="00762BB6"/>
    <w:rsid w:val="0077018D"/>
    <w:rsid w:val="00772047"/>
    <w:rsid w:val="00773157"/>
    <w:rsid w:val="00775315"/>
    <w:rsid w:val="00776EAE"/>
    <w:rsid w:val="007829BD"/>
    <w:rsid w:val="00783979"/>
    <w:rsid w:val="00784D35"/>
    <w:rsid w:val="007877FD"/>
    <w:rsid w:val="00787E40"/>
    <w:rsid w:val="00793A77"/>
    <w:rsid w:val="00796BA1"/>
    <w:rsid w:val="007A13FE"/>
    <w:rsid w:val="007A4EB7"/>
    <w:rsid w:val="007A4FF8"/>
    <w:rsid w:val="007B2911"/>
    <w:rsid w:val="007B39F0"/>
    <w:rsid w:val="007B3FD7"/>
    <w:rsid w:val="007B6AC2"/>
    <w:rsid w:val="007B73A6"/>
    <w:rsid w:val="007C7C25"/>
    <w:rsid w:val="007D0AC2"/>
    <w:rsid w:val="007D738A"/>
    <w:rsid w:val="007D7B44"/>
    <w:rsid w:val="007D7B8E"/>
    <w:rsid w:val="007E0367"/>
    <w:rsid w:val="007E33B7"/>
    <w:rsid w:val="007E5241"/>
    <w:rsid w:val="007F0039"/>
    <w:rsid w:val="007F6758"/>
    <w:rsid w:val="00802F70"/>
    <w:rsid w:val="00805179"/>
    <w:rsid w:val="00805389"/>
    <w:rsid w:val="00807B37"/>
    <w:rsid w:val="008138ED"/>
    <w:rsid w:val="008138FB"/>
    <w:rsid w:val="008144E9"/>
    <w:rsid w:val="008229B8"/>
    <w:rsid w:val="00824853"/>
    <w:rsid w:val="0082714E"/>
    <w:rsid w:val="008272D4"/>
    <w:rsid w:val="0082764D"/>
    <w:rsid w:val="00832391"/>
    <w:rsid w:val="008351A4"/>
    <w:rsid w:val="008362FC"/>
    <w:rsid w:val="00836625"/>
    <w:rsid w:val="00842A61"/>
    <w:rsid w:val="00851093"/>
    <w:rsid w:val="0085260F"/>
    <w:rsid w:val="00855AD5"/>
    <w:rsid w:val="00863883"/>
    <w:rsid w:val="00866046"/>
    <w:rsid w:val="00866EBE"/>
    <w:rsid w:val="00867C36"/>
    <w:rsid w:val="0087387D"/>
    <w:rsid w:val="00873CC2"/>
    <w:rsid w:val="00874C7B"/>
    <w:rsid w:val="00876A19"/>
    <w:rsid w:val="00880129"/>
    <w:rsid w:val="00884DF4"/>
    <w:rsid w:val="00887185"/>
    <w:rsid w:val="008909EA"/>
    <w:rsid w:val="00890BF3"/>
    <w:rsid w:val="008955FE"/>
    <w:rsid w:val="00895AAE"/>
    <w:rsid w:val="008A05C9"/>
    <w:rsid w:val="008A61E2"/>
    <w:rsid w:val="008A722C"/>
    <w:rsid w:val="008B0D0E"/>
    <w:rsid w:val="008C7168"/>
    <w:rsid w:val="008C72C6"/>
    <w:rsid w:val="008C7921"/>
    <w:rsid w:val="008D1128"/>
    <w:rsid w:val="008D3022"/>
    <w:rsid w:val="008D3BCC"/>
    <w:rsid w:val="008D76AC"/>
    <w:rsid w:val="008E051F"/>
    <w:rsid w:val="008E0B44"/>
    <w:rsid w:val="008E3C22"/>
    <w:rsid w:val="008E6280"/>
    <w:rsid w:val="009009B9"/>
    <w:rsid w:val="00901EAD"/>
    <w:rsid w:val="00902DE4"/>
    <w:rsid w:val="00903CC8"/>
    <w:rsid w:val="0090401C"/>
    <w:rsid w:val="00906E7F"/>
    <w:rsid w:val="009106BF"/>
    <w:rsid w:val="00911C15"/>
    <w:rsid w:val="00911FD9"/>
    <w:rsid w:val="00913315"/>
    <w:rsid w:val="00920F56"/>
    <w:rsid w:val="00931177"/>
    <w:rsid w:val="00931848"/>
    <w:rsid w:val="00935EAF"/>
    <w:rsid w:val="009403DB"/>
    <w:rsid w:val="009415E4"/>
    <w:rsid w:val="009473F7"/>
    <w:rsid w:val="00953AE4"/>
    <w:rsid w:val="00960776"/>
    <w:rsid w:val="00961F21"/>
    <w:rsid w:val="00966DF2"/>
    <w:rsid w:val="00967B16"/>
    <w:rsid w:val="0097020B"/>
    <w:rsid w:val="00970C65"/>
    <w:rsid w:val="009769F2"/>
    <w:rsid w:val="00976DFD"/>
    <w:rsid w:val="00977107"/>
    <w:rsid w:val="009772AE"/>
    <w:rsid w:val="00980F26"/>
    <w:rsid w:val="00981828"/>
    <w:rsid w:val="00985C76"/>
    <w:rsid w:val="00991B90"/>
    <w:rsid w:val="0099268E"/>
    <w:rsid w:val="0099274D"/>
    <w:rsid w:val="00992B0F"/>
    <w:rsid w:val="00993E4F"/>
    <w:rsid w:val="0099520F"/>
    <w:rsid w:val="0099770A"/>
    <w:rsid w:val="009A2051"/>
    <w:rsid w:val="009A278F"/>
    <w:rsid w:val="009A48F2"/>
    <w:rsid w:val="009A4EE8"/>
    <w:rsid w:val="009A6092"/>
    <w:rsid w:val="009A7596"/>
    <w:rsid w:val="009B0718"/>
    <w:rsid w:val="009B1084"/>
    <w:rsid w:val="009B357F"/>
    <w:rsid w:val="009B37EA"/>
    <w:rsid w:val="009B4990"/>
    <w:rsid w:val="009B5630"/>
    <w:rsid w:val="009C04C1"/>
    <w:rsid w:val="009C0C73"/>
    <w:rsid w:val="009C1781"/>
    <w:rsid w:val="009C43EB"/>
    <w:rsid w:val="009C772C"/>
    <w:rsid w:val="009D29A9"/>
    <w:rsid w:val="009D3442"/>
    <w:rsid w:val="009D38FE"/>
    <w:rsid w:val="009D5ACB"/>
    <w:rsid w:val="009E1B3A"/>
    <w:rsid w:val="009E2AF1"/>
    <w:rsid w:val="009E313D"/>
    <w:rsid w:val="009E32BB"/>
    <w:rsid w:val="009E4149"/>
    <w:rsid w:val="009E65D9"/>
    <w:rsid w:val="009F1294"/>
    <w:rsid w:val="009F2924"/>
    <w:rsid w:val="009F542F"/>
    <w:rsid w:val="009F692B"/>
    <w:rsid w:val="00A02BCE"/>
    <w:rsid w:val="00A03D38"/>
    <w:rsid w:val="00A05952"/>
    <w:rsid w:val="00A05BBA"/>
    <w:rsid w:val="00A068D2"/>
    <w:rsid w:val="00A06D6B"/>
    <w:rsid w:val="00A1060A"/>
    <w:rsid w:val="00A116CB"/>
    <w:rsid w:val="00A123A4"/>
    <w:rsid w:val="00A219D4"/>
    <w:rsid w:val="00A2416F"/>
    <w:rsid w:val="00A252C6"/>
    <w:rsid w:val="00A25DAF"/>
    <w:rsid w:val="00A32127"/>
    <w:rsid w:val="00A36654"/>
    <w:rsid w:val="00A374DC"/>
    <w:rsid w:val="00A428D8"/>
    <w:rsid w:val="00A4579A"/>
    <w:rsid w:val="00A5745C"/>
    <w:rsid w:val="00A6351F"/>
    <w:rsid w:val="00A64EDF"/>
    <w:rsid w:val="00A76849"/>
    <w:rsid w:val="00A80849"/>
    <w:rsid w:val="00A844A3"/>
    <w:rsid w:val="00AA559E"/>
    <w:rsid w:val="00AB236D"/>
    <w:rsid w:val="00AB29F1"/>
    <w:rsid w:val="00AB5755"/>
    <w:rsid w:val="00AB6FDE"/>
    <w:rsid w:val="00AC3A37"/>
    <w:rsid w:val="00AC3B0A"/>
    <w:rsid w:val="00AC75BF"/>
    <w:rsid w:val="00AD1CF3"/>
    <w:rsid w:val="00AD3383"/>
    <w:rsid w:val="00AD47F0"/>
    <w:rsid w:val="00AE1E84"/>
    <w:rsid w:val="00AE2188"/>
    <w:rsid w:val="00AE3976"/>
    <w:rsid w:val="00AE4820"/>
    <w:rsid w:val="00AE6958"/>
    <w:rsid w:val="00AE7BA0"/>
    <w:rsid w:val="00AE7CC6"/>
    <w:rsid w:val="00AF044D"/>
    <w:rsid w:val="00AF0ABE"/>
    <w:rsid w:val="00AF1BC8"/>
    <w:rsid w:val="00AF297F"/>
    <w:rsid w:val="00AF3A18"/>
    <w:rsid w:val="00AF6A3E"/>
    <w:rsid w:val="00B01D80"/>
    <w:rsid w:val="00B03E8D"/>
    <w:rsid w:val="00B100E8"/>
    <w:rsid w:val="00B1138E"/>
    <w:rsid w:val="00B121FE"/>
    <w:rsid w:val="00B12F67"/>
    <w:rsid w:val="00B15BCF"/>
    <w:rsid w:val="00B160DA"/>
    <w:rsid w:val="00B165F0"/>
    <w:rsid w:val="00B16DED"/>
    <w:rsid w:val="00B174DA"/>
    <w:rsid w:val="00B17661"/>
    <w:rsid w:val="00B2442E"/>
    <w:rsid w:val="00B269A2"/>
    <w:rsid w:val="00B2792A"/>
    <w:rsid w:val="00B35352"/>
    <w:rsid w:val="00B36302"/>
    <w:rsid w:val="00B3659F"/>
    <w:rsid w:val="00B36BF7"/>
    <w:rsid w:val="00B46D2D"/>
    <w:rsid w:val="00B513C0"/>
    <w:rsid w:val="00B51CCC"/>
    <w:rsid w:val="00B526F2"/>
    <w:rsid w:val="00B53C6B"/>
    <w:rsid w:val="00B53F2F"/>
    <w:rsid w:val="00B566C0"/>
    <w:rsid w:val="00B57C2B"/>
    <w:rsid w:val="00B639E1"/>
    <w:rsid w:val="00B63F05"/>
    <w:rsid w:val="00B70A75"/>
    <w:rsid w:val="00B71A35"/>
    <w:rsid w:val="00B73B62"/>
    <w:rsid w:val="00B75A5F"/>
    <w:rsid w:val="00B75BBD"/>
    <w:rsid w:val="00B80D37"/>
    <w:rsid w:val="00B813D1"/>
    <w:rsid w:val="00B81818"/>
    <w:rsid w:val="00B830A6"/>
    <w:rsid w:val="00B83E24"/>
    <w:rsid w:val="00B84217"/>
    <w:rsid w:val="00B852CA"/>
    <w:rsid w:val="00B871A3"/>
    <w:rsid w:val="00B91168"/>
    <w:rsid w:val="00B914A0"/>
    <w:rsid w:val="00B9215B"/>
    <w:rsid w:val="00B94849"/>
    <w:rsid w:val="00B95C5F"/>
    <w:rsid w:val="00B95C77"/>
    <w:rsid w:val="00BA1A3F"/>
    <w:rsid w:val="00BA6360"/>
    <w:rsid w:val="00BA67FA"/>
    <w:rsid w:val="00BB7454"/>
    <w:rsid w:val="00BB7E3D"/>
    <w:rsid w:val="00BC19CD"/>
    <w:rsid w:val="00BC3B07"/>
    <w:rsid w:val="00BC6B1B"/>
    <w:rsid w:val="00BD154E"/>
    <w:rsid w:val="00BD7C0A"/>
    <w:rsid w:val="00BE42F9"/>
    <w:rsid w:val="00BE44F1"/>
    <w:rsid w:val="00BE51D6"/>
    <w:rsid w:val="00C02EC2"/>
    <w:rsid w:val="00C059CD"/>
    <w:rsid w:val="00C07A48"/>
    <w:rsid w:val="00C11BFB"/>
    <w:rsid w:val="00C130F1"/>
    <w:rsid w:val="00C13A8F"/>
    <w:rsid w:val="00C13DDF"/>
    <w:rsid w:val="00C22587"/>
    <w:rsid w:val="00C23187"/>
    <w:rsid w:val="00C2592C"/>
    <w:rsid w:val="00C314AA"/>
    <w:rsid w:val="00C338C1"/>
    <w:rsid w:val="00C42A0A"/>
    <w:rsid w:val="00C450E8"/>
    <w:rsid w:val="00C4548D"/>
    <w:rsid w:val="00C456A5"/>
    <w:rsid w:val="00C478B7"/>
    <w:rsid w:val="00C47927"/>
    <w:rsid w:val="00C5005D"/>
    <w:rsid w:val="00C5012B"/>
    <w:rsid w:val="00C51FC5"/>
    <w:rsid w:val="00C55589"/>
    <w:rsid w:val="00C613B8"/>
    <w:rsid w:val="00C64227"/>
    <w:rsid w:val="00C727B7"/>
    <w:rsid w:val="00C74701"/>
    <w:rsid w:val="00C759EF"/>
    <w:rsid w:val="00C77F73"/>
    <w:rsid w:val="00C800EF"/>
    <w:rsid w:val="00C85DDE"/>
    <w:rsid w:val="00C912F8"/>
    <w:rsid w:val="00C924F1"/>
    <w:rsid w:val="00C92F75"/>
    <w:rsid w:val="00CA1EEE"/>
    <w:rsid w:val="00CA54D9"/>
    <w:rsid w:val="00CA6BE6"/>
    <w:rsid w:val="00CA7254"/>
    <w:rsid w:val="00CB0A14"/>
    <w:rsid w:val="00CB1F3C"/>
    <w:rsid w:val="00CB2C14"/>
    <w:rsid w:val="00CB31AE"/>
    <w:rsid w:val="00CB6E50"/>
    <w:rsid w:val="00CB77D2"/>
    <w:rsid w:val="00CC5E74"/>
    <w:rsid w:val="00CD246F"/>
    <w:rsid w:val="00CD2A6A"/>
    <w:rsid w:val="00CD3CE4"/>
    <w:rsid w:val="00CD7D1D"/>
    <w:rsid w:val="00CE1E6B"/>
    <w:rsid w:val="00CE2DFA"/>
    <w:rsid w:val="00CE6A60"/>
    <w:rsid w:val="00CF3F1A"/>
    <w:rsid w:val="00D001F9"/>
    <w:rsid w:val="00D014B2"/>
    <w:rsid w:val="00D01D46"/>
    <w:rsid w:val="00D04EEE"/>
    <w:rsid w:val="00D05081"/>
    <w:rsid w:val="00D0602D"/>
    <w:rsid w:val="00D06ECC"/>
    <w:rsid w:val="00D07812"/>
    <w:rsid w:val="00D11429"/>
    <w:rsid w:val="00D11F17"/>
    <w:rsid w:val="00D1736E"/>
    <w:rsid w:val="00D21600"/>
    <w:rsid w:val="00D233DB"/>
    <w:rsid w:val="00D23C39"/>
    <w:rsid w:val="00D24D08"/>
    <w:rsid w:val="00D275C6"/>
    <w:rsid w:val="00D27CD5"/>
    <w:rsid w:val="00D31BA1"/>
    <w:rsid w:val="00D31EE0"/>
    <w:rsid w:val="00D324CA"/>
    <w:rsid w:val="00D32F58"/>
    <w:rsid w:val="00D3311E"/>
    <w:rsid w:val="00D353C9"/>
    <w:rsid w:val="00D37801"/>
    <w:rsid w:val="00D41DDB"/>
    <w:rsid w:val="00D56406"/>
    <w:rsid w:val="00D579EB"/>
    <w:rsid w:val="00D626F1"/>
    <w:rsid w:val="00D666B6"/>
    <w:rsid w:val="00D676C9"/>
    <w:rsid w:val="00D67804"/>
    <w:rsid w:val="00D67CDC"/>
    <w:rsid w:val="00D72947"/>
    <w:rsid w:val="00D73FA8"/>
    <w:rsid w:val="00D741BC"/>
    <w:rsid w:val="00D746FA"/>
    <w:rsid w:val="00D7687B"/>
    <w:rsid w:val="00D77DF4"/>
    <w:rsid w:val="00D80F03"/>
    <w:rsid w:val="00D81515"/>
    <w:rsid w:val="00D867BC"/>
    <w:rsid w:val="00D876E0"/>
    <w:rsid w:val="00D90584"/>
    <w:rsid w:val="00D92627"/>
    <w:rsid w:val="00D92D97"/>
    <w:rsid w:val="00D93B49"/>
    <w:rsid w:val="00D96054"/>
    <w:rsid w:val="00D97737"/>
    <w:rsid w:val="00DA2DD7"/>
    <w:rsid w:val="00DA4A1A"/>
    <w:rsid w:val="00DA6B9D"/>
    <w:rsid w:val="00DB004E"/>
    <w:rsid w:val="00DB05D4"/>
    <w:rsid w:val="00DB2474"/>
    <w:rsid w:val="00DB5045"/>
    <w:rsid w:val="00DC2F13"/>
    <w:rsid w:val="00DC33A8"/>
    <w:rsid w:val="00DC4B09"/>
    <w:rsid w:val="00DC5C35"/>
    <w:rsid w:val="00DD16C8"/>
    <w:rsid w:val="00DD50B9"/>
    <w:rsid w:val="00DD5659"/>
    <w:rsid w:val="00DD7001"/>
    <w:rsid w:val="00DE1C1C"/>
    <w:rsid w:val="00DE1EC1"/>
    <w:rsid w:val="00DE28F1"/>
    <w:rsid w:val="00DE44AA"/>
    <w:rsid w:val="00DF2470"/>
    <w:rsid w:val="00DF7EC7"/>
    <w:rsid w:val="00E00AA1"/>
    <w:rsid w:val="00E02AC0"/>
    <w:rsid w:val="00E04922"/>
    <w:rsid w:val="00E05D49"/>
    <w:rsid w:val="00E07CAC"/>
    <w:rsid w:val="00E15C61"/>
    <w:rsid w:val="00E21A92"/>
    <w:rsid w:val="00E25073"/>
    <w:rsid w:val="00E30EBE"/>
    <w:rsid w:val="00E35516"/>
    <w:rsid w:val="00E37BC1"/>
    <w:rsid w:val="00E417BD"/>
    <w:rsid w:val="00E42D86"/>
    <w:rsid w:val="00E4703E"/>
    <w:rsid w:val="00E523CA"/>
    <w:rsid w:val="00E54C72"/>
    <w:rsid w:val="00E560C6"/>
    <w:rsid w:val="00E602D1"/>
    <w:rsid w:val="00E62426"/>
    <w:rsid w:val="00E62DA9"/>
    <w:rsid w:val="00E66517"/>
    <w:rsid w:val="00E67234"/>
    <w:rsid w:val="00E67884"/>
    <w:rsid w:val="00E7348F"/>
    <w:rsid w:val="00E754F9"/>
    <w:rsid w:val="00E7768A"/>
    <w:rsid w:val="00E83996"/>
    <w:rsid w:val="00E849F8"/>
    <w:rsid w:val="00E85769"/>
    <w:rsid w:val="00E85DF2"/>
    <w:rsid w:val="00E879D2"/>
    <w:rsid w:val="00E92D9F"/>
    <w:rsid w:val="00E92E73"/>
    <w:rsid w:val="00E942AB"/>
    <w:rsid w:val="00E95299"/>
    <w:rsid w:val="00E954D1"/>
    <w:rsid w:val="00EA0D6B"/>
    <w:rsid w:val="00EA1CE4"/>
    <w:rsid w:val="00EA3019"/>
    <w:rsid w:val="00EA789E"/>
    <w:rsid w:val="00EB3E79"/>
    <w:rsid w:val="00EC162F"/>
    <w:rsid w:val="00EC41AE"/>
    <w:rsid w:val="00EC478D"/>
    <w:rsid w:val="00ED01E6"/>
    <w:rsid w:val="00ED05C8"/>
    <w:rsid w:val="00ED5873"/>
    <w:rsid w:val="00ED6587"/>
    <w:rsid w:val="00EE0547"/>
    <w:rsid w:val="00EE3C66"/>
    <w:rsid w:val="00EE4D2E"/>
    <w:rsid w:val="00EE50AA"/>
    <w:rsid w:val="00EE5292"/>
    <w:rsid w:val="00EE5C80"/>
    <w:rsid w:val="00EE691E"/>
    <w:rsid w:val="00EE71E3"/>
    <w:rsid w:val="00EE7360"/>
    <w:rsid w:val="00EF0775"/>
    <w:rsid w:val="00EF1664"/>
    <w:rsid w:val="00EF1AFC"/>
    <w:rsid w:val="00F07E63"/>
    <w:rsid w:val="00F1040E"/>
    <w:rsid w:val="00F105F7"/>
    <w:rsid w:val="00F109F4"/>
    <w:rsid w:val="00F134CB"/>
    <w:rsid w:val="00F15F37"/>
    <w:rsid w:val="00F22587"/>
    <w:rsid w:val="00F25F45"/>
    <w:rsid w:val="00F31414"/>
    <w:rsid w:val="00F34366"/>
    <w:rsid w:val="00F36498"/>
    <w:rsid w:val="00F37300"/>
    <w:rsid w:val="00F42D02"/>
    <w:rsid w:val="00F431D0"/>
    <w:rsid w:val="00F5071F"/>
    <w:rsid w:val="00F51502"/>
    <w:rsid w:val="00F53930"/>
    <w:rsid w:val="00F614C8"/>
    <w:rsid w:val="00F72662"/>
    <w:rsid w:val="00F76A0D"/>
    <w:rsid w:val="00F76A25"/>
    <w:rsid w:val="00F76E60"/>
    <w:rsid w:val="00F80103"/>
    <w:rsid w:val="00F8010D"/>
    <w:rsid w:val="00F83A1D"/>
    <w:rsid w:val="00F83E07"/>
    <w:rsid w:val="00F860C2"/>
    <w:rsid w:val="00F86274"/>
    <w:rsid w:val="00F92B48"/>
    <w:rsid w:val="00F9378D"/>
    <w:rsid w:val="00F95E08"/>
    <w:rsid w:val="00FA1148"/>
    <w:rsid w:val="00FA38F6"/>
    <w:rsid w:val="00FA7A14"/>
    <w:rsid w:val="00FB0BC3"/>
    <w:rsid w:val="00FB66BF"/>
    <w:rsid w:val="00FC00FF"/>
    <w:rsid w:val="00FC344B"/>
    <w:rsid w:val="00FC3B46"/>
    <w:rsid w:val="00FC5300"/>
    <w:rsid w:val="00FD2079"/>
    <w:rsid w:val="00FD266C"/>
    <w:rsid w:val="00FD7E9B"/>
    <w:rsid w:val="00FE0D73"/>
    <w:rsid w:val="00FE1B31"/>
    <w:rsid w:val="00FE3B74"/>
    <w:rsid w:val="00FE5FE8"/>
    <w:rsid w:val="00FE652B"/>
    <w:rsid w:val="00FE7C24"/>
    <w:rsid w:val="00FF19CF"/>
    <w:rsid w:val="00FF1B27"/>
    <w:rsid w:val="00FF6B75"/>
    <w:rsid w:val="00FF7445"/>
    <w:rsid w:val="010270F0"/>
    <w:rsid w:val="012B46D9"/>
    <w:rsid w:val="01ED48E9"/>
    <w:rsid w:val="0251315F"/>
    <w:rsid w:val="02830A6E"/>
    <w:rsid w:val="02877CBE"/>
    <w:rsid w:val="028871EC"/>
    <w:rsid w:val="02E048FD"/>
    <w:rsid w:val="03036715"/>
    <w:rsid w:val="035E1931"/>
    <w:rsid w:val="0365611B"/>
    <w:rsid w:val="036B22E3"/>
    <w:rsid w:val="03A34CD4"/>
    <w:rsid w:val="03FB73E0"/>
    <w:rsid w:val="044F21D4"/>
    <w:rsid w:val="0450305C"/>
    <w:rsid w:val="04A66D06"/>
    <w:rsid w:val="04DC7BC0"/>
    <w:rsid w:val="04ED10F3"/>
    <w:rsid w:val="05484B5E"/>
    <w:rsid w:val="054D2A6C"/>
    <w:rsid w:val="05C5167B"/>
    <w:rsid w:val="05D535AE"/>
    <w:rsid w:val="05EFFF3D"/>
    <w:rsid w:val="05F2070A"/>
    <w:rsid w:val="06071A70"/>
    <w:rsid w:val="062720E3"/>
    <w:rsid w:val="06384369"/>
    <w:rsid w:val="063C678E"/>
    <w:rsid w:val="06432606"/>
    <w:rsid w:val="06647A1B"/>
    <w:rsid w:val="06693CF4"/>
    <w:rsid w:val="076516EC"/>
    <w:rsid w:val="080161AD"/>
    <w:rsid w:val="08C07EB3"/>
    <w:rsid w:val="08E7539F"/>
    <w:rsid w:val="08E92574"/>
    <w:rsid w:val="09033A1A"/>
    <w:rsid w:val="097A0364"/>
    <w:rsid w:val="097D4D2E"/>
    <w:rsid w:val="09E932C2"/>
    <w:rsid w:val="0A5D6F1A"/>
    <w:rsid w:val="0B006DB0"/>
    <w:rsid w:val="0B99304D"/>
    <w:rsid w:val="0BC079D6"/>
    <w:rsid w:val="0BC6191D"/>
    <w:rsid w:val="0C80658F"/>
    <w:rsid w:val="0C9C0346"/>
    <w:rsid w:val="0C9D7B11"/>
    <w:rsid w:val="0D421D11"/>
    <w:rsid w:val="0D995122"/>
    <w:rsid w:val="0EB03C81"/>
    <w:rsid w:val="0F2A1391"/>
    <w:rsid w:val="0F80334F"/>
    <w:rsid w:val="0FA77B1D"/>
    <w:rsid w:val="0FBBD22F"/>
    <w:rsid w:val="0FD845D7"/>
    <w:rsid w:val="100C5DBF"/>
    <w:rsid w:val="10647699"/>
    <w:rsid w:val="10687047"/>
    <w:rsid w:val="116D3121"/>
    <w:rsid w:val="11A85264"/>
    <w:rsid w:val="11C857A2"/>
    <w:rsid w:val="12606042"/>
    <w:rsid w:val="12761DBB"/>
    <w:rsid w:val="12C915FF"/>
    <w:rsid w:val="12E85D65"/>
    <w:rsid w:val="138E002A"/>
    <w:rsid w:val="138E570A"/>
    <w:rsid w:val="13D13A36"/>
    <w:rsid w:val="150A10DB"/>
    <w:rsid w:val="150C427B"/>
    <w:rsid w:val="153C0178"/>
    <w:rsid w:val="15D24898"/>
    <w:rsid w:val="15EF2893"/>
    <w:rsid w:val="16656079"/>
    <w:rsid w:val="16AB7654"/>
    <w:rsid w:val="16D17DE8"/>
    <w:rsid w:val="1720068D"/>
    <w:rsid w:val="17247918"/>
    <w:rsid w:val="17853719"/>
    <w:rsid w:val="17BD2FD8"/>
    <w:rsid w:val="181538D7"/>
    <w:rsid w:val="18DD2BDA"/>
    <w:rsid w:val="19F00CEF"/>
    <w:rsid w:val="1A7031FE"/>
    <w:rsid w:val="1AF70E94"/>
    <w:rsid w:val="1AF81D29"/>
    <w:rsid w:val="1B05646C"/>
    <w:rsid w:val="1B43585D"/>
    <w:rsid w:val="1BE60DED"/>
    <w:rsid w:val="1BE92D15"/>
    <w:rsid w:val="1CBD77B5"/>
    <w:rsid w:val="1D2C42E1"/>
    <w:rsid w:val="1D3B214C"/>
    <w:rsid w:val="1DA149DA"/>
    <w:rsid w:val="1E070551"/>
    <w:rsid w:val="1E0C7038"/>
    <w:rsid w:val="1E4B4DFE"/>
    <w:rsid w:val="1E82168B"/>
    <w:rsid w:val="1ED028E2"/>
    <w:rsid w:val="1F2A1B2C"/>
    <w:rsid w:val="1F9B41CE"/>
    <w:rsid w:val="20101D23"/>
    <w:rsid w:val="20746BCC"/>
    <w:rsid w:val="211921E1"/>
    <w:rsid w:val="212658C3"/>
    <w:rsid w:val="213C5B1E"/>
    <w:rsid w:val="216F3ADD"/>
    <w:rsid w:val="218C05D0"/>
    <w:rsid w:val="21B04EA0"/>
    <w:rsid w:val="21DE65B0"/>
    <w:rsid w:val="22081996"/>
    <w:rsid w:val="222663EF"/>
    <w:rsid w:val="2254403F"/>
    <w:rsid w:val="22A1665D"/>
    <w:rsid w:val="22AF2901"/>
    <w:rsid w:val="22CA5F87"/>
    <w:rsid w:val="22DA4D4A"/>
    <w:rsid w:val="239A28A2"/>
    <w:rsid w:val="23DA045B"/>
    <w:rsid w:val="23E059B1"/>
    <w:rsid w:val="24A21121"/>
    <w:rsid w:val="24CA7207"/>
    <w:rsid w:val="24FF1242"/>
    <w:rsid w:val="25095DC6"/>
    <w:rsid w:val="25D35103"/>
    <w:rsid w:val="26333584"/>
    <w:rsid w:val="26A262CB"/>
    <w:rsid w:val="26C1758C"/>
    <w:rsid w:val="27060F70"/>
    <w:rsid w:val="27653EBC"/>
    <w:rsid w:val="277D71FB"/>
    <w:rsid w:val="27BC73A6"/>
    <w:rsid w:val="27C27E48"/>
    <w:rsid w:val="27FF515E"/>
    <w:rsid w:val="293C37B9"/>
    <w:rsid w:val="2978425F"/>
    <w:rsid w:val="2996794B"/>
    <w:rsid w:val="29B92124"/>
    <w:rsid w:val="2A02461E"/>
    <w:rsid w:val="2A54389D"/>
    <w:rsid w:val="2BAE3457"/>
    <w:rsid w:val="2BFA29EA"/>
    <w:rsid w:val="2C2A08DD"/>
    <w:rsid w:val="2C301F85"/>
    <w:rsid w:val="2C860725"/>
    <w:rsid w:val="2D406FB8"/>
    <w:rsid w:val="2D6015AE"/>
    <w:rsid w:val="2D880D3B"/>
    <w:rsid w:val="2DB805A2"/>
    <w:rsid w:val="2DD2310E"/>
    <w:rsid w:val="2DD57888"/>
    <w:rsid w:val="2E935474"/>
    <w:rsid w:val="2EB232A8"/>
    <w:rsid w:val="2EC31840"/>
    <w:rsid w:val="2EE9417A"/>
    <w:rsid w:val="2F735D5B"/>
    <w:rsid w:val="2FAE3BD0"/>
    <w:rsid w:val="2FD2260F"/>
    <w:rsid w:val="2FDB42F2"/>
    <w:rsid w:val="300467DE"/>
    <w:rsid w:val="30150CEF"/>
    <w:rsid w:val="302F21B3"/>
    <w:rsid w:val="303A62B6"/>
    <w:rsid w:val="31411E31"/>
    <w:rsid w:val="3145213E"/>
    <w:rsid w:val="31C03A67"/>
    <w:rsid w:val="31C06506"/>
    <w:rsid w:val="31FF1AD6"/>
    <w:rsid w:val="32037786"/>
    <w:rsid w:val="325D3972"/>
    <w:rsid w:val="33677490"/>
    <w:rsid w:val="33B73662"/>
    <w:rsid w:val="344666A4"/>
    <w:rsid w:val="34A167A4"/>
    <w:rsid w:val="35077E0B"/>
    <w:rsid w:val="351B0FF3"/>
    <w:rsid w:val="35EA7C0D"/>
    <w:rsid w:val="3697172B"/>
    <w:rsid w:val="37254E67"/>
    <w:rsid w:val="373D34CC"/>
    <w:rsid w:val="375E5ED0"/>
    <w:rsid w:val="37690F2D"/>
    <w:rsid w:val="376B3965"/>
    <w:rsid w:val="377D712C"/>
    <w:rsid w:val="37CB4474"/>
    <w:rsid w:val="37D44691"/>
    <w:rsid w:val="37FFCF5E"/>
    <w:rsid w:val="38162AF2"/>
    <w:rsid w:val="386411D9"/>
    <w:rsid w:val="38826955"/>
    <w:rsid w:val="38831B02"/>
    <w:rsid w:val="38A26815"/>
    <w:rsid w:val="392220FD"/>
    <w:rsid w:val="39611556"/>
    <w:rsid w:val="39622176"/>
    <w:rsid w:val="3A916878"/>
    <w:rsid w:val="3B073D6A"/>
    <w:rsid w:val="3B3F0177"/>
    <w:rsid w:val="3BE00985"/>
    <w:rsid w:val="3C383EBF"/>
    <w:rsid w:val="3C636D2D"/>
    <w:rsid w:val="3CA556FE"/>
    <w:rsid w:val="3CB67A63"/>
    <w:rsid w:val="3D082BD6"/>
    <w:rsid w:val="3D613E8B"/>
    <w:rsid w:val="3DE21CB5"/>
    <w:rsid w:val="3E3E35B8"/>
    <w:rsid w:val="3EC0741E"/>
    <w:rsid w:val="3EE70A85"/>
    <w:rsid w:val="3EF75075"/>
    <w:rsid w:val="3EF891A1"/>
    <w:rsid w:val="3F370CC5"/>
    <w:rsid w:val="3F7DFCA7"/>
    <w:rsid w:val="3F810BFE"/>
    <w:rsid w:val="3FA55852"/>
    <w:rsid w:val="3FD583E5"/>
    <w:rsid w:val="3FFB469E"/>
    <w:rsid w:val="3FFE5000"/>
    <w:rsid w:val="404D323E"/>
    <w:rsid w:val="407A4779"/>
    <w:rsid w:val="40AE28B8"/>
    <w:rsid w:val="40C86C7D"/>
    <w:rsid w:val="41444F50"/>
    <w:rsid w:val="42191A73"/>
    <w:rsid w:val="428017A0"/>
    <w:rsid w:val="429C45E0"/>
    <w:rsid w:val="42E0127D"/>
    <w:rsid w:val="43851699"/>
    <w:rsid w:val="43B15734"/>
    <w:rsid w:val="43C47272"/>
    <w:rsid w:val="43DD2C6A"/>
    <w:rsid w:val="44276E85"/>
    <w:rsid w:val="4436267B"/>
    <w:rsid w:val="4438755B"/>
    <w:rsid w:val="448F4104"/>
    <w:rsid w:val="44CF5498"/>
    <w:rsid w:val="44E85188"/>
    <w:rsid w:val="452B3161"/>
    <w:rsid w:val="467E56EB"/>
    <w:rsid w:val="46D955D2"/>
    <w:rsid w:val="47672D77"/>
    <w:rsid w:val="47733354"/>
    <w:rsid w:val="47BB15C5"/>
    <w:rsid w:val="47C43624"/>
    <w:rsid w:val="47D8565B"/>
    <w:rsid w:val="47E42C63"/>
    <w:rsid w:val="47EFD4F8"/>
    <w:rsid w:val="47FE0D1E"/>
    <w:rsid w:val="48B827A7"/>
    <w:rsid w:val="4945389A"/>
    <w:rsid w:val="49600001"/>
    <w:rsid w:val="497A7D9B"/>
    <w:rsid w:val="49A64278"/>
    <w:rsid w:val="49CD66B6"/>
    <w:rsid w:val="4A2A7F14"/>
    <w:rsid w:val="4A4A26C8"/>
    <w:rsid w:val="4A5D1063"/>
    <w:rsid w:val="4A6C3FA4"/>
    <w:rsid w:val="4BC70595"/>
    <w:rsid w:val="4BD77F33"/>
    <w:rsid w:val="4BFF1416"/>
    <w:rsid w:val="4BFF8DEF"/>
    <w:rsid w:val="4C9253D5"/>
    <w:rsid w:val="4CE80B1D"/>
    <w:rsid w:val="4D0B7382"/>
    <w:rsid w:val="4D7074BB"/>
    <w:rsid w:val="4D9C2ADD"/>
    <w:rsid w:val="4DD209F0"/>
    <w:rsid w:val="4E4E7251"/>
    <w:rsid w:val="4E701438"/>
    <w:rsid w:val="4E771660"/>
    <w:rsid w:val="4EBB7508"/>
    <w:rsid w:val="4F102255"/>
    <w:rsid w:val="4F553231"/>
    <w:rsid w:val="4F5E719D"/>
    <w:rsid w:val="4F6204F4"/>
    <w:rsid w:val="4FC35AB0"/>
    <w:rsid w:val="500C5CAF"/>
    <w:rsid w:val="50401A44"/>
    <w:rsid w:val="5072440E"/>
    <w:rsid w:val="50CF6F78"/>
    <w:rsid w:val="50D945BA"/>
    <w:rsid w:val="50DF66DE"/>
    <w:rsid w:val="520A36E7"/>
    <w:rsid w:val="52CC02F4"/>
    <w:rsid w:val="531F3F67"/>
    <w:rsid w:val="5343115E"/>
    <w:rsid w:val="53910F08"/>
    <w:rsid w:val="539F14EF"/>
    <w:rsid w:val="5454692B"/>
    <w:rsid w:val="54E51BB8"/>
    <w:rsid w:val="57327DE6"/>
    <w:rsid w:val="57534D80"/>
    <w:rsid w:val="575B479A"/>
    <w:rsid w:val="577928B9"/>
    <w:rsid w:val="57D61530"/>
    <w:rsid w:val="581B327B"/>
    <w:rsid w:val="58617184"/>
    <w:rsid w:val="58630F5E"/>
    <w:rsid w:val="58EE2A19"/>
    <w:rsid w:val="59135F47"/>
    <w:rsid w:val="59910EB1"/>
    <w:rsid w:val="599D6E0F"/>
    <w:rsid w:val="59AF0FC1"/>
    <w:rsid w:val="5A467E03"/>
    <w:rsid w:val="5A6F6CFF"/>
    <w:rsid w:val="5AC52394"/>
    <w:rsid w:val="5B3320F6"/>
    <w:rsid w:val="5B67506D"/>
    <w:rsid w:val="5B9D66B7"/>
    <w:rsid w:val="5C7A7FE8"/>
    <w:rsid w:val="5CD7375D"/>
    <w:rsid w:val="5D662175"/>
    <w:rsid w:val="5D6A563E"/>
    <w:rsid w:val="5DB11BE0"/>
    <w:rsid w:val="5DBE16D4"/>
    <w:rsid w:val="5DD97627"/>
    <w:rsid w:val="5DFF6D7C"/>
    <w:rsid w:val="5E0B413B"/>
    <w:rsid w:val="5E264F18"/>
    <w:rsid w:val="5E274473"/>
    <w:rsid w:val="5E5015B5"/>
    <w:rsid w:val="5E68566B"/>
    <w:rsid w:val="5EEE68A8"/>
    <w:rsid w:val="5F5FBE4E"/>
    <w:rsid w:val="5F6A5CCA"/>
    <w:rsid w:val="5F792B07"/>
    <w:rsid w:val="60093FDD"/>
    <w:rsid w:val="6073327A"/>
    <w:rsid w:val="60B966A0"/>
    <w:rsid w:val="60E447D6"/>
    <w:rsid w:val="610C2F5D"/>
    <w:rsid w:val="614307E5"/>
    <w:rsid w:val="615229BF"/>
    <w:rsid w:val="61547E9F"/>
    <w:rsid w:val="619D3FA6"/>
    <w:rsid w:val="624D0CF4"/>
    <w:rsid w:val="626241F8"/>
    <w:rsid w:val="62804EDE"/>
    <w:rsid w:val="62EC7E17"/>
    <w:rsid w:val="64020D55"/>
    <w:rsid w:val="641A53B9"/>
    <w:rsid w:val="64362E0C"/>
    <w:rsid w:val="64704A60"/>
    <w:rsid w:val="64BA54D0"/>
    <w:rsid w:val="659D0569"/>
    <w:rsid w:val="65E33DF3"/>
    <w:rsid w:val="665D24B6"/>
    <w:rsid w:val="667C16BE"/>
    <w:rsid w:val="668054A4"/>
    <w:rsid w:val="66B63092"/>
    <w:rsid w:val="66F42283"/>
    <w:rsid w:val="67433B4C"/>
    <w:rsid w:val="675235A7"/>
    <w:rsid w:val="676208CA"/>
    <w:rsid w:val="679FE77F"/>
    <w:rsid w:val="67FC6953"/>
    <w:rsid w:val="685F0309"/>
    <w:rsid w:val="69950363"/>
    <w:rsid w:val="69B924CB"/>
    <w:rsid w:val="6A101B6F"/>
    <w:rsid w:val="6A4E5285"/>
    <w:rsid w:val="6A5016CA"/>
    <w:rsid w:val="6A602BA7"/>
    <w:rsid w:val="6A681F56"/>
    <w:rsid w:val="6AC156F9"/>
    <w:rsid w:val="6AC64E7F"/>
    <w:rsid w:val="6ACF705A"/>
    <w:rsid w:val="6BC43128"/>
    <w:rsid w:val="6BCBFB31"/>
    <w:rsid w:val="6C1813BD"/>
    <w:rsid w:val="6C836E2B"/>
    <w:rsid w:val="6CDE124E"/>
    <w:rsid w:val="6D97DE63"/>
    <w:rsid w:val="6DD8F611"/>
    <w:rsid w:val="6DFE85C8"/>
    <w:rsid w:val="6E2E19D5"/>
    <w:rsid w:val="6E7D0132"/>
    <w:rsid w:val="6ED97503"/>
    <w:rsid w:val="6EF17C1D"/>
    <w:rsid w:val="6F1B2FC8"/>
    <w:rsid w:val="6F4654F5"/>
    <w:rsid w:val="6FF792BF"/>
    <w:rsid w:val="6FFD2A79"/>
    <w:rsid w:val="6FFFF83F"/>
    <w:rsid w:val="70F612FE"/>
    <w:rsid w:val="71044BEF"/>
    <w:rsid w:val="71514895"/>
    <w:rsid w:val="71767F40"/>
    <w:rsid w:val="73F37D35"/>
    <w:rsid w:val="73FFA974"/>
    <w:rsid w:val="74426203"/>
    <w:rsid w:val="74DF614F"/>
    <w:rsid w:val="75084450"/>
    <w:rsid w:val="752D7DE2"/>
    <w:rsid w:val="75342401"/>
    <w:rsid w:val="75A77AAD"/>
    <w:rsid w:val="76065609"/>
    <w:rsid w:val="76133500"/>
    <w:rsid w:val="76767CB9"/>
    <w:rsid w:val="76A511D8"/>
    <w:rsid w:val="76F6230E"/>
    <w:rsid w:val="77633D14"/>
    <w:rsid w:val="77715BE3"/>
    <w:rsid w:val="77913488"/>
    <w:rsid w:val="77FF2DA3"/>
    <w:rsid w:val="78241584"/>
    <w:rsid w:val="788E4B85"/>
    <w:rsid w:val="78ED0223"/>
    <w:rsid w:val="78F022AF"/>
    <w:rsid w:val="790E47F3"/>
    <w:rsid w:val="793840FB"/>
    <w:rsid w:val="79EBD795"/>
    <w:rsid w:val="79FF4243"/>
    <w:rsid w:val="7A355557"/>
    <w:rsid w:val="7A3F4878"/>
    <w:rsid w:val="7A5231C3"/>
    <w:rsid w:val="7A59754F"/>
    <w:rsid w:val="7A5D3A5A"/>
    <w:rsid w:val="7A75157C"/>
    <w:rsid w:val="7A9A1A06"/>
    <w:rsid w:val="7AEF079A"/>
    <w:rsid w:val="7AF00033"/>
    <w:rsid w:val="7B530BF5"/>
    <w:rsid w:val="7B7270D6"/>
    <w:rsid w:val="7B97C7FF"/>
    <w:rsid w:val="7BB15E08"/>
    <w:rsid w:val="7BFC38A2"/>
    <w:rsid w:val="7BFF205F"/>
    <w:rsid w:val="7C3C06D3"/>
    <w:rsid w:val="7C5D431D"/>
    <w:rsid w:val="7C770846"/>
    <w:rsid w:val="7C7F0CC5"/>
    <w:rsid w:val="7CB513E4"/>
    <w:rsid w:val="7D975D4B"/>
    <w:rsid w:val="7DCE31BE"/>
    <w:rsid w:val="7DD36C28"/>
    <w:rsid w:val="7DD8345A"/>
    <w:rsid w:val="7DFF8BCC"/>
    <w:rsid w:val="7E521C1D"/>
    <w:rsid w:val="7EAB564A"/>
    <w:rsid w:val="7EAE5261"/>
    <w:rsid w:val="7EF68568"/>
    <w:rsid w:val="7F2A44FA"/>
    <w:rsid w:val="7F7F73B9"/>
    <w:rsid w:val="7F875376"/>
    <w:rsid w:val="7FDF6378"/>
    <w:rsid w:val="7FE172A0"/>
    <w:rsid w:val="7FEE0623"/>
    <w:rsid w:val="7FF0DF2D"/>
    <w:rsid w:val="7FFE304D"/>
    <w:rsid w:val="7FFF4F1D"/>
    <w:rsid w:val="7FFFCF20"/>
    <w:rsid w:val="9DF98B2E"/>
    <w:rsid w:val="9F9BF656"/>
    <w:rsid w:val="9FF727B0"/>
    <w:rsid w:val="B65E59AA"/>
    <w:rsid w:val="BDF318F1"/>
    <w:rsid w:val="BDFFCAF5"/>
    <w:rsid w:val="BE7FB6AB"/>
    <w:rsid w:val="BF5D379B"/>
    <w:rsid w:val="CE2DD5A7"/>
    <w:rsid w:val="D7970FBB"/>
    <w:rsid w:val="DBDED989"/>
    <w:rsid w:val="DBFD45FC"/>
    <w:rsid w:val="DDAF931F"/>
    <w:rsid w:val="DFD36BF2"/>
    <w:rsid w:val="DFFD8D59"/>
    <w:rsid w:val="DFFF5213"/>
    <w:rsid w:val="E22FFD3D"/>
    <w:rsid w:val="E3700B28"/>
    <w:rsid w:val="E7FEBCAF"/>
    <w:rsid w:val="E9F90A32"/>
    <w:rsid w:val="ECB2BF33"/>
    <w:rsid w:val="EF2EECC9"/>
    <w:rsid w:val="EF3B566B"/>
    <w:rsid w:val="EF4F884E"/>
    <w:rsid w:val="EFDC7171"/>
    <w:rsid w:val="EFFD5A65"/>
    <w:rsid w:val="F5F3670A"/>
    <w:rsid w:val="F739CC70"/>
    <w:rsid w:val="F797FD97"/>
    <w:rsid w:val="F7B1AC9B"/>
    <w:rsid w:val="FB7BA792"/>
    <w:rsid w:val="FDFB82E2"/>
    <w:rsid w:val="FDFD3B03"/>
    <w:rsid w:val="FEB7CC60"/>
    <w:rsid w:val="FF61058F"/>
    <w:rsid w:val="FF6916A9"/>
    <w:rsid w:val="FF9EB66C"/>
    <w:rsid w:val="FFAF3AE9"/>
    <w:rsid w:val="FFD7E9C2"/>
    <w:rsid w:val="FFDF07FA"/>
    <w:rsid w:val="FFE771F6"/>
    <w:rsid w:val="FFFD08EC"/>
    <w:rsid w:val="FFFFF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6"/>
    <w:qFormat/>
    <w:uiPriority w:val="0"/>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8"/>
    <w:qFormat/>
    <w:uiPriority w:val="0"/>
    <w:pPr>
      <w:keepNext/>
      <w:keepLines/>
      <w:widowControl w:val="0"/>
      <w:spacing w:before="260" w:after="260" w:line="416" w:lineRule="auto"/>
      <w:jc w:val="both"/>
      <w:outlineLvl w:val="2"/>
    </w:pPr>
    <w:rPr>
      <w:b/>
      <w:bCs/>
      <w:kern w:val="2"/>
      <w:sz w:val="32"/>
      <w:szCs w:val="32"/>
    </w:rPr>
  </w:style>
  <w:style w:type="character" w:default="1" w:styleId="19">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qFormat/>
    <w:uiPriority w:val="0"/>
    <w:pPr>
      <w:spacing w:after="120"/>
    </w:pPr>
  </w:style>
  <w:style w:type="paragraph" w:styleId="7">
    <w:name w:val="annotation subject"/>
    <w:basedOn w:val="8"/>
    <w:next w:val="8"/>
    <w:link w:val="36"/>
    <w:qFormat/>
    <w:uiPriority w:val="0"/>
    <w:rPr>
      <w:b/>
      <w:bCs/>
    </w:rPr>
  </w:style>
  <w:style w:type="paragraph" w:styleId="8">
    <w:name w:val="annotation text"/>
    <w:basedOn w:val="1"/>
    <w:link w:val="34"/>
    <w:qFormat/>
    <w:uiPriority w:val="0"/>
    <w:pPr>
      <w:widowControl w:val="0"/>
    </w:pPr>
    <w:rPr>
      <w:kern w:val="2"/>
      <w:sz w:val="21"/>
    </w:rPr>
  </w:style>
  <w:style w:type="paragraph" w:styleId="9">
    <w:name w:val="Body Text Indent"/>
    <w:basedOn w:val="1"/>
    <w:next w:val="10"/>
    <w:link w:val="41"/>
    <w:qFormat/>
    <w:uiPriority w:val="99"/>
    <w:pPr>
      <w:spacing w:after="120"/>
      <w:ind w:left="420" w:leftChars="200"/>
    </w:pPr>
    <w:rPr>
      <w:rFonts w:cs="宋体"/>
    </w:rPr>
  </w:style>
  <w:style w:type="paragraph" w:styleId="10">
    <w:name w:val="envelope return"/>
    <w:basedOn w:val="1"/>
    <w:unhideWhenUsed/>
    <w:qFormat/>
    <w:uiPriority w:val="0"/>
    <w:pPr>
      <w:snapToGrid w:val="0"/>
    </w:pPr>
    <w:rPr>
      <w:rFonts w:ascii="Arial" w:hAnsi="Arial"/>
    </w:rPr>
  </w:style>
  <w:style w:type="paragraph" w:styleId="11">
    <w:name w:val="toc 3"/>
    <w:basedOn w:val="1"/>
    <w:next w:val="1"/>
    <w:unhideWhenUsed/>
    <w:qFormat/>
    <w:uiPriority w:val="39"/>
    <w:pPr>
      <w:spacing w:after="100" w:line="276" w:lineRule="auto"/>
      <w:ind w:left="440"/>
    </w:pPr>
    <w:rPr>
      <w:rFonts w:ascii="Calibri" w:hAnsi="Calibri"/>
      <w:sz w:val="22"/>
      <w:szCs w:val="22"/>
    </w:rPr>
  </w:style>
  <w:style w:type="paragraph" w:styleId="12">
    <w:name w:val="Balloon Text"/>
    <w:basedOn w:val="1"/>
    <w:link w:val="33"/>
    <w:qFormat/>
    <w:uiPriority w:val="0"/>
    <w:rPr>
      <w:sz w:val="18"/>
      <w:szCs w:val="18"/>
    </w:rPr>
  </w:style>
  <w:style w:type="paragraph" w:styleId="13">
    <w:name w:val="footer"/>
    <w:basedOn w:val="1"/>
    <w:link w:val="32"/>
    <w:qFormat/>
    <w:uiPriority w:val="99"/>
    <w:pPr>
      <w:tabs>
        <w:tab w:val="center" w:pos="4153"/>
        <w:tab w:val="right" w:pos="8306"/>
      </w:tabs>
      <w:snapToGrid w:val="0"/>
    </w:pPr>
    <w:rPr>
      <w:sz w:val="18"/>
      <w:szCs w:val="18"/>
    </w:rPr>
  </w:style>
  <w:style w:type="paragraph" w:styleId="14">
    <w:name w:val="Body Text First Indent 2"/>
    <w:basedOn w:val="9"/>
    <w:unhideWhenUsed/>
    <w:qFormat/>
    <w:uiPriority w:val="0"/>
    <w:pPr>
      <w:ind w:firstLine="420" w:firstLineChars="200"/>
    </w:pPr>
  </w:style>
  <w:style w:type="paragraph" w:styleId="15">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after="100" w:line="276" w:lineRule="auto"/>
    </w:pPr>
    <w:rPr>
      <w:rFonts w:ascii="Calibri" w:hAnsi="Calibri"/>
      <w:sz w:val="22"/>
      <w:szCs w:val="22"/>
    </w:rPr>
  </w:style>
  <w:style w:type="paragraph" w:styleId="17">
    <w:name w:val="toc 2"/>
    <w:basedOn w:val="1"/>
    <w:next w:val="1"/>
    <w:unhideWhenUsed/>
    <w:qFormat/>
    <w:uiPriority w:val="39"/>
    <w:pPr>
      <w:tabs>
        <w:tab w:val="right" w:leader="dot" w:pos="8302"/>
      </w:tabs>
      <w:spacing w:after="100" w:line="300" w:lineRule="exact"/>
      <w:ind w:left="221"/>
    </w:pPr>
    <w:rPr>
      <w:rFonts w:ascii="Calibri" w:hAnsi="Calibri"/>
      <w:sz w:val="22"/>
      <w:szCs w:val="22"/>
    </w:rPr>
  </w:style>
  <w:style w:type="paragraph" w:styleId="18">
    <w:name w:val="Normal (Web)"/>
    <w:basedOn w:val="1"/>
    <w:qFormat/>
    <w:uiPriority w:val="99"/>
  </w:style>
  <w:style w:type="character" w:styleId="20">
    <w:name w:val="FollowedHyperlink"/>
    <w:unhideWhenUsed/>
    <w:qFormat/>
    <w:uiPriority w:val="99"/>
    <w:rPr>
      <w:color w:val="800080"/>
      <w:u w:val="single"/>
    </w:rPr>
  </w:style>
  <w:style w:type="character" w:styleId="21">
    <w:name w:val="Emphasis"/>
    <w:basedOn w:val="19"/>
    <w:qFormat/>
    <w:uiPriority w:val="20"/>
  </w:style>
  <w:style w:type="character" w:styleId="22">
    <w:name w:val="Hyperlink"/>
    <w:qFormat/>
    <w:uiPriority w:val="99"/>
    <w:rPr>
      <w:color w:val="0000FF"/>
      <w:u w:val="single"/>
    </w:rPr>
  </w:style>
  <w:style w:type="character" w:styleId="23">
    <w:name w:val="annotation reference"/>
    <w:qFormat/>
    <w:uiPriority w:val="0"/>
    <w:rPr>
      <w:sz w:val="21"/>
      <w:szCs w:val="21"/>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标题 1 字符"/>
    <w:link w:val="4"/>
    <w:qFormat/>
    <w:uiPriority w:val="0"/>
    <w:rPr>
      <w:rFonts w:eastAsia="仿宋_GB2312"/>
      <w:b/>
      <w:kern w:val="44"/>
      <w:sz w:val="32"/>
      <w:szCs w:val="22"/>
    </w:rPr>
  </w:style>
  <w:style w:type="character" w:customStyle="1" w:styleId="27">
    <w:name w:val="标题 2 字符"/>
    <w:basedOn w:val="19"/>
    <w:link w:val="5"/>
    <w:semiHidden/>
    <w:qFormat/>
    <w:uiPriority w:val="0"/>
    <w:rPr>
      <w:rFonts w:asciiTheme="majorHAnsi" w:hAnsiTheme="majorHAnsi" w:eastAsiaTheme="majorEastAsia" w:cstheme="majorBidi"/>
      <w:b/>
      <w:bCs/>
      <w:sz w:val="32"/>
      <w:szCs w:val="32"/>
    </w:rPr>
  </w:style>
  <w:style w:type="character" w:customStyle="1" w:styleId="28">
    <w:name w:val="标题 3 字符"/>
    <w:basedOn w:val="19"/>
    <w:link w:val="6"/>
    <w:qFormat/>
    <w:uiPriority w:val="0"/>
    <w:rPr>
      <w:b/>
      <w:bCs/>
      <w:kern w:val="2"/>
      <w:sz w:val="32"/>
      <w:szCs w:val="32"/>
    </w:rPr>
  </w:style>
  <w:style w:type="paragraph" w:customStyle="1" w:styleId="29">
    <w:name w:val="p1"/>
    <w:basedOn w:val="1"/>
    <w:qFormat/>
    <w:uiPriority w:val="0"/>
    <w:pPr>
      <w:spacing w:line="380" w:lineRule="atLeast"/>
    </w:pPr>
    <w:rPr>
      <w:rFonts w:ascii="Helvetica Neue" w:hAnsi="Helvetica Neue" w:eastAsia="Helvetica Neue"/>
      <w:color w:val="000000"/>
      <w:sz w:val="26"/>
      <w:szCs w:val="26"/>
    </w:rPr>
  </w:style>
  <w:style w:type="paragraph" w:customStyle="1" w:styleId="30">
    <w:name w:val="列表段落1"/>
    <w:basedOn w:val="1"/>
    <w:unhideWhenUsed/>
    <w:qFormat/>
    <w:uiPriority w:val="34"/>
    <w:pPr>
      <w:ind w:firstLine="420" w:firstLineChars="200"/>
    </w:pPr>
  </w:style>
  <w:style w:type="character" w:customStyle="1" w:styleId="31">
    <w:name w:val="页眉 字符"/>
    <w:basedOn w:val="19"/>
    <w:link w:val="15"/>
    <w:qFormat/>
    <w:uiPriority w:val="0"/>
    <w:rPr>
      <w:sz w:val="18"/>
      <w:szCs w:val="18"/>
    </w:rPr>
  </w:style>
  <w:style w:type="character" w:customStyle="1" w:styleId="32">
    <w:name w:val="页脚 字符"/>
    <w:basedOn w:val="19"/>
    <w:link w:val="13"/>
    <w:qFormat/>
    <w:uiPriority w:val="99"/>
    <w:rPr>
      <w:sz w:val="18"/>
      <w:szCs w:val="18"/>
    </w:rPr>
  </w:style>
  <w:style w:type="character" w:customStyle="1" w:styleId="33">
    <w:name w:val="批注框文本 字符"/>
    <w:basedOn w:val="19"/>
    <w:link w:val="12"/>
    <w:qFormat/>
    <w:uiPriority w:val="0"/>
    <w:rPr>
      <w:sz w:val="18"/>
      <w:szCs w:val="18"/>
    </w:rPr>
  </w:style>
  <w:style w:type="character" w:customStyle="1" w:styleId="34">
    <w:name w:val="批注文字 字符"/>
    <w:link w:val="8"/>
    <w:qFormat/>
    <w:uiPriority w:val="0"/>
    <w:rPr>
      <w:kern w:val="2"/>
      <w:sz w:val="21"/>
      <w:szCs w:val="24"/>
    </w:rPr>
  </w:style>
  <w:style w:type="character" w:customStyle="1" w:styleId="35">
    <w:name w:val="c41"/>
    <w:qFormat/>
    <w:uiPriority w:val="0"/>
    <w:rPr>
      <w:b/>
      <w:bCs/>
      <w:color w:val="F34824"/>
    </w:rPr>
  </w:style>
  <w:style w:type="character" w:customStyle="1" w:styleId="36">
    <w:name w:val="批注主题 字符"/>
    <w:link w:val="7"/>
    <w:qFormat/>
    <w:uiPriority w:val="0"/>
    <w:rPr>
      <w:b/>
      <w:bCs/>
      <w:kern w:val="2"/>
      <w:sz w:val="21"/>
      <w:szCs w:val="24"/>
    </w:rPr>
  </w:style>
  <w:style w:type="character" w:customStyle="1" w:styleId="37">
    <w:name w:val="批注文字 Char1"/>
    <w:basedOn w:val="19"/>
    <w:qFormat/>
    <w:uiPriority w:val="0"/>
    <w:rPr>
      <w:sz w:val="24"/>
      <w:szCs w:val="24"/>
    </w:rPr>
  </w:style>
  <w:style w:type="character" w:customStyle="1" w:styleId="38">
    <w:name w:val="批注主题 Char1"/>
    <w:basedOn w:val="37"/>
    <w:qFormat/>
    <w:uiPriority w:val="0"/>
    <w:rPr>
      <w:b/>
      <w:bCs/>
      <w:sz w:val="24"/>
      <w:szCs w:val="24"/>
    </w:rPr>
  </w:style>
  <w:style w:type="paragraph" w:customStyle="1" w:styleId="39">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40">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character" w:customStyle="1" w:styleId="41">
    <w:name w:val="正文文本缩进 字符"/>
    <w:basedOn w:val="19"/>
    <w:link w:val="9"/>
    <w:qFormat/>
    <w:uiPriority w:val="99"/>
    <w:rPr>
      <w:rFonts w:cs="宋体"/>
      <w:sz w:val="24"/>
      <w:szCs w:val="24"/>
    </w:rPr>
  </w:style>
  <w:style w:type="character" w:customStyle="1" w:styleId="42">
    <w:name w:val="info-content-text"/>
    <w:basedOn w:val="19"/>
    <w:qFormat/>
    <w:uiPriority w:val="0"/>
  </w:style>
  <w:style w:type="paragraph" w:customStyle="1" w:styleId="43">
    <w:name w:val="info-content"/>
    <w:basedOn w:val="1"/>
    <w:qFormat/>
    <w:uiPriority w:val="0"/>
    <w:pPr>
      <w:spacing w:before="100" w:beforeAutospacing="1" w:after="100" w:afterAutospacing="1"/>
    </w:pPr>
    <w:rPr>
      <w:rFonts w:ascii="宋体" w:hAnsi="宋体" w:cs="宋体"/>
    </w:rPr>
  </w:style>
  <w:style w:type="paragraph" w:customStyle="1" w:styleId="44">
    <w:name w:val="修订1"/>
    <w:hidden/>
    <w:unhideWhenUsed/>
    <w:qFormat/>
    <w:uiPriority w:val="99"/>
    <w:rPr>
      <w:rFonts w:ascii="Times New Roman" w:hAnsi="Times New Roman" w:eastAsia="宋体" w:cs="Times New Roman"/>
      <w:sz w:val="24"/>
      <w:szCs w:val="24"/>
      <w:lang w:val="en-US" w:eastAsia="zh-CN" w:bidi="ar-SA"/>
    </w:rPr>
  </w:style>
  <w:style w:type="character" w:customStyle="1" w:styleId="45">
    <w:name w:val="font01"/>
    <w:basedOn w:val="1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2865</Words>
  <Characters>16332</Characters>
  <Lines>136</Lines>
  <Paragraphs>38</Paragraphs>
  <TotalTime>0</TotalTime>
  <ScaleCrop>false</ScaleCrop>
  <LinksUpToDate>false</LinksUpToDate>
  <CharactersWithSpaces>19159</CharactersWithSpaces>
  <Application>WPS Office_3.3.0.5120_F1E327BC-269C-435d-A152-05C5408002CA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2020-03-14T00:23:00Z</dcterms:created>
  <dc:creator>吴国军</dc:creator>
  <cp:lastModifiedBy>吴国军</cp:lastModifiedBy>
  <cp:lastPrinted>2020-03-20T23:39:00Z</cp:lastPrinted>
  <dcterms:modified xsi:type="dcterms:W3CDTF">2021-02-25T03:00:05Z</dcterms:modified>
  <cp:revision>542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