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DD" w:rsidRPr="008856FB" w:rsidRDefault="008856FB" w:rsidP="008856FB">
      <w:pPr>
        <w:jc w:val="center"/>
        <w:rPr>
          <w:rFonts w:hint="eastAsia"/>
          <w:b/>
          <w:sz w:val="24"/>
        </w:rPr>
      </w:pPr>
      <w:r w:rsidRPr="008856FB">
        <w:rPr>
          <w:rFonts w:hint="eastAsia"/>
          <w:b/>
          <w:sz w:val="28"/>
        </w:rPr>
        <w:t>房地产估值单</w:t>
      </w:r>
    </w:p>
    <w:p w:rsidR="008856FB" w:rsidRDefault="008856FB" w:rsidP="008856FB">
      <w:pPr>
        <w:jc w:val="right"/>
        <w:rPr>
          <w:rFonts w:hint="eastAsia"/>
          <w:sz w:val="20"/>
        </w:rPr>
      </w:pPr>
      <w:r w:rsidRPr="008856FB">
        <w:rPr>
          <w:rFonts w:hint="eastAsia"/>
          <w:sz w:val="20"/>
        </w:rPr>
        <w:t>对应报告编号：</w:t>
      </w:r>
      <w:proofErr w:type="gramStart"/>
      <w:r w:rsidRPr="008856FB">
        <w:rPr>
          <w:rFonts w:hint="eastAsia"/>
          <w:sz w:val="20"/>
        </w:rPr>
        <w:t>康正评</w:t>
      </w:r>
      <w:proofErr w:type="gramEnd"/>
      <w:r w:rsidRPr="008856FB">
        <w:rPr>
          <w:rFonts w:hint="eastAsia"/>
          <w:sz w:val="20"/>
        </w:rPr>
        <w:t>字</w:t>
      </w:r>
      <w:r w:rsidRPr="008856FB">
        <w:rPr>
          <w:rFonts w:hint="eastAsia"/>
          <w:sz w:val="20"/>
        </w:rPr>
        <w:t>2015-1-B-1-069</w:t>
      </w:r>
      <w:r w:rsidRPr="008856FB">
        <w:rPr>
          <w:rFonts w:hint="eastAsia"/>
          <w:sz w:val="20"/>
        </w:rPr>
        <w:t>号</w:t>
      </w:r>
    </w:p>
    <w:p w:rsidR="008856FB" w:rsidRPr="00343FC4" w:rsidRDefault="008856FB" w:rsidP="006863A6">
      <w:pPr>
        <w:spacing w:line="360" w:lineRule="auto"/>
        <w:rPr>
          <w:rFonts w:hint="eastAsia"/>
          <w:sz w:val="22"/>
          <w:szCs w:val="24"/>
        </w:rPr>
      </w:pPr>
      <w:r w:rsidRPr="00343FC4">
        <w:rPr>
          <w:rFonts w:hint="eastAsia"/>
          <w:sz w:val="22"/>
          <w:szCs w:val="24"/>
        </w:rPr>
        <w:t>恒丰银行股份有限公司：</w:t>
      </w:r>
    </w:p>
    <w:p w:rsidR="008856FB" w:rsidRPr="00343FC4" w:rsidRDefault="006863A6" w:rsidP="00343FC4">
      <w:pPr>
        <w:spacing w:line="360" w:lineRule="auto"/>
        <w:ind w:firstLineChars="200" w:firstLine="440"/>
        <w:rPr>
          <w:rFonts w:hint="eastAsia"/>
          <w:sz w:val="22"/>
          <w:szCs w:val="24"/>
        </w:rPr>
      </w:pPr>
      <w:r w:rsidRPr="00343FC4">
        <w:rPr>
          <w:rFonts w:hint="eastAsia"/>
          <w:sz w:val="22"/>
          <w:szCs w:val="24"/>
        </w:rPr>
        <w:t>根据贵方要求，我司对亚洲包装中心有限公司所拥有的浙江省杭州市江干区钱江新城</w:t>
      </w:r>
      <w:r w:rsidRPr="00343FC4">
        <w:rPr>
          <w:rFonts w:hint="eastAsia"/>
          <w:sz w:val="22"/>
          <w:szCs w:val="24"/>
        </w:rPr>
        <w:t>A-01-1</w:t>
      </w:r>
      <w:r w:rsidRPr="00343FC4">
        <w:rPr>
          <w:rFonts w:hint="eastAsia"/>
          <w:sz w:val="22"/>
          <w:szCs w:val="24"/>
        </w:rPr>
        <w:t>地块</w:t>
      </w:r>
      <w:proofErr w:type="gramStart"/>
      <w:r w:rsidRPr="00343FC4">
        <w:rPr>
          <w:rFonts w:hint="eastAsia"/>
          <w:sz w:val="22"/>
          <w:szCs w:val="24"/>
        </w:rPr>
        <w:t>亚包大厦</w:t>
      </w:r>
      <w:proofErr w:type="gramEnd"/>
      <w:r w:rsidRPr="00343FC4">
        <w:rPr>
          <w:rFonts w:hint="eastAsia"/>
          <w:sz w:val="22"/>
          <w:szCs w:val="24"/>
        </w:rPr>
        <w:t>项目全部商业及部分办公用房在建工程及其分摊的出让国有建设用地使用权进行估价，价值时点为</w:t>
      </w:r>
      <w:r w:rsidRPr="00343FC4">
        <w:rPr>
          <w:rFonts w:hint="eastAsia"/>
          <w:sz w:val="22"/>
          <w:szCs w:val="24"/>
        </w:rPr>
        <w:t>2015</w:t>
      </w:r>
      <w:r w:rsidRPr="00343FC4">
        <w:rPr>
          <w:rFonts w:hint="eastAsia"/>
          <w:sz w:val="22"/>
          <w:szCs w:val="24"/>
        </w:rPr>
        <w:t>年</w:t>
      </w:r>
      <w:r w:rsidRPr="00343FC4">
        <w:rPr>
          <w:rFonts w:hint="eastAsia"/>
          <w:sz w:val="22"/>
          <w:szCs w:val="24"/>
        </w:rPr>
        <w:t>12</w:t>
      </w:r>
      <w:r w:rsidRPr="00343FC4">
        <w:rPr>
          <w:rFonts w:hint="eastAsia"/>
          <w:sz w:val="22"/>
          <w:szCs w:val="24"/>
        </w:rPr>
        <w:t>月</w:t>
      </w:r>
      <w:r w:rsidRPr="00343FC4">
        <w:rPr>
          <w:rFonts w:hint="eastAsia"/>
          <w:sz w:val="22"/>
          <w:szCs w:val="24"/>
        </w:rPr>
        <w:t>24</w:t>
      </w:r>
      <w:r w:rsidRPr="00343FC4">
        <w:rPr>
          <w:rFonts w:hint="eastAsia"/>
          <w:sz w:val="22"/>
          <w:szCs w:val="24"/>
        </w:rPr>
        <w:t>日，房地产价值为</w:t>
      </w:r>
      <w:r w:rsidR="00343FC4" w:rsidRPr="00343FC4">
        <w:rPr>
          <w:sz w:val="22"/>
          <w:szCs w:val="24"/>
        </w:rPr>
        <w:t>341852.29</w:t>
      </w:r>
      <w:r w:rsidR="00805C13" w:rsidRPr="00343FC4">
        <w:rPr>
          <w:rFonts w:hint="eastAsia"/>
          <w:sz w:val="22"/>
          <w:szCs w:val="24"/>
        </w:rPr>
        <w:t>万</w:t>
      </w:r>
      <w:r w:rsidRPr="00343FC4">
        <w:rPr>
          <w:rFonts w:hint="eastAsia"/>
          <w:sz w:val="22"/>
          <w:szCs w:val="24"/>
        </w:rPr>
        <w:t>元，大写金额</w:t>
      </w:r>
      <w:r w:rsidR="00805C13" w:rsidRPr="00343FC4">
        <w:rPr>
          <w:rFonts w:hint="eastAsia"/>
          <w:sz w:val="22"/>
          <w:szCs w:val="24"/>
        </w:rPr>
        <w:t>人民币</w:t>
      </w:r>
      <w:proofErr w:type="gramStart"/>
      <w:r w:rsidR="00343FC4" w:rsidRPr="00343FC4">
        <w:rPr>
          <w:rFonts w:hint="eastAsia"/>
          <w:sz w:val="22"/>
          <w:szCs w:val="24"/>
        </w:rPr>
        <w:t>叁拾肆亿壹仟捌佰伍拾贰万贰仟玖佰</w:t>
      </w:r>
      <w:proofErr w:type="gramEnd"/>
      <w:r w:rsidR="00343FC4" w:rsidRPr="00343FC4">
        <w:rPr>
          <w:rFonts w:hint="eastAsia"/>
          <w:sz w:val="22"/>
          <w:szCs w:val="24"/>
        </w:rPr>
        <w:t>元整</w:t>
      </w:r>
      <w:r w:rsidRPr="00343FC4">
        <w:rPr>
          <w:rFonts w:hint="eastAsia"/>
          <w:sz w:val="22"/>
          <w:szCs w:val="24"/>
        </w:rPr>
        <w:t>。</w:t>
      </w:r>
    </w:p>
    <w:p w:rsidR="00343FC4" w:rsidRPr="00343FC4" w:rsidRDefault="00343FC4" w:rsidP="00343FC4">
      <w:pPr>
        <w:spacing w:line="360" w:lineRule="auto"/>
        <w:ind w:firstLineChars="200" w:firstLine="440"/>
        <w:jc w:val="center"/>
        <w:rPr>
          <w:rFonts w:hint="eastAsia"/>
          <w:sz w:val="22"/>
          <w:szCs w:val="24"/>
        </w:rPr>
      </w:pPr>
      <w:r w:rsidRPr="00343FC4">
        <w:rPr>
          <w:rFonts w:hint="eastAsia"/>
          <w:sz w:val="22"/>
          <w:szCs w:val="24"/>
        </w:rPr>
        <w:t>估价结果明细表</w:t>
      </w:r>
    </w:p>
    <w:tbl>
      <w:tblPr>
        <w:tblStyle w:val="a5"/>
        <w:tblW w:w="0" w:type="auto"/>
        <w:jc w:val="center"/>
        <w:tblInd w:w="-2567" w:type="dxa"/>
        <w:tblLook w:val="04A0" w:firstRow="1" w:lastRow="0" w:firstColumn="1" w:lastColumn="0" w:noHBand="0" w:noVBand="1"/>
      </w:tblPr>
      <w:tblGrid>
        <w:gridCol w:w="4271"/>
        <w:gridCol w:w="1628"/>
        <w:gridCol w:w="1559"/>
        <w:gridCol w:w="1587"/>
      </w:tblGrid>
      <w:tr w:rsidR="00343FC4" w:rsidRPr="00343FC4" w:rsidTr="00F3771D">
        <w:trPr>
          <w:jc w:val="center"/>
        </w:trPr>
        <w:tc>
          <w:tcPr>
            <w:tcW w:w="4271" w:type="dxa"/>
            <w:vAlign w:val="center"/>
          </w:tcPr>
          <w:p w:rsidR="00343FC4" w:rsidRPr="00343FC4" w:rsidRDefault="00343FC4" w:rsidP="00343FC4">
            <w:pPr>
              <w:jc w:val="center"/>
              <w:rPr>
                <w:sz w:val="20"/>
                <w:szCs w:val="24"/>
              </w:rPr>
            </w:pPr>
            <w:r w:rsidRPr="00343FC4">
              <w:rPr>
                <w:rFonts w:hint="eastAsia"/>
                <w:sz w:val="20"/>
                <w:szCs w:val="24"/>
              </w:rPr>
              <w:t>估价对象名称</w:t>
            </w:r>
          </w:p>
        </w:tc>
        <w:tc>
          <w:tcPr>
            <w:tcW w:w="1628" w:type="dxa"/>
            <w:vAlign w:val="center"/>
          </w:tcPr>
          <w:p w:rsidR="00343FC4" w:rsidRPr="00343FC4" w:rsidRDefault="00343FC4" w:rsidP="00343FC4">
            <w:pPr>
              <w:jc w:val="center"/>
              <w:rPr>
                <w:rFonts w:hint="eastAsia"/>
                <w:sz w:val="20"/>
                <w:szCs w:val="24"/>
              </w:rPr>
            </w:pPr>
            <w:r w:rsidRPr="00343FC4">
              <w:rPr>
                <w:rFonts w:hint="eastAsia"/>
                <w:sz w:val="20"/>
                <w:szCs w:val="24"/>
              </w:rPr>
              <w:t>建筑面积</w:t>
            </w:r>
          </w:p>
          <w:p w:rsidR="00343FC4" w:rsidRPr="00343FC4" w:rsidRDefault="00343FC4" w:rsidP="00343FC4">
            <w:pPr>
              <w:jc w:val="center"/>
              <w:rPr>
                <w:sz w:val="20"/>
                <w:szCs w:val="24"/>
              </w:rPr>
            </w:pPr>
            <w:r w:rsidRPr="00343FC4">
              <w:rPr>
                <w:rFonts w:hint="eastAsia"/>
                <w:sz w:val="20"/>
                <w:szCs w:val="24"/>
              </w:rPr>
              <w:t>（</w:t>
            </w:r>
            <w:r w:rsidRPr="00343FC4">
              <w:rPr>
                <w:rFonts w:hint="eastAsia"/>
                <w:sz w:val="20"/>
                <w:szCs w:val="24"/>
              </w:rPr>
              <w:t>m</w:t>
            </w:r>
            <w:r w:rsidRPr="00343FC4">
              <w:rPr>
                <w:rFonts w:hint="eastAsia"/>
                <w:sz w:val="20"/>
                <w:szCs w:val="24"/>
                <w:vertAlign w:val="superscript"/>
              </w:rPr>
              <w:t>2</w:t>
            </w:r>
            <w:r w:rsidRPr="00343FC4">
              <w:rPr>
                <w:rFonts w:hint="eastAsia"/>
                <w:sz w:val="20"/>
                <w:szCs w:val="24"/>
              </w:rPr>
              <w:t>）</w:t>
            </w:r>
          </w:p>
        </w:tc>
        <w:tc>
          <w:tcPr>
            <w:tcW w:w="1559" w:type="dxa"/>
            <w:vAlign w:val="center"/>
          </w:tcPr>
          <w:p w:rsidR="00343FC4" w:rsidRPr="00343FC4" w:rsidRDefault="00343FC4" w:rsidP="00343FC4">
            <w:pPr>
              <w:jc w:val="center"/>
              <w:rPr>
                <w:sz w:val="20"/>
                <w:szCs w:val="24"/>
              </w:rPr>
            </w:pPr>
            <w:r w:rsidRPr="00343FC4">
              <w:rPr>
                <w:rFonts w:hint="eastAsia"/>
                <w:sz w:val="20"/>
                <w:szCs w:val="24"/>
              </w:rPr>
              <w:t>分摊土地面积</w:t>
            </w:r>
            <w:r w:rsidRPr="00343FC4">
              <w:rPr>
                <w:rFonts w:hint="eastAsia"/>
                <w:sz w:val="20"/>
                <w:szCs w:val="24"/>
              </w:rPr>
              <w:t>（</w:t>
            </w:r>
            <w:r w:rsidRPr="00343FC4">
              <w:rPr>
                <w:rFonts w:hint="eastAsia"/>
                <w:sz w:val="20"/>
                <w:szCs w:val="24"/>
              </w:rPr>
              <w:t>m</w:t>
            </w:r>
            <w:r w:rsidRPr="00343FC4">
              <w:rPr>
                <w:rFonts w:hint="eastAsia"/>
                <w:sz w:val="20"/>
                <w:szCs w:val="24"/>
                <w:vertAlign w:val="superscript"/>
              </w:rPr>
              <w:t>2</w:t>
            </w:r>
            <w:r w:rsidRPr="00343FC4">
              <w:rPr>
                <w:rFonts w:hint="eastAsia"/>
                <w:sz w:val="20"/>
                <w:szCs w:val="24"/>
              </w:rPr>
              <w:t>）</w:t>
            </w:r>
          </w:p>
        </w:tc>
        <w:tc>
          <w:tcPr>
            <w:tcW w:w="1587" w:type="dxa"/>
            <w:vAlign w:val="center"/>
          </w:tcPr>
          <w:p w:rsidR="00343FC4" w:rsidRPr="00343FC4" w:rsidRDefault="00343FC4" w:rsidP="00343FC4">
            <w:pPr>
              <w:jc w:val="center"/>
              <w:rPr>
                <w:rFonts w:hint="eastAsia"/>
                <w:sz w:val="20"/>
                <w:szCs w:val="24"/>
              </w:rPr>
            </w:pPr>
            <w:r w:rsidRPr="00343FC4">
              <w:rPr>
                <w:rFonts w:hint="eastAsia"/>
                <w:sz w:val="20"/>
                <w:szCs w:val="24"/>
              </w:rPr>
              <w:t>房地产价值</w:t>
            </w:r>
          </w:p>
          <w:p w:rsidR="00343FC4" w:rsidRPr="00343FC4" w:rsidRDefault="00343FC4" w:rsidP="00343FC4">
            <w:pPr>
              <w:jc w:val="center"/>
              <w:rPr>
                <w:sz w:val="20"/>
                <w:szCs w:val="24"/>
              </w:rPr>
            </w:pPr>
            <w:r w:rsidRPr="00343FC4">
              <w:rPr>
                <w:rFonts w:hint="eastAsia"/>
                <w:sz w:val="20"/>
                <w:szCs w:val="24"/>
              </w:rPr>
              <w:t>（万元）</w:t>
            </w:r>
          </w:p>
        </w:tc>
      </w:tr>
      <w:tr w:rsidR="00343FC4" w:rsidRPr="00343FC4" w:rsidTr="00F3771D">
        <w:trPr>
          <w:jc w:val="center"/>
        </w:trPr>
        <w:tc>
          <w:tcPr>
            <w:tcW w:w="4271" w:type="dxa"/>
            <w:vAlign w:val="center"/>
          </w:tcPr>
          <w:p w:rsidR="00343FC4" w:rsidRPr="00343FC4" w:rsidRDefault="00AA280C" w:rsidP="00343FC4">
            <w:pPr>
              <w:jc w:val="center"/>
              <w:rPr>
                <w:sz w:val="20"/>
                <w:szCs w:val="24"/>
              </w:rPr>
            </w:pPr>
            <w:r w:rsidRPr="00AA280C">
              <w:rPr>
                <w:rFonts w:hint="eastAsia"/>
                <w:sz w:val="20"/>
                <w:szCs w:val="24"/>
              </w:rPr>
              <w:t>浙江省杭州市江干区钱江新城</w:t>
            </w:r>
            <w:r w:rsidRPr="00AA280C">
              <w:rPr>
                <w:rFonts w:hint="eastAsia"/>
                <w:sz w:val="20"/>
                <w:szCs w:val="24"/>
              </w:rPr>
              <w:t>A-01-1</w:t>
            </w:r>
            <w:r w:rsidRPr="00AA280C">
              <w:rPr>
                <w:rFonts w:hint="eastAsia"/>
                <w:sz w:val="20"/>
                <w:szCs w:val="24"/>
              </w:rPr>
              <w:t>地块</w:t>
            </w:r>
            <w:proofErr w:type="gramStart"/>
            <w:r w:rsidRPr="00AA280C">
              <w:rPr>
                <w:rFonts w:hint="eastAsia"/>
                <w:sz w:val="20"/>
                <w:szCs w:val="24"/>
              </w:rPr>
              <w:t>亚包大厦</w:t>
            </w:r>
            <w:proofErr w:type="gramEnd"/>
            <w:r w:rsidRPr="00AA280C">
              <w:rPr>
                <w:rFonts w:hint="eastAsia"/>
                <w:sz w:val="20"/>
                <w:szCs w:val="24"/>
              </w:rPr>
              <w:t>项目全部商业及部分办公用房在建工程及其分摊的出让国有建设用地使用权</w:t>
            </w:r>
          </w:p>
        </w:tc>
        <w:tc>
          <w:tcPr>
            <w:tcW w:w="1628" w:type="dxa"/>
            <w:vAlign w:val="center"/>
          </w:tcPr>
          <w:p w:rsidR="00343FC4" w:rsidRPr="00343FC4" w:rsidRDefault="00343FC4" w:rsidP="00343FC4">
            <w:pPr>
              <w:jc w:val="center"/>
              <w:rPr>
                <w:sz w:val="20"/>
                <w:szCs w:val="24"/>
              </w:rPr>
            </w:pPr>
            <w:r w:rsidRPr="00343FC4">
              <w:rPr>
                <w:sz w:val="20"/>
                <w:szCs w:val="24"/>
              </w:rPr>
              <w:t>113407.6</w:t>
            </w:r>
          </w:p>
        </w:tc>
        <w:tc>
          <w:tcPr>
            <w:tcW w:w="1559" w:type="dxa"/>
            <w:vAlign w:val="center"/>
          </w:tcPr>
          <w:p w:rsidR="00343FC4" w:rsidRPr="00343FC4" w:rsidRDefault="00F3771D" w:rsidP="00343FC4">
            <w:pPr>
              <w:jc w:val="center"/>
              <w:rPr>
                <w:sz w:val="20"/>
                <w:szCs w:val="24"/>
              </w:rPr>
            </w:pPr>
            <w:r>
              <w:rPr>
                <w:rFonts w:hint="eastAsia"/>
                <w:sz w:val="20"/>
                <w:szCs w:val="24"/>
              </w:rPr>
              <w:t>14849.23</w:t>
            </w:r>
          </w:p>
        </w:tc>
        <w:tc>
          <w:tcPr>
            <w:tcW w:w="1587" w:type="dxa"/>
            <w:vAlign w:val="center"/>
          </w:tcPr>
          <w:p w:rsidR="00343FC4" w:rsidRPr="00343FC4" w:rsidRDefault="00F3771D" w:rsidP="00343FC4">
            <w:pPr>
              <w:jc w:val="center"/>
              <w:rPr>
                <w:sz w:val="20"/>
                <w:szCs w:val="24"/>
              </w:rPr>
            </w:pPr>
            <w:r w:rsidRPr="00F3771D">
              <w:rPr>
                <w:sz w:val="20"/>
                <w:szCs w:val="24"/>
              </w:rPr>
              <w:t>341852.29</w:t>
            </w:r>
          </w:p>
        </w:tc>
      </w:tr>
    </w:tbl>
    <w:p w:rsidR="00343FC4" w:rsidRDefault="003B3439" w:rsidP="003B3439">
      <w:pPr>
        <w:spacing w:line="360" w:lineRule="auto"/>
        <w:ind w:firstLineChars="200" w:firstLine="440"/>
        <w:rPr>
          <w:rFonts w:hint="eastAsia"/>
          <w:sz w:val="22"/>
          <w:szCs w:val="24"/>
        </w:rPr>
      </w:pPr>
      <w:r>
        <w:rPr>
          <w:rFonts w:hint="eastAsia"/>
          <w:sz w:val="22"/>
          <w:szCs w:val="24"/>
        </w:rPr>
        <w:t>说明：</w:t>
      </w:r>
      <w:bookmarkStart w:id="0" w:name="_GoBack"/>
      <w:bookmarkEnd w:id="0"/>
    </w:p>
    <w:p w:rsidR="00F3771D" w:rsidRDefault="003B3439" w:rsidP="003B3439">
      <w:pPr>
        <w:spacing w:line="360" w:lineRule="auto"/>
        <w:ind w:firstLineChars="200" w:firstLine="440"/>
        <w:rPr>
          <w:rFonts w:hint="eastAsia"/>
          <w:sz w:val="22"/>
          <w:szCs w:val="24"/>
        </w:rPr>
      </w:pPr>
      <w:r>
        <w:rPr>
          <w:rFonts w:hint="eastAsia"/>
          <w:sz w:val="22"/>
          <w:szCs w:val="24"/>
        </w:rPr>
        <w:t>1</w:t>
      </w:r>
      <w:r>
        <w:rPr>
          <w:rFonts w:hint="eastAsia"/>
          <w:sz w:val="22"/>
          <w:szCs w:val="24"/>
        </w:rPr>
        <w:t>、该房地产价值是基于以下假设与限制条件得出的：</w:t>
      </w:r>
    </w:p>
    <w:p w:rsidR="003B3439" w:rsidRDefault="00F3771D" w:rsidP="003B3439">
      <w:pPr>
        <w:spacing w:line="360" w:lineRule="auto"/>
        <w:ind w:firstLineChars="200" w:firstLine="440"/>
        <w:rPr>
          <w:rFonts w:hint="eastAsia"/>
          <w:sz w:val="22"/>
          <w:szCs w:val="24"/>
        </w:rPr>
      </w:pPr>
      <w:r>
        <w:rPr>
          <w:rFonts w:hint="eastAsia"/>
          <w:sz w:val="22"/>
          <w:szCs w:val="24"/>
        </w:rPr>
        <w:t>（</w:t>
      </w:r>
      <w:r>
        <w:rPr>
          <w:rFonts w:hint="eastAsia"/>
          <w:sz w:val="22"/>
          <w:szCs w:val="24"/>
        </w:rPr>
        <w:t>1</w:t>
      </w:r>
      <w:r>
        <w:rPr>
          <w:rFonts w:hint="eastAsia"/>
          <w:sz w:val="22"/>
          <w:szCs w:val="24"/>
        </w:rPr>
        <w:t>）估价对象建筑面积依据委托方提供的相关资料及数据，分摊土地面积依据委托方提供的相关数据测算得到。</w:t>
      </w:r>
    </w:p>
    <w:p w:rsidR="00F3771D" w:rsidRDefault="00F3771D" w:rsidP="003B3439">
      <w:pPr>
        <w:spacing w:line="360" w:lineRule="auto"/>
        <w:ind w:firstLineChars="200" w:firstLine="440"/>
        <w:rPr>
          <w:rFonts w:hint="eastAsia"/>
          <w:sz w:val="22"/>
          <w:szCs w:val="24"/>
        </w:rPr>
      </w:pPr>
      <w:r>
        <w:rPr>
          <w:rFonts w:hint="eastAsia"/>
          <w:sz w:val="22"/>
          <w:szCs w:val="24"/>
        </w:rPr>
        <w:t>（</w:t>
      </w:r>
      <w:r>
        <w:rPr>
          <w:rFonts w:hint="eastAsia"/>
          <w:sz w:val="22"/>
          <w:szCs w:val="24"/>
        </w:rPr>
        <w:t>2</w:t>
      </w:r>
      <w:r>
        <w:rPr>
          <w:rFonts w:hint="eastAsia"/>
          <w:sz w:val="22"/>
          <w:szCs w:val="24"/>
        </w:rPr>
        <w:t>）估值单</w:t>
      </w:r>
      <w:r w:rsidRPr="00343FC4">
        <w:rPr>
          <w:rFonts w:hint="eastAsia"/>
          <w:sz w:val="22"/>
          <w:szCs w:val="24"/>
        </w:rPr>
        <w:t>价值时点为</w:t>
      </w:r>
      <w:r w:rsidRPr="00343FC4">
        <w:rPr>
          <w:rFonts w:hint="eastAsia"/>
          <w:sz w:val="22"/>
          <w:szCs w:val="24"/>
        </w:rPr>
        <w:t>2015</w:t>
      </w:r>
      <w:r w:rsidRPr="00343FC4">
        <w:rPr>
          <w:rFonts w:hint="eastAsia"/>
          <w:sz w:val="22"/>
          <w:szCs w:val="24"/>
        </w:rPr>
        <w:t>年</w:t>
      </w:r>
      <w:r w:rsidRPr="00343FC4">
        <w:rPr>
          <w:rFonts w:hint="eastAsia"/>
          <w:sz w:val="22"/>
          <w:szCs w:val="24"/>
        </w:rPr>
        <w:t>12</w:t>
      </w:r>
      <w:r w:rsidRPr="00343FC4">
        <w:rPr>
          <w:rFonts w:hint="eastAsia"/>
          <w:sz w:val="22"/>
          <w:szCs w:val="24"/>
        </w:rPr>
        <w:t>月</w:t>
      </w:r>
      <w:r w:rsidRPr="00343FC4">
        <w:rPr>
          <w:rFonts w:hint="eastAsia"/>
          <w:sz w:val="22"/>
          <w:szCs w:val="24"/>
        </w:rPr>
        <w:t>24</w:t>
      </w:r>
      <w:r w:rsidRPr="00343FC4">
        <w:rPr>
          <w:rFonts w:hint="eastAsia"/>
          <w:sz w:val="22"/>
          <w:szCs w:val="24"/>
        </w:rPr>
        <w:t>日</w:t>
      </w:r>
      <w:r>
        <w:rPr>
          <w:rFonts w:hint="eastAsia"/>
          <w:sz w:val="22"/>
          <w:szCs w:val="24"/>
        </w:rPr>
        <w:t>，</w:t>
      </w:r>
      <w:r w:rsidRPr="00F3771D">
        <w:rPr>
          <w:rFonts w:hint="eastAsia"/>
          <w:sz w:val="22"/>
          <w:szCs w:val="24"/>
        </w:rPr>
        <w:t>对应报告编号</w:t>
      </w:r>
      <w:r>
        <w:rPr>
          <w:rFonts w:hint="eastAsia"/>
          <w:sz w:val="22"/>
          <w:szCs w:val="24"/>
        </w:rPr>
        <w:t>为：</w:t>
      </w:r>
      <w:proofErr w:type="gramStart"/>
      <w:r w:rsidRPr="00F3771D">
        <w:rPr>
          <w:rFonts w:hint="eastAsia"/>
          <w:sz w:val="22"/>
          <w:szCs w:val="24"/>
        </w:rPr>
        <w:t>康正评</w:t>
      </w:r>
      <w:proofErr w:type="gramEnd"/>
      <w:r w:rsidRPr="00F3771D">
        <w:rPr>
          <w:rFonts w:hint="eastAsia"/>
          <w:sz w:val="22"/>
          <w:szCs w:val="24"/>
        </w:rPr>
        <w:t>字</w:t>
      </w:r>
      <w:r w:rsidRPr="00F3771D">
        <w:rPr>
          <w:rFonts w:hint="eastAsia"/>
          <w:sz w:val="22"/>
          <w:szCs w:val="24"/>
        </w:rPr>
        <w:t>2015-1-B-1-069</w:t>
      </w:r>
      <w:r w:rsidRPr="00F3771D">
        <w:rPr>
          <w:rFonts w:hint="eastAsia"/>
          <w:sz w:val="22"/>
          <w:szCs w:val="24"/>
        </w:rPr>
        <w:t>号</w:t>
      </w:r>
      <w:r>
        <w:rPr>
          <w:rFonts w:hint="eastAsia"/>
          <w:sz w:val="22"/>
          <w:szCs w:val="24"/>
        </w:rPr>
        <w:t>。</w:t>
      </w:r>
    </w:p>
    <w:p w:rsidR="00F3771D" w:rsidRDefault="00F3771D" w:rsidP="003B3439">
      <w:pPr>
        <w:spacing w:line="360" w:lineRule="auto"/>
        <w:ind w:firstLineChars="200" w:firstLine="440"/>
        <w:rPr>
          <w:rFonts w:hint="eastAsia"/>
          <w:sz w:val="22"/>
          <w:szCs w:val="24"/>
        </w:rPr>
      </w:pPr>
      <w:r>
        <w:rPr>
          <w:rFonts w:hint="eastAsia"/>
          <w:sz w:val="22"/>
          <w:szCs w:val="24"/>
        </w:rPr>
        <w:t>2</w:t>
      </w:r>
      <w:r>
        <w:rPr>
          <w:rFonts w:hint="eastAsia"/>
          <w:sz w:val="22"/>
          <w:szCs w:val="24"/>
        </w:rPr>
        <w:t>、估价对象估价结果需满足上述假设前提与限制条件，</w:t>
      </w:r>
      <w:proofErr w:type="gramStart"/>
      <w:r>
        <w:rPr>
          <w:rFonts w:hint="eastAsia"/>
          <w:sz w:val="22"/>
          <w:szCs w:val="24"/>
        </w:rPr>
        <w:t>若相应</w:t>
      </w:r>
      <w:proofErr w:type="gramEnd"/>
      <w:r>
        <w:rPr>
          <w:rFonts w:hint="eastAsia"/>
          <w:sz w:val="22"/>
          <w:szCs w:val="24"/>
        </w:rPr>
        <w:t>条件发生变化，需做相应调整。</w:t>
      </w:r>
    </w:p>
    <w:p w:rsidR="00F3771D" w:rsidRDefault="00F3771D" w:rsidP="003B3439">
      <w:pPr>
        <w:spacing w:line="360" w:lineRule="auto"/>
        <w:ind w:firstLineChars="200" w:firstLine="440"/>
        <w:rPr>
          <w:rFonts w:hint="eastAsia"/>
          <w:sz w:val="22"/>
          <w:szCs w:val="24"/>
        </w:rPr>
      </w:pPr>
    </w:p>
    <w:p w:rsidR="00F3771D" w:rsidRDefault="00F3771D" w:rsidP="003B3439">
      <w:pPr>
        <w:spacing w:line="360" w:lineRule="auto"/>
        <w:ind w:firstLineChars="200" w:firstLine="440"/>
        <w:rPr>
          <w:rFonts w:hint="eastAsia"/>
          <w:sz w:val="22"/>
          <w:szCs w:val="24"/>
        </w:rPr>
      </w:pPr>
    </w:p>
    <w:p w:rsidR="00F3771D" w:rsidRDefault="00F3771D" w:rsidP="00F3771D">
      <w:pPr>
        <w:spacing w:line="360" w:lineRule="auto"/>
        <w:ind w:firstLineChars="200" w:firstLine="420"/>
        <w:jc w:val="right"/>
        <w:rPr>
          <w:rFonts w:ascii="Adobe 黑体 Std R" w:eastAsia="Adobe 黑体 Std R" w:hAnsi="Adobe 黑体 Std R" w:hint="eastAsia"/>
          <w:b/>
          <w:color w:val="000000"/>
          <w:szCs w:val="21"/>
        </w:rPr>
      </w:pPr>
      <w:proofErr w:type="gramStart"/>
      <w:r w:rsidRPr="00EC0E15">
        <w:rPr>
          <w:rFonts w:ascii="Adobe 黑体 Std R" w:eastAsia="Adobe 黑体 Std R" w:hAnsi="Adobe 黑体 Std R" w:hint="eastAsia"/>
          <w:b/>
          <w:color w:val="000000"/>
          <w:szCs w:val="21"/>
        </w:rPr>
        <w:t>北京康正宏</w:t>
      </w:r>
      <w:proofErr w:type="gramEnd"/>
      <w:r w:rsidRPr="00EC0E15">
        <w:rPr>
          <w:rFonts w:ascii="Adobe 黑体 Std R" w:eastAsia="Adobe 黑体 Std R" w:hAnsi="Adobe 黑体 Std R" w:hint="eastAsia"/>
          <w:b/>
          <w:color w:val="000000"/>
          <w:szCs w:val="21"/>
        </w:rPr>
        <w:t>基房地产评估有限公司</w:t>
      </w:r>
    </w:p>
    <w:p w:rsidR="00F3771D" w:rsidRPr="00F3771D" w:rsidRDefault="00F3771D" w:rsidP="00F3771D">
      <w:pPr>
        <w:spacing w:line="360" w:lineRule="auto"/>
        <w:ind w:firstLineChars="200" w:firstLine="420"/>
        <w:jc w:val="right"/>
        <w:rPr>
          <w:sz w:val="22"/>
          <w:szCs w:val="24"/>
        </w:rPr>
      </w:pPr>
      <w:r>
        <w:rPr>
          <w:rFonts w:ascii="Adobe 黑体 Std R" w:eastAsia="Adobe 黑体 Std R" w:hAnsi="Adobe 黑体 Std R" w:hint="eastAsia"/>
          <w:b/>
          <w:color w:val="000000"/>
          <w:szCs w:val="21"/>
        </w:rPr>
        <w:t>2018年1月30日</w:t>
      </w:r>
    </w:p>
    <w:sectPr w:rsidR="00F3771D" w:rsidRPr="00F37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E7C" w:rsidRDefault="00212E7C" w:rsidP="008856FB">
      <w:r>
        <w:separator/>
      </w:r>
    </w:p>
  </w:endnote>
  <w:endnote w:type="continuationSeparator" w:id="0">
    <w:p w:rsidR="00212E7C" w:rsidRDefault="00212E7C" w:rsidP="0088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E7C" w:rsidRDefault="00212E7C" w:rsidP="008856FB">
      <w:r>
        <w:separator/>
      </w:r>
    </w:p>
  </w:footnote>
  <w:footnote w:type="continuationSeparator" w:id="0">
    <w:p w:rsidR="00212E7C" w:rsidRDefault="00212E7C" w:rsidP="00885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0A"/>
    <w:rsid w:val="00212E7C"/>
    <w:rsid w:val="00233DDD"/>
    <w:rsid w:val="00343FC4"/>
    <w:rsid w:val="003B3439"/>
    <w:rsid w:val="006863A6"/>
    <w:rsid w:val="00805C13"/>
    <w:rsid w:val="008856FB"/>
    <w:rsid w:val="00AA280C"/>
    <w:rsid w:val="00D3650A"/>
    <w:rsid w:val="00F3771D"/>
    <w:rsid w:val="00FE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56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56FB"/>
    <w:rPr>
      <w:sz w:val="18"/>
      <w:szCs w:val="18"/>
    </w:rPr>
  </w:style>
  <w:style w:type="paragraph" w:styleId="a4">
    <w:name w:val="footer"/>
    <w:basedOn w:val="a"/>
    <w:link w:val="Char0"/>
    <w:uiPriority w:val="99"/>
    <w:unhideWhenUsed/>
    <w:rsid w:val="008856FB"/>
    <w:pPr>
      <w:tabs>
        <w:tab w:val="center" w:pos="4153"/>
        <w:tab w:val="right" w:pos="8306"/>
      </w:tabs>
      <w:snapToGrid w:val="0"/>
      <w:jc w:val="left"/>
    </w:pPr>
    <w:rPr>
      <w:sz w:val="18"/>
      <w:szCs w:val="18"/>
    </w:rPr>
  </w:style>
  <w:style w:type="character" w:customStyle="1" w:styleId="Char0">
    <w:name w:val="页脚 Char"/>
    <w:basedOn w:val="a0"/>
    <w:link w:val="a4"/>
    <w:uiPriority w:val="99"/>
    <w:rsid w:val="008856FB"/>
    <w:rPr>
      <w:sz w:val="18"/>
      <w:szCs w:val="18"/>
    </w:rPr>
  </w:style>
  <w:style w:type="table" w:styleId="a5">
    <w:name w:val="Table Grid"/>
    <w:basedOn w:val="a1"/>
    <w:uiPriority w:val="59"/>
    <w:rsid w:val="00343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3771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56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56FB"/>
    <w:rPr>
      <w:sz w:val="18"/>
      <w:szCs w:val="18"/>
    </w:rPr>
  </w:style>
  <w:style w:type="paragraph" w:styleId="a4">
    <w:name w:val="footer"/>
    <w:basedOn w:val="a"/>
    <w:link w:val="Char0"/>
    <w:uiPriority w:val="99"/>
    <w:unhideWhenUsed/>
    <w:rsid w:val="008856FB"/>
    <w:pPr>
      <w:tabs>
        <w:tab w:val="center" w:pos="4153"/>
        <w:tab w:val="right" w:pos="8306"/>
      </w:tabs>
      <w:snapToGrid w:val="0"/>
      <w:jc w:val="left"/>
    </w:pPr>
    <w:rPr>
      <w:sz w:val="18"/>
      <w:szCs w:val="18"/>
    </w:rPr>
  </w:style>
  <w:style w:type="character" w:customStyle="1" w:styleId="Char0">
    <w:name w:val="页脚 Char"/>
    <w:basedOn w:val="a0"/>
    <w:link w:val="a4"/>
    <w:uiPriority w:val="99"/>
    <w:rsid w:val="008856FB"/>
    <w:rPr>
      <w:sz w:val="18"/>
      <w:szCs w:val="18"/>
    </w:rPr>
  </w:style>
  <w:style w:type="table" w:styleId="a5">
    <w:name w:val="Table Grid"/>
    <w:basedOn w:val="a1"/>
    <w:uiPriority w:val="59"/>
    <w:rsid w:val="00343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377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79</Words>
  <Characters>456</Characters>
  <Application>Microsoft Office Word</Application>
  <DocSecurity>0</DocSecurity>
  <Lines>3</Lines>
  <Paragraphs>1</Paragraphs>
  <ScaleCrop>false</ScaleCrop>
  <Company>CHINA</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2018-01-30T05:14:00Z</cp:lastPrinted>
  <dcterms:created xsi:type="dcterms:W3CDTF">2018-01-30T02:44:00Z</dcterms:created>
  <dcterms:modified xsi:type="dcterms:W3CDTF">2018-01-30T05:21:00Z</dcterms:modified>
</cp:coreProperties>
</file>