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662" w:rsidRDefault="004E2BA2" w:rsidP="00ED4662">
      <w:pPr>
        <w:jc w:val="center"/>
        <w:rPr>
          <w:rFonts w:ascii="仿宋_GB2312" w:eastAsia="仿宋_GB2312"/>
          <w:b/>
          <w:sz w:val="36"/>
          <w:szCs w:val="36"/>
        </w:rPr>
      </w:pPr>
      <w:proofErr w:type="gramStart"/>
      <w:r w:rsidRPr="00ED4662">
        <w:rPr>
          <w:rFonts w:ascii="仿宋_GB2312" w:eastAsia="仿宋_GB2312" w:hint="eastAsia"/>
          <w:b/>
          <w:sz w:val="36"/>
          <w:szCs w:val="36"/>
        </w:rPr>
        <w:t>北京康正宏</w:t>
      </w:r>
      <w:proofErr w:type="gramEnd"/>
      <w:r w:rsidRPr="00ED4662">
        <w:rPr>
          <w:rFonts w:ascii="仿宋_GB2312" w:eastAsia="仿宋_GB2312" w:hint="eastAsia"/>
          <w:b/>
          <w:sz w:val="36"/>
          <w:szCs w:val="36"/>
        </w:rPr>
        <w:t>基房地产评估有限公司</w:t>
      </w:r>
    </w:p>
    <w:p w:rsidR="004E2BA2" w:rsidRPr="00ED4662" w:rsidRDefault="004E2BA2" w:rsidP="00ED4662">
      <w:pPr>
        <w:jc w:val="center"/>
        <w:rPr>
          <w:rFonts w:ascii="仿宋_GB2312" w:eastAsia="仿宋_GB2312"/>
          <w:b/>
          <w:sz w:val="36"/>
          <w:szCs w:val="36"/>
        </w:rPr>
      </w:pPr>
      <w:r w:rsidRPr="00ED4662">
        <w:rPr>
          <w:rFonts w:ascii="仿宋_GB2312" w:eastAsia="仿宋_GB2312" w:hint="eastAsia"/>
          <w:b/>
          <w:sz w:val="36"/>
          <w:szCs w:val="36"/>
        </w:rPr>
        <w:t>业务收费</w:t>
      </w:r>
      <w:r w:rsidR="00AD0686">
        <w:rPr>
          <w:rFonts w:ascii="仿宋_GB2312" w:eastAsia="仿宋_GB2312" w:hint="eastAsia"/>
          <w:b/>
          <w:sz w:val="36"/>
          <w:szCs w:val="36"/>
        </w:rPr>
        <w:t>规定</w:t>
      </w:r>
    </w:p>
    <w:p w:rsidR="00AD0686" w:rsidRDefault="00AD0686" w:rsidP="002F53F6">
      <w:pPr>
        <w:ind w:firstLineChars="200" w:firstLine="560"/>
        <w:rPr>
          <w:rFonts w:ascii="仿宋_GB2312" w:eastAsia="仿宋_GB2312" w:hAnsi="Calibri" w:cs="Times New Roman"/>
          <w:sz w:val="28"/>
        </w:rPr>
      </w:pPr>
    </w:p>
    <w:p w:rsidR="002F53F6" w:rsidRPr="002F53F6" w:rsidRDefault="002F53F6" w:rsidP="002F53F6">
      <w:pPr>
        <w:ind w:firstLineChars="200" w:firstLine="560"/>
        <w:rPr>
          <w:rFonts w:ascii="仿宋_GB2312" w:eastAsia="仿宋_GB2312" w:hAnsi="Calibri" w:cs="Times New Roman"/>
          <w:sz w:val="28"/>
        </w:rPr>
      </w:pPr>
      <w:r w:rsidRPr="002F53F6">
        <w:rPr>
          <w:rFonts w:ascii="仿宋_GB2312" w:eastAsia="仿宋_GB2312" w:hAnsi="Calibri" w:cs="Times New Roman" w:hint="eastAsia"/>
          <w:sz w:val="28"/>
        </w:rPr>
        <w:t>为规范房地产估价服务收费行为，维护房地产估价服务当事人的合法权益，我司对于房地产估价服务收费的规定如下：</w:t>
      </w:r>
    </w:p>
    <w:p w:rsidR="002F53F6" w:rsidRPr="002F53F6" w:rsidRDefault="002F53F6" w:rsidP="002F53F6">
      <w:pPr>
        <w:ind w:firstLineChars="200" w:firstLine="560"/>
        <w:rPr>
          <w:rFonts w:ascii="仿宋_GB2312" w:eastAsia="仿宋_GB2312" w:hAnsi="Calibri" w:cs="Times New Roman"/>
          <w:sz w:val="28"/>
        </w:rPr>
      </w:pPr>
      <w:r w:rsidRPr="002F53F6">
        <w:rPr>
          <w:rFonts w:ascii="仿宋_GB2312" w:eastAsia="仿宋_GB2312" w:hAnsi="Calibri" w:cs="Times New Roman" w:hint="eastAsia"/>
          <w:sz w:val="28"/>
        </w:rPr>
        <w:t>一、我司为委托人提供估价咨询服务业务，可向委托人收取合理的费用。</w:t>
      </w:r>
    </w:p>
    <w:p w:rsidR="002F53F6" w:rsidRPr="002F53F6" w:rsidRDefault="002F53F6" w:rsidP="002F53F6">
      <w:pPr>
        <w:ind w:firstLineChars="200" w:firstLine="560"/>
        <w:rPr>
          <w:rFonts w:ascii="仿宋_GB2312" w:eastAsia="仿宋_GB2312" w:hAnsi="Calibri" w:cs="Times New Roman"/>
          <w:sz w:val="28"/>
        </w:rPr>
      </w:pPr>
      <w:r w:rsidRPr="002F53F6">
        <w:rPr>
          <w:rFonts w:ascii="仿宋_GB2312" w:eastAsia="仿宋_GB2312" w:hAnsi="Calibri" w:cs="Times New Roman" w:hint="eastAsia"/>
          <w:sz w:val="28"/>
        </w:rPr>
        <w:t>二、本着合理、公开、诚实信用的原则，接受自愿委托，双方平等协商，签订合同，依据本规定的收费标准，由我司与委托方协商确定评估服务费。</w:t>
      </w:r>
    </w:p>
    <w:p w:rsidR="002F53F6" w:rsidRPr="002F53F6" w:rsidRDefault="002F53F6" w:rsidP="002F53F6">
      <w:pPr>
        <w:ind w:firstLineChars="200" w:firstLine="560"/>
        <w:rPr>
          <w:rFonts w:ascii="仿宋_GB2312" w:eastAsia="仿宋_GB2312" w:hAnsi="Calibri" w:cs="Times New Roman"/>
          <w:sz w:val="28"/>
        </w:rPr>
      </w:pPr>
      <w:r w:rsidRPr="002F53F6">
        <w:rPr>
          <w:rFonts w:ascii="仿宋_GB2312" w:eastAsia="仿宋_GB2312" w:hAnsi="Calibri" w:cs="Times New Roman" w:hint="eastAsia"/>
          <w:sz w:val="28"/>
        </w:rPr>
        <w:t>三、房地产评估咨询服务收费实行明码标价制度。</w:t>
      </w:r>
    </w:p>
    <w:p w:rsidR="002F53F6" w:rsidRPr="002F53F6" w:rsidRDefault="002F53F6" w:rsidP="002F53F6">
      <w:pPr>
        <w:ind w:firstLineChars="200" w:firstLine="560"/>
        <w:rPr>
          <w:rFonts w:ascii="仿宋_GB2312" w:eastAsia="仿宋_GB2312" w:hAnsi="Calibri" w:cs="Times New Roman"/>
          <w:sz w:val="28"/>
        </w:rPr>
      </w:pPr>
      <w:r w:rsidRPr="002F53F6">
        <w:rPr>
          <w:rFonts w:ascii="仿宋_GB2312" w:eastAsia="仿宋_GB2312" w:hAnsi="Calibri" w:cs="Times New Roman" w:hint="eastAsia"/>
          <w:sz w:val="28"/>
        </w:rPr>
        <w:t>四、我司可应委托人要求，提供有关房地产政策、法规、技术等咨询服务，收取房地产咨询费。</w:t>
      </w:r>
    </w:p>
    <w:p w:rsidR="002F53F6" w:rsidRPr="002F53F6" w:rsidRDefault="002F53F6" w:rsidP="002F53F6">
      <w:pPr>
        <w:ind w:firstLineChars="200" w:firstLine="560"/>
        <w:rPr>
          <w:rFonts w:ascii="仿宋_GB2312" w:eastAsia="仿宋_GB2312" w:hAnsi="Calibri" w:cs="Times New Roman"/>
          <w:sz w:val="28"/>
        </w:rPr>
      </w:pPr>
      <w:r w:rsidRPr="002F53F6">
        <w:rPr>
          <w:rFonts w:ascii="仿宋_GB2312" w:eastAsia="仿宋_GB2312" w:hAnsi="Calibri" w:cs="Times New Roman" w:hint="eastAsia"/>
          <w:sz w:val="28"/>
        </w:rPr>
        <w:t>房地产咨询费按服务形式，分为口头咨询费和书面咨询费两种。</w:t>
      </w:r>
    </w:p>
    <w:p w:rsidR="002F53F6" w:rsidRPr="002F53F6" w:rsidRDefault="002F53F6" w:rsidP="002F53F6">
      <w:pPr>
        <w:ind w:firstLineChars="200" w:firstLine="560"/>
        <w:rPr>
          <w:rFonts w:ascii="仿宋_GB2312" w:eastAsia="仿宋_GB2312" w:hAnsi="Calibri" w:cs="Times New Roman"/>
          <w:sz w:val="28"/>
        </w:rPr>
      </w:pPr>
      <w:r>
        <w:rPr>
          <w:rFonts w:ascii="仿宋_GB2312" w:eastAsia="仿宋_GB2312" w:hAnsi="Calibri" w:cs="Times New Roman" w:hint="eastAsia"/>
          <w:sz w:val="28"/>
        </w:rPr>
        <w:t>口</w:t>
      </w:r>
      <w:r w:rsidRPr="002F53F6">
        <w:rPr>
          <w:rFonts w:ascii="仿宋_GB2312" w:eastAsia="仿宋_GB2312" w:hAnsi="Calibri" w:cs="Times New Roman" w:hint="eastAsia"/>
          <w:sz w:val="28"/>
        </w:rPr>
        <w:t>头咨询费，按照咨询服务所需时间结合咨询人员专业技术等级由双方协商议定收费标准。</w:t>
      </w:r>
    </w:p>
    <w:p w:rsidR="002F53F6" w:rsidRPr="002F53F6" w:rsidRDefault="002F53F6" w:rsidP="002F53F6">
      <w:pPr>
        <w:ind w:firstLineChars="200" w:firstLine="560"/>
        <w:rPr>
          <w:rFonts w:ascii="仿宋_GB2312" w:eastAsia="仿宋_GB2312" w:hAnsi="Calibri" w:cs="Times New Roman"/>
          <w:sz w:val="28"/>
        </w:rPr>
      </w:pPr>
      <w:r w:rsidRPr="002F53F6">
        <w:rPr>
          <w:rFonts w:ascii="仿宋_GB2312" w:eastAsia="仿宋_GB2312" w:hAnsi="Calibri" w:cs="Times New Roman" w:hint="eastAsia"/>
          <w:sz w:val="28"/>
        </w:rPr>
        <w:t>书面咨询费，参照房地产估价收费。</w:t>
      </w:r>
    </w:p>
    <w:p w:rsidR="002F53F6" w:rsidRPr="002F53F6" w:rsidRDefault="00854B3E" w:rsidP="002F53F6">
      <w:pPr>
        <w:ind w:firstLineChars="200" w:firstLine="560"/>
        <w:rPr>
          <w:rFonts w:ascii="仿宋_GB2312" w:eastAsia="仿宋_GB2312" w:hAnsi="Calibri" w:cs="Times New Roman"/>
          <w:sz w:val="28"/>
        </w:rPr>
      </w:pPr>
      <w:r>
        <w:rPr>
          <w:rFonts w:ascii="仿宋_GB2312" w:eastAsia="仿宋_GB2312" w:hAnsi="Calibri" w:cs="Times New Roman" w:hint="eastAsia"/>
          <w:sz w:val="28"/>
        </w:rPr>
        <w:t>五、</w:t>
      </w:r>
      <w:r w:rsidR="002F53F6" w:rsidRPr="002F53F6">
        <w:rPr>
          <w:rFonts w:ascii="仿宋_GB2312" w:eastAsia="仿宋_GB2312" w:hAnsi="Calibri" w:cs="Times New Roman" w:hint="eastAsia"/>
          <w:sz w:val="28"/>
        </w:rPr>
        <w:t>以土地、房地产为主的房地产价格评估费，区别不同情况，按照房地产的价格总额采取差额定率分档累进计收。具体收费标准见附表。</w:t>
      </w:r>
    </w:p>
    <w:p w:rsidR="002F53F6" w:rsidRPr="002F53F6" w:rsidRDefault="00854B3E" w:rsidP="002F53F6">
      <w:pPr>
        <w:ind w:firstLineChars="200" w:firstLine="560"/>
        <w:rPr>
          <w:rFonts w:ascii="仿宋_GB2312" w:eastAsia="仿宋_GB2312" w:hAnsi="Calibri" w:cs="Times New Roman"/>
          <w:sz w:val="28"/>
        </w:rPr>
      </w:pPr>
      <w:r>
        <w:rPr>
          <w:rFonts w:ascii="仿宋_GB2312" w:eastAsia="仿宋_GB2312" w:hAnsi="Calibri" w:cs="Times New Roman" w:hint="eastAsia"/>
          <w:sz w:val="28"/>
        </w:rPr>
        <w:t>六</w:t>
      </w:r>
      <w:r w:rsidR="002F53F6" w:rsidRPr="002F53F6">
        <w:rPr>
          <w:rFonts w:ascii="仿宋_GB2312" w:eastAsia="仿宋_GB2312" w:hAnsi="Calibri" w:cs="Times New Roman" w:hint="eastAsia"/>
          <w:sz w:val="28"/>
        </w:rPr>
        <w:t>、房地产经纪收费标准</w:t>
      </w:r>
    </w:p>
    <w:p w:rsidR="002F53F6" w:rsidRPr="002F53F6" w:rsidRDefault="002F53F6" w:rsidP="002F53F6">
      <w:pPr>
        <w:ind w:firstLineChars="200" w:firstLine="560"/>
        <w:rPr>
          <w:rFonts w:ascii="仿宋_GB2312" w:eastAsia="仿宋_GB2312" w:hAnsi="Calibri" w:cs="Times New Roman"/>
          <w:sz w:val="28"/>
        </w:rPr>
      </w:pPr>
      <w:r w:rsidRPr="002F53F6">
        <w:rPr>
          <w:rFonts w:ascii="仿宋_GB2312" w:eastAsia="仿宋_GB2312" w:hAnsi="Calibri" w:cs="Times New Roman" w:hint="eastAsia"/>
          <w:sz w:val="28"/>
        </w:rPr>
        <w:t>房屋</w:t>
      </w:r>
      <w:proofErr w:type="gramStart"/>
      <w:r w:rsidRPr="002F53F6">
        <w:rPr>
          <w:rFonts w:ascii="仿宋_GB2312" w:eastAsia="仿宋_GB2312" w:hAnsi="Calibri" w:cs="Times New Roman" w:hint="eastAsia"/>
          <w:sz w:val="28"/>
        </w:rPr>
        <w:t>租凭</w:t>
      </w:r>
      <w:proofErr w:type="gramEnd"/>
      <w:r w:rsidRPr="002F53F6">
        <w:rPr>
          <w:rFonts w:ascii="仿宋_GB2312" w:eastAsia="仿宋_GB2312" w:hAnsi="Calibri" w:cs="Times New Roman" w:hint="eastAsia"/>
          <w:sz w:val="28"/>
        </w:rPr>
        <w:t>代理收费，无论成交的租赁期限长短，均按半月至一月</w:t>
      </w:r>
      <w:r w:rsidRPr="002F53F6">
        <w:rPr>
          <w:rFonts w:ascii="仿宋_GB2312" w:eastAsia="仿宋_GB2312" w:hAnsi="Calibri" w:cs="Times New Roman" w:hint="eastAsia"/>
          <w:sz w:val="28"/>
        </w:rPr>
        <w:lastRenderedPageBreak/>
        <w:t>成交租金额标准，由双方协商议定一次性计收。</w:t>
      </w:r>
    </w:p>
    <w:p w:rsidR="002F53F6" w:rsidRPr="002F53F6" w:rsidRDefault="002F53F6" w:rsidP="002F53F6">
      <w:pPr>
        <w:ind w:firstLineChars="200" w:firstLine="560"/>
        <w:rPr>
          <w:rFonts w:ascii="仿宋_GB2312" w:eastAsia="仿宋_GB2312" w:hAnsi="Calibri" w:cs="Times New Roman"/>
          <w:sz w:val="28"/>
        </w:rPr>
      </w:pPr>
      <w:r w:rsidRPr="002F53F6">
        <w:rPr>
          <w:rFonts w:ascii="仿宋_GB2312" w:eastAsia="仿宋_GB2312" w:hAnsi="Calibri" w:cs="Times New Roman" w:hint="eastAsia"/>
          <w:sz w:val="28"/>
        </w:rPr>
        <w:t>房屋买卖代理收费，按成交价格总额的0.5％—2.5％计收。</w:t>
      </w:r>
    </w:p>
    <w:p w:rsidR="00877773" w:rsidRDefault="002F53F6" w:rsidP="002F53F6">
      <w:pPr>
        <w:ind w:firstLineChars="200" w:firstLine="560"/>
        <w:rPr>
          <w:rFonts w:ascii="仿宋_GB2312" w:eastAsia="仿宋_GB2312" w:hAnsi="Calibri" w:cs="Times New Roman"/>
          <w:sz w:val="28"/>
        </w:rPr>
      </w:pPr>
      <w:r w:rsidRPr="002F53F6">
        <w:rPr>
          <w:rFonts w:ascii="仿宋_GB2312" w:eastAsia="仿宋_GB2312" w:hAnsi="Calibri" w:cs="Times New Roman" w:hint="eastAsia"/>
          <w:sz w:val="28"/>
        </w:rPr>
        <w:t>实行独家代理的，收费标准由委托方与</w:t>
      </w:r>
      <w:r w:rsidR="002D6BD6">
        <w:rPr>
          <w:rFonts w:ascii="仿宋_GB2312" w:eastAsia="仿宋_GB2312" w:hAnsi="Calibri" w:cs="Times New Roman" w:hint="eastAsia"/>
          <w:sz w:val="28"/>
        </w:rPr>
        <w:t>我公司</w:t>
      </w:r>
      <w:r w:rsidRPr="002F53F6">
        <w:rPr>
          <w:rFonts w:ascii="仿宋_GB2312" w:eastAsia="仿宋_GB2312" w:hAnsi="Calibri" w:cs="Times New Roman" w:hint="eastAsia"/>
          <w:sz w:val="28"/>
        </w:rPr>
        <w:t>协商，可适当提高，最高不超过成交价格的3％。</w:t>
      </w:r>
    </w:p>
    <w:p w:rsidR="00AD0686" w:rsidRDefault="00854B3E" w:rsidP="00AD0686">
      <w:pPr>
        <w:ind w:firstLineChars="150" w:firstLine="420"/>
        <w:rPr>
          <w:rFonts w:ascii="仿宋_GB2312" w:eastAsia="仿宋_GB2312" w:hAnsi="Times New Roman" w:cs="Times New Roman"/>
          <w:sz w:val="28"/>
          <w:szCs w:val="28"/>
        </w:rPr>
      </w:pPr>
      <w:r>
        <w:rPr>
          <w:rFonts w:ascii="仿宋_GB2312" w:eastAsia="仿宋_GB2312" w:hAnsi="Calibri" w:cs="Times New Roman" w:hint="eastAsia"/>
          <w:sz w:val="28"/>
        </w:rPr>
        <w:t>七</w:t>
      </w:r>
      <w:r w:rsidR="00AD0686">
        <w:rPr>
          <w:rFonts w:ascii="仿宋_GB2312" w:eastAsia="仿宋_GB2312" w:hAnsi="Calibri" w:cs="Times New Roman" w:hint="eastAsia"/>
          <w:sz w:val="28"/>
        </w:rPr>
        <w:t>、</w:t>
      </w:r>
      <w:r w:rsidR="00AD0686">
        <w:rPr>
          <w:rFonts w:ascii="仿宋_GB2312" w:eastAsia="仿宋_GB2312" w:hAnsi="Times New Roman" w:cs="Times New Roman" w:hint="eastAsia"/>
          <w:sz w:val="28"/>
          <w:szCs w:val="28"/>
        </w:rPr>
        <w:t>凡通过招投标方式取得业务的，按中标价格收取服务费。</w:t>
      </w:r>
    </w:p>
    <w:p w:rsidR="00AD0686" w:rsidRPr="00AD0686" w:rsidRDefault="00AD0686" w:rsidP="002F53F6">
      <w:pPr>
        <w:ind w:firstLineChars="200" w:firstLine="560"/>
        <w:rPr>
          <w:rFonts w:ascii="仿宋_GB2312" w:eastAsia="仿宋_GB2312" w:hAnsi="Calibri" w:cs="Times New Roman"/>
          <w:sz w:val="28"/>
        </w:rPr>
      </w:pPr>
    </w:p>
    <w:p w:rsidR="00877773" w:rsidRDefault="002D6BD6" w:rsidP="004E2BA2">
      <w:pPr>
        <w:ind w:firstLineChars="200" w:firstLine="560"/>
        <w:rPr>
          <w:rFonts w:ascii="仿宋_GB2312" w:eastAsia="仿宋_GB2312" w:hAnsi="Calibri" w:cs="Times New Roman"/>
          <w:sz w:val="28"/>
        </w:rPr>
      </w:pPr>
      <w:r>
        <w:rPr>
          <w:rFonts w:ascii="仿宋_GB2312" w:eastAsia="仿宋_GB2312" w:hAnsi="Calibri" w:cs="Times New Roman" w:hint="eastAsia"/>
          <w:sz w:val="28"/>
        </w:rPr>
        <w:t>附表：</w:t>
      </w:r>
    </w:p>
    <w:tbl>
      <w:tblPr>
        <w:tblW w:w="8755" w:type="dxa"/>
        <w:tblLook w:val="04A0"/>
      </w:tblPr>
      <w:tblGrid>
        <w:gridCol w:w="1728"/>
        <w:gridCol w:w="1728"/>
        <w:gridCol w:w="1897"/>
        <w:gridCol w:w="3402"/>
      </w:tblGrid>
      <w:tr w:rsidR="002D6BD6" w:rsidRPr="002D6BD6" w:rsidTr="008932BA">
        <w:trPr>
          <w:trHeight w:val="360"/>
        </w:trPr>
        <w:tc>
          <w:tcPr>
            <w:tcW w:w="875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D6BD6" w:rsidRPr="002D6BD6" w:rsidRDefault="002D6BD6" w:rsidP="002D6BD6">
            <w:pPr>
              <w:widowControl/>
              <w:jc w:val="center"/>
              <w:rPr>
                <w:rFonts w:ascii="Arial" w:eastAsia="宋体" w:hAnsi="Arial" w:cs="Arial"/>
                <w:b/>
                <w:bCs/>
                <w:kern w:val="0"/>
                <w:sz w:val="28"/>
                <w:szCs w:val="28"/>
              </w:rPr>
            </w:pPr>
            <w:r w:rsidRPr="002D6BD6">
              <w:rPr>
                <w:rFonts w:ascii="宋体" w:eastAsia="宋体" w:hAnsi="宋体" w:cs="Arial" w:hint="eastAsia"/>
                <w:b/>
                <w:bCs/>
                <w:kern w:val="0"/>
                <w:sz w:val="28"/>
                <w:szCs w:val="28"/>
              </w:rPr>
              <w:t>评</w:t>
            </w:r>
            <w:r>
              <w:rPr>
                <w:rFonts w:ascii="宋体" w:eastAsia="宋体" w:hAnsi="宋体" w:cs="Arial" w:hint="eastAsia"/>
                <w:b/>
                <w:bCs/>
                <w:kern w:val="0"/>
                <w:sz w:val="28"/>
                <w:szCs w:val="28"/>
              </w:rPr>
              <w:t xml:space="preserve"> </w:t>
            </w:r>
            <w:r w:rsidRPr="002D6BD6">
              <w:rPr>
                <w:rFonts w:ascii="宋体" w:eastAsia="宋体" w:hAnsi="宋体" w:cs="Arial" w:hint="eastAsia"/>
                <w:b/>
                <w:bCs/>
                <w:kern w:val="0"/>
                <w:sz w:val="28"/>
                <w:szCs w:val="28"/>
              </w:rPr>
              <w:t>估</w:t>
            </w:r>
            <w:r>
              <w:rPr>
                <w:rFonts w:ascii="宋体" w:eastAsia="宋体" w:hAnsi="宋体" w:cs="Arial" w:hint="eastAsia"/>
                <w:b/>
                <w:bCs/>
                <w:kern w:val="0"/>
                <w:sz w:val="28"/>
                <w:szCs w:val="28"/>
              </w:rPr>
              <w:t xml:space="preserve"> </w:t>
            </w:r>
            <w:r w:rsidRPr="002D6BD6">
              <w:rPr>
                <w:rFonts w:ascii="宋体" w:eastAsia="宋体" w:hAnsi="宋体" w:cs="Arial" w:hint="eastAsia"/>
                <w:b/>
                <w:bCs/>
                <w:kern w:val="0"/>
                <w:sz w:val="28"/>
                <w:szCs w:val="28"/>
              </w:rPr>
              <w:t>收</w:t>
            </w:r>
            <w:r>
              <w:rPr>
                <w:rFonts w:ascii="宋体" w:eastAsia="宋体" w:hAnsi="宋体" w:cs="Arial" w:hint="eastAsia"/>
                <w:b/>
                <w:bCs/>
                <w:kern w:val="0"/>
                <w:sz w:val="28"/>
                <w:szCs w:val="28"/>
              </w:rPr>
              <w:t xml:space="preserve"> </w:t>
            </w:r>
            <w:r w:rsidRPr="002D6BD6">
              <w:rPr>
                <w:rFonts w:ascii="宋体" w:eastAsia="宋体" w:hAnsi="宋体" w:cs="Arial" w:hint="eastAsia"/>
                <w:b/>
                <w:bCs/>
                <w:kern w:val="0"/>
                <w:sz w:val="28"/>
                <w:szCs w:val="28"/>
              </w:rPr>
              <w:t>费</w:t>
            </w:r>
            <w:r>
              <w:rPr>
                <w:rFonts w:ascii="宋体" w:eastAsia="宋体" w:hAnsi="宋体" w:cs="Arial" w:hint="eastAsia"/>
                <w:b/>
                <w:bCs/>
                <w:kern w:val="0"/>
                <w:sz w:val="28"/>
                <w:szCs w:val="28"/>
              </w:rPr>
              <w:t xml:space="preserve"> </w:t>
            </w:r>
            <w:r w:rsidRPr="002D6BD6">
              <w:rPr>
                <w:rFonts w:ascii="宋体" w:eastAsia="宋体" w:hAnsi="宋体" w:cs="Arial" w:hint="eastAsia"/>
                <w:b/>
                <w:bCs/>
                <w:kern w:val="0"/>
                <w:sz w:val="28"/>
                <w:szCs w:val="28"/>
              </w:rPr>
              <w:t>表</w:t>
            </w:r>
            <w:r w:rsidRPr="002D6BD6">
              <w:rPr>
                <w:rFonts w:ascii="Arial" w:eastAsia="宋体" w:hAnsi="Arial" w:cs="Arial"/>
                <w:b/>
                <w:bCs/>
                <w:kern w:val="0"/>
                <w:sz w:val="28"/>
                <w:szCs w:val="28"/>
              </w:rPr>
              <w:t xml:space="preserve">                                                                                                                                                   </w:t>
            </w:r>
          </w:p>
        </w:tc>
      </w:tr>
      <w:tr w:rsidR="002D6BD6" w:rsidRPr="002D6BD6" w:rsidTr="008932BA">
        <w:trPr>
          <w:trHeight w:val="31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D6BD6" w:rsidRPr="002D6BD6" w:rsidRDefault="002D6BD6" w:rsidP="002D6BD6">
            <w:pPr>
              <w:widowControl/>
              <w:jc w:val="center"/>
              <w:rPr>
                <w:rFonts w:ascii="Arial" w:eastAsia="宋体" w:hAnsi="Arial" w:cs="Arial"/>
                <w:b/>
                <w:bCs/>
                <w:kern w:val="0"/>
                <w:sz w:val="24"/>
                <w:szCs w:val="24"/>
              </w:rPr>
            </w:pPr>
            <w:r w:rsidRPr="002D6BD6">
              <w:rPr>
                <w:rFonts w:ascii="宋体" w:eastAsia="宋体" w:hAnsi="宋体" w:cs="Arial" w:hint="eastAsia"/>
                <w:b/>
                <w:bCs/>
                <w:kern w:val="0"/>
                <w:sz w:val="24"/>
                <w:szCs w:val="24"/>
              </w:rPr>
              <w:t>标的总额</w:t>
            </w:r>
            <w:r w:rsidRPr="002D6BD6">
              <w:rPr>
                <w:rFonts w:ascii="Arial" w:eastAsia="宋体" w:hAnsi="Arial" w:cs="Arial"/>
                <w:b/>
                <w:bCs/>
                <w:kern w:val="0"/>
                <w:sz w:val="24"/>
                <w:szCs w:val="24"/>
              </w:rPr>
              <w:t>(</w:t>
            </w:r>
            <w:r w:rsidRPr="002D6BD6">
              <w:rPr>
                <w:rFonts w:ascii="宋体" w:eastAsia="宋体" w:hAnsi="宋体" w:cs="Arial" w:hint="eastAsia"/>
                <w:b/>
                <w:bCs/>
                <w:kern w:val="0"/>
                <w:sz w:val="24"/>
                <w:szCs w:val="24"/>
              </w:rPr>
              <w:t>万元</w:t>
            </w:r>
            <w:r w:rsidRPr="002D6BD6">
              <w:rPr>
                <w:rFonts w:ascii="Arial" w:eastAsia="宋体" w:hAnsi="Arial" w:cs="Arial"/>
                <w:b/>
                <w:bCs/>
                <w:kern w:val="0"/>
                <w:sz w:val="24"/>
                <w:szCs w:val="24"/>
              </w:rPr>
              <w:t>)</w:t>
            </w:r>
          </w:p>
        </w:tc>
        <w:tc>
          <w:tcPr>
            <w:tcW w:w="1897" w:type="dxa"/>
            <w:vMerge w:val="restart"/>
            <w:tcBorders>
              <w:top w:val="nil"/>
              <w:left w:val="single" w:sz="4" w:space="0" w:color="auto"/>
              <w:bottom w:val="single" w:sz="4" w:space="0" w:color="000000"/>
              <w:right w:val="single" w:sz="4" w:space="0" w:color="auto"/>
            </w:tcBorders>
            <w:shd w:val="clear" w:color="auto" w:fill="auto"/>
            <w:vAlign w:val="center"/>
            <w:hideMark/>
          </w:tcPr>
          <w:p w:rsidR="002D6BD6" w:rsidRPr="002D6BD6" w:rsidRDefault="002D6BD6" w:rsidP="002D6BD6">
            <w:pPr>
              <w:widowControl/>
              <w:jc w:val="center"/>
              <w:rPr>
                <w:rFonts w:ascii="Arial" w:eastAsia="宋体" w:hAnsi="Arial" w:cs="Arial"/>
                <w:b/>
                <w:bCs/>
                <w:kern w:val="0"/>
                <w:sz w:val="24"/>
                <w:szCs w:val="24"/>
              </w:rPr>
            </w:pPr>
            <w:r w:rsidRPr="002D6BD6">
              <w:rPr>
                <w:rFonts w:ascii="宋体" w:eastAsia="宋体" w:hAnsi="宋体" w:cs="Arial" w:hint="eastAsia"/>
                <w:b/>
                <w:bCs/>
                <w:kern w:val="0"/>
                <w:sz w:val="24"/>
                <w:szCs w:val="24"/>
              </w:rPr>
              <w:t>累进计费率（</w:t>
            </w:r>
            <w:r w:rsidRPr="002D6BD6">
              <w:rPr>
                <w:rFonts w:ascii="Arial" w:eastAsia="宋体" w:hAnsi="Arial" w:cs="Arial"/>
                <w:b/>
                <w:bCs/>
                <w:kern w:val="0"/>
                <w:sz w:val="24"/>
                <w:szCs w:val="24"/>
              </w:rPr>
              <w:t>‰</w:t>
            </w:r>
            <w:r w:rsidRPr="002D6BD6">
              <w:rPr>
                <w:rFonts w:ascii="宋体" w:eastAsia="宋体" w:hAnsi="宋体" w:cs="Arial" w:hint="eastAsia"/>
                <w:b/>
                <w:bCs/>
                <w:kern w:val="0"/>
                <w:sz w:val="24"/>
                <w:szCs w:val="24"/>
              </w:rPr>
              <w:t>）</w:t>
            </w:r>
          </w:p>
        </w:tc>
        <w:tc>
          <w:tcPr>
            <w:tcW w:w="34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b/>
                <w:bCs/>
                <w:kern w:val="0"/>
                <w:sz w:val="24"/>
                <w:szCs w:val="24"/>
              </w:rPr>
            </w:pPr>
            <w:r w:rsidRPr="002D6BD6">
              <w:rPr>
                <w:rFonts w:ascii="宋体" w:eastAsia="宋体" w:hAnsi="宋体" w:cs="Arial" w:hint="eastAsia"/>
                <w:b/>
                <w:bCs/>
                <w:kern w:val="0"/>
                <w:sz w:val="24"/>
                <w:szCs w:val="24"/>
              </w:rPr>
              <w:t>累计收费</w:t>
            </w:r>
            <w:r w:rsidRPr="002D6BD6">
              <w:rPr>
                <w:rFonts w:ascii="Arial" w:eastAsia="宋体" w:hAnsi="Arial" w:cs="Arial"/>
                <w:b/>
                <w:bCs/>
                <w:kern w:val="0"/>
                <w:sz w:val="24"/>
                <w:szCs w:val="24"/>
              </w:rPr>
              <w:t>(</w:t>
            </w:r>
            <w:r w:rsidRPr="002D6BD6">
              <w:rPr>
                <w:rFonts w:ascii="宋体" w:eastAsia="宋体" w:hAnsi="宋体" w:cs="Arial" w:hint="eastAsia"/>
                <w:b/>
                <w:bCs/>
                <w:kern w:val="0"/>
                <w:sz w:val="24"/>
                <w:szCs w:val="24"/>
              </w:rPr>
              <w:t>元</w:t>
            </w:r>
            <w:r w:rsidRPr="002D6BD6">
              <w:rPr>
                <w:rFonts w:ascii="Arial" w:eastAsia="宋体" w:hAnsi="Arial" w:cs="Arial"/>
                <w:b/>
                <w:bCs/>
                <w:kern w:val="0"/>
                <w:sz w:val="24"/>
                <w:szCs w:val="24"/>
              </w:rPr>
              <w:t>)</w:t>
            </w:r>
          </w:p>
        </w:tc>
      </w:tr>
      <w:tr w:rsidR="002D6BD6" w:rsidRPr="002D6BD6" w:rsidTr="008932BA">
        <w:trPr>
          <w:trHeight w:val="315"/>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b/>
                <w:bCs/>
                <w:kern w:val="0"/>
                <w:sz w:val="24"/>
                <w:szCs w:val="24"/>
              </w:rPr>
            </w:pPr>
            <w:r w:rsidRPr="002D6BD6">
              <w:rPr>
                <w:rFonts w:ascii="宋体" w:eastAsia="宋体" w:hAnsi="宋体" w:cs="Arial" w:hint="eastAsia"/>
                <w:b/>
                <w:bCs/>
                <w:kern w:val="0"/>
                <w:sz w:val="24"/>
                <w:szCs w:val="24"/>
              </w:rPr>
              <w:t>下限</w:t>
            </w:r>
          </w:p>
        </w:tc>
        <w:tc>
          <w:tcPr>
            <w:tcW w:w="1728"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b/>
                <w:bCs/>
                <w:kern w:val="0"/>
                <w:sz w:val="24"/>
                <w:szCs w:val="24"/>
              </w:rPr>
            </w:pPr>
            <w:r w:rsidRPr="002D6BD6">
              <w:rPr>
                <w:rFonts w:ascii="宋体" w:eastAsia="宋体" w:hAnsi="宋体" w:cs="Arial" w:hint="eastAsia"/>
                <w:b/>
                <w:bCs/>
                <w:kern w:val="0"/>
                <w:sz w:val="24"/>
                <w:szCs w:val="24"/>
              </w:rPr>
              <w:t>上限</w:t>
            </w:r>
          </w:p>
        </w:tc>
        <w:tc>
          <w:tcPr>
            <w:tcW w:w="1897" w:type="dxa"/>
            <w:vMerge/>
            <w:tcBorders>
              <w:top w:val="nil"/>
              <w:left w:val="single" w:sz="4" w:space="0" w:color="auto"/>
              <w:bottom w:val="single" w:sz="4" w:space="0" w:color="000000"/>
              <w:right w:val="single" w:sz="4" w:space="0" w:color="auto"/>
            </w:tcBorders>
            <w:vAlign w:val="center"/>
            <w:hideMark/>
          </w:tcPr>
          <w:p w:rsidR="002D6BD6" w:rsidRPr="002D6BD6" w:rsidRDefault="002D6BD6" w:rsidP="002D6BD6">
            <w:pPr>
              <w:widowControl/>
              <w:jc w:val="left"/>
              <w:rPr>
                <w:rFonts w:ascii="Arial" w:eastAsia="宋体" w:hAnsi="Arial" w:cs="Arial"/>
                <w:b/>
                <w:bCs/>
                <w:kern w:val="0"/>
                <w:sz w:val="24"/>
                <w:szCs w:val="24"/>
              </w:rPr>
            </w:pPr>
          </w:p>
        </w:tc>
        <w:tc>
          <w:tcPr>
            <w:tcW w:w="3402" w:type="dxa"/>
            <w:vMerge/>
            <w:tcBorders>
              <w:top w:val="nil"/>
              <w:left w:val="single" w:sz="4" w:space="0" w:color="auto"/>
              <w:bottom w:val="single" w:sz="4" w:space="0" w:color="000000"/>
              <w:right w:val="single" w:sz="4" w:space="0" w:color="auto"/>
            </w:tcBorders>
            <w:vAlign w:val="center"/>
            <w:hideMark/>
          </w:tcPr>
          <w:p w:rsidR="002D6BD6" w:rsidRPr="002D6BD6" w:rsidRDefault="002D6BD6" w:rsidP="002D6BD6">
            <w:pPr>
              <w:widowControl/>
              <w:jc w:val="left"/>
              <w:rPr>
                <w:rFonts w:ascii="Arial" w:eastAsia="宋体" w:hAnsi="Arial" w:cs="Arial"/>
                <w:b/>
                <w:bCs/>
                <w:kern w:val="0"/>
                <w:sz w:val="24"/>
                <w:szCs w:val="24"/>
              </w:rPr>
            </w:pPr>
          </w:p>
        </w:tc>
      </w:tr>
      <w:tr w:rsidR="002D6BD6" w:rsidRPr="002D6BD6" w:rsidTr="008932BA">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0</w:t>
            </w:r>
          </w:p>
        </w:tc>
        <w:tc>
          <w:tcPr>
            <w:tcW w:w="1728"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100</w:t>
            </w:r>
          </w:p>
        </w:tc>
        <w:tc>
          <w:tcPr>
            <w:tcW w:w="1897"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5</w:t>
            </w:r>
          </w:p>
        </w:tc>
        <w:tc>
          <w:tcPr>
            <w:tcW w:w="3402"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5000</w:t>
            </w:r>
          </w:p>
        </w:tc>
      </w:tr>
      <w:tr w:rsidR="002D6BD6" w:rsidRPr="002D6BD6" w:rsidTr="008932BA">
        <w:trPr>
          <w:trHeight w:val="315"/>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101</w:t>
            </w:r>
          </w:p>
        </w:tc>
        <w:tc>
          <w:tcPr>
            <w:tcW w:w="1728"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1000</w:t>
            </w:r>
          </w:p>
        </w:tc>
        <w:tc>
          <w:tcPr>
            <w:tcW w:w="1897"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2.5</w:t>
            </w:r>
          </w:p>
        </w:tc>
        <w:tc>
          <w:tcPr>
            <w:tcW w:w="3402"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27500</w:t>
            </w:r>
          </w:p>
        </w:tc>
      </w:tr>
      <w:tr w:rsidR="002D6BD6" w:rsidRPr="002D6BD6" w:rsidTr="008932BA">
        <w:trPr>
          <w:trHeight w:val="315"/>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1001</w:t>
            </w:r>
          </w:p>
        </w:tc>
        <w:tc>
          <w:tcPr>
            <w:tcW w:w="1728"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2000</w:t>
            </w:r>
          </w:p>
        </w:tc>
        <w:tc>
          <w:tcPr>
            <w:tcW w:w="1897"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1.5</w:t>
            </w:r>
          </w:p>
        </w:tc>
        <w:tc>
          <w:tcPr>
            <w:tcW w:w="3402"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42500</w:t>
            </w:r>
          </w:p>
        </w:tc>
      </w:tr>
      <w:tr w:rsidR="002D6BD6" w:rsidRPr="002D6BD6" w:rsidTr="008932BA">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2001</w:t>
            </w:r>
          </w:p>
        </w:tc>
        <w:tc>
          <w:tcPr>
            <w:tcW w:w="1728"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5000</w:t>
            </w:r>
          </w:p>
        </w:tc>
        <w:tc>
          <w:tcPr>
            <w:tcW w:w="1897"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0.8</w:t>
            </w:r>
          </w:p>
        </w:tc>
        <w:tc>
          <w:tcPr>
            <w:tcW w:w="3402"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66500</w:t>
            </w:r>
          </w:p>
        </w:tc>
      </w:tr>
      <w:tr w:rsidR="002D6BD6" w:rsidRPr="002D6BD6" w:rsidTr="008932BA">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5001</w:t>
            </w:r>
          </w:p>
        </w:tc>
        <w:tc>
          <w:tcPr>
            <w:tcW w:w="1728"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8000</w:t>
            </w:r>
          </w:p>
        </w:tc>
        <w:tc>
          <w:tcPr>
            <w:tcW w:w="1897"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0.4</w:t>
            </w:r>
          </w:p>
        </w:tc>
        <w:tc>
          <w:tcPr>
            <w:tcW w:w="3402"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78500</w:t>
            </w:r>
          </w:p>
        </w:tc>
      </w:tr>
      <w:tr w:rsidR="002D6BD6" w:rsidRPr="002D6BD6" w:rsidTr="008932BA">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8001</w:t>
            </w:r>
          </w:p>
        </w:tc>
        <w:tc>
          <w:tcPr>
            <w:tcW w:w="1728"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10000</w:t>
            </w:r>
          </w:p>
        </w:tc>
        <w:tc>
          <w:tcPr>
            <w:tcW w:w="1897"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0.2</w:t>
            </w:r>
          </w:p>
        </w:tc>
        <w:tc>
          <w:tcPr>
            <w:tcW w:w="3402"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82500</w:t>
            </w:r>
          </w:p>
        </w:tc>
      </w:tr>
      <w:tr w:rsidR="002D6BD6" w:rsidRPr="002D6BD6" w:rsidTr="008932BA">
        <w:trPr>
          <w:trHeight w:val="30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10001</w:t>
            </w:r>
          </w:p>
        </w:tc>
        <w:tc>
          <w:tcPr>
            <w:tcW w:w="1728"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 xml:space="preserve">　</w:t>
            </w:r>
          </w:p>
        </w:tc>
        <w:tc>
          <w:tcPr>
            <w:tcW w:w="1897"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0.1</w:t>
            </w:r>
          </w:p>
        </w:tc>
        <w:tc>
          <w:tcPr>
            <w:tcW w:w="3402" w:type="dxa"/>
            <w:tcBorders>
              <w:top w:val="nil"/>
              <w:left w:val="nil"/>
              <w:bottom w:val="single" w:sz="4" w:space="0" w:color="auto"/>
              <w:right w:val="single" w:sz="4" w:space="0" w:color="auto"/>
            </w:tcBorders>
            <w:shd w:val="clear" w:color="auto" w:fill="auto"/>
            <w:noWrap/>
            <w:vAlign w:val="center"/>
            <w:hideMark/>
          </w:tcPr>
          <w:p w:rsidR="002D6BD6" w:rsidRPr="002D6BD6" w:rsidRDefault="002D6BD6" w:rsidP="002D6BD6">
            <w:pPr>
              <w:widowControl/>
              <w:jc w:val="center"/>
              <w:rPr>
                <w:rFonts w:ascii="Arial" w:eastAsia="宋体" w:hAnsi="Arial" w:cs="Arial"/>
                <w:kern w:val="0"/>
                <w:sz w:val="24"/>
                <w:szCs w:val="24"/>
              </w:rPr>
            </w:pPr>
            <w:r w:rsidRPr="002D6BD6">
              <w:rPr>
                <w:rFonts w:ascii="Arial" w:eastAsia="宋体" w:hAnsi="Arial" w:cs="Arial"/>
                <w:kern w:val="0"/>
                <w:sz w:val="24"/>
                <w:szCs w:val="24"/>
              </w:rPr>
              <w:t xml:space="preserve">　</w:t>
            </w:r>
          </w:p>
        </w:tc>
      </w:tr>
    </w:tbl>
    <w:p w:rsidR="003474E0" w:rsidRPr="00ED4662" w:rsidRDefault="003474E0" w:rsidP="003474E0">
      <w:pPr>
        <w:ind w:firstLineChars="150" w:firstLine="420"/>
        <w:rPr>
          <w:rFonts w:ascii="仿宋_GB2312" w:eastAsia="仿宋_GB2312" w:hAnsi="Times New Roman" w:cs="Times New Roman"/>
          <w:sz w:val="28"/>
          <w:szCs w:val="28"/>
        </w:rPr>
      </w:pPr>
    </w:p>
    <w:p w:rsidR="00877773" w:rsidRPr="00877773" w:rsidRDefault="00877773" w:rsidP="003474E0">
      <w:pPr>
        <w:ind w:firstLineChars="150" w:firstLine="420"/>
        <w:rPr>
          <w:rFonts w:ascii="仿宋_GB2312" w:eastAsia="仿宋_GB2312" w:hAnsi="Times New Roman" w:cs="Times New Roman"/>
          <w:sz w:val="28"/>
          <w:szCs w:val="28"/>
        </w:rPr>
      </w:pPr>
    </w:p>
    <w:p w:rsidR="00877773" w:rsidRDefault="00877773" w:rsidP="003474E0">
      <w:pPr>
        <w:ind w:firstLineChars="150" w:firstLine="420"/>
        <w:rPr>
          <w:rFonts w:ascii="仿宋_GB2312" w:eastAsia="仿宋_GB2312" w:hAnsi="Times New Roman" w:cs="Times New Roman"/>
          <w:sz w:val="28"/>
          <w:szCs w:val="28"/>
        </w:rPr>
      </w:pPr>
    </w:p>
    <w:p w:rsidR="00877773" w:rsidRDefault="00877773" w:rsidP="003474E0">
      <w:pPr>
        <w:ind w:firstLineChars="150" w:firstLine="420"/>
        <w:rPr>
          <w:rFonts w:ascii="仿宋_GB2312" w:eastAsia="仿宋_GB2312" w:hAnsi="Times New Roman" w:cs="Times New Roman"/>
          <w:sz w:val="28"/>
          <w:szCs w:val="28"/>
        </w:rPr>
      </w:pPr>
    </w:p>
    <w:p w:rsidR="00877773" w:rsidRDefault="00877773" w:rsidP="003474E0">
      <w:pPr>
        <w:ind w:firstLineChars="150" w:firstLine="420"/>
        <w:rPr>
          <w:rFonts w:ascii="仿宋_GB2312" w:eastAsia="仿宋_GB2312" w:hAnsi="Times New Roman" w:cs="Times New Roman"/>
          <w:sz w:val="28"/>
          <w:szCs w:val="28"/>
        </w:rPr>
      </w:pPr>
    </w:p>
    <w:p w:rsidR="003474E0" w:rsidRPr="00ED4662" w:rsidRDefault="003474E0" w:rsidP="003474E0">
      <w:pPr>
        <w:ind w:firstLineChars="150" w:firstLine="420"/>
        <w:rPr>
          <w:rFonts w:ascii="仿宋_GB2312" w:eastAsia="仿宋_GB2312" w:hAnsi="Times New Roman" w:cs="Times New Roman"/>
          <w:sz w:val="28"/>
          <w:szCs w:val="28"/>
        </w:rPr>
      </w:pPr>
    </w:p>
    <w:p w:rsidR="003474E0" w:rsidRPr="008932BA" w:rsidRDefault="003474E0" w:rsidP="008932BA">
      <w:pPr>
        <w:ind w:firstLineChars="1050" w:firstLine="3373"/>
        <w:rPr>
          <w:rFonts w:ascii="仿宋_GB2312" w:eastAsia="仿宋_GB2312" w:hAnsi="Times New Roman" w:cs="Times New Roman"/>
          <w:b/>
          <w:sz w:val="32"/>
          <w:szCs w:val="32"/>
        </w:rPr>
      </w:pPr>
      <w:proofErr w:type="gramStart"/>
      <w:r w:rsidRPr="008932BA">
        <w:rPr>
          <w:rFonts w:ascii="仿宋_GB2312" w:eastAsia="仿宋_GB2312" w:hAnsi="Times New Roman" w:cs="Times New Roman" w:hint="eastAsia"/>
          <w:b/>
          <w:sz w:val="32"/>
          <w:szCs w:val="32"/>
        </w:rPr>
        <w:t>北京康正宏</w:t>
      </w:r>
      <w:proofErr w:type="gramEnd"/>
      <w:r w:rsidRPr="008932BA">
        <w:rPr>
          <w:rFonts w:ascii="仿宋_GB2312" w:eastAsia="仿宋_GB2312" w:hAnsi="Times New Roman" w:cs="Times New Roman" w:hint="eastAsia"/>
          <w:b/>
          <w:sz w:val="32"/>
          <w:szCs w:val="32"/>
        </w:rPr>
        <w:t>基房地产评估有限公司</w:t>
      </w:r>
    </w:p>
    <w:p w:rsidR="003474E0" w:rsidRPr="00ED4662" w:rsidRDefault="003474E0" w:rsidP="00E32FC2">
      <w:pPr>
        <w:ind w:firstLineChars="1850" w:firstLine="3900"/>
        <w:rPr>
          <w:rFonts w:ascii="仿宋_GB2312" w:eastAsia="仿宋_GB2312"/>
          <w:b/>
        </w:rPr>
      </w:pPr>
    </w:p>
    <w:sectPr w:rsidR="003474E0" w:rsidRPr="00ED4662" w:rsidSect="00935B31">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3E6" w:rsidRDefault="00CE03E6" w:rsidP="00ED4662">
      <w:r>
        <w:separator/>
      </w:r>
    </w:p>
  </w:endnote>
  <w:endnote w:type="continuationSeparator" w:id="0">
    <w:p w:rsidR="00CE03E6" w:rsidRDefault="00CE03E6" w:rsidP="00ED46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3E6" w:rsidRDefault="00CE03E6" w:rsidP="00ED4662">
      <w:r>
        <w:separator/>
      </w:r>
    </w:p>
  </w:footnote>
  <w:footnote w:type="continuationSeparator" w:id="0">
    <w:p w:rsidR="00CE03E6" w:rsidRDefault="00CE03E6" w:rsidP="00ED46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662" w:rsidRDefault="00ED4662" w:rsidP="00ED4662">
    <w:pPr>
      <w:pStyle w:val="a3"/>
      <w:ind w:leftChars="-135" w:left="-283"/>
    </w:pPr>
    <w:r>
      <w:rPr>
        <w:noProof/>
      </w:rPr>
      <w:drawing>
        <wp:inline distT="0" distB="0" distL="0" distR="0">
          <wp:extent cx="5743575" cy="255328"/>
          <wp:effectExtent l="19050" t="0" r="9525"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740902" cy="255209"/>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2BA2"/>
    <w:rsid w:val="001902AB"/>
    <w:rsid w:val="001A2307"/>
    <w:rsid w:val="00252388"/>
    <w:rsid w:val="002D6BD6"/>
    <w:rsid w:val="002F53F6"/>
    <w:rsid w:val="003474E0"/>
    <w:rsid w:val="004E2BA2"/>
    <w:rsid w:val="00501100"/>
    <w:rsid w:val="00590CCD"/>
    <w:rsid w:val="00854B3E"/>
    <w:rsid w:val="00877773"/>
    <w:rsid w:val="008932BA"/>
    <w:rsid w:val="00935B31"/>
    <w:rsid w:val="009D5D10"/>
    <w:rsid w:val="00AD0686"/>
    <w:rsid w:val="00CE03E6"/>
    <w:rsid w:val="00E32FC2"/>
    <w:rsid w:val="00EC4E86"/>
    <w:rsid w:val="00ED4662"/>
    <w:rsid w:val="00EF6A9C"/>
    <w:rsid w:val="00F660DE"/>
    <w:rsid w:val="00F921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B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46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4662"/>
    <w:rPr>
      <w:sz w:val="18"/>
      <w:szCs w:val="18"/>
    </w:rPr>
  </w:style>
  <w:style w:type="paragraph" w:styleId="a4">
    <w:name w:val="footer"/>
    <w:basedOn w:val="a"/>
    <w:link w:val="Char0"/>
    <w:uiPriority w:val="99"/>
    <w:semiHidden/>
    <w:unhideWhenUsed/>
    <w:rsid w:val="00ED466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4662"/>
    <w:rPr>
      <w:sz w:val="18"/>
      <w:szCs w:val="18"/>
    </w:rPr>
  </w:style>
  <w:style w:type="paragraph" w:styleId="a5">
    <w:name w:val="Balloon Text"/>
    <w:basedOn w:val="a"/>
    <w:link w:val="Char1"/>
    <w:uiPriority w:val="99"/>
    <w:semiHidden/>
    <w:unhideWhenUsed/>
    <w:rsid w:val="00ED4662"/>
    <w:rPr>
      <w:sz w:val="18"/>
      <w:szCs w:val="18"/>
    </w:rPr>
  </w:style>
  <w:style w:type="character" w:customStyle="1" w:styleId="Char1">
    <w:name w:val="批注框文本 Char"/>
    <w:basedOn w:val="a0"/>
    <w:link w:val="a5"/>
    <w:uiPriority w:val="99"/>
    <w:semiHidden/>
    <w:rsid w:val="00ED4662"/>
    <w:rPr>
      <w:sz w:val="18"/>
      <w:szCs w:val="18"/>
    </w:rPr>
  </w:style>
  <w:style w:type="paragraph" w:styleId="a6">
    <w:name w:val="Normal (Web)"/>
    <w:basedOn w:val="a"/>
    <w:uiPriority w:val="99"/>
    <w:semiHidden/>
    <w:unhideWhenUsed/>
    <w:rsid w:val="002F53F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6798199">
      <w:bodyDiv w:val="1"/>
      <w:marLeft w:val="0"/>
      <w:marRight w:val="0"/>
      <w:marTop w:val="0"/>
      <w:marBottom w:val="0"/>
      <w:divBdr>
        <w:top w:val="none" w:sz="0" w:space="0" w:color="auto"/>
        <w:left w:val="none" w:sz="0" w:space="0" w:color="auto"/>
        <w:bottom w:val="none" w:sz="0" w:space="0" w:color="auto"/>
        <w:right w:val="none" w:sz="0" w:space="0" w:color="auto"/>
      </w:divBdr>
    </w:div>
    <w:div w:id="369695082">
      <w:bodyDiv w:val="1"/>
      <w:marLeft w:val="0"/>
      <w:marRight w:val="0"/>
      <w:marTop w:val="0"/>
      <w:marBottom w:val="0"/>
      <w:divBdr>
        <w:top w:val="none" w:sz="0" w:space="0" w:color="auto"/>
        <w:left w:val="none" w:sz="0" w:space="0" w:color="auto"/>
        <w:bottom w:val="none" w:sz="0" w:space="0" w:color="auto"/>
        <w:right w:val="none" w:sz="0" w:space="0" w:color="auto"/>
      </w:divBdr>
    </w:div>
    <w:div w:id="115364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135</Words>
  <Characters>775</Characters>
  <Application>Microsoft Office Word</Application>
  <DocSecurity>0</DocSecurity>
  <Lines>6</Lines>
  <Paragraphs>1</Paragraphs>
  <ScaleCrop>false</ScaleCrop>
  <Company>CHINA</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2017-11-22T03:20:00Z</cp:lastPrinted>
  <dcterms:created xsi:type="dcterms:W3CDTF">2017-11-22T03:08:00Z</dcterms:created>
  <dcterms:modified xsi:type="dcterms:W3CDTF">2017-11-22T03:28:00Z</dcterms:modified>
</cp:coreProperties>
</file>