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宋体" w:hAnsi="宋体" w:eastAsia="宋体" w:cs="宋体"/>
          <w:b/>
          <w:sz w:val="36"/>
          <w:szCs w:val="36"/>
        </w:rPr>
      </w:pPr>
      <w:bookmarkStart w:id="0" w:name="_Toc15603"/>
      <w:bookmarkStart w:id="1" w:name="_Toc2836"/>
      <w:r>
        <w:rPr>
          <w:rFonts w:hint="eastAsia" w:ascii="宋体" w:hAnsi="宋体" w:eastAsia="宋体" w:cs="宋体"/>
          <w:b/>
          <w:sz w:val="36"/>
          <w:szCs w:val="36"/>
        </w:rPr>
        <w:t>中航信托·天垣</w:t>
      </w:r>
      <w:r>
        <w:rPr>
          <w:rFonts w:ascii="Arial" w:hAnsi="Arial" w:eastAsia="宋体" w:cs="Arial"/>
          <w:b/>
          <w:sz w:val="36"/>
          <w:szCs w:val="36"/>
        </w:rPr>
        <w:t>3</w:t>
      </w:r>
      <w:r>
        <w:rPr>
          <w:rFonts w:hint="eastAsia" w:ascii="宋体" w:hAnsi="宋体" w:eastAsia="宋体" w:cs="宋体"/>
          <w:b/>
          <w:sz w:val="36"/>
          <w:szCs w:val="36"/>
        </w:rPr>
        <w:t>号恒大嘉兴海盐项目股权投资集合资金信托计划入场报告</w:t>
      </w:r>
      <w:bookmarkEnd w:id="0"/>
      <w:bookmarkEnd w:id="1"/>
    </w:p>
    <w:p/>
    <w:p/>
    <w:p/>
    <w:p/>
    <w:p/>
    <w:p/>
    <w:p/>
    <w:p/>
    <w:p/>
    <w:p/>
    <w:p/>
    <w:p/>
    <w:p/>
    <w:p/>
    <w:p/>
    <w:p/>
    <w:p/>
    <w:p/>
    <w:p/>
    <w:p>
      <w:pPr>
        <w:ind w:firstLine="280" w:firstLineChars="100"/>
        <w:jc w:val="center"/>
        <w:rPr>
          <w:sz w:val="28"/>
          <w:szCs w:val="28"/>
        </w:rPr>
      </w:pPr>
      <w:r>
        <w:rPr>
          <w:rFonts w:hint="eastAsia"/>
          <w:sz w:val="28"/>
          <w:szCs w:val="28"/>
        </w:rPr>
        <w:t>北京康信君安资产管理有限公司</w:t>
      </w:r>
    </w:p>
    <w:p/>
    <w:p>
      <w:pPr>
        <w:pStyle w:val="2"/>
        <w:ind w:firstLine="3570" w:firstLineChars="1700"/>
        <w:rPr>
          <w:rFonts w:ascii="Arial" w:hAnsi="Arial" w:cs="Arial"/>
        </w:rPr>
      </w:pPr>
      <w:r>
        <w:rPr>
          <w:rFonts w:ascii="Arial" w:hAnsi="Arial" w:cs="Arial"/>
        </w:rPr>
        <w:t>2020年9月2日</w:t>
      </w:r>
    </w:p>
    <w:p/>
    <w:sdt>
      <w:sdtPr>
        <w:rPr>
          <w:rFonts w:ascii="宋体" w:hAnsi="宋体" w:eastAsia="宋体"/>
        </w:rPr>
        <w:id w:val="147469111"/>
        <w:docPartObj>
          <w:docPartGallery w:val="Table of Contents"/>
          <w:docPartUnique/>
        </w:docPartObj>
      </w:sdtPr>
      <w:sdtEndPr>
        <w:rPr>
          <w:rFonts w:ascii="Arial" w:hAnsi="Arial" w:cs="Arial" w:eastAsiaTheme="minorEastAsia"/>
          <w:b/>
          <w:bCs/>
          <w:kern w:val="44"/>
          <w:szCs w:val="21"/>
        </w:rPr>
      </w:sdtEndPr>
      <w:sdtContent>
        <w:p>
          <w:pPr>
            <w:jc w:val="center"/>
          </w:pPr>
        </w:p>
        <w:p>
          <w:pPr>
            <w:pStyle w:val="25"/>
            <w:tabs>
              <w:tab w:val="right" w:leader="dot" w:pos="8306"/>
            </w:tabs>
            <w:jc w:val="center"/>
            <w:rPr>
              <w:rFonts w:ascii="Arial" w:hAnsi="Arial" w:cs="Arial"/>
              <w:b/>
              <w:kern w:val="44"/>
              <w:sz w:val="28"/>
              <w:szCs w:val="28"/>
            </w:rPr>
            <w:sectPr>
              <w:headerReference r:id="rId3" w:type="default"/>
              <w:pgSz w:w="11906" w:h="16838"/>
              <w:pgMar w:top="1440" w:right="1800" w:bottom="1440" w:left="1800" w:header="851" w:footer="992" w:gutter="0"/>
              <w:pgNumType w:start="1"/>
              <w:cols w:space="425" w:num="1"/>
              <w:docGrid w:type="lines" w:linePitch="312" w:charSpace="0"/>
            </w:sectPr>
          </w:pPr>
        </w:p>
        <w:p>
          <w:pPr>
            <w:pStyle w:val="25"/>
            <w:tabs>
              <w:tab w:val="right" w:leader="dot" w:pos="8306"/>
            </w:tabs>
            <w:jc w:val="center"/>
            <w:rPr>
              <w:rFonts w:ascii="Arial" w:hAnsi="Arial" w:cs="Arial"/>
              <w:b/>
              <w:kern w:val="44"/>
              <w:sz w:val="28"/>
              <w:szCs w:val="28"/>
            </w:rPr>
          </w:pPr>
          <w:r>
            <w:rPr>
              <w:rFonts w:hint="eastAsia" w:ascii="Arial" w:hAnsi="Arial" w:cs="Arial"/>
              <w:b/>
              <w:kern w:val="44"/>
              <w:sz w:val="28"/>
              <w:szCs w:val="28"/>
            </w:rPr>
            <w:t>目录</w:t>
          </w:r>
        </w:p>
        <w:p>
          <w:pPr>
            <w:pStyle w:val="25"/>
            <w:tabs>
              <w:tab w:val="right" w:leader="dot" w:pos="8306"/>
            </w:tabs>
            <w:rPr>
              <w:rFonts w:ascii="Arial" w:hAnsi="Arial" w:cs="Arial"/>
              <w:bCs/>
              <w:kern w:val="44"/>
              <w:szCs w:val="21"/>
            </w:rPr>
          </w:pPr>
        </w:p>
        <w:p>
          <w:pPr>
            <w:pStyle w:val="6"/>
            <w:tabs>
              <w:tab w:val="right" w:leader="dot" w:pos="8306"/>
            </w:tabs>
            <w:spacing w:line="360" w:lineRule="auto"/>
            <w:rPr>
              <w:rFonts w:ascii="Arial" w:hAnsi="Arial" w:cs="Arial"/>
            </w:rPr>
          </w:pPr>
          <w:r>
            <w:rPr>
              <w:rFonts w:ascii="Arial" w:hAnsi="Arial" w:cs="Arial"/>
              <w:bCs/>
              <w:kern w:val="44"/>
              <w:szCs w:val="21"/>
            </w:rPr>
            <w:fldChar w:fldCharType="begin"/>
          </w:r>
          <w:r>
            <w:rPr>
              <w:rFonts w:ascii="Arial" w:hAnsi="Arial" w:cs="Arial"/>
              <w:bCs/>
              <w:kern w:val="44"/>
              <w:szCs w:val="21"/>
            </w:rPr>
            <w:instrText xml:space="preserve">TOC \o "1-2" \h \u </w:instrText>
          </w:r>
          <w:r>
            <w:rPr>
              <w:rFonts w:ascii="Arial" w:hAnsi="Arial" w:cs="Arial"/>
              <w:bCs/>
              <w:kern w:val="44"/>
              <w:szCs w:val="21"/>
            </w:rPr>
            <w:fldChar w:fldCharType="separate"/>
          </w:r>
          <w:r>
            <w:fldChar w:fldCharType="begin"/>
          </w:r>
          <w:r>
            <w:instrText xml:space="preserve"> HYPERLINK \l "_Toc4375" </w:instrText>
          </w:r>
          <w:r>
            <w:fldChar w:fldCharType="separate"/>
          </w:r>
          <w:r>
            <w:rPr>
              <w:rFonts w:ascii="Arial" w:hAnsi="Arial" w:cs="Arial"/>
              <w:bCs/>
              <w:szCs w:val="28"/>
            </w:rPr>
            <w:t>一、 项目地块基本情况</w:t>
          </w:r>
          <w:r>
            <w:rPr>
              <w:rFonts w:ascii="Arial" w:hAnsi="Arial" w:cs="Arial"/>
            </w:rPr>
            <w:tab/>
          </w:r>
          <w:r>
            <w:rPr>
              <w:rFonts w:ascii="Arial" w:hAnsi="Arial" w:cs="Arial"/>
            </w:rPr>
            <w:fldChar w:fldCharType="begin"/>
          </w:r>
          <w:r>
            <w:rPr>
              <w:rFonts w:ascii="Arial" w:hAnsi="Arial" w:cs="Arial"/>
            </w:rPr>
            <w:instrText xml:space="preserve"> PAGEREF _Toc4375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6"/>
            <w:tabs>
              <w:tab w:val="right" w:leader="dot" w:pos="8306"/>
            </w:tabs>
            <w:spacing w:line="360" w:lineRule="auto"/>
            <w:rPr>
              <w:rFonts w:ascii="Arial" w:hAnsi="Arial" w:cs="Arial"/>
            </w:rPr>
          </w:pPr>
          <w:r>
            <w:fldChar w:fldCharType="begin"/>
          </w:r>
          <w:r>
            <w:instrText xml:space="preserve"> HYPERLINK \l "_Toc2106" </w:instrText>
          </w:r>
          <w:r>
            <w:fldChar w:fldCharType="separate"/>
          </w:r>
          <w:r>
            <w:rPr>
              <w:rFonts w:ascii="Arial" w:hAnsi="Arial" w:cs="Arial"/>
              <w:bCs/>
              <w:szCs w:val="28"/>
            </w:rPr>
            <w:t>二、 项目公司基本信息</w:t>
          </w:r>
          <w:r>
            <w:rPr>
              <w:rFonts w:ascii="Arial" w:hAnsi="Arial" w:cs="Arial"/>
            </w:rPr>
            <w:tab/>
          </w:r>
          <w:r>
            <w:rPr>
              <w:rFonts w:ascii="Arial" w:hAnsi="Arial" w:cs="Arial"/>
            </w:rPr>
            <w:fldChar w:fldCharType="begin"/>
          </w:r>
          <w:r>
            <w:rPr>
              <w:rFonts w:ascii="Arial" w:hAnsi="Arial" w:cs="Arial"/>
            </w:rPr>
            <w:instrText xml:space="preserve"> PAGEREF _Toc2106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6"/>
            <w:tabs>
              <w:tab w:val="right" w:leader="dot" w:pos="8306"/>
            </w:tabs>
            <w:spacing w:line="360" w:lineRule="auto"/>
            <w:rPr>
              <w:rFonts w:ascii="Arial" w:hAnsi="Arial" w:cs="Arial"/>
            </w:rPr>
          </w:pPr>
          <w:r>
            <w:fldChar w:fldCharType="begin"/>
          </w:r>
          <w:r>
            <w:instrText xml:space="preserve"> HYPERLINK \l "_Toc32704" </w:instrText>
          </w:r>
          <w:r>
            <w:fldChar w:fldCharType="separate"/>
          </w:r>
          <w:r>
            <w:rPr>
              <w:rFonts w:ascii="Arial" w:hAnsi="Arial" w:cs="Arial"/>
              <w:bCs/>
              <w:szCs w:val="28"/>
            </w:rPr>
            <w:t>三、 竞品分析</w:t>
          </w:r>
          <w:r>
            <w:rPr>
              <w:rFonts w:ascii="Arial" w:hAnsi="Arial" w:cs="Arial"/>
            </w:rPr>
            <w:tab/>
          </w:r>
          <w:r>
            <w:rPr>
              <w:rFonts w:ascii="Arial" w:hAnsi="Arial" w:cs="Arial"/>
            </w:rPr>
            <w:fldChar w:fldCharType="begin"/>
          </w:r>
          <w:r>
            <w:rPr>
              <w:rFonts w:ascii="Arial" w:hAnsi="Arial" w:cs="Arial"/>
            </w:rPr>
            <w:instrText xml:space="preserve"> PAGEREF _Toc32704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6"/>
            <w:tabs>
              <w:tab w:val="right" w:leader="dot" w:pos="8306"/>
            </w:tabs>
            <w:spacing w:line="360" w:lineRule="auto"/>
            <w:rPr>
              <w:rFonts w:ascii="Arial" w:hAnsi="Arial" w:cs="Arial"/>
            </w:rPr>
          </w:pPr>
          <w:r>
            <w:fldChar w:fldCharType="begin"/>
          </w:r>
          <w:r>
            <w:instrText xml:space="preserve"> HYPERLINK \l "_Toc15631" </w:instrText>
          </w:r>
          <w:r>
            <w:fldChar w:fldCharType="separate"/>
          </w:r>
          <w:r>
            <w:rPr>
              <w:rFonts w:ascii="Arial" w:hAnsi="Arial" w:cs="Arial"/>
              <w:bCs/>
              <w:szCs w:val="28"/>
            </w:rPr>
            <w:t>四、入场流程</w:t>
          </w:r>
          <w:r>
            <w:rPr>
              <w:rFonts w:ascii="Arial" w:hAnsi="Arial" w:cs="Arial"/>
            </w:rPr>
            <w:tab/>
          </w:r>
          <w:r>
            <w:rPr>
              <w:rFonts w:ascii="Arial" w:hAnsi="Arial" w:cs="Arial"/>
            </w:rPr>
            <w:fldChar w:fldCharType="begin"/>
          </w:r>
          <w:r>
            <w:rPr>
              <w:rFonts w:ascii="Arial" w:hAnsi="Arial" w:cs="Arial"/>
            </w:rPr>
            <w:instrText xml:space="preserve"> PAGEREF _Toc15631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7"/>
            <w:tabs>
              <w:tab w:val="right" w:leader="dot" w:pos="8306"/>
            </w:tabs>
            <w:spacing w:line="360" w:lineRule="auto"/>
            <w:rPr>
              <w:rFonts w:ascii="Arial" w:hAnsi="Arial" w:cs="Arial"/>
            </w:rPr>
          </w:pPr>
          <w:r>
            <w:fldChar w:fldCharType="begin"/>
          </w:r>
          <w:r>
            <w:instrText xml:space="preserve"> HYPERLINK \l "_Toc10601" </w:instrText>
          </w:r>
          <w:r>
            <w:fldChar w:fldCharType="separate"/>
          </w:r>
          <w:r>
            <w:rPr>
              <w:rFonts w:ascii="Arial" w:hAnsi="Arial" w:cs="Arial"/>
              <w:bCs/>
            </w:rPr>
            <w:t>1、 交接前流程</w:t>
          </w:r>
          <w:r>
            <w:rPr>
              <w:rFonts w:ascii="Arial" w:hAnsi="Arial" w:cs="Arial"/>
            </w:rPr>
            <w:tab/>
          </w:r>
          <w:r>
            <w:rPr>
              <w:rFonts w:ascii="Arial" w:hAnsi="Arial" w:cs="Arial"/>
            </w:rPr>
            <w:fldChar w:fldCharType="begin"/>
          </w:r>
          <w:r>
            <w:rPr>
              <w:rFonts w:ascii="Arial" w:hAnsi="Arial" w:cs="Arial"/>
            </w:rPr>
            <w:instrText xml:space="preserve"> PAGEREF _Toc10601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7"/>
            <w:tabs>
              <w:tab w:val="right" w:leader="dot" w:pos="8306"/>
            </w:tabs>
            <w:spacing w:line="360" w:lineRule="auto"/>
            <w:rPr>
              <w:rFonts w:ascii="Arial" w:hAnsi="Arial" w:cs="Arial"/>
            </w:rPr>
          </w:pPr>
          <w:r>
            <w:fldChar w:fldCharType="begin"/>
          </w:r>
          <w:r>
            <w:instrText xml:space="preserve"> HYPERLINK \l "_Toc1977" </w:instrText>
          </w:r>
          <w:r>
            <w:fldChar w:fldCharType="separate"/>
          </w:r>
          <w:r>
            <w:rPr>
              <w:rFonts w:ascii="Arial" w:hAnsi="Arial" w:cs="Arial"/>
              <w:bCs/>
            </w:rPr>
            <w:t>2、 项目现场情况</w:t>
          </w:r>
          <w:r>
            <w:rPr>
              <w:rFonts w:ascii="Arial" w:hAnsi="Arial" w:cs="Arial"/>
            </w:rPr>
            <w:tab/>
          </w:r>
          <w:r>
            <w:rPr>
              <w:rFonts w:ascii="Arial" w:hAnsi="Arial" w:cs="Arial"/>
            </w:rPr>
            <w:fldChar w:fldCharType="begin"/>
          </w:r>
          <w:r>
            <w:rPr>
              <w:rFonts w:ascii="Arial" w:hAnsi="Arial" w:cs="Arial"/>
            </w:rPr>
            <w:instrText xml:space="preserve"> PAGEREF _Toc1977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7"/>
            <w:tabs>
              <w:tab w:val="right" w:leader="dot" w:pos="8306"/>
            </w:tabs>
            <w:spacing w:line="360" w:lineRule="auto"/>
            <w:rPr>
              <w:rFonts w:ascii="Arial" w:hAnsi="Arial" w:cs="Arial"/>
            </w:rPr>
          </w:pPr>
          <w:r>
            <w:fldChar w:fldCharType="begin"/>
          </w:r>
          <w:r>
            <w:instrText xml:space="preserve"> HYPERLINK \l "_Toc4641" </w:instrText>
          </w:r>
          <w:r>
            <w:fldChar w:fldCharType="separate"/>
          </w:r>
          <w:r>
            <w:rPr>
              <w:rFonts w:ascii="Arial" w:hAnsi="Arial" w:cs="Arial"/>
              <w:bCs/>
            </w:rPr>
            <w:t>3、 项目现场图片</w:t>
          </w:r>
          <w:r>
            <w:rPr>
              <w:rFonts w:ascii="Arial" w:hAnsi="Arial" w:cs="Arial"/>
            </w:rPr>
            <w:tab/>
          </w:r>
          <w:r>
            <w:rPr>
              <w:rFonts w:ascii="Arial" w:hAnsi="Arial" w:cs="Arial"/>
            </w:rPr>
            <w:fldChar w:fldCharType="begin"/>
          </w:r>
          <w:r>
            <w:rPr>
              <w:rFonts w:ascii="Arial" w:hAnsi="Arial" w:cs="Arial"/>
            </w:rPr>
            <w:instrText xml:space="preserve"> PAGEREF _Toc4641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7"/>
            <w:tabs>
              <w:tab w:val="right" w:leader="dot" w:pos="8306"/>
            </w:tabs>
            <w:spacing w:line="360" w:lineRule="auto"/>
            <w:rPr>
              <w:rFonts w:ascii="Arial" w:hAnsi="Arial" w:cs="Arial"/>
            </w:rPr>
          </w:pPr>
          <w:r>
            <w:fldChar w:fldCharType="begin"/>
          </w:r>
          <w:r>
            <w:instrText xml:space="preserve"> HYPERLINK \l "_Toc5263" </w:instrText>
          </w:r>
          <w:r>
            <w:fldChar w:fldCharType="separate"/>
          </w:r>
          <w:r>
            <w:rPr>
              <w:rFonts w:ascii="Arial" w:hAnsi="Arial" w:cs="Arial"/>
              <w:bCs/>
            </w:rPr>
            <w:t>4、 印鉴核验</w:t>
          </w:r>
          <w:r>
            <w:rPr>
              <w:rFonts w:ascii="Arial" w:hAnsi="Arial" w:cs="Arial"/>
            </w:rPr>
            <w:tab/>
          </w:r>
          <w:r>
            <w:rPr>
              <w:rFonts w:ascii="Arial" w:hAnsi="Arial" w:cs="Arial"/>
            </w:rPr>
            <w:fldChar w:fldCharType="begin"/>
          </w:r>
          <w:r>
            <w:rPr>
              <w:rFonts w:ascii="Arial" w:hAnsi="Arial" w:cs="Arial"/>
            </w:rPr>
            <w:instrText xml:space="preserve"> PAGEREF _Toc5263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7"/>
            <w:tabs>
              <w:tab w:val="right" w:leader="dot" w:pos="8306"/>
            </w:tabs>
            <w:spacing w:line="360" w:lineRule="auto"/>
            <w:rPr>
              <w:rFonts w:ascii="Arial" w:hAnsi="Arial" w:cs="Arial"/>
            </w:rPr>
          </w:pPr>
          <w:r>
            <w:fldChar w:fldCharType="begin"/>
          </w:r>
          <w:r>
            <w:instrText xml:space="preserve"> HYPERLINK \l "_Toc13122" </w:instrText>
          </w:r>
          <w:r>
            <w:fldChar w:fldCharType="separate"/>
          </w:r>
          <w:r>
            <w:rPr>
              <w:rFonts w:ascii="Arial" w:hAnsi="Arial" w:cs="Arial"/>
              <w:bCs/>
            </w:rPr>
            <w:t>5、 银行账户信息查询</w:t>
          </w:r>
          <w:r>
            <w:rPr>
              <w:rFonts w:ascii="Arial" w:hAnsi="Arial" w:cs="Arial"/>
            </w:rPr>
            <w:tab/>
          </w:r>
          <w:r>
            <w:rPr>
              <w:rFonts w:ascii="Arial" w:hAnsi="Arial" w:cs="Arial"/>
            </w:rPr>
            <w:fldChar w:fldCharType="begin"/>
          </w:r>
          <w:r>
            <w:rPr>
              <w:rFonts w:ascii="Arial" w:hAnsi="Arial" w:cs="Arial"/>
            </w:rPr>
            <w:instrText xml:space="preserve"> PAGEREF _Toc13122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7"/>
            <w:tabs>
              <w:tab w:val="right" w:leader="dot" w:pos="8306"/>
            </w:tabs>
            <w:spacing w:line="360" w:lineRule="auto"/>
            <w:rPr>
              <w:rFonts w:ascii="Arial" w:hAnsi="Arial" w:cs="Arial"/>
            </w:rPr>
          </w:pPr>
          <w:r>
            <w:fldChar w:fldCharType="begin"/>
          </w:r>
          <w:r>
            <w:instrText xml:space="preserve"> HYPERLINK \l "_Toc1120" </w:instrText>
          </w:r>
          <w:r>
            <w:fldChar w:fldCharType="separate"/>
          </w:r>
          <w:r>
            <w:rPr>
              <w:rFonts w:ascii="Arial" w:hAnsi="Arial" w:cs="Arial"/>
              <w:bCs/>
            </w:rPr>
            <w:t>6、 共管交接</w:t>
          </w:r>
          <w:r>
            <w:rPr>
              <w:rFonts w:ascii="Arial" w:hAnsi="Arial" w:cs="Arial"/>
            </w:rPr>
            <w:tab/>
          </w:r>
          <w:r>
            <w:rPr>
              <w:rFonts w:ascii="Arial" w:hAnsi="Arial" w:cs="Arial"/>
            </w:rPr>
            <w:fldChar w:fldCharType="begin"/>
          </w:r>
          <w:r>
            <w:rPr>
              <w:rFonts w:ascii="Arial" w:hAnsi="Arial" w:cs="Arial"/>
            </w:rPr>
            <w:instrText xml:space="preserve"> PAGEREF _Toc1120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spacing w:line="360" w:lineRule="auto"/>
            <w:jc w:val="left"/>
            <w:rPr>
              <w:rFonts w:ascii="Arial" w:hAnsi="Arial" w:cs="Arial"/>
              <w:bCs/>
              <w:kern w:val="44"/>
              <w:szCs w:val="21"/>
            </w:rPr>
          </w:pPr>
          <w:r>
            <w:rPr>
              <w:rFonts w:ascii="Arial" w:hAnsi="Arial" w:cs="Arial"/>
              <w:bCs/>
              <w:kern w:val="44"/>
              <w:szCs w:val="21"/>
            </w:rPr>
            <w:fldChar w:fldCharType="end"/>
          </w:r>
        </w:p>
      </w:sdtContent>
    </w:sdt>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sectPr>
          <w:footerReference r:id="rId4" w:type="default"/>
          <w:pgSz w:w="11906" w:h="16838"/>
          <w:pgMar w:top="1440" w:right="1800" w:bottom="1440" w:left="1800" w:header="851" w:footer="992" w:gutter="0"/>
          <w:pgNumType w:start="1"/>
          <w:cols w:space="425" w:num="1"/>
          <w:docGrid w:type="lines" w:linePitch="312" w:charSpace="0"/>
        </w:sectPr>
      </w:pPr>
    </w:p>
    <w:p>
      <w:pPr>
        <w:spacing w:line="360" w:lineRule="auto"/>
        <w:jc w:val="left"/>
        <w:rPr>
          <w:rFonts w:ascii="Arial" w:hAnsi="Arial" w:cs="Arial"/>
          <w:bCs/>
          <w:kern w:val="44"/>
          <w:szCs w:val="21"/>
        </w:rPr>
      </w:pPr>
      <w:r>
        <w:rPr>
          <w:rFonts w:ascii="Arial" w:hAnsi="Arial" w:cs="Arial"/>
          <w:bCs/>
          <w:kern w:val="44"/>
          <w:szCs w:val="21"/>
        </w:rPr>
        <w:t>为了方便阅读之目的，本报告中将部分名称简写为：</w:t>
      </w:r>
    </w:p>
    <w:p>
      <w:pPr>
        <w:numPr>
          <w:ilvl w:val="255"/>
          <w:numId w:val="0"/>
        </w:numPr>
        <w:spacing w:line="360" w:lineRule="auto"/>
        <w:jc w:val="left"/>
        <w:rPr>
          <w:rFonts w:ascii="Arial" w:hAnsi="Arial" w:cs="Arial"/>
          <w:bCs/>
          <w:kern w:val="44"/>
          <w:szCs w:val="21"/>
        </w:rPr>
      </w:pPr>
      <w:r>
        <w:rPr>
          <w:rFonts w:ascii="Arial" w:hAnsi="Arial" w:cs="Arial"/>
          <w:bCs/>
          <w:kern w:val="44"/>
          <w:szCs w:val="21"/>
        </w:rPr>
        <w:t>·项目公司：</w:t>
      </w:r>
      <w:r>
        <w:rPr>
          <w:rFonts w:hint="eastAsia" w:ascii="Arial" w:hAnsi="Arial" w:cs="Arial"/>
          <w:bCs/>
          <w:kern w:val="44"/>
          <w:szCs w:val="21"/>
        </w:rPr>
        <w:t>海盐丰涛置业有限公司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中航信托</w:t>
      </w:r>
      <w:r>
        <w:rPr>
          <w:rFonts w:ascii="Arial" w:hAnsi="Arial" w:cs="Arial"/>
          <w:bCs/>
          <w:kern w:val="44"/>
          <w:szCs w:val="21"/>
        </w:rPr>
        <w:t>：</w:t>
      </w:r>
      <w:r>
        <w:rPr>
          <w:rFonts w:hint="eastAsia" w:ascii="Arial" w:hAnsi="Arial" w:cs="Arial"/>
          <w:bCs/>
          <w:kern w:val="44"/>
          <w:szCs w:val="21"/>
        </w:rPr>
        <w:t>中航信托股份有限公司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恒    大</w:t>
      </w:r>
      <w:r>
        <w:rPr>
          <w:rFonts w:ascii="Arial" w:hAnsi="Arial" w:cs="Arial"/>
          <w:bCs/>
          <w:kern w:val="44"/>
          <w:szCs w:val="21"/>
        </w:rPr>
        <w:t>：</w:t>
      </w:r>
      <w:r>
        <w:rPr>
          <w:rFonts w:hint="eastAsia" w:ascii="Arial" w:hAnsi="Arial" w:cs="Arial"/>
          <w:bCs/>
          <w:kern w:val="44"/>
          <w:szCs w:val="21"/>
        </w:rPr>
        <w:t>恒大地产集团上海盛建置业有限公司</w:t>
      </w:r>
    </w:p>
    <w:p/>
    <w:p>
      <w:pPr>
        <w:numPr>
          <w:ilvl w:val="0"/>
          <w:numId w:val="1"/>
        </w:numPr>
        <w:outlineLvl w:val="0"/>
        <w:rPr>
          <w:b/>
          <w:bCs/>
          <w:color w:val="000000" w:themeColor="text1"/>
          <w:sz w:val="28"/>
          <w:szCs w:val="28"/>
          <w14:textFill>
            <w14:solidFill>
              <w14:schemeClr w14:val="tx1"/>
            </w14:solidFill>
          </w14:textFill>
        </w:rPr>
      </w:pPr>
      <w:bookmarkStart w:id="2" w:name="_Toc4375"/>
      <w:r>
        <w:rPr>
          <w:rFonts w:hint="eastAsia"/>
          <w:b/>
          <w:bCs/>
          <w:sz w:val="28"/>
          <w:szCs w:val="28"/>
        </w:rPr>
        <w:t>项</w:t>
      </w:r>
      <w:r>
        <w:rPr>
          <w:rFonts w:hint="eastAsia"/>
          <w:b/>
          <w:bCs/>
          <w:color w:val="000000" w:themeColor="text1"/>
          <w:sz w:val="28"/>
          <w:szCs w:val="28"/>
          <w14:textFill>
            <w14:solidFill>
              <w14:schemeClr w14:val="tx1"/>
            </w14:solidFill>
          </w14:textFill>
        </w:rPr>
        <w:t>目地块基本情况</w:t>
      </w:r>
      <w:bookmarkEnd w:id="2"/>
    </w:p>
    <w:p>
      <w:pPr>
        <w:spacing w:line="360" w:lineRule="auto"/>
        <w:ind w:firstLine="480" w:firstLineChars="200"/>
        <w:jc w:val="left"/>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w:t>
      </w:r>
    </w:p>
    <w:p>
      <w:pPr>
        <w:spacing w:line="360" w:lineRule="auto"/>
        <w:ind w:firstLine="420" w:firstLineChars="200"/>
        <w:jc w:val="center"/>
      </w:pPr>
      <w:r>
        <w:drawing>
          <wp:inline distT="0" distB="0" distL="114300" distR="114300">
            <wp:extent cx="4454525" cy="2854960"/>
            <wp:effectExtent l="0" t="0" r="3175"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rcRect/>
                    <a:stretch>
                      <a:fillRect/>
                    </a:stretch>
                  </pic:blipFill>
                  <pic:spPr>
                    <a:xfrm>
                      <a:off x="0" y="0"/>
                      <a:ext cx="4454525" cy="2854960"/>
                    </a:xfrm>
                    <a:prstGeom prst="rect">
                      <a:avLst/>
                    </a:prstGeom>
                    <a:noFill/>
                    <a:ln>
                      <a:noFill/>
                    </a:ln>
                  </pic:spPr>
                </pic:pic>
              </a:graphicData>
            </a:graphic>
          </wp:inline>
        </w:drawing>
      </w:r>
    </w:p>
    <w:p>
      <w:pPr>
        <w:ind w:firstLine="360" w:firstLineChars="200"/>
        <w:jc w:val="center"/>
        <w:rPr>
          <w:sz w:val="18"/>
          <w:szCs w:val="18"/>
        </w:rPr>
      </w:pPr>
      <w:r>
        <w:rPr>
          <w:rFonts w:hint="eastAsia"/>
          <w:sz w:val="18"/>
          <w:szCs w:val="18"/>
        </w:rPr>
        <w:t>项目地块位置图</w:t>
      </w:r>
    </w:p>
    <w:p>
      <w:pPr>
        <w:spacing w:line="360" w:lineRule="auto"/>
        <w:ind w:firstLine="420" w:firstLineChars="200"/>
        <w:jc w:val="center"/>
      </w:pPr>
      <w:r>
        <w:drawing>
          <wp:inline distT="0" distB="0" distL="114300" distR="114300">
            <wp:extent cx="4649470" cy="2182495"/>
            <wp:effectExtent l="0" t="0" r="17780"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4649470" cy="2182495"/>
                    </a:xfrm>
                    <a:prstGeom prst="rect">
                      <a:avLst/>
                    </a:prstGeom>
                    <a:noFill/>
                    <a:ln>
                      <a:noFill/>
                    </a:ln>
                  </pic:spPr>
                </pic:pic>
              </a:graphicData>
            </a:graphic>
          </wp:inline>
        </w:drawing>
      </w:r>
    </w:p>
    <w:p>
      <w:pPr>
        <w:ind w:firstLine="360" w:firstLineChars="200"/>
        <w:jc w:val="center"/>
        <w:rPr>
          <w:sz w:val="18"/>
          <w:szCs w:val="18"/>
        </w:rPr>
      </w:pPr>
      <w:r>
        <w:rPr>
          <w:rFonts w:hint="eastAsia"/>
          <w:sz w:val="18"/>
          <w:szCs w:val="18"/>
        </w:rPr>
        <w:t>项目地块挂牌信息</w:t>
      </w:r>
    </w:p>
    <w:p>
      <w:pPr>
        <w:spacing w:line="360" w:lineRule="auto"/>
        <w:ind w:firstLine="480" w:firstLineChars="200"/>
        <w:jc w:val="left"/>
        <w:rPr>
          <w:rFonts w:ascii="Arial" w:hAnsi="Arial" w:cs="Arial"/>
        </w:rPr>
      </w:pPr>
      <w:r>
        <w:rPr>
          <w:rFonts w:ascii="Arial" w:hAnsi="Arial" w:eastAsia="宋体" w:cs="Arial"/>
          <w:sz w:val="24"/>
        </w:rPr>
        <w:t>2020年5月21日</w:t>
      </w:r>
      <w:r>
        <w:rPr>
          <w:rFonts w:ascii="Arial" w:hAnsi="Arial" w:cs="Arial"/>
          <w:sz w:val="24"/>
        </w:rPr>
        <w:t>，恒大地产集团上海盛建置业有限公司竞得该地块，成交总价50617.71万元，楼面价6,500.00元/㎡。</w:t>
      </w:r>
    </w:p>
    <w:p>
      <w:pPr>
        <w:spacing w:line="360" w:lineRule="auto"/>
        <w:jc w:val="left"/>
      </w:pPr>
      <w:r>
        <w:drawing>
          <wp:inline distT="0" distB="0" distL="114300" distR="114300">
            <wp:extent cx="5271135" cy="2586355"/>
            <wp:effectExtent l="0" t="0" r="5715" b="444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9"/>
                    <a:stretch>
                      <a:fillRect/>
                    </a:stretch>
                  </pic:blipFill>
                  <pic:spPr>
                    <a:xfrm>
                      <a:off x="0" y="0"/>
                      <a:ext cx="5271135" cy="2586355"/>
                    </a:xfrm>
                    <a:prstGeom prst="rect">
                      <a:avLst/>
                    </a:prstGeom>
                    <a:noFill/>
                    <a:ln>
                      <a:noFill/>
                    </a:ln>
                  </pic:spPr>
                </pic:pic>
              </a:graphicData>
            </a:graphic>
          </wp:inline>
        </w:drawing>
      </w:r>
    </w:p>
    <w:p>
      <w:pPr>
        <w:spacing w:line="360" w:lineRule="auto"/>
        <w:jc w:val="center"/>
        <w:rPr>
          <w:sz w:val="18"/>
          <w:szCs w:val="18"/>
        </w:rPr>
      </w:pPr>
      <w:r>
        <w:rPr>
          <w:rFonts w:hint="eastAsia"/>
          <w:sz w:val="18"/>
          <w:szCs w:val="18"/>
        </w:rPr>
        <w:t>土地出让成交公示</w:t>
      </w:r>
    </w:p>
    <w:p>
      <w:pPr>
        <w:numPr>
          <w:ilvl w:val="0"/>
          <w:numId w:val="1"/>
        </w:numPr>
        <w:jc w:val="left"/>
        <w:outlineLvl w:val="0"/>
        <w:rPr>
          <w:b/>
          <w:bCs/>
          <w:sz w:val="28"/>
          <w:szCs w:val="28"/>
        </w:rPr>
      </w:pPr>
      <w:bookmarkStart w:id="3" w:name="_Toc2106"/>
      <w:r>
        <w:rPr>
          <w:rFonts w:hint="eastAsia"/>
          <w:b/>
          <w:bCs/>
          <w:sz w:val="28"/>
          <w:szCs w:val="28"/>
        </w:rPr>
        <w:t>项目公司基本信息</w:t>
      </w:r>
      <w:bookmarkEnd w:id="3"/>
    </w:p>
    <w:p>
      <w:pPr>
        <w:spacing w:line="360" w:lineRule="auto"/>
        <w:ind w:firstLine="480" w:firstLineChars="200"/>
        <w:jc w:val="left"/>
        <w:rPr>
          <w:rFonts w:ascii="Arial" w:hAnsi="Arial" w:cs="Arial"/>
        </w:rPr>
      </w:pPr>
      <w:r>
        <w:rPr>
          <w:rFonts w:ascii="Arial" w:hAnsi="Arial" w:cs="Arial"/>
          <w:sz w:val="24"/>
        </w:rPr>
        <w:t>项目公司成立于2020年05月28日，注册地位浙江省嘉兴市海盐县武原街道河南西路288号402-08室(部分)，法定代表人为唐浩。</w:t>
      </w:r>
      <w:r>
        <w:rPr>
          <w:rFonts w:ascii="Arial" w:hAnsi="Arial" w:cs="Arial"/>
        </w:rPr>
        <w:tab/>
      </w:r>
    </w:p>
    <w:p>
      <w:pPr>
        <w:numPr>
          <w:ilvl w:val="255"/>
          <w:numId w:val="0"/>
        </w:numPr>
        <w:jc w:val="left"/>
      </w:pPr>
      <w:r>
        <w:rPr>
          <w:rFonts w:hint="eastAsia"/>
        </w:rPr>
        <w:drawing>
          <wp:inline distT="0" distB="0" distL="114300" distR="114300">
            <wp:extent cx="5272405" cy="2757170"/>
            <wp:effectExtent l="0" t="0" r="635" b="1270"/>
            <wp:docPr id="2" name="图片 2" descr="d0c547dce02f911ae1de5ea5776c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c547dce02f911ae1de5ea5776c38c"/>
                    <pic:cNvPicPr>
                      <a:picLocks noChangeAspect="1"/>
                    </pic:cNvPicPr>
                  </pic:nvPicPr>
                  <pic:blipFill>
                    <a:blip r:embed="rId10"/>
                    <a:stretch>
                      <a:fillRect/>
                    </a:stretch>
                  </pic:blipFill>
                  <pic:spPr>
                    <a:xfrm>
                      <a:off x="0" y="0"/>
                      <a:ext cx="5272405" cy="2757170"/>
                    </a:xfrm>
                    <a:prstGeom prst="rect">
                      <a:avLst/>
                    </a:prstGeom>
                  </pic:spPr>
                </pic:pic>
              </a:graphicData>
            </a:graphic>
          </wp:inline>
        </w:drawing>
      </w:r>
    </w:p>
    <w:p>
      <w:pPr>
        <w:numPr>
          <w:ilvl w:val="255"/>
          <w:numId w:val="0"/>
        </w:numPr>
        <w:jc w:val="center"/>
        <w:rPr>
          <w:sz w:val="18"/>
          <w:szCs w:val="18"/>
        </w:rPr>
      </w:pPr>
      <w:r>
        <w:rPr>
          <w:rFonts w:hint="eastAsia"/>
          <w:sz w:val="18"/>
          <w:szCs w:val="18"/>
        </w:rPr>
        <w:t>项目公司工商注册信息</w:t>
      </w:r>
    </w:p>
    <w:p>
      <w:pPr>
        <w:spacing w:line="360" w:lineRule="auto"/>
        <w:ind w:firstLine="480" w:firstLineChars="200"/>
        <w:jc w:val="left"/>
        <w:rPr>
          <w:rFonts w:ascii="Arial" w:hAnsi="Arial" w:cs="Arial"/>
          <w:sz w:val="24"/>
        </w:rPr>
      </w:pPr>
      <w:r>
        <w:rPr>
          <w:rFonts w:ascii="Arial" w:hAnsi="Arial" w:cs="Arial"/>
          <w:sz w:val="24"/>
        </w:rPr>
        <w:t>公司股东恒大地产集团上海盛建置业有限公司出资占比30%，青岛航明投资合伙企业（有限合伙）出资占比70%。</w:t>
      </w:r>
    </w:p>
    <w:p>
      <w:pPr>
        <w:spacing w:line="360" w:lineRule="auto"/>
        <w:ind w:firstLine="480" w:firstLineChars="200"/>
        <w:jc w:val="left"/>
        <w:rPr>
          <w:rFonts w:asciiTheme="minorEastAsia" w:hAnsiTheme="minorEastAsia"/>
          <w:sz w:val="24"/>
        </w:rPr>
      </w:pPr>
    </w:p>
    <w:p>
      <w:pPr>
        <w:numPr>
          <w:ilvl w:val="255"/>
          <w:numId w:val="0"/>
        </w:numPr>
        <w:jc w:val="left"/>
      </w:pPr>
      <w:r>
        <w:rPr>
          <w:rFonts w:hint="eastAsia"/>
        </w:rPr>
        <w:drawing>
          <wp:inline distT="0" distB="0" distL="114300" distR="114300">
            <wp:extent cx="5269230" cy="2986405"/>
            <wp:effectExtent l="0" t="0" r="3810" b="635"/>
            <wp:docPr id="22" name="图片 22"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535ec3c8321b810a68b63ada546970"/>
                    <pic:cNvPicPr>
                      <a:picLocks noChangeAspect="1"/>
                    </pic:cNvPicPr>
                  </pic:nvPicPr>
                  <pic:blipFill>
                    <a:blip r:embed="rId11"/>
                    <a:stretch>
                      <a:fillRect/>
                    </a:stretch>
                  </pic:blipFill>
                  <pic:spPr>
                    <a:xfrm>
                      <a:off x="0" y="0"/>
                      <a:ext cx="5269230" cy="2986405"/>
                    </a:xfrm>
                    <a:prstGeom prst="rect">
                      <a:avLst/>
                    </a:prstGeom>
                  </pic:spPr>
                </pic:pic>
              </a:graphicData>
            </a:graphic>
          </wp:inline>
        </w:drawing>
      </w:r>
    </w:p>
    <w:p>
      <w:pPr>
        <w:numPr>
          <w:ilvl w:val="255"/>
          <w:numId w:val="0"/>
        </w:numPr>
        <w:jc w:val="center"/>
        <w:rPr>
          <w:sz w:val="18"/>
          <w:szCs w:val="18"/>
        </w:rPr>
      </w:pPr>
      <w:r>
        <w:rPr>
          <w:rFonts w:hint="eastAsia"/>
          <w:sz w:val="18"/>
          <w:szCs w:val="18"/>
        </w:rPr>
        <w:t>项目公司股权穿透图</w:t>
      </w:r>
    </w:p>
    <w:p>
      <w:pPr>
        <w:numPr>
          <w:ilvl w:val="0"/>
          <w:numId w:val="1"/>
        </w:numPr>
        <w:outlineLvl w:val="0"/>
        <w:rPr>
          <w:b/>
          <w:bCs/>
          <w:sz w:val="28"/>
          <w:szCs w:val="28"/>
        </w:rPr>
      </w:pPr>
      <w:bookmarkStart w:id="4" w:name="_Toc32704"/>
      <w:r>
        <w:rPr>
          <w:rFonts w:hint="eastAsia"/>
          <w:b/>
          <w:bCs/>
          <w:sz w:val="28"/>
          <w:szCs w:val="28"/>
        </w:rPr>
        <w:t>竞品分析</w:t>
      </w:r>
      <w:bookmarkEnd w:id="4"/>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项目周边在售竞品项目主要包括碧桂园·西江月、金地求学里、金地风华绮轩。项目周边在售楼盘位置：</w:t>
      </w:r>
    </w:p>
    <w:p>
      <w:pPr>
        <w:spacing w:line="360" w:lineRule="auto"/>
      </w:pPr>
      <w:r>
        <w:drawing>
          <wp:inline distT="0" distB="0" distL="114300" distR="114300">
            <wp:extent cx="5274310" cy="3401060"/>
            <wp:effectExtent l="0" t="0" r="2540" b="889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2"/>
                    <a:stretch>
                      <a:fillRect/>
                    </a:stretch>
                  </pic:blipFill>
                  <pic:spPr>
                    <a:xfrm>
                      <a:off x="0" y="0"/>
                      <a:ext cx="5274310" cy="3401060"/>
                    </a:xfrm>
                    <a:prstGeom prst="rect">
                      <a:avLst/>
                    </a:prstGeom>
                    <a:noFill/>
                    <a:ln>
                      <a:noFill/>
                    </a:ln>
                  </pic:spPr>
                </pic:pic>
              </a:graphicData>
            </a:graphic>
          </wp:inline>
        </w:drawing>
      </w:r>
    </w:p>
    <w:tbl>
      <w:tblPr>
        <w:tblStyle w:val="10"/>
        <w:tblW w:w="9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2182"/>
        <w:gridCol w:w="2591"/>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12" w:hRule="atLeast"/>
          <w:tblHeader/>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项目名称</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碧桂园·西江月</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金地求学里</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金地风华绮轩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距离本案（km）</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0.80 </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0.80</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最新报价（元/㎡）</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13500 </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13000</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12500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开发商</w:t>
            </w:r>
          </w:p>
        </w:tc>
        <w:tc>
          <w:tcPr>
            <w:tcW w:w="2182"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碧桂园</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金地</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73"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开盘时间</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2020年08月</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2020年05年</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2019年11月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130" w:hRule="atLeast"/>
        </w:trPr>
        <w:tc>
          <w:tcPr>
            <w:tcW w:w="1541" w:type="dxa"/>
            <w:vMerge w:val="restart"/>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主要户型</w:t>
            </w:r>
          </w:p>
        </w:tc>
        <w:tc>
          <w:tcPr>
            <w:tcW w:w="2182" w:type="dxa"/>
            <w:vMerge w:val="restart"/>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四房两厅两卫 120㎡</w:t>
            </w:r>
          </w:p>
          <w:p>
            <w:pPr>
              <w:widowControl/>
              <w:jc w:val="center"/>
              <w:rPr>
                <w:rFonts w:ascii="Arial" w:hAnsi="Arial" w:cs="Arial"/>
                <w:color w:val="000000"/>
                <w:kern w:val="0"/>
                <w:szCs w:val="21"/>
              </w:rPr>
            </w:pPr>
            <w:r>
              <w:rPr>
                <w:rFonts w:ascii="Arial" w:hAnsi="Arial" w:cs="Arial"/>
                <w:color w:val="000000"/>
                <w:kern w:val="0"/>
                <w:szCs w:val="21"/>
              </w:rPr>
              <w:t>四房两厅两卫 142㎡</w:t>
            </w:r>
          </w:p>
        </w:tc>
        <w:tc>
          <w:tcPr>
            <w:tcW w:w="2591" w:type="dxa"/>
            <w:vMerge w:val="restart"/>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三室两厅两卫 99㎡</w:t>
            </w:r>
          </w:p>
          <w:p>
            <w:pPr>
              <w:widowControl/>
              <w:jc w:val="center"/>
              <w:rPr>
                <w:rFonts w:ascii="Arial" w:hAnsi="Arial" w:cs="Arial"/>
                <w:color w:val="000000"/>
                <w:kern w:val="0"/>
                <w:szCs w:val="21"/>
              </w:rPr>
            </w:pPr>
            <w:r>
              <w:rPr>
                <w:rFonts w:ascii="Arial" w:hAnsi="Arial" w:cs="Arial"/>
                <w:color w:val="000000"/>
                <w:kern w:val="0"/>
                <w:szCs w:val="21"/>
              </w:rPr>
              <w:t>四室两厅两卫126-143㎡</w:t>
            </w:r>
          </w:p>
        </w:tc>
        <w:tc>
          <w:tcPr>
            <w:tcW w:w="2700" w:type="dxa"/>
            <w:vMerge w:val="restart"/>
            <w:shd w:val="clear" w:color="auto" w:fill="auto"/>
            <w:vAlign w:val="center"/>
          </w:tcPr>
          <w:p>
            <w:pPr>
              <w:widowControl/>
              <w:jc w:val="center"/>
              <w:rPr>
                <w:rFonts w:ascii="Arial" w:hAnsi="Arial" w:cs="Arial"/>
                <w:color w:val="000000"/>
                <w:kern w:val="0"/>
                <w:szCs w:val="21"/>
              </w:rPr>
            </w:pPr>
          </w:p>
          <w:p>
            <w:pPr>
              <w:widowControl/>
              <w:jc w:val="center"/>
              <w:rPr>
                <w:rFonts w:ascii="Arial" w:hAnsi="Arial" w:cs="Arial"/>
                <w:color w:val="000000"/>
                <w:kern w:val="0"/>
                <w:szCs w:val="21"/>
              </w:rPr>
            </w:pPr>
            <w:r>
              <w:rPr>
                <w:rFonts w:ascii="Arial" w:hAnsi="Arial" w:cs="Arial"/>
                <w:color w:val="000000"/>
                <w:kern w:val="0"/>
                <w:szCs w:val="21"/>
              </w:rPr>
              <w:t>三房两厅一厨一卫 113㎡</w:t>
            </w:r>
            <w:r>
              <w:rPr>
                <w:rFonts w:ascii="Arial" w:hAnsi="Arial" w:cs="Arial"/>
                <w:color w:val="000000"/>
                <w:kern w:val="0"/>
                <w:szCs w:val="21"/>
              </w:rPr>
              <w:br w:type="textWrapping"/>
            </w:r>
            <w:r>
              <w:rPr>
                <w:rFonts w:ascii="Arial" w:hAnsi="Arial" w:cs="Arial"/>
                <w:color w:val="000000"/>
                <w:kern w:val="0"/>
                <w:szCs w:val="21"/>
              </w:rPr>
              <w:t>四房两厅一厨一卫 120-140㎡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41" w:type="dxa"/>
            <w:vMerge w:val="continue"/>
            <w:shd w:val="clear" w:color="auto" w:fill="auto"/>
            <w:vAlign w:val="center"/>
          </w:tcPr>
          <w:p>
            <w:pPr>
              <w:widowControl/>
              <w:jc w:val="left"/>
              <w:rPr>
                <w:rFonts w:ascii="Arial" w:hAnsi="Arial" w:cs="Arial"/>
                <w:color w:val="000000"/>
                <w:kern w:val="0"/>
                <w:szCs w:val="21"/>
              </w:rPr>
            </w:pPr>
          </w:p>
        </w:tc>
        <w:tc>
          <w:tcPr>
            <w:tcW w:w="2182" w:type="dxa"/>
            <w:vMerge w:val="continue"/>
            <w:shd w:val="clear" w:color="auto" w:fill="auto"/>
            <w:vAlign w:val="center"/>
          </w:tcPr>
          <w:p>
            <w:pPr>
              <w:widowControl/>
              <w:jc w:val="left"/>
              <w:rPr>
                <w:rFonts w:ascii="Arial" w:hAnsi="Arial" w:cs="Arial"/>
                <w:color w:val="000000"/>
                <w:kern w:val="0"/>
                <w:szCs w:val="21"/>
              </w:rPr>
            </w:pPr>
          </w:p>
        </w:tc>
        <w:tc>
          <w:tcPr>
            <w:tcW w:w="2591" w:type="dxa"/>
            <w:vMerge w:val="continue"/>
            <w:shd w:val="clear" w:color="auto" w:fill="auto"/>
            <w:vAlign w:val="center"/>
          </w:tcPr>
          <w:p>
            <w:pPr>
              <w:widowControl/>
              <w:jc w:val="left"/>
              <w:rPr>
                <w:rFonts w:ascii="Arial" w:hAnsi="Arial" w:cs="Arial"/>
                <w:color w:val="000000"/>
                <w:kern w:val="0"/>
                <w:szCs w:val="21"/>
              </w:rPr>
            </w:pPr>
          </w:p>
        </w:tc>
        <w:tc>
          <w:tcPr>
            <w:tcW w:w="2700" w:type="dxa"/>
            <w:vMerge w:val="continue"/>
            <w:shd w:val="clear" w:color="auto" w:fill="auto"/>
            <w:vAlign w:val="center"/>
          </w:tcPr>
          <w:p>
            <w:pPr>
              <w:widowControl/>
              <w:jc w:val="left"/>
              <w:rPr>
                <w:rFonts w:ascii="Arial" w:hAnsi="Arial"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容积率</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1.80 </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1.80 </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绿化率</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30%</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30%</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装修状况</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毛坯</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毛坯</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总建筑面积（万方）</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10.64 </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4.50</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总户数</w:t>
            </w:r>
          </w:p>
        </w:tc>
        <w:tc>
          <w:tcPr>
            <w:tcW w:w="2182"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634 </w:t>
            </w:r>
          </w:p>
        </w:tc>
        <w:tc>
          <w:tcPr>
            <w:tcW w:w="2591"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372</w:t>
            </w:r>
          </w:p>
        </w:tc>
        <w:tc>
          <w:tcPr>
            <w:tcW w:w="2700" w:type="dxa"/>
            <w:shd w:val="clear" w:color="auto" w:fill="auto"/>
            <w:noWrap/>
            <w:vAlign w:val="center"/>
          </w:tcPr>
          <w:p>
            <w:pPr>
              <w:widowControl/>
              <w:jc w:val="center"/>
              <w:rPr>
                <w:rFonts w:ascii="Arial" w:hAnsi="Arial" w:cs="Arial"/>
                <w:color w:val="000000"/>
                <w:kern w:val="0"/>
                <w:szCs w:val="21"/>
              </w:rPr>
            </w:pPr>
            <w:r>
              <w:rPr>
                <w:rFonts w:ascii="Arial" w:hAnsi="Arial" w:cs="Arial"/>
                <w:color w:val="000000"/>
                <w:kern w:val="0"/>
                <w:szCs w:val="21"/>
              </w:rPr>
              <w:t xml:space="preserve">464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541" w:type="dxa"/>
            <w:shd w:val="clear" w:color="auto" w:fill="auto"/>
            <w:vAlign w:val="center"/>
          </w:tcPr>
          <w:p>
            <w:pPr>
              <w:widowControl/>
              <w:jc w:val="center"/>
              <w:rPr>
                <w:rFonts w:ascii="Arial" w:hAnsi="Arial" w:cs="Arial"/>
                <w:color w:val="000000"/>
                <w:kern w:val="0"/>
                <w:szCs w:val="21"/>
              </w:rPr>
            </w:pPr>
            <w:r>
              <w:rPr>
                <w:rFonts w:ascii="Arial" w:hAnsi="Arial" w:cs="Arial"/>
                <w:color w:val="000000"/>
                <w:kern w:val="0"/>
                <w:szCs w:val="21"/>
              </w:rPr>
              <w:t>周边配套</w:t>
            </w:r>
          </w:p>
        </w:tc>
        <w:tc>
          <w:tcPr>
            <w:tcW w:w="2182" w:type="dxa"/>
            <w:shd w:val="clear" w:color="auto" w:fill="auto"/>
            <w:vAlign w:val="center"/>
          </w:tcPr>
          <w:p>
            <w:pPr>
              <w:widowControl/>
              <w:jc w:val="left"/>
              <w:rPr>
                <w:rFonts w:ascii="Arial" w:hAnsi="Arial" w:cs="Arial"/>
                <w:color w:val="000000"/>
                <w:kern w:val="0"/>
                <w:szCs w:val="21"/>
              </w:rPr>
            </w:pPr>
            <w:r>
              <w:rPr>
                <w:rFonts w:ascii="Arial" w:hAnsi="Arial" w:cs="Arial"/>
                <w:color w:val="000000"/>
                <w:kern w:val="0"/>
                <w:szCs w:val="21"/>
              </w:rPr>
              <w:t>临近嘉凯城， 海盐邦尔医院， 海盐富兴骨科医院， 浙江元济高级中学，向阳小学（北校区），中国农业银行24小时自助银行,中国工商银行,中国建设银行</w:t>
            </w:r>
          </w:p>
        </w:tc>
        <w:tc>
          <w:tcPr>
            <w:tcW w:w="2591" w:type="dxa"/>
            <w:shd w:val="clear" w:color="auto" w:fill="auto"/>
            <w:vAlign w:val="center"/>
          </w:tcPr>
          <w:p>
            <w:pPr>
              <w:widowControl/>
              <w:jc w:val="left"/>
              <w:rPr>
                <w:rFonts w:ascii="Arial" w:hAnsi="Arial" w:cs="Arial"/>
                <w:color w:val="000000"/>
                <w:kern w:val="0"/>
                <w:szCs w:val="21"/>
              </w:rPr>
            </w:pPr>
            <w:r>
              <w:rPr>
                <w:rFonts w:ascii="Arial" w:hAnsi="Arial" w:eastAsia="宋体" w:cs="Arial"/>
                <w:color w:val="333333"/>
                <w:szCs w:val="21"/>
              </w:rPr>
              <w:t>临近</w:t>
            </w:r>
            <w:r>
              <w:rPr>
                <w:rFonts w:ascii="Arial" w:hAnsi="Arial" w:eastAsia="Helvetica" w:cs="Arial"/>
                <w:color w:val="333333"/>
                <w:szCs w:val="21"/>
              </w:rPr>
              <w:t>嘉凯城、绮园商业街、大润发超市</w:t>
            </w:r>
            <w:r>
              <w:rPr>
                <w:rFonts w:ascii="Arial" w:hAnsi="Arial" w:eastAsia="宋体" w:cs="Arial"/>
                <w:color w:val="333333"/>
                <w:szCs w:val="21"/>
              </w:rPr>
              <w:t>，周边有</w:t>
            </w:r>
            <w:r>
              <w:rPr>
                <w:rFonts w:ascii="Arial" w:hAnsi="Arial" w:eastAsia="Helvetica" w:cs="Arial"/>
                <w:color w:val="333333"/>
                <w:szCs w:val="21"/>
              </w:rPr>
              <w:t>学校：红黄蓝幼儿园，向阳小学北校区，海盐实验中学，浙江元济高级中学</w:t>
            </w:r>
            <w:r>
              <w:rPr>
                <w:rFonts w:ascii="Arial" w:hAnsi="Arial" w:eastAsia="宋体" w:cs="Arial"/>
                <w:color w:val="333333"/>
                <w:szCs w:val="21"/>
              </w:rPr>
              <w:t>，</w:t>
            </w:r>
            <w:r>
              <w:rPr>
                <w:rFonts w:ascii="Arial" w:hAnsi="Arial" w:eastAsia="Helvetica" w:cs="Arial"/>
                <w:color w:val="333333"/>
                <w:szCs w:val="21"/>
              </w:rPr>
              <w:t>医院：海盐县妇幼保健院，海盐中医院</w:t>
            </w:r>
            <w:r>
              <w:rPr>
                <w:rFonts w:ascii="Arial" w:hAnsi="Arial" w:eastAsia="宋体" w:cs="Arial"/>
                <w:color w:val="333333"/>
                <w:szCs w:val="21"/>
              </w:rPr>
              <w:t>，</w:t>
            </w:r>
            <w:r>
              <w:rPr>
                <w:rFonts w:ascii="Arial" w:hAnsi="Arial" w:eastAsia="Helvetica" w:cs="Arial"/>
                <w:color w:val="333333"/>
                <w:szCs w:val="21"/>
              </w:rPr>
              <w:t>公园：古荡公园、佰桑园、三毛乐园</w:t>
            </w:r>
            <w:r>
              <w:rPr>
                <w:rFonts w:ascii="Arial" w:hAnsi="Arial" w:eastAsia="宋体" w:cs="Arial"/>
                <w:color w:val="333333"/>
                <w:szCs w:val="21"/>
              </w:rPr>
              <w:t>，</w:t>
            </w:r>
            <w:r>
              <w:rPr>
                <w:rFonts w:ascii="Arial" w:hAnsi="Arial" w:eastAsia="Helvetica" w:cs="Arial"/>
                <w:color w:val="333333"/>
                <w:szCs w:val="21"/>
              </w:rPr>
              <w:t>菜场：海丰农贸市场、芳满庭农贸市场</w:t>
            </w:r>
          </w:p>
        </w:tc>
        <w:tc>
          <w:tcPr>
            <w:tcW w:w="2700" w:type="dxa"/>
            <w:shd w:val="clear" w:color="auto" w:fill="auto"/>
            <w:vAlign w:val="center"/>
          </w:tcPr>
          <w:p>
            <w:pPr>
              <w:widowControl/>
              <w:jc w:val="left"/>
              <w:rPr>
                <w:rFonts w:ascii="Arial" w:hAnsi="Arial" w:cs="Arial"/>
                <w:color w:val="000000"/>
                <w:kern w:val="0"/>
                <w:szCs w:val="21"/>
              </w:rPr>
            </w:pPr>
            <w:r>
              <w:rPr>
                <w:rFonts w:ascii="Arial" w:hAnsi="Arial" w:cs="Arial"/>
                <w:color w:val="000000"/>
                <w:kern w:val="0"/>
                <w:szCs w:val="21"/>
              </w:rPr>
              <w:t>临近嘉凯城，大润发，绮园商业街，海盐邦尔医院，海盐第一人民医院，海盐妇幼保院，海盐中医院，三毛小学，海盐博才实验学校，机关幼儿园，中国农业银行24小时自助银行</w:t>
            </w:r>
          </w:p>
        </w:tc>
      </w:tr>
    </w:tbl>
    <w:p>
      <w:pPr>
        <w:rPr>
          <w:b/>
          <w:bCs/>
          <w:sz w:val="28"/>
          <w:szCs w:val="28"/>
        </w:rPr>
      </w:pPr>
    </w:p>
    <w:p>
      <w:pPr>
        <w:outlineLvl w:val="0"/>
        <w:rPr>
          <w:sz w:val="28"/>
          <w:szCs w:val="28"/>
        </w:rPr>
      </w:pPr>
      <w:bookmarkStart w:id="5" w:name="_Toc15631"/>
      <w:r>
        <w:rPr>
          <w:rFonts w:hint="eastAsia"/>
          <w:b/>
          <w:bCs/>
          <w:sz w:val="28"/>
          <w:szCs w:val="28"/>
        </w:rPr>
        <w:t>四、入场流程</w:t>
      </w:r>
      <w:bookmarkEnd w:id="5"/>
    </w:p>
    <w:p>
      <w:pPr>
        <w:numPr>
          <w:ilvl w:val="0"/>
          <w:numId w:val="2"/>
        </w:numPr>
        <w:outlineLvl w:val="1"/>
        <w:rPr>
          <w:rFonts w:ascii="Arial" w:hAnsi="Arial" w:cs="Arial"/>
          <w:b/>
          <w:bCs/>
          <w:sz w:val="24"/>
        </w:rPr>
      </w:pPr>
      <w:bookmarkStart w:id="6" w:name="_Toc10601"/>
      <w:r>
        <w:rPr>
          <w:rFonts w:ascii="Arial" w:hAnsi="Arial" w:cs="Arial"/>
          <w:b/>
          <w:bCs/>
          <w:sz w:val="24"/>
        </w:rPr>
        <w:t>交接前流程</w:t>
      </w:r>
      <w:bookmarkEnd w:id="6"/>
    </w:p>
    <w:p>
      <w:pPr>
        <w:spacing w:line="360" w:lineRule="auto"/>
        <w:ind w:firstLine="480" w:firstLineChars="200"/>
        <w:rPr>
          <w:rFonts w:ascii="Arial" w:hAnsi="Arial" w:cs="Arial"/>
          <w:sz w:val="24"/>
        </w:rPr>
      </w:pPr>
      <w:r>
        <w:rPr>
          <w:rFonts w:ascii="Arial" w:hAnsi="Arial" w:cs="Arial"/>
          <w:sz w:val="24"/>
        </w:rPr>
        <w:t>2020年8月27日，经信托授权，我司配合中航信托与恒大资金部人员共同办理了项目公司的工商变更手续，见证了新营业执照的取得。</w:t>
      </w:r>
    </w:p>
    <w:p>
      <w:pPr>
        <w:spacing w:line="360" w:lineRule="auto"/>
        <w:ind w:firstLine="480" w:firstLineChars="200"/>
        <w:rPr>
          <w:rFonts w:cs="Arial" w:asciiTheme="minorEastAsia" w:hAnsiTheme="minorEastAsia"/>
          <w:sz w:val="24"/>
        </w:rPr>
      </w:pPr>
    </w:p>
    <w:p>
      <w:pPr>
        <w:numPr>
          <w:ilvl w:val="0"/>
          <w:numId w:val="2"/>
        </w:numPr>
        <w:outlineLvl w:val="1"/>
        <w:rPr>
          <w:rFonts w:ascii="Arial" w:hAnsi="Arial" w:cs="Arial"/>
          <w:b/>
          <w:bCs/>
          <w:sz w:val="24"/>
        </w:rPr>
      </w:pPr>
      <w:bookmarkStart w:id="7" w:name="_Toc1977"/>
      <w:r>
        <w:rPr>
          <w:rFonts w:hint="eastAsia" w:ascii="Arial" w:hAnsi="Arial" w:cs="Arial"/>
          <w:b/>
          <w:bCs/>
          <w:sz w:val="24"/>
        </w:rPr>
        <w:t>项目现场情况</w:t>
      </w:r>
      <w:bookmarkEnd w:id="7"/>
    </w:p>
    <w:p>
      <w:pPr>
        <w:spacing w:line="360" w:lineRule="auto"/>
        <w:ind w:firstLine="480" w:firstLineChars="200"/>
        <w:rPr>
          <w:rFonts w:ascii="Arial" w:hAnsi="Arial" w:cs="Arial"/>
          <w:sz w:val="24"/>
        </w:rPr>
      </w:pPr>
      <w:r>
        <w:rPr>
          <w:rFonts w:ascii="Arial" w:hAnsi="Arial" w:cs="Arial"/>
          <w:sz w:val="24"/>
        </w:rPr>
        <w:t>2020年8月27日，在无工程人员陪同下，我司与恒大资金部人员对项目现场工地进行查看。项目桩基、土方均已开始施工，售楼处已封顶。</w:t>
      </w:r>
    </w:p>
    <w:p>
      <w:pPr>
        <w:spacing w:line="360" w:lineRule="auto"/>
        <w:ind w:firstLine="480" w:firstLineChars="200"/>
        <w:rPr>
          <w:rFonts w:ascii="Arial" w:hAnsi="Arial" w:cs="Arial"/>
          <w:sz w:val="24"/>
        </w:rPr>
      </w:pPr>
      <w:r>
        <w:rPr>
          <w:rFonts w:hint="eastAsia" w:ascii="Arial" w:hAnsi="Arial" w:cs="Arial"/>
          <w:sz w:val="24"/>
        </w:rPr>
        <w:t>由于目前项目公司尚未取得《建筑工程施工许可证》，根据《中华人民共和国建筑法》第六十四条“违反本法规定，未取得施工许可证或者开工报告未经批准擅自施工的，责令改正，对不符合开工条件的责令停止施工，可以处以罚款。”项目公司有被处罚的风险。根据《建设工程质量管理条例》第五十七条“违反本条例规定，建设单位未取得施工许可证或者开工报告未经批准，擅自施工的，责令停止施工，限期改正，处工程合同价款1%以上2%以下的罚款。”第七十三条规定：“依照本条例规定，给予单位罚款处罚的，对单位直接负责的主管人员和其他直接责任人员处单位罚款数额5%以上10%以下的罚款。”</w:t>
      </w:r>
    </w:p>
    <w:p>
      <w:pPr>
        <w:spacing w:line="360" w:lineRule="auto"/>
        <w:ind w:firstLine="480" w:firstLineChars="200"/>
        <w:rPr>
          <w:rFonts w:cs="Arial" w:asciiTheme="minorEastAsia" w:hAnsiTheme="minorEastAsia"/>
          <w:sz w:val="24"/>
        </w:rPr>
      </w:pPr>
    </w:p>
    <w:p>
      <w:pPr>
        <w:numPr>
          <w:ilvl w:val="0"/>
          <w:numId w:val="2"/>
        </w:numPr>
        <w:outlineLvl w:val="1"/>
        <w:rPr>
          <w:rFonts w:ascii="Arial" w:hAnsi="Arial" w:cs="Arial"/>
          <w:b/>
          <w:bCs/>
          <w:sz w:val="24"/>
        </w:rPr>
      </w:pPr>
      <w:bookmarkStart w:id="8" w:name="_Toc4641"/>
      <w:r>
        <w:rPr>
          <w:rFonts w:hint="eastAsia" w:ascii="Arial" w:hAnsi="Arial" w:cs="Arial"/>
          <w:b/>
          <w:bCs/>
          <w:sz w:val="24"/>
        </w:rPr>
        <w:t>项目现场图片</w:t>
      </w:r>
      <w:bookmarkEnd w:id="8"/>
    </w:p>
    <w:p>
      <w:r>
        <w:drawing>
          <wp:anchor distT="0" distB="0" distL="114300" distR="114300" simplePos="0" relativeHeight="251658240" behindDoc="1" locked="0" layoutInCell="1" allowOverlap="1">
            <wp:simplePos x="0" y="0"/>
            <wp:positionH relativeFrom="column">
              <wp:posOffset>-17780</wp:posOffset>
            </wp:positionH>
            <wp:positionV relativeFrom="paragraph">
              <wp:posOffset>165735</wp:posOffset>
            </wp:positionV>
            <wp:extent cx="2811780" cy="2003425"/>
            <wp:effectExtent l="0" t="0" r="7620" b="0"/>
            <wp:wrapTight wrapText="bothSides">
              <wp:wrapPolygon>
                <wp:start x="0" y="0"/>
                <wp:lineTo x="0" y="21360"/>
                <wp:lineTo x="21512" y="21360"/>
                <wp:lineTo x="21512" y="0"/>
                <wp:lineTo x="0" y="0"/>
              </wp:wrapPolygon>
            </wp:wrapTight>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2811780" cy="2003425"/>
                    </a:xfrm>
                    <a:prstGeom prst="rect">
                      <a:avLst/>
                    </a:prstGeom>
                    <a:noFill/>
                    <a:ln>
                      <a:noFill/>
                    </a:ln>
                  </pic:spPr>
                </pic:pic>
              </a:graphicData>
            </a:graphic>
          </wp:anchor>
        </w:drawing>
      </w:r>
      <w:r>
        <w:rPr>
          <w:rFonts w:hint="eastAsia" w:asciiTheme="minorEastAsia" w:hAnsiTheme="minorEastAsia"/>
          <w:sz w:val="24"/>
        </w:rPr>
        <w:drawing>
          <wp:anchor distT="0" distB="0" distL="114300" distR="114300" simplePos="0" relativeHeight="251659264" behindDoc="1" locked="0" layoutInCell="1" allowOverlap="1">
            <wp:simplePos x="0" y="0"/>
            <wp:positionH relativeFrom="column">
              <wp:posOffset>2900680</wp:posOffset>
            </wp:positionH>
            <wp:positionV relativeFrom="paragraph">
              <wp:posOffset>173990</wp:posOffset>
            </wp:positionV>
            <wp:extent cx="2827655" cy="2017395"/>
            <wp:effectExtent l="0" t="0" r="10795" b="59055"/>
            <wp:wrapTight wrapText="bothSides">
              <wp:wrapPolygon>
                <wp:start x="0" y="0"/>
                <wp:lineTo x="0" y="21416"/>
                <wp:lineTo x="21391" y="21416"/>
                <wp:lineTo x="21391" y="0"/>
                <wp:lineTo x="0" y="0"/>
              </wp:wrapPolygon>
            </wp:wrapTight>
            <wp:docPr id="11" name="图片 11" descr="409a6751ca8af107e0f388a85925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9a6751ca8af107e0f388a859256be"/>
                    <pic:cNvPicPr>
                      <a:picLocks noChangeAspect="1"/>
                    </pic:cNvPicPr>
                  </pic:nvPicPr>
                  <pic:blipFill>
                    <a:blip r:embed="rId14"/>
                    <a:stretch>
                      <a:fillRect/>
                    </a:stretch>
                  </pic:blipFill>
                  <pic:spPr>
                    <a:xfrm>
                      <a:off x="0" y="0"/>
                      <a:ext cx="2827655" cy="2017395"/>
                    </a:xfrm>
                    <a:prstGeom prst="rect">
                      <a:avLst/>
                    </a:prstGeom>
                  </pic:spPr>
                </pic:pic>
              </a:graphicData>
            </a:graphic>
          </wp:anchor>
        </w:drawing>
      </w:r>
      <w:r>
        <w:rPr>
          <w:rFonts w:hint="eastAsia"/>
        </w:rPr>
        <w:t xml:space="preserve">                                                 </w:t>
      </w:r>
    </w:p>
    <w:p>
      <w:pPr>
        <w:rPr>
          <w:rFonts w:ascii="Arial" w:hAnsi="Arial" w:cs="Arial"/>
        </w:rPr>
      </w:pPr>
      <w:r>
        <w:rPr>
          <w:rFonts w:ascii="Arial" w:hAnsi="Arial" w:cs="Arial"/>
        </w:rPr>
        <w:t>1、售楼处已封顶                             2、工地土方施工</w:t>
      </w:r>
    </w:p>
    <w:p/>
    <w:p>
      <w:r>
        <w:rPr>
          <w:rFonts w:hint="eastAsia" w:asciiTheme="minorEastAsia" w:hAnsiTheme="minorEastAsia"/>
          <w:sz w:val="24"/>
        </w:rPr>
        <w:drawing>
          <wp:anchor distT="0" distB="0" distL="114300" distR="114300" simplePos="0" relativeHeight="251660288" behindDoc="0" locked="0" layoutInCell="1" allowOverlap="1">
            <wp:simplePos x="0" y="0"/>
            <wp:positionH relativeFrom="column">
              <wp:posOffset>2918460</wp:posOffset>
            </wp:positionH>
            <wp:positionV relativeFrom="paragraph">
              <wp:posOffset>38735</wp:posOffset>
            </wp:positionV>
            <wp:extent cx="2788920" cy="2092960"/>
            <wp:effectExtent l="0" t="0" r="11430" b="2540"/>
            <wp:wrapSquare wrapText="bothSides"/>
            <wp:docPr id="33" name="图片 33" descr="航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航拍图"/>
                    <pic:cNvPicPr>
                      <a:picLocks noChangeAspect="1"/>
                    </pic:cNvPicPr>
                  </pic:nvPicPr>
                  <pic:blipFill>
                    <a:blip r:embed="rId15"/>
                    <a:stretch>
                      <a:fillRect/>
                    </a:stretch>
                  </pic:blipFill>
                  <pic:spPr>
                    <a:xfrm>
                      <a:off x="0" y="0"/>
                      <a:ext cx="2788920" cy="2092960"/>
                    </a:xfrm>
                    <a:prstGeom prst="rect">
                      <a:avLst/>
                    </a:prstGeom>
                  </pic:spPr>
                </pic:pic>
              </a:graphicData>
            </a:graphic>
          </wp:anchor>
        </w:drawing>
      </w:r>
      <w:r>
        <w:rPr>
          <w:rFonts w:hint="eastAsia" w:asciiTheme="minorEastAsia" w:hAnsiTheme="minorEastAsia"/>
          <w:sz w:val="24"/>
        </w:rPr>
        <w:drawing>
          <wp:inline distT="0" distB="0" distL="114300" distR="114300">
            <wp:extent cx="2827020" cy="2120900"/>
            <wp:effectExtent l="0" t="0" r="11430" b="12700"/>
            <wp:docPr id="10" name="图片 10" descr="6aa8c1157c8029ef7ef7365ebac8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aa8c1157c8029ef7ef7365ebac8ca6"/>
                    <pic:cNvPicPr>
                      <a:picLocks noChangeAspect="1"/>
                    </pic:cNvPicPr>
                  </pic:nvPicPr>
                  <pic:blipFill>
                    <a:blip r:embed="rId16"/>
                    <a:stretch>
                      <a:fillRect/>
                    </a:stretch>
                  </pic:blipFill>
                  <pic:spPr>
                    <a:xfrm>
                      <a:off x="0" y="0"/>
                      <a:ext cx="2827020" cy="2120900"/>
                    </a:xfrm>
                    <a:prstGeom prst="rect">
                      <a:avLst/>
                    </a:prstGeom>
                  </pic:spPr>
                </pic:pic>
              </a:graphicData>
            </a:graphic>
          </wp:inline>
        </w:drawing>
      </w:r>
      <w:r>
        <w:rPr>
          <w:rFonts w:hint="eastAsia"/>
        </w:rPr>
        <w:t xml:space="preserve">                                        </w:t>
      </w:r>
    </w:p>
    <w:p>
      <w:pPr>
        <w:rPr>
          <w:rFonts w:ascii="Arial" w:hAnsi="Arial" w:cs="Arial"/>
        </w:rPr>
      </w:pPr>
      <w:r>
        <w:rPr>
          <w:rFonts w:ascii="Arial" w:hAnsi="Arial" w:cs="Arial"/>
        </w:rPr>
        <w:t>3、工地现场设施                              4、工地航拍图</w:t>
      </w:r>
    </w:p>
    <w:p>
      <w:pPr>
        <w:rPr>
          <w:rFonts w:asciiTheme="minorEastAsia" w:hAnsiTheme="minorEastAsia"/>
          <w:sz w:val="24"/>
        </w:rPr>
      </w:pPr>
    </w:p>
    <w:p>
      <w:pPr>
        <w:jc w:val="center"/>
        <w:rPr>
          <w:rFonts w:asciiTheme="minorEastAsia" w:hAnsiTheme="minorEastAsia"/>
          <w:szCs w:val="21"/>
        </w:rPr>
      </w:pPr>
    </w:p>
    <w:p>
      <w:pPr>
        <w:numPr>
          <w:ilvl w:val="0"/>
          <w:numId w:val="2"/>
        </w:numPr>
        <w:outlineLvl w:val="1"/>
        <w:rPr>
          <w:rFonts w:ascii="Arial" w:hAnsi="Arial" w:cs="Arial"/>
          <w:b/>
          <w:bCs/>
          <w:sz w:val="24"/>
        </w:rPr>
      </w:pPr>
      <w:bookmarkStart w:id="9" w:name="_Toc5263"/>
      <w:r>
        <w:rPr>
          <w:rFonts w:hint="eastAsia" w:ascii="Arial" w:hAnsi="Arial" w:cs="Arial"/>
          <w:b/>
          <w:bCs/>
          <w:sz w:val="24"/>
        </w:rPr>
        <w:t>印鉴核验</w:t>
      </w:r>
      <w:bookmarkEnd w:id="9"/>
    </w:p>
    <w:p>
      <w:pPr>
        <w:spacing w:line="360" w:lineRule="auto"/>
        <w:ind w:firstLine="480" w:firstLineChars="200"/>
        <w:rPr>
          <w:rFonts w:ascii="Arial" w:hAnsi="Arial" w:cs="Arial"/>
          <w:sz w:val="24"/>
        </w:rPr>
      </w:pPr>
      <w:r>
        <w:rPr>
          <w:rFonts w:ascii="Arial" w:hAnsi="Arial" w:cs="Arial"/>
          <w:sz w:val="24"/>
        </w:rPr>
        <w:t>2020年8月28日上午我司与项目公司前往海盐政务服务中心二层公安窗口核验印鉴，窗口出具证明，项目公司目前共有4枚备案印鉴，分别为：公章、财务专用章、合同专用章、发票专用章。</w:t>
      </w:r>
    </w:p>
    <w:p>
      <w:pPr>
        <w:rPr>
          <w:sz w:val="28"/>
          <w:szCs w:val="28"/>
        </w:rPr>
      </w:pPr>
      <w:r>
        <w:drawing>
          <wp:inline distT="0" distB="0" distL="114300" distR="114300">
            <wp:extent cx="5272405" cy="3343910"/>
            <wp:effectExtent l="0" t="0" r="635" b="889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7"/>
                    <a:stretch>
                      <a:fillRect/>
                    </a:stretch>
                  </pic:blipFill>
                  <pic:spPr>
                    <a:xfrm>
                      <a:off x="0" y="0"/>
                      <a:ext cx="5272405" cy="3343910"/>
                    </a:xfrm>
                    <a:prstGeom prst="rect">
                      <a:avLst/>
                    </a:prstGeom>
                    <a:noFill/>
                    <a:ln>
                      <a:noFill/>
                    </a:ln>
                  </pic:spPr>
                </pic:pic>
              </a:graphicData>
            </a:graphic>
          </wp:inline>
        </w:drawing>
      </w:r>
      <w:r>
        <w:drawing>
          <wp:inline distT="0" distB="0" distL="114300" distR="114300">
            <wp:extent cx="5271770" cy="3145790"/>
            <wp:effectExtent l="0" t="0" r="1270" b="889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8"/>
                    <a:stretch>
                      <a:fillRect/>
                    </a:stretch>
                  </pic:blipFill>
                  <pic:spPr>
                    <a:xfrm>
                      <a:off x="0" y="0"/>
                      <a:ext cx="5271770" cy="3145790"/>
                    </a:xfrm>
                    <a:prstGeom prst="rect">
                      <a:avLst/>
                    </a:prstGeom>
                    <a:noFill/>
                    <a:ln>
                      <a:noFill/>
                    </a:ln>
                  </pic:spPr>
                </pic:pic>
              </a:graphicData>
            </a:graphic>
          </wp:inline>
        </w:drawing>
      </w:r>
      <w:r>
        <w:drawing>
          <wp:inline distT="0" distB="0" distL="114300" distR="114300">
            <wp:extent cx="5272405" cy="3261360"/>
            <wp:effectExtent l="0" t="0" r="635"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9"/>
                    <a:stretch>
                      <a:fillRect/>
                    </a:stretch>
                  </pic:blipFill>
                  <pic:spPr>
                    <a:xfrm>
                      <a:off x="0" y="0"/>
                      <a:ext cx="5272405" cy="3261360"/>
                    </a:xfrm>
                    <a:prstGeom prst="rect">
                      <a:avLst/>
                    </a:prstGeom>
                    <a:noFill/>
                    <a:ln>
                      <a:noFill/>
                    </a:ln>
                  </pic:spPr>
                </pic:pic>
              </a:graphicData>
            </a:graphic>
          </wp:inline>
        </w:drawing>
      </w:r>
      <w:r>
        <w:drawing>
          <wp:inline distT="0" distB="0" distL="114300" distR="114300">
            <wp:extent cx="5267960" cy="3094355"/>
            <wp:effectExtent l="0" t="0" r="5080" b="1460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0"/>
                    <a:stretch>
                      <a:fillRect/>
                    </a:stretch>
                  </pic:blipFill>
                  <pic:spPr>
                    <a:xfrm>
                      <a:off x="0" y="0"/>
                      <a:ext cx="5267960" cy="3094355"/>
                    </a:xfrm>
                    <a:prstGeom prst="rect">
                      <a:avLst/>
                    </a:prstGeom>
                    <a:noFill/>
                    <a:ln>
                      <a:noFill/>
                    </a:ln>
                  </pic:spPr>
                </pic:pic>
              </a:graphicData>
            </a:graphic>
          </wp:inline>
        </w:drawing>
      </w:r>
    </w:p>
    <w:p>
      <w:pPr>
        <w:jc w:val="center"/>
        <w:rPr>
          <w:szCs w:val="21"/>
        </w:rPr>
      </w:pPr>
      <w:r>
        <w:rPr>
          <w:rFonts w:hint="eastAsia"/>
          <w:szCs w:val="21"/>
        </w:rPr>
        <w:t>备案印鉴明细</w:t>
      </w:r>
    </w:p>
    <w:p>
      <w:pPr>
        <w:jc w:val="center"/>
        <w:rPr>
          <w:szCs w:val="21"/>
        </w:rPr>
      </w:pPr>
    </w:p>
    <w:p>
      <w:pPr>
        <w:numPr>
          <w:ilvl w:val="0"/>
          <w:numId w:val="2"/>
        </w:numPr>
        <w:outlineLvl w:val="1"/>
        <w:rPr>
          <w:rFonts w:ascii="Arial" w:hAnsi="Arial" w:cs="Arial"/>
          <w:b/>
          <w:bCs/>
          <w:sz w:val="24"/>
        </w:rPr>
      </w:pPr>
      <w:bookmarkStart w:id="10" w:name="_Toc13122"/>
      <w:r>
        <w:rPr>
          <w:rFonts w:hint="eastAsia" w:ascii="Arial" w:hAnsi="Arial" w:cs="Arial"/>
          <w:b/>
          <w:bCs/>
          <w:sz w:val="24"/>
        </w:rPr>
        <w:t>银行账户信息查询</w:t>
      </w:r>
      <w:bookmarkEnd w:id="10"/>
    </w:p>
    <w:p>
      <w:pPr>
        <w:spacing w:line="360" w:lineRule="auto"/>
        <w:ind w:firstLine="480" w:firstLineChars="200"/>
        <w:rPr>
          <w:rFonts w:ascii="Arial" w:hAnsi="Arial" w:cs="Arial"/>
          <w:sz w:val="24"/>
        </w:rPr>
      </w:pPr>
      <w:r>
        <w:rPr>
          <w:rFonts w:ascii="Arial" w:hAnsi="Arial" w:cs="Arial"/>
          <w:sz w:val="24"/>
        </w:rPr>
        <w:t>2020年8月28日上午我司与中航信托、项目公司前往建行海盐支行（基本户）、农行海盐县支行（一般户），中航海盐支行（一般户）变更预留印鉴及核验账户情况。</w:t>
      </w:r>
    </w:p>
    <w:p>
      <w:pPr>
        <w:spacing w:line="360" w:lineRule="auto"/>
        <w:ind w:firstLine="480" w:firstLineChars="200"/>
        <w:rPr>
          <w:rFonts w:ascii="Arial" w:hAnsi="Arial" w:cs="Arial"/>
          <w:sz w:val="24"/>
        </w:rPr>
      </w:pPr>
      <w:r>
        <w:rPr>
          <w:rFonts w:ascii="Arial" w:hAnsi="Arial" w:cs="Arial"/>
          <w:sz w:val="24"/>
        </w:rPr>
        <w:t>（1）经核实项目公司银行预留印鉴为公章、财务专用章、法人章，经办人章(刘若含)且与备案系统一致，变更后，项目公司银行预留印鉴为公章、财务专用章、法人章，经办人章（朱展宏）。</w:t>
      </w:r>
    </w:p>
    <w:p>
      <w:pPr>
        <w:spacing w:line="360" w:lineRule="auto"/>
        <w:ind w:firstLine="480" w:firstLineChars="200"/>
        <w:rPr>
          <w:rFonts w:ascii="Arial" w:hAnsi="Arial" w:cs="Arial"/>
          <w:sz w:val="24"/>
        </w:rPr>
      </w:pPr>
      <w:r>
        <w:rPr>
          <w:rFonts w:ascii="Arial" w:hAnsi="Arial" w:cs="Arial"/>
          <w:sz w:val="24"/>
        </w:rPr>
        <w:t>（2）项目公司基本存款账户开户行：中国建设银行股份有限公司海盐支行、账号：33050163712700001027、账户余额：29.12元。核实项目公司共领取3个U盾，其中1个操作盾（制单功能）、1个复核盾，1个主管盾（户名曹露群），该账户已开通手机短信动账提醒、结算卡，经与项目公司协商，按照协议约定应共管“最高权限的U盾”，项目公司同意将基本户“主管盾”交接共管，并将结算卡转账支付功能关闭。</w:t>
      </w:r>
    </w:p>
    <w:p>
      <w:pPr>
        <w:spacing w:line="360" w:lineRule="auto"/>
        <w:ind w:firstLine="480" w:firstLineChars="200"/>
        <w:rPr>
          <w:rFonts w:ascii="Arial" w:hAnsi="Arial" w:cs="Arial"/>
          <w:sz w:val="24"/>
        </w:rPr>
      </w:pPr>
      <w:r>
        <w:rPr>
          <w:rFonts w:ascii="Arial" w:hAnsi="Arial" w:cs="Arial"/>
          <w:sz w:val="24"/>
        </w:rPr>
        <w:t>（3）项目公司一般存款账户开户行：中国农业银行股份有限公司海盐县支行、账号：19360101040032179、账户余额：510.00元。核实项目公司共领取2个U盾，其中1个操作盾（制单功能）、1个管理盾（户名曹露群）；银行系统查验到项目公司已领取业务申请书50张，已使用一张，凭证号码为：461266326-461266350，0461271627-041627</w:t>
      </w:r>
      <w:r>
        <w:rPr>
          <w:rFonts w:hint="eastAsia" w:ascii="Arial" w:hAnsi="Arial" w:cs="Arial"/>
          <w:sz w:val="24"/>
          <w:lang w:val="en-US" w:eastAsia="zh-CN"/>
        </w:rPr>
        <w:t>16</w:t>
      </w:r>
      <w:r>
        <w:rPr>
          <w:rFonts w:ascii="Arial" w:hAnsi="Arial" w:cs="Arial"/>
          <w:sz w:val="24"/>
        </w:rPr>
        <w:t>50；已领取支票25张，凭证号码为：10303320125271</w:t>
      </w:r>
      <w:r>
        <w:rPr>
          <w:rFonts w:hint="eastAsia" w:ascii="Arial" w:hAnsi="Arial" w:cs="Arial"/>
          <w:sz w:val="24"/>
          <w:lang w:val="en-US" w:eastAsia="zh-CN"/>
        </w:rPr>
        <w:t>76</w:t>
      </w:r>
      <w:r>
        <w:rPr>
          <w:rFonts w:ascii="Arial" w:hAnsi="Arial" w:cs="Arial"/>
          <w:sz w:val="24"/>
        </w:rPr>
        <w:t>-1030332012527200；已开通商票功能目前暂未使用，已开通回单卡、掌银功能（可通过手机企业银行APP蓝牙连接U盾条件下进行支付，可直接从管理权限盾关掉该功能）。按照监管协议约定应共管“最高权限的U盾”，经与项目公司协商，项目公司同意将基本户“管理盾”交接共管，同时项目公司告知已领取未使用的业务申请书中有已作废申请书10张，实际交接40张。</w:t>
      </w:r>
    </w:p>
    <w:p>
      <w:pPr>
        <w:spacing w:line="360" w:lineRule="auto"/>
        <w:ind w:firstLine="480" w:firstLineChars="200"/>
        <w:rPr>
          <w:rFonts w:ascii="Arial" w:hAnsi="Arial" w:cs="Arial"/>
          <w:sz w:val="24"/>
        </w:rPr>
      </w:pPr>
      <w:r>
        <w:rPr>
          <w:rFonts w:ascii="Arial" w:hAnsi="Arial" w:cs="Arial"/>
          <w:sz w:val="24"/>
        </w:rPr>
        <w:t>（4）项目公司一般存款账户开户行：中国银行股份有限公司海盐支行、账号；374078228270、账户余额：0.00元。核实项目公司共领取3个U盾，其中1个操作盾（制单功能）、1个复核盾，1个主管盾（户名曹露群），1张结算卡未激活。经与项目公司协商，按照协议约定应共管“最高权限的U盾”，项目公司同意将基本户“主管盾”及结算卡交接共管。</w:t>
      </w:r>
    </w:p>
    <w:p>
      <w:pPr>
        <w:spacing w:line="360" w:lineRule="auto"/>
        <w:ind w:firstLine="480" w:firstLineChars="200"/>
        <w:rPr>
          <w:rFonts w:cs="Arial" w:asciiTheme="minorEastAsia" w:hAnsiTheme="minorEastAsia"/>
          <w:sz w:val="24"/>
        </w:rPr>
      </w:pPr>
    </w:p>
    <w:p>
      <w:pPr>
        <w:numPr>
          <w:ilvl w:val="0"/>
          <w:numId w:val="2"/>
        </w:numPr>
        <w:outlineLvl w:val="1"/>
        <w:rPr>
          <w:rFonts w:ascii="Arial" w:hAnsi="Arial" w:cs="Arial"/>
          <w:b/>
          <w:bCs/>
          <w:sz w:val="24"/>
        </w:rPr>
      </w:pPr>
      <w:bookmarkStart w:id="11" w:name="_Toc1120"/>
      <w:r>
        <w:rPr>
          <w:rFonts w:hint="eastAsia" w:ascii="Arial" w:hAnsi="Arial" w:cs="Arial"/>
          <w:b/>
          <w:bCs/>
          <w:sz w:val="24"/>
        </w:rPr>
        <w:t>共管交接</w:t>
      </w:r>
      <w:bookmarkEnd w:id="11"/>
    </w:p>
    <w:p>
      <w:pPr>
        <w:spacing w:line="360" w:lineRule="auto"/>
        <w:ind w:firstLine="480" w:firstLineChars="200"/>
        <w:rPr>
          <w:rFonts w:ascii="Arial" w:hAnsi="Arial" w:cs="Arial"/>
          <w:sz w:val="24"/>
        </w:rPr>
      </w:pPr>
      <w:r>
        <w:rPr>
          <w:rFonts w:ascii="Arial" w:hAnsi="Arial" w:cs="Arial"/>
          <w:sz w:val="24"/>
        </w:rPr>
        <w:t>2020年8月28日晚上我司与中航信托、项目公司对共管</w:t>
      </w:r>
      <w:r>
        <w:rPr>
          <w:rFonts w:hint="eastAsia" w:ascii="Arial" w:hAnsi="Arial" w:cs="Arial"/>
          <w:sz w:val="24"/>
          <w:lang w:eastAsia="zh-CN"/>
        </w:rPr>
        <w:t>物品和</w:t>
      </w:r>
      <w:r>
        <w:rPr>
          <w:rFonts w:ascii="Arial" w:hAnsi="Arial" w:cs="Arial"/>
          <w:sz w:val="24"/>
        </w:rPr>
        <w:t>资料</w:t>
      </w:r>
      <w:bookmarkStart w:id="12" w:name="_GoBack"/>
      <w:bookmarkEnd w:id="12"/>
      <w:r>
        <w:rPr>
          <w:rFonts w:ascii="Arial" w:hAnsi="Arial" w:cs="Arial"/>
          <w:sz w:val="24"/>
        </w:rPr>
        <w:t>进行交接，交接单如下：</w:t>
      </w:r>
    </w:p>
    <w:p>
      <w:pPr>
        <w:rPr>
          <w:rFonts w:asciiTheme="minorEastAsia" w:hAnsiTheme="minorEastAsia"/>
          <w:sz w:val="24"/>
        </w:rPr>
      </w:pPr>
    </w:p>
    <w:p>
      <w:pPr>
        <w:rPr>
          <w:rFonts w:asciiTheme="minorEastAsia" w:hAnsiTheme="minorEastAsia"/>
          <w:sz w:val="24"/>
        </w:rPr>
      </w:pPr>
      <w:r>
        <w:drawing>
          <wp:inline distT="0" distB="0" distL="114300" distR="114300">
            <wp:extent cx="5273675" cy="5074285"/>
            <wp:effectExtent l="0" t="0" r="1460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73675" cy="5074285"/>
                    </a:xfrm>
                    <a:prstGeom prst="rect">
                      <a:avLst/>
                    </a:prstGeom>
                    <a:noFill/>
                    <a:ln>
                      <a:noFill/>
                    </a:ln>
                  </pic:spPr>
                </pic:pic>
              </a:graphicData>
            </a:graphic>
          </wp:inline>
        </w:drawing>
      </w:r>
      <w:r>
        <w:drawing>
          <wp:inline distT="0" distB="0" distL="114300" distR="114300">
            <wp:extent cx="5271770" cy="5488305"/>
            <wp:effectExtent l="0" t="0" r="127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5271770" cy="5488305"/>
                    </a:xfrm>
                    <a:prstGeom prst="rect">
                      <a:avLst/>
                    </a:prstGeom>
                    <a:noFill/>
                    <a:ln>
                      <a:noFill/>
                    </a:ln>
                  </pic:spPr>
                </pic:pic>
              </a:graphicData>
            </a:graphic>
          </wp:inline>
        </w:drawing>
      </w:r>
      <w:r>
        <w:drawing>
          <wp:inline distT="0" distB="0" distL="114300" distR="114300">
            <wp:extent cx="5269865" cy="2118995"/>
            <wp:effectExtent l="0" t="0" r="3175"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5269865" cy="2118995"/>
                    </a:xfrm>
                    <a:prstGeom prst="rect">
                      <a:avLst/>
                    </a:prstGeom>
                    <a:noFill/>
                    <a:ln>
                      <a:noFill/>
                    </a:ln>
                  </pic:spPr>
                </pic:pic>
              </a:graphicData>
            </a:graphic>
          </wp:inline>
        </w:drawing>
      </w:r>
      <w:r>
        <w:drawing>
          <wp:inline distT="0" distB="0" distL="114300" distR="114300">
            <wp:extent cx="5269865" cy="6099175"/>
            <wp:effectExtent l="0" t="0" r="317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5269865" cy="6099175"/>
                    </a:xfrm>
                    <a:prstGeom prst="rect">
                      <a:avLst/>
                    </a:prstGeom>
                    <a:noFill/>
                    <a:ln>
                      <a:noFill/>
                    </a:ln>
                  </pic:spPr>
                </pic:pic>
              </a:graphicData>
            </a:graphic>
          </wp:inline>
        </w:drawing>
      </w:r>
      <w:r>
        <w:drawing>
          <wp:inline distT="0" distB="0" distL="114300" distR="114300">
            <wp:extent cx="5268595" cy="6406515"/>
            <wp:effectExtent l="0" t="0" r="444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5"/>
                    <a:stretch>
                      <a:fillRect/>
                    </a:stretch>
                  </pic:blipFill>
                  <pic:spPr>
                    <a:xfrm>
                      <a:off x="0" y="0"/>
                      <a:ext cx="5268595" cy="6406515"/>
                    </a:xfrm>
                    <a:prstGeom prst="rect">
                      <a:avLst/>
                    </a:prstGeom>
                    <a:noFill/>
                    <a:ln>
                      <a:noFill/>
                    </a:ln>
                  </pic:spPr>
                </pic:pic>
              </a:graphicData>
            </a:graphic>
          </wp:inline>
        </w:drawing>
      </w:r>
      <w:r>
        <w:drawing>
          <wp:inline distT="0" distB="0" distL="114300" distR="114300">
            <wp:extent cx="5271135" cy="6282690"/>
            <wp:effectExtent l="0" t="0" r="1905"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6"/>
                    <a:stretch>
                      <a:fillRect/>
                    </a:stretch>
                  </pic:blipFill>
                  <pic:spPr>
                    <a:xfrm>
                      <a:off x="0" y="0"/>
                      <a:ext cx="5271135" cy="6282690"/>
                    </a:xfrm>
                    <a:prstGeom prst="rect">
                      <a:avLst/>
                    </a:prstGeom>
                    <a:noFill/>
                    <a:ln>
                      <a:noFill/>
                    </a:ln>
                  </pic:spPr>
                </pic:pic>
              </a:graphicData>
            </a:graphic>
          </wp:inline>
        </w:drawing>
      </w:r>
    </w:p>
    <w:p>
      <w:pPr>
        <w:rPr>
          <w:sz w:val="28"/>
          <w:szCs w:val="28"/>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rPr>
          <w:sz w:val="28"/>
          <w:szCs w:val="28"/>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楷体_GB2312" w:eastAsia="楷体_GB2312"/>
        <w:spacing w:val="-20"/>
        <w:sz w:val="24"/>
      </w:rPr>
    </w:pPr>
    <w:r>
      <w:rPr>
        <w:rFonts w:ascii="楷体_GB2312" w:eastAsia="楷体_GB2312"/>
        <w:spacing w:val="-20"/>
        <w:sz w:val="24"/>
      </w:rPr>
      <w:drawing>
        <wp:inline distT="0" distB="0" distL="0" distR="0">
          <wp:extent cx="5273675" cy="372110"/>
          <wp:effectExtent l="0" t="0" r="952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73675" cy="3721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811CDD"/>
    <w:multiLevelType w:val="singleLevel"/>
    <w:tmpl w:val="95811CDD"/>
    <w:lvl w:ilvl="0" w:tentative="0">
      <w:start w:val="1"/>
      <w:numFmt w:val="decimal"/>
      <w:suff w:val="nothing"/>
      <w:lvlText w:val="%1、"/>
      <w:lvlJc w:val="left"/>
    </w:lvl>
  </w:abstractNum>
  <w:abstractNum w:abstractNumId="1">
    <w:nsid w:val="F54178CB"/>
    <w:multiLevelType w:val="singleLevel"/>
    <w:tmpl w:val="F54178C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81"/>
    <w:rsid w:val="00096253"/>
    <w:rsid w:val="0061362B"/>
    <w:rsid w:val="006278DD"/>
    <w:rsid w:val="00635749"/>
    <w:rsid w:val="00706E62"/>
    <w:rsid w:val="009817EB"/>
    <w:rsid w:val="009A526F"/>
    <w:rsid w:val="00BF0681"/>
    <w:rsid w:val="00C43326"/>
    <w:rsid w:val="00F5471D"/>
    <w:rsid w:val="00F63032"/>
    <w:rsid w:val="048D20C5"/>
    <w:rsid w:val="05721B52"/>
    <w:rsid w:val="06406278"/>
    <w:rsid w:val="069367D5"/>
    <w:rsid w:val="08AB1E19"/>
    <w:rsid w:val="0C263E59"/>
    <w:rsid w:val="1211363E"/>
    <w:rsid w:val="15087B06"/>
    <w:rsid w:val="16DC5F3C"/>
    <w:rsid w:val="170351A4"/>
    <w:rsid w:val="18A704B0"/>
    <w:rsid w:val="1AE627C7"/>
    <w:rsid w:val="22955826"/>
    <w:rsid w:val="22EB4499"/>
    <w:rsid w:val="266B13AF"/>
    <w:rsid w:val="2E886E5B"/>
    <w:rsid w:val="30EC4CC0"/>
    <w:rsid w:val="326D1D74"/>
    <w:rsid w:val="32E20806"/>
    <w:rsid w:val="33BE6837"/>
    <w:rsid w:val="37453565"/>
    <w:rsid w:val="39154BF5"/>
    <w:rsid w:val="398077B8"/>
    <w:rsid w:val="3B095637"/>
    <w:rsid w:val="3B2B05D8"/>
    <w:rsid w:val="3F384164"/>
    <w:rsid w:val="40926265"/>
    <w:rsid w:val="42663006"/>
    <w:rsid w:val="49B65664"/>
    <w:rsid w:val="4A0E7463"/>
    <w:rsid w:val="4FE964A0"/>
    <w:rsid w:val="54F36899"/>
    <w:rsid w:val="552C0983"/>
    <w:rsid w:val="556D79F4"/>
    <w:rsid w:val="55764B1D"/>
    <w:rsid w:val="584A0F50"/>
    <w:rsid w:val="58B504A5"/>
    <w:rsid w:val="5C203A89"/>
    <w:rsid w:val="60956A3D"/>
    <w:rsid w:val="60E55696"/>
    <w:rsid w:val="60FA27E6"/>
    <w:rsid w:val="68342B2C"/>
    <w:rsid w:val="68D13A70"/>
    <w:rsid w:val="6A7B1462"/>
    <w:rsid w:val="6B0A3C7F"/>
    <w:rsid w:val="6C4305B6"/>
    <w:rsid w:val="6CD339F0"/>
    <w:rsid w:val="6E242CA0"/>
    <w:rsid w:val="71095DB9"/>
    <w:rsid w:val="72BF376A"/>
    <w:rsid w:val="72C02A83"/>
    <w:rsid w:val="742A3D9F"/>
    <w:rsid w:val="79B40972"/>
    <w:rsid w:val="7A921598"/>
    <w:rsid w:val="7FB74C60"/>
    <w:rsid w:val="7FE30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33"/>
    <w:qFormat/>
    <w:uiPriority w:val="0"/>
    <w:pPr>
      <w:jc w:val="left"/>
    </w:pPr>
  </w:style>
  <w:style w:type="paragraph" w:styleId="3">
    <w:name w:val="Balloon Text"/>
    <w:basedOn w:val="1"/>
    <w:link w:val="32"/>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annotation subject"/>
    <w:basedOn w:val="2"/>
    <w:next w:val="2"/>
    <w:link w:val="34"/>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FollowedHyperlink"/>
    <w:basedOn w:val="12"/>
    <w:qFormat/>
    <w:uiPriority w:val="0"/>
    <w:rPr>
      <w:color w:val="2D64B3"/>
      <w:u w:val="none"/>
    </w:rPr>
  </w:style>
  <w:style w:type="character" w:styleId="15">
    <w:name w:val="Emphasis"/>
    <w:basedOn w:val="12"/>
    <w:qFormat/>
    <w:uiPriority w:val="0"/>
  </w:style>
  <w:style w:type="character" w:styleId="16">
    <w:name w:val="HTML Definition"/>
    <w:basedOn w:val="12"/>
    <w:qFormat/>
    <w:uiPriority w:val="0"/>
  </w:style>
  <w:style w:type="character" w:styleId="17">
    <w:name w:val="HTML Acronym"/>
    <w:basedOn w:val="12"/>
    <w:qFormat/>
    <w:uiPriority w:val="0"/>
  </w:style>
  <w:style w:type="character" w:styleId="18">
    <w:name w:val="HTML Variable"/>
    <w:basedOn w:val="12"/>
    <w:qFormat/>
    <w:uiPriority w:val="0"/>
  </w:style>
  <w:style w:type="character" w:styleId="19">
    <w:name w:val="Hyperlink"/>
    <w:basedOn w:val="12"/>
    <w:qFormat/>
    <w:uiPriority w:val="0"/>
    <w:rPr>
      <w:color w:val="2D64B3"/>
      <w:u w:val="none"/>
    </w:rPr>
  </w:style>
  <w:style w:type="character" w:styleId="20">
    <w:name w:val="HTML Code"/>
    <w:basedOn w:val="12"/>
    <w:qFormat/>
    <w:uiPriority w:val="0"/>
    <w:rPr>
      <w:rFonts w:hint="default" w:ascii="Arial" w:hAnsi="Arial" w:cs="Arial"/>
      <w:sz w:val="20"/>
    </w:rPr>
  </w:style>
  <w:style w:type="character" w:styleId="21">
    <w:name w:val="annotation reference"/>
    <w:basedOn w:val="12"/>
    <w:uiPriority w:val="0"/>
    <w:rPr>
      <w:sz w:val="21"/>
      <w:szCs w:val="21"/>
    </w:rPr>
  </w:style>
  <w:style w:type="character" w:styleId="22">
    <w:name w:val="HTML Cite"/>
    <w:basedOn w:val="12"/>
    <w:qFormat/>
    <w:uiPriority w:val="0"/>
  </w:style>
  <w:style w:type="character" w:styleId="23">
    <w:name w:val="HTML Keyboard"/>
    <w:basedOn w:val="12"/>
    <w:qFormat/>
    <w:uiPriority w:val="0"/>
    <w:rPr>
      <w:rFonts w:hint="default" w:ascii="Arial" w:hAnsi="Arial" w:cs="Arial"/>
      <w:sz w:val="20"/>
    </w:rPr>
  </w:style>
  <w:style w:type="character" w:styleId="24">
    <w:name w:val="HTML Sample"/>
    <w:basedOn w:val="12"/>
    <w:qFormat/>
    <w:uiPriority w:val="0"/>
    <w:rPr>
      <w:rFonts w:hint="eastAsia" w:ascii="Arial" w:hAnsi="Arial" w:cs="Arial"/>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数字"/>
    <w:basedOn w:val="1"/>
    <w:qFormat/>
    <w:uiPriority w:val="0"/>
    <w:rPr>
      <w:sz w:val="18"/>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styleId="28">
    <w:name w:val="List Paragraph"/>
    <w:basedOn w:val="1"/>
    <w:qFormat/>
    <w:uiPriority w:val="34"/>
    <w:pPr>
      <w:ind w:firstLine="420" w:firstLineChars="200"/>
    </w:pPr>
    <w:rPr>
      <w:kern w:val="0"/>
      <w:sz w:val="20"/>
    </w:rPr>
  </w:style>
  <w:style w:type="character" w:customStyle="1" w:styleId="29">
    <w:name w:val="zm6olrabive1"/>
    <w:basedOn w:val="12"/>
    <w:qFormat/>
    <w:uiPriority w:val="0"/>
    <w:rPr>
      <w:sz w:val="0"/>
      <w:szCs w:val="0"/>
    </w:rPr>
  </w:style>
  <w:style w:type="character" w:customStyle="1" w:styleId="30">
    <w:name w:val="before"/>
    <w:basedOn w:val="12"/>
    <w:uiPriority w:val="0"/>
    <w:rPr>
      <w:shd w:val="clear" w:color="auto" w:fill="995555"/>
    </w:rPr>
  </w:style>
  <w:style w:type="character" w:customStyle="1" w:styleId="31">
    <w:name w:val="loupan-name3"/>
    <w:basedOn w:val="12"/>
    <w:uiPriority w:val="0"/>
    <w:rPr>
      <w:b/>
      <w:color w:val="333333"/>
      <w:sz w:val="48"/>
      <w:szCs w:val="48"/>
    </w:rPr>
  </w:style>
  <w:style w:type="character" w:customStyle="1" w:styleId="32">
    <w:name w:val="批注框文本 Char"/>
    <w:basedOn w:val="12"/>
    <w:link w:val="3"/>
    <w:uiPriority w:val="0"/>
    <w:rPr>
      <w:rFonts w:asciiTheme="minorHAnsi" w:hAnsiTheme="minorHAnsi" w:eastAsiaTheme="minorEastAsia" w:cstheme="minorBidi"/>
      <w:kern w:val="2"/>
      <w:sz w:val="18"/>
      <w:szCs w:val="18"/>
    </w:rPr>
  </w:style>
  <w:style w:type="character" w:customStyle="1" w:styleId="33">
    <w:name w:val="批注文字 Char"/>
    <w:basedOn w:val="12"/>
    <w:link w:val="2"/>
    <w:uiPriority w:val="0"/>
    <w:rPr>
      <w:rFonts w:asciiTheme="minorHAnsi" w:hAnsiTheme="minorHAnsi" w:eastAsiaTheme="minorEastAsia" w:cstheme="minorBidi"/>
      <w:kern w:val="2"/>
      <w:sz w:val="21"/>
      <w:szCs w:val="24"/>
    </w:rPr>
  </w:style>
  <w:style w:type="character" w:customStyle="1" w:styleId="34">
    <w:name w:val="批注主题 Char"/>
    <w:basedOn w:val="33"/>
    <w:link w:val="9"/>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52D782-CC67-4F75-9470-576EE642257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539</Words>
  <Characters>3077</Characters>
  <Lines>25</Lines>
  <Paragraphs>7</Paragraphs>
  <TotalTime>37</TotalTime>
  <ScaleCrop>false</ScaleCrop>
  <LinksUpToDate>false</LinksUpToDate>
  <CharactersWithSpaces>3609</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2020-08-03T05:53:00Z</dcterms:created>
  <dc:creator>Yang</dc:creator>
  <cp:lastModifiedBy>zhenny</cp:lastModifiedBy>
  <dcterms:modified xsi:type="dcterms:W3CDTF">2020-09-07T05:48:26Z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