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0" w:firstLineChars="0"/>
        <w:rPr>
          <w:rFonts w:ascii="宋体" w:hAnsi="宋体" w:cs="宋体"/>
        </w:rPr>
      </w:pPr>
    </w:p>
    <w:p>
      <w:pPr>
        <w:spacing w:line="480" w:lineRule="auto"/>
        <w:jc w:val="both"/>
        <w:rPr>
          <w:rFonts w:ascii="宋体" w:hAnsi="宋体" w:cs="宋体"/>
          <w:b/>
          <w:sz w:val="28"/>
          <w:szCs w:val="28"/>
        </w:rPr>
      </w:pPr>
    </w:p>
    <w:p>
      <w:pPr>
        <w:pStyle w:val="2"/>
        <w:ind w:firstLine="210"/>
        <w:rPr>
          <w:rFonts w:ascii="宋体" w:hAnsi="宋体" w:cs="宋体"/>
        </w:rPr>
      </w:pPr>
    </w:p>
    <w:p>
      <w:pPr>
        <w:pStyle w:val="2"/>
        <w:ind w:firstLine="210"/>
        <w:rPr>
          <w:rFonts w:ascii="宋体" w:hAnsi="宋体" w:cs="宋体"/>
        </w:rPr>
      </w:pPr>
    </w:p>
    <w:p>
      <w:pPr>
        <w:pStyle w:val="2"/>
        <w:ind w:firstLine="210"/>
        <w:rPr>
          <w:rFonts w:ascii="宋体" w:hAnsi="宋体" w:cs="宋体"/>
        </w:rPr>
      </w:pPr>
    </w:p>
    <w:p>
      <w:pPr>
        <w:pStyle w:val="2"/>
        <w:ind w:firstLine="210"/>
        <w:rPr>
          <w:rFonts w:ascii="宋体" w:hAnsi="宋体" w:cs="宋体"/>
        </w:rPr>
      </w:pPr>
    </w:p>
    <w:p>
      <w:pPr>
        <w:pStyle w:val="2"/>
        <w:ind w:firstLine="210"/>
        <w:rPr>
          <w:rFonts w:ascii="宋体" w:hAnsi="宋体" w:cs="宋体"/>
        </w:rPr>
      </w:pPr>
    </w:p>
    <w:p>
      <w:pPr>
        <w:pStyle w:val="2"/>
        <w:ind w:firstLine="210"/>
        <w:rPr>
          <w:rFonts w:ascii="宋体" w:hAnsi="宋体" w:cs="宋体"/>
        </w:rPr>
      </w:pPr>
    </w:p>
    <w:p>
      <w:pPr>
        <w:spacing w:line="480" w:lineRule="auto"/>
        <w:jc w:val="center"/>
        <w:rPr>
          <w:rFonts w:ascii="宋体" w:hAnsi="宋体" w:cs="Arial"/>
          <w:b/>
          <w:sz w:val="28"/>
          <w:szCs w:val="28"/>
        </w:rPr>
      </w:pPr>
      <w:r>
        <w:rPr>
          <w:rFonts w:hint="eastAsia" w:ascii="宋体" w:hAnsi="宋体" w:cs="Arial"/>
          <w:b/>
          <w:sz w:val="28"/>
          <w:szCs w:val="28"/>
        </w:rPr>
        <w:t>五矿信托-恒信共筑257号-吾泰1号地产基金集合资金信托计划</w:t>
      </w:r>
    </w:p>
    <w:p>
      <w:pPr>
        <w:spacing w:line="480" w:lineRule="auto"/>
        <w:jc w:val="center"/>
        <w:rPr>
          <w:rFonts w:ascii="宋体" w:hAnsi="宋体" w:cs="Arial"/>
          <w:b/>
          <w:sz w:val="28"/>
          <w:szCs w:val="28"/>
        </w:rPr>
      </w:pPr>
      <w:r>
        <w:rPr>
          <w:rFonts w:hint="eastAsia" w:ascii="宋体" w:hAnsi="宋体" w:cs="Arial"/>
          <w:b/>
          <w:sz w:val="28"/>
          <w:szCs w:val="28"/>
        </w:rPr>
        <w:t>第Ⅳ期-先锋1号</w:t>
      </w:r>
    </w:p>
    <w:p>
      <w:pPr>
        <w:spacing w:line="480" w:lineRule="auto"/>
        <w:jc w:val="center"/>
        <w:rPr>
          <w:rFonts w:ascii="宋体" w:hAnsi="宋体" w:cs="Arial"/>
          <w:b/>
          <w:sz w:val="28"/>
          <w:szCs w:val="28"/>
        </w:rPr>
      </w:pPr>
      <w:r>
        <w:rPr>
          <w:rFonts w:ascii="宋体" w:hAnsi="宋体" w:cs="Arial"/>
          <w:b/>
          <w:sz w:val="28"/>
          <w:szCs w:val="28"/>
        </w:rPr>
        <w:t>（五矿信托·</w:t>
      </w:r>
      <w:r>
        <w:rPr>
          <w:rFonts w:hint="eastAsia" w:ascii="宋体" w:hAnsi="宋体" w:cs="Arial"/>
          <w:b/>
          <w:sz w:val="28"/>
          <w:szCs w:val="28"/>
          <w:lang w:eastAsia="zh-Hans"/>
        </w:rPr>
        <w:t>桂林春天里</w:t>
      </w:r>
      <w:r>
        <w:rPr>
          <w:rFonts w:ascii="宋体" w:hAnsi="宋体" w:cs="Arial"/>
          <w:b/>
          <w:sz w:val="28"/>
          <w:szCs w:val="28"/>
        </w:rPr>
        <w:t>项目）</w:t>
      </w:r>
    </w:p>
    <w:p>
      <w:pPr>
        <w:spacing w:line="480" w:lineRule="auto"/>
        <w:jc w:val="center"/>
        <w:rPr>
          <w:rFonts w:ascii="宋体" w:hAnsi="宋体" w:cs="宋体"/>
          <w:b/>
          <w:sz w:val="28"/>
          <w:szCs w:val="30"/>
        </w:rPr>
      </w:pPr>
      <w:r>
        <w:rPr>
          <w:rFonts w:hint="eastAsia" w:ascii="宋体" w:hAnsi="宋体" w:cs="宋体"/>
          <w:b/>
          <w:sz w:val="28"/>
          <w:szCs w:val="30"/>
        </w:rPr>
        <w:t>监管月报</w:t>
      </w:r>
    </w:p>
    <w:p>
      <w:pPr>
        <w:spacing w:line="480" w:lineRule="auto"/>
        <w:jc w:val="center"/>
        <w:rPr>
          <w:rFonts w:ascii="宋体" w:hAnsi="宋体" w:cs="宋体"/>
          <w:b/>
          <w:sz w:val="28"/>
          <w:szCs w:val="30"/>
        </w:rPr>
      </w:pPr>
      <w:r>
        <w:rPr>
          <w:rFonts w:hint="eastAsia" w:ascii="宋体" w:hAnsi="宋体" w:cs="宋体"/>
          <w:b/>
          <w:sz w:val="28"/>
          <w:szCs w:val="30"/>
        </w:rPr>
        <w:t>第</w:t>
      </w:r>
      <w:r>
        <w:rPr>
          <w:rFonts w:ascii="宋体" w:hAnsi="宋体" w:cs="宋体"/>
          <w:b/>
          <w:sz w:val="28"/>
          <w:szCs w:val="30"/>
        </w:rPr>
        <w:t>1</w:t>
      </w:r>
      <w:r>
        <w:rPr>
          <w:rFonts w:hint="eastAsia" w:ascii="宋体" w:hAnsi="宋体" w:cs="宋体"/>
          <w:b/>
          <w:sz w:val="28"/>
          <w:szCs w:val="30"/>
        </w:rPr>
        <w:t>期</w:t>
      </w:r>
    </w:p>
    <w:p>
      <w:pPr>
        <w:spacing w:line="480" w:lineRule="auto"/>
        <w:jc w:val="center"/>
        <w:rPr>
          <w:rFonts w:ascii="宋体" w:hAnsi="宋体" w:cs="宋体"/>
          <w:b/>
          <w:sz w:val="28"/>
          <w:szCs w:val="30"/>
        </w:rPr>
      </w:pPr>
      <w:r>
        <w:rPr>
          <w:rFonts w:hint="eastAsia" w:ascii="宋体" w:hAnsi="宋体" w:cs="宋体"/>
          <w:b/>
          <w:sz w:val="28"/>
          <w:szCs w:val="30"/>
        </w:rPr>
        <w:t xml:space="preserve">（ 2020年 </w:t>
      </w:r>
      <w:r>
        <w:rPr>
          <w:rFonts w:ascii="宋体" w:hAnsi="宋体" w:cs="宋体"/>
          <w:b/>
          <w:sz w:val="28"/>
          <w:szCs w:val="30"/>
        </w:rPr>
        <w:t>12</w:t>
      </w:r>
      <w:r>
        <w:rPr>
          <w:rFonts w:hint="eastAsia" w:ascii="宋体" w:hAnsi="宋体" w:cs="宋体"/>
          <w:b/>
          <w:sz w:val="28"/>
          <w:szCs w:val="30"/>
        </w:rPr>
        <w:t>月）</w:t>
      </w:r>
    </w:p>
    <w:p>
      <w:pPr>
        <w:spacing w:line="480" w:lineRule="auto"/>
        <w:jc w:val="center"/>
        <w:rPr>
          <w:rFonts w:ascii="宋体" w:hAnsi="宋体" w:cs="宋体"/>
          <w:b/>
          <w:sz w:val="30"/>
          <w:szCs w:val="30"/>
        </w:rPr>
      </w:pPr>
      <w:r>
        <w:rPr>
          <w:rFonts w:hint="eastAsia" w:ascii="宋体" w:hAnsi="宋体" w:cs="宋体"/>
          <w:b/>
          <w:sz w:val="28"/>
          <w:szCs w:val="30"/>
        </w:rPr>
        <w:t>编号：0</w:t>
      </w:r>
      <w:r>
        <w:rPr>
          <w:rFonts w:ascii="宋体" w:hAnsi="宋体" w:cs="宋体"/>
          <w:b/>
          <w:sz w:val="28"/>
          <w:szCs w:val="30"/>
        </w:rPr>
        <w:t>01</w:t>
      </w:r>
    </w:p>
    <w:p>
      <w:pPr>
        <w:spacing w:line="480" w:lineRule="auto"/>
        <w:jc w:val="center"/>
        <w:rPr>
          <w:rFonts w:ascii="宋体" w:hAnsi="宋体" w:cs="宋体"/>
          <w:sz w:val="13"/>
          <w:szCs w:val="13"/>
        </w:rPr>
      </w:pPr>
    </w:p>
    <w:p>
      <w:pPr>
        <w:spacing w:line="480" w:lineRule="auto"/>
        <w:jc w:val="center"/>
        <w:rPr>
          <w:rFonts w:ascii="宋体" w:hAnsi="宋体" w:cs="宋体"/>
          <w:sz w:val="13"/>
          <w:szCs w:val="13"/>
        </w:rPr>
      </w:pPr>
    </w:p>
    <w:p>
      <w:pPr>
        <w:spacing w:line="480" w:lineRule="auto"/>
        <w:jc w:val="center"/>
        <w:rPr>
          <w:rFonts w:ascii="宋体" w:hAnsi="宋体" w:cs="宋体"/>
          <w:sz w:val="13"/>
          <w:szCs w:val="13"/>
        </w:rPr>
      </w:pPr>
    </w:p>
    <w:p>
      <w:pPr>
        <w:spacing w:line="480" w:lineRule="auto"/>
        <w:jc w:val="center"/>
        <w:rPr>
          <w:rFonts w:ascii="宋体" w:hAnsi="宋体" w:cs="宋体"/>
          <w:sz w:val="13"/>
          <w:szCs w:val="13"/>
        </w:rPr>
      </w:pPr>
    </w:p>
    <w:p>
      <w:pPr>
        <w:spacing w:line="480" w:lineRule="auto"/>
        <w:jc w:val="center"/>
        <w:rPr>
          <w:rFonts w:ascii="宋体" w:hAnsi="宋体" w:cs="宋体"/>
          <w:sz w:val="13"/>
          <w:szCs w:val="13"/>
        </w:rPr>
      </w:pPr>
    </w:p>
    <w:p>
      <w:pPr>
        <w:spacing w:line="480" w:lineRule="auto"/>
        <w:jc w:val="both"/>
        <w:rPr>
          <w:rFonts w:ascii="宋体" w:hAnsi="宋体" w:cs="宋体"/>
          <w:sz w:val="13"/>
          <w:szCs w:val="13"/>
        </w:rPr>
      </w:pPr>
    </w:p>
    <w:p>
      <w:pPr>
        <w:spacing w:line="480" w:lineRule="auto"/>
        <w:ind w:firstLine="1922" w:firstLineChars="800"/>
        <w:jc w:val="both"/>
        <w:rPr>
          <w:rFonts w:ascii="宋体" w:hAnsi="宋体" w:cs="宋体"/>
          <w:b/>
        </w:rPr>
      </w:pPr>
      <w:r>
        <w:rPr>
          <w:rFonts w:hint="eastAsia" w:ascii="宋体" w:hAnsi="宋体" w:cs="宋体"/>
          <w:b/>
        </w:rPr>
        <w:t>编制单位：</w:t>
      </w:r>
      <w:r>
        <w:rPr>
          <w:rFonts w:hint="eastAsia" w:ascii="宋体" w:hAnsi="宋体" w:cs="宋体"/>
          <w:b/>
          <w:bCs/>
        </w:rPr>
        <w:t>北京康正宏基房地产评估有限公司</w:t>
      </w:r>
    </w:p>
    <w:p>
      <w:pPr>
        <w:spacing w:line="480" w:lineRule="auto"/>
        <w:ind w:firstLine="1922" w:firstLineChars="800"/>
        <w:jc w:val="both"/>
        <w:rPr>
          <w:rFonts w:ascii="宋体" w:hAnsi="宋体" w:cs="宋体"/>
          <w:b/>
          <w:bCs/>
        </w:rPr>
      </w:pPr>
      <w:r>
        <w:rPr>
          <w:rFonts w:hint="eastAsia" w:ascii="宋体" w:hAnsi="宋体" w:cs="宋体"/>
          <w:b/>
        </w:rPr>
        <w:t>编制时间：</w:t>
      </w:r>
      <w:r>
        <w:rPr>
          <w:rFonts w:hint="eastAsia" w:ascii="宋体" w:hAnsi="宋体" w:cs="宋体"/>
          <w:b/>
          <w:bCs/>
        </w:rPr>
        <w:t>202</w:t>
      </w:r>
      <w:r>
        <w:rPr>
          <w:rFonts w:ascii="宋体" w:hAnsi="宋体" w:cs="宋体"/>
          <w:b/>
          <w:bCs/>
        </w:rPr>
        <w:t>1</w:t>
      </w:r>
      <w:r>
        <w:rPr>
          <w:rFonts w:hint="eastAsia" w:ascii="宋体" w:hAnsi="宋体" w:cs="宋体"/>
          <w:b/>
          <w:bCs/>
        </w:rPr>
        <w:t>年</w:t>
      </w:r>
      <w:r>
        <w:rPr>
          <w:rFonts w:ascii="宋体" w:hAnsi="宋体" w:cs="宋体"/>
          <w:b/>
          <w:bCs/>
        </w:rPr>
        <w:t>1</w:t>
      </w:r>
      <w:r>
        <w:rPr>
          <w:rFonts w:hint="eastAsia" w:ascii="宋体" w:hAnsi="宋体" w:cs="宋体"/>
          <w:b/>
          <w:bCs/>
        </w:rPr>
        <w:t>月1</w:t>
      </w:r>
      <w:r>
        <w:rPr>
          <w:rFonts w:ascii="宋体" w:hAnsi="宋体" w:cs="宋体"/>
          <w:b/>
          <w:bCs/>
        </w:rPr>
        <w:t>3</w:t>
      </w:r>
      <w:r>
        <w:rPr>
          <w:rFonts w:hint="eastAsia" w:ascii="宋体" w:hAnsi="宋体" w:cs="宋体"/>
          <w:b/>
          <w:bCs/>
        </w:rPr>
        <w:t>日</w:t>
      </w:r>
    </w:p>
    <w:p>
      <w:pPr>
        <w:pStyle w:val="2"/>
        <w:ind w:firstLine="210"/>
        <w:rPr>
          <w:rFonts w:ascii="宋体" w:hAnsi="宋体" w:cs="宋体"/>
        </w:rPr>
      </w:pPr>
    </w:p>
    <w:p>
      <w:pPr>
        <w:pStyle w:val="2"/>
        <w:ind w:firstLine="210"/>
        <w:rPr>
          <w:rFonts w:ascii="宋体" w:hAnsi="宋体" w:cs="宋体"/>
        </w:rPr>
      </w:pPr>
    </w:p>
    <w:p>
      <w:pPr>
        <w:spacing w:line="276" w:lineRule="auto"/>
        <w:jc w:val="center"/>
        <w:rPr>
          <w:rFonts w:ascii="宋体" w:hAnsi="宋体" w:cs="宋体"/>
          <w:b/>
          <w:bCs/>
        </w:rPr>
      </w:pPr>
      <w:r>
        <w:rPr>
          <w:rFonts w:hint="eastAsia" w:ascii="宋体" w:hAnsi="宋体" w:cs="宋体"/>
          <w:b/>
          <w:bCs/>
          <w:sz w:val="28"/>
        </w:rPr>
        <w:t>目  录</w:t>
      </w:r>
    </w:p>
    <w:p>
      <w:pPr>
        <w:pStyle w:val="16"/>
        <w:tabs>
          <w:tab w:val="right" w:leader="dot" w:pos="8302"/>
        </w:tabs>
        <w:rPr>
          <w:rFonts w:asciiTheme="minorHAnsi" w:hAnsiTheme="minorHAnsi" w:eastAsiaTheme="minorEastAsia" w:cstheme="minorBidi"/>
          <w:kern w:val="2"/>
          <w:sz w:val="21"/>
        </w:rPr>
      </w:pPr>
      <w:r>
        <w:rPr>
          <w:rFonts w:hint="eastAsia" w:ascii="宋体" w:hAnsi="宋体" w:cs="宋体"/>
          <w:sz w:val="24"/>
          <w:szCs w:val="24"/>
        </w:rPr>
        <w:fldChar w:fldCharType="begin"/>
      </w:r>
      <w:r>
        <w:rPr>
          <w:rFonts w:hint="eastAsia" w:ascii="宋体" w:hAnsi="宋体" w:cs="宋体"/>
          <w:sz w:val="24"/>
          <w:szCs w:val="24"/>
        </w:rPr>
        <w:instrText xml:space="preserve"> TOC \o "1-3" \h \z \u </w:instrText>
      </w:r>
      <w:r>
        <w:rPr>
          <w:rFonts w:hint="eastAsia" w:ascii="宋体" w:hAnsi="宋体" w:cs="宋体"/>
          <w:sz w:val="24"/>
          <w:szCs w:val="24"/>
        </w:rPr>
        <w:fldChar w:fldCharType="separate"/>
      </w:r>
      <w:r>
        <w:fldChar w:fldCharType="begin"/>
      </w:r>
      <w:r>
        <w:instrText xml:space="preserve"> HYPERLINK \l "_Toc61551280" </w:instrText>
      </w:r>
      <w:r>
        <w:fldChar w:fldCharType="separate"/>
      </w:r>
      <w:r>
        <w:rPr>
          <w:rStyle w:val="22"/>
          <w:rFonts w:ascii="宋体" w:hAnsi="宋体" w:cs="宋体"/>
          <w:bCs/>
        </w:rPr>
        <w:t>摘  要</w:t>
      </w:r>
      <w:r>
        <w:tab/>
      </w:r>
      <w:r>
        <w:fldChar w:fldCharType="begin"/>
      </w:r>
      <w:r>
        <w:instrText xml:space="preserve"> PAGEREF _Toc61551280 \h </w:instrText>
      </w:r>
      <w:r>
        <w:fldChar w:fldCharType="separate"/>
      </w:r>
      <w:r>
        <w:t>2</w:t>
      </w:r>
      <w:r>
        <w:fldChar w:fldCharType="end"/>
      </w:r>
      <w:r>
        <w:fldChar w:fldCharType="end"/>
      </w:r>
    </w:p>
    <w:p>
      <w:pPr>
        <w:pStyle w:val="16"/>
        <w:tabs>
          <w:tab w:val="right" w:leader="dot" w:pos="8302"/>
        </w:tabs>
        <w:rPr>
          <w:rFonts w:asciiTheme="minorHAnsi" w:hAnsiTheme="minorHAnsi" w:eastAsiaTheme="minorEastAsia" w:cstheme="minorBidi"/>
          <w:b w:val="0"/>
          <w:bCs w:val="0"/>
          <w:kern w:val="2"/>
          <w:sz w:val="21"/>
        </w:rPr>
      </w:pPr>
      <w:r>
        <w:rPr>
          <w:b w:val="0"/>
          <w:bCs w:val="0"/>
        </w:rPr>
        <w:fldChar w:fldCharType="begin"/>
      </w:r>
      <w:r>
        <w:rPr>
          <w:b w:val="0"/>
          <w:bCs w:val="0"/>
        </w:rPr>
        <w:instrText xml:space="preserve"> HYPERLINK \l "_Toc61551281" </w:instrText>
      </w:r>
      <w:r>
        <w:rPr>
          <w:b w:val="0"/>
          <w:bCs w:val="0"/>
        </w:rPr>
        <w:fldChar w:fldCharType="separate"/>
      </w:r>
      <w:r>
        <w:rPr>
          <w:rStyle w:val="22"/>
          <w:rFonts w:ascii="宋体" w:hAnsi="宋体" w:cs="宋体"/>
          <w:b w:val="0"/>
          <w:bCs w:val="0"/>
        </w:rPr>
        <w:t>一、项目基本情况介绍</w:t>
      </w:r>
      <w:r>
        <w:rPr>
          <w:b w:val="0"/>
          <w:bCs w:val="0"/>
        </w:rPr>
        <w:tab/>
      </w:r>
      <w:r>
        <w:rPr>
          <w:b w:val="0"/>
          <w:bCs w:val="0"/>
        </w:rPr>
        <w:fldChar w:fldCharType="begin"/>
      </w:r>
      <w:r>
        <w:rPr>
          <w:b w:val="0"/>
          <w:bCs w:val="0"/>
        </w:rPr>
        <w:instrText xml:space="preserve"> PAGEREF _Toc61551281 \h </w:instrText>
      </w:r>
      <w:r>
        <w:rPr>
          <w:b w:val="0"/>
          <w:bCs w:val="0"/>
        </w:rPr>
        <w:fldChar w:fldCharType="separate"/>
      </w:r>
      <w:r>
        <w:rPr>
          <w:b w:val="0"/>
          <w:bCs w:val="0"/>
        </w:rPr>
        <w:t>5</w:t>
      </w:r>
      <w:r>
        <w:rPr>
          <w:b w:val="0"/>
          <w:bCs w:val="0"/>
        </w:rPr>
        <w:fldChar w:fldCharType="end"/>
      </w:r>
      <w:r>
        <w:rPr>
          <w:b w:val="0"/>
          <w:bCs w:val="0"/>
        </w:rPr>
        <w:fldChar w:fldCharType="end"/>
      </w:r>
    </w:p>
    <w:p>
      <w:pPr>
        <w:pStyle w:val="16"/>
        <w:tabs>
          <w:tab w:val="right" w:leader="dot" w:pos="8302"/>
        </w:tabs>
        <w:rPr>
          <w:rFonts w:asciiTheme="minorHAnsi" w:hAnsiTheme="minorHAnsi" w:eastAsiaTheme="minorEastAsia" w:cstheme="minorBidi"/>
          <w:b w:val="0"/>
          <w:bCs w:val="0"/>
          <w:kern w:val="2"/>
          <w:sz w:val="21"/>
        </w:rPr>
      </w:pPr>
      <w:r>
        <w:rPr>
          <w:b w:val="0"/>
          <w:bCs w:val="0"/>
        </w:rPr>
        <w:fldChar w:fldCharType="begin"/>
      </w:r>
      <w:r>
        <w:rPr>
          <w:b w:val="0"/>
          <w:bCs w:val="0"/>
        </w:rPr>
        <w:instrText xml:space="preserve"> HYPERLINK \l "_Toc61551282" </w:instrText>
      </w:r>
      <w:r>
        <w:rPr>
          <w:b w:val="0"/>
          <w:bCs w:val="0"/>
        </w:rPr>
        <w:fldChar w:fldCharType="separate"/>
      </w:r>
      <w:r>
        <w:rPr>
          <w:rStyle w:val="22"/>
          <w:rFonts w:ascii="宋体" w:hAnsi="宋体" w:cs="宋体"/>
          <w:b w:val="0"/>
          <w:bCs w:val="0"/>
        </w:rPr>
        <w:t>二、项目证件办理情况</w:t>
      </w:r>
      <w:r>
        <w:rPr>
          <w:b w:val="0"/>
          <w:bCs w:val="0"/>
        </w:rPr>
        <w:tab/>
      </w:r>
      <w:r>
        <w:rPr>
          <w:b w:val="0"/>
          <w:bCs w:val="0"/>
        </w:rPr>
        <w:fldChar w:fldCharType="begin"/>
      </w:r>
      <w:r>
        <w:rPr>
          <w:b w:val="0"/>
          <w:bCs w:val="0"/>
        </w:rPr>
        <w:instrText xml:space="preserve"> PAGEREF _Toc61551282 \h </w:instrText>
      </w:r>
      <w:r>
        <w:rPr>
          <w:b w:val="0"/>
          <w:bCs w:val="0"/>
        </w:rPr>
        <w:fldChar w:fldCharType="separate"/>
      </w:r>
      <w:r>
        <w:rPr>
          <w:b w:val="0"/>
          <w:bCs w:val="0"/>
        </w:rPr>
        <w:t>8</w:t>
      </w:r>
      <w:r>
        <w:rPr>
          <w:b w:val="0"/>
          <w:bCs w:val="0"/>
        </w:rPr>
        <w:fldChar w:fldCharType="end"/>
      </w:r>
      <w:r>
        <w:rPr>
          <w:b w:val="0"/>
          <w:bCs w:val="0"/>
        </w:rPr>
        <w:fldChar w:fldCharType="end"/>
      </w:r>
    </w:p>
    <w:p>
      <w:pPr>
        <w:pStyle w:val="16"/>
        <w:tabs>
          <w:tab w:val="right" w:leader="dot" w:pos="8302"/>
        </w:tabs>
        <w:rPr>
          <w:rFonts w:asciiTheme="minorHAnsi" w:hAnsiTheme="minorHAnsi" w:eastAsiaTheme="minorEastAsia" w:cstheme="minorBidi"/>
          <w:b w:val="0"/>
          <w:bCs w:val="0"/>
          <w:kern w:val="2"/>
          <w:sz w:val="21"/>
        </w:rPr>
      </w:pPr>
      <w:r>
        <w:rPr>
          <w:b w:val="0"/>
          <w:bCs w:val="0"/>
        </w:rPr>
        <w:fldChar w:fldCharType="begin"/>
      </w:r>
      <w:r>
        <w:rPr>
          <w:b w:val="0"/>
          <w:bCs w:val="0"/>
        </w:rPr>
        <w:instrText xml:space="preserve"> HYPERLINK \l "_Toc61551283" </w:instrText>
      </w:r>
      <w:r>
        <w:rPr>
          <w:b w:val="0"/>
          <w:bCs w:val="0"/>
        </w:rPr>
        <w:fldChar w:fldCharType="separate"/>
      </w:r>
      <w:r>
        <w:rPr>
          <w:rStyle w:val="22"/>
          <w:rFonts w:ascii="宋体" w:hAnsi="宋体" w:cs="宋体"/>
          <w:b w:val="0"/>
          <w:bCs w:val="0"/>
        </w:rPr>
        <w:t>三、项目开发建设情况</w:t>
      </w:r>
      <w:r>
        <w:rPr>
          <w:b w:val="0"/>
          <w:bCs w:val="0"/>
        </w:rPr>
        <w:tab/>
      </w:r>
      <w:r>
        <w:rPr>
          <w:b w:val="0"/>
          <w:bCs w:val="0"/>
        </w:rPr>
        <w:fldChar w:fldCharType="begin"/>
      </w:r>
      <w:r>
        <w:rPr>
          <w:b w:val="0"/>
          <w:bCs w:val="0"/>
        </w:rPr>
        <w:instrText xml:space="preserve"> PAGEREF _Toc61551283 \h </w:instrText>
      </w:r>
      <w:r>
        <w:rPr>
          <w:b w:val="0"/>
          <w:bCs w:val="0"/>
        </w:rPr>
        <w:fldChar w:fldCharType="separate"/>
      </w:r>
      <w:r>
        <w:rPr>
          <w:b w:val="0"/>
          <w:bCs w:val="0"/>
        </w:rPr>
        <w:t>10</w:t>
      </w:r>
      <w:r>
        <w:rPr>
          <w:b w:val="0"/>
          <w:bCs w:val="0"/>
        </w:rPr>
        <w:fldChar w:fldCharType="end"/>
      </w:r>
      <w:r>
        <w:rPr>
          <w:b w:val="0"/>
          <w:bCs w:val="0"/>
        </w:rPr>
        <w:fldChar w:fldCharType="end"/>
      </w:r>
    </w:p>
    <w:p>
      <w:pPr>
        <w:pStyle w:val="16"/>
        <w:tabs>
          <w:tab w:val="right" w:leader="dot" w:pos="8302"/>
        </w:tabs>
        <w:rPr>
          <w:rFonts w:asciiTheme="minorHAnsi" w:hAnsiTheme="minorHAnsi" w:eastAsiaTheme="minorEastAsia" w:cstheme="minorBidi"/>
          <w:kern w:val="2"/>
          <w:sz w:val="21"/>
        </w:rPr>
      </w:pPr>
      <w:r>
        <w:fldChar w:fldCharType="begin"/>
      </w:r>
      <w:r>
        <w:instrText xml:space="preserve"> HYPERLINK \l "_Toc61551284" </w:instrText>
      </w:r>
      <w:r>
        <w:fldChar w:fldCharType="separate"/>
      </w:r>
      <w:r>
        <w:rPr>
          <w:rStyle w:val="22"/>
          <w:rFonts w:asciiTheme="minorEastAsia" w:hAnsiTheme="minorEastAsia" w:cstheme="minorEastAsia"/>
        </w:rPr>
        <w:t>四、项目成本执行情况</w:t>
      </w:r>
      <w:r>
        <w:tab/>
      </w:r>
      <w:r>
        <w:fldChar w:fldCharType="begin"/>
      </w:r>
      <w:r>
        <w:instrText xml:space="preserve"> PAGEREF _Toc61551284 \h </w:instrText>
      </w:r>
      <w:r>
        <w:fldChar w:fldCharType="separate"/>
      </w:r>
      <w:r>
        <w:t>11</w:t>
      </w:r>
      <w:r>
        <w:fldChar w:fldCharType="end"/>
      </w:r>
      <w:r>
        <w:fldChar w:fldCharType="end"/>
      </w:r>
    </w:p>
    <w:p>
      <w:pPr>
        <w:pStyle w:val="16"/>
        <w:tabs>
          <w:tab w:val="right" w:leader="dot" w:pos="8302"/>
        </w:tabs>
        <w:rPr>
          <w:rFonts w:asciiTheme="minorHAnsi" w:hAnsiTheme="minorHAnsi" w:eastAsiaTheme="minorEastAsia" w:cstheme="minorBidi"/>
          <w:kern w:val="2"/>
          <w:sz w:val="21"/>
        </w:rPr>
      </w:pPr>
      <w:r>
        <w:fldChar w:fldCharType="begin"/>
      </w:r>
      <w:r>
        <w:instrText xml:space="preserve"> HYPERLINK \l "_Toc61551285" </w:instrText>
      </w:r>
      <w:r>
        <w:fldChar w:fldCharType="separate"/>
      </w:r>
      <w:r>
        <w:rPr>
          <w:rStyle w:val="22"/>
          <w:rFonts w:ascii="宋体" w:hAnsi="宋体" w:cs="宋体"/>
        </w:rPr>
        <w:t>五、项目销售情况统计</w:t>
      </w:r>
      <w:r>
        <w:tab/>
      </w:r>
      <w:r>
        <w:fldChar w:fldCharType="begin"/>
      </w:r>
      <w:r>
        <w:instrText xml:space="preserve"> PAGEREF _Toc61551285 \h </w:instrText>
      </w:r>
      <w:r>
        <w:fldChar w:fldCharType="separate"/>
      </w:r>
      <w:r>
        <w:t>13</w:t>
      </w:r>
      <w:r>
        <w:fldChar w:fldCharType="end"/>
      </w:r>
      <w:r>
        <w:fldChar w:fldCharType="end"/>
      </w:r>
    </w:p>
    <w:p>
      <w:pPr>
        <w:pStyle w:val="16"/>
        <w:tabs>
          <w:tab w:val="right" w:leader="dot" w:pos="8302"/>
        </w:tabs>
        <w:rPr>
          <w:rFonts w:asciiTheme="minorHAnsi" w:hAnsiTheme="minorHAnsi" w:eastAsiaTheme="minorEastAsia" w:cstheme="minorBidi"/>
          <w:kern w:val="2"/>
          <w:sz w:val="21"/>
        </w:rPr>
      </w:pPr>
      <w:r>
        <w:fldChar w:fldCharType="begin"/>
      </w:r>
      <w:r>
        <w:instrText xml:space="preserve"> HYPERLINK \l "_Toc61551286" </w:instrText>
      </w:r>
      <w:r>
        <w:fldChar w:fldCharType="separate"/>
      </w:r>
      <w:r>
        <w:rPr>
          <w:rStyle w:val="22"/>
          <w:rFonts w:ascii="宋体" w:hAnsi="宋体" w:cs="宋体"/>
        </w:rPr>
        <w:t>六、项目银行账户情况</w:t>
      </w:r>
      <w:r>
        <w:tab/>
      </w:r>
      <w:r>
        <w:fldChar w:fldCharType="begin"/>
      </w:r>
      <w:r>
        <w:instrText xml:space="preserve"> PAGEREF _Toc61551286 \h </w:instrText>
      </w:r>
      <w:r>
        <w:fldChar w:fldCharType="separate"/>
      </w:r>
      <w:r>
        <w:t>13</w:t>
      </w:r>
      <w:r>
        <w:fldChar w:fldCharType="end"/>
      </w:r>
      <w:r>
        <w:fldChar w:fldCharType="end"/>
      </w:r>
    </w:p>
    <w:p>
      <w:pPr>
        <w:pStyle w:val="16"/>
        <w:tabs>
          <w:tab w:val="right" w:leader="dot" w:pos="8302"/>
        </w:tabs>
        <w:rPr>
          <w:rFonts w:asciiTheme="minorHAnsi" w:hAnsiTheme="minorHAnsi" w:eastAsiaTheme="minorEastAsia" w:cstheme="minorBidi"/>
          <w:kern w:val="2"/>
          <w:sz w:val="21"/>
        </w:rPr>
      </w:pPr>
      <w:r>
        <w:fldChar w:fldCharType="begin"/>
      </w:r>
      <w:r>
        <w:instrText xml:space="preserve"> HYPERLINK \l "_Toc61551287" </w:instrText>
      </w:r>
      <w:r>
        <w:fldChar w:fldCharType="separate"/>
      </w:r>
      <w:r>
        <w:rPr>
          <w:rStyle w:val="22"/>
          <w:rFonts w:ascii="宋体" w:hAnsi="宋体" w:cs="宋体"/>
        </w:rPr>
        <w:t>七、银行账户支出情况</w:t>
      </w:r>
      <w:r>
        <w:tab/>
      </w:r>
      <w:r>
        <w:fldChar w:fldCharType="begin"/>
      </w:r>
      <w:r>
        <w:instrText xml:space="preserve"> PAGEREF _Toc61551287 \h </w:instrText>
      </w:r>
      <w:r>
        <w:fldChar w:fldCharType="separate"/>
      </w:r>
      <w:r>
        <w:t>14</w:t>
      </w:r>
      <w:r>
        <w:fldChar w:fldCharType="end"/>
      </w:r>
      <w:r>
        <w:fldChar w:fldCharType="end"/>
      </w:r>
    </w:p>
    <w:p>
      <w:pPr>
        <w:pStyle w:val="16"/>
        <w:tabs>
          <w:tab w:val="right" w:leader="dot" w:pos="8302"/>
        </w:tabs>
        <w:rPr>
          <w:rFonts w:asciiTheme="minorHAnsi" w:hAnsiTheme="minorHAnsi" w:eastAsiaTheme="minorEastAsia" w:cstheme="minorBidi"/>
          <w:kern w:val="2"/>
          <w:sz w:val="21"/>
        </w:rPr>
      </w:pPr>
      <w:r>
        <w:fldChar w:fldCharType="begin"/>
      </w:r>
      <w:r>
        <w:instrText xml:space="preserve"> HYPERLINK \l "_Toc61551288" </w:instrText>
      </w:r>
      <w:r>
        <w:fldChar w:fldCharType="separate"/>
      </w:r>
      <w:r>
        <w:rPr>
          <w:rStyle w:val="22"/>
          <w:rFonts w:ascii="宋体" w:hAnsi="宋体" w:cs="宋体"/>
        </w:rPr>
        <w:t>八、项目周边竞品情况</w:t>
      </w:r>
      <w:r>
        <w:tab/>
      </w:r>
      <w:r>
        <w:fldChar w:fldCharType="begin"/>
      </w:r>
      <w:r>
        <w:instrText xml:space="preserve"> PAGEREF _Toc61551288 \h </w:instrText>
      </w:r>
      <w:r>
        <w:fldChar w:fldCharType="separate"/>
      </w:r>
      <w:r>
        <w:t>35</w:t>
      </w:r>
      <w:r>
        <w:fldChar w:fldCharType="end"/>
      </w:r>
      <w:r>
        <w:fldChar w:fldCharType="end"/>
      </w:r>
    </w:p>
    <w:p>
      <w:pPr>
        <w:pStyle w:val="16"/>
        <w:tabs>
          <w:tab w:val="right" w:leader="dot" w:pos="8302"/>
        </w:tabs>
        <w:rPr>
          <w:rFonts w:asciiTheme="minorHAnsi" w:hAnsiTheme="minorHAnsi" w:eastAsiaTheme="minorEastAsia" w:cstheme="minorBidi"/>
          <w:kern w:val="2"/>
          <w:sz w:val="21"/>
        </w:rPr>
      </w:pPr>
      <w:r>
        <w:fldChar w:fldCharType="begin"/>
      </w:r>
      <w:r>
        <w:instrText xml:space="preserve"> HYPERLINK \l "_Toc61551289" </w:instrText>
      </w:r>
      <w:r>
        <w:fldChar w:fldCharType="separate"/>
      </w:r>
      <w:r>
        <w:rPr>
          <w:rStyle w:val="22"/>
          <w:rFonts w:ascii="宋体" w:hAnsi="宋体" w:cs="宋体"/>
        </w:rPr>
        <w:t>九、区域市场情况分析</w:t>
      </w:r>
      <w:r>
        <w:tab/>
      </w:r>
      <w:r>
        <w:fldChar w:fldCharType="begin"/>
      </w:r>
      <w:r>
        <w:instrText xml:space="preserve"> PAGEREF _Toc61551289 \h </w:instrText>
      </w:r>
      <w:r>
        <w:fldChar w:fldCharType="separate"/>
      </w:r>
      <w:r>
        <w:t>35</w:t>
      </w:r>
      <w:r>
        <w:fldChar w:fldCharType="end"/>
      </w:r>
      <w:r>
        <w:fldChar w:fldCharType="end"/>
      </w:r>
    </w:p>
    <w:p>
      <w:pPr>
        <w:pStyle w:val="16"/>
        <w:tabs>
          <w:tab w:val="right" w:leader="dot" w:pos="8302"/>
        </w:tabs>
        <w:rPr>
          <w:rFonts w:asciiTheme="minorHAnsi" w:hAnsiTheme="minorHAnsi" w:eastAsiaTheme="minorEastAsia" w:cstheme="minorBidi"/>
          <w:kern w:val="2"/>
          <w:sz w:val="21"/>
        </w:rPr>
      </w:pPr>
      <w:r>
        <w:fldChar w:fldCharType="begin"/>
      </w:r>
      <w:r>
        <w:instrText xml:space="preserve"> HYPERLINK \l "_Toc61551290" </w:instrText>
      </w:r>
      <w:r>
        <w:fldChar w:fldCharType="separate"/>
      </w:r>
      <w:r>
        <w:rPr>
          <w:rStyle w:val="22"/>
          <w:rFonts w:ascii="宋体" w:hAnsi="宋体" w:cs="宋体"/>
        </w:rPr>
        <w:t>十．项目公司资金计划执行情况</w:t>
      </w:r>
      <w:r>
        <w:tab/>
      </w:r>
      <w:r>
        <w:fldChar w:fldCharType="begin"/>
      </w:r>
      <w:r>
        <w:instrText xml:space="preserve"> PAGEREF _Toc61551290 \h </w:instrText>
      </w:r>
      <w:r>
        <w:fldChar w:fldCharType="separate"/>
      </w:r>
      <w:r>
        <w:t>36</w:t>
      </w:r>
      <w:r>
        <w:fldChar w:fldCharType="end"/>
      </w:r>
      <w:r>
        <w:fldChar w:fldCharType="end"/>
      </w:r>
    </w:p>
    <w:p>
      <w:pPr>
        <w:pStyle w:val="16"/>
        <w:tabs>
          <w:tab w:val="right" w:leader="dot" w:pos="8302"/>
        </w:tabs>
        <w:rPr>
          <w:rFonts w:asciiTheme="minorHAnsi" w:hAnsiTheme="minorHAnsi" w:eastAsiaTheme="minorEastAsia" w:cstheme="minorBidi"/>
          <w:kern w:val="2"/>
          <w:sz w:val="21"/>
        </w:rPr>
      </w:pPr>
      <w:r>
        <w:fldChar w:fldCharType="begin"/>
      </w:r>
      <w:r>
        <w:instrText xml:space="preserve"> HYPERLINK \l "_Toc61551291" </w:instrText>
      </w:r>
      <w:r>
        <w:fldChar w:fldCharType="separate"/>
      </w:r>
      <w:r>
        <w:rPr>
          <w:rStyle w:val="22"/>
          <w:rFonts w:ascii="宋体" w:hAnsi="宋体" w:cs="宋体"/>
        </w:rPr>
        <w:t>十一、项目公司用印情况</w:t>
      </w:r>
      <w:r>
        <w:tab/>
      </w:r>
      <w:r>
        <w:fldChar w:fldCharType="begin"/>
      </w:r>
      <w:r>
        <w:instrText xml:space="preserve"> PAGEREF _Toc61551291 \h </w:instrText>
      </w:r>
      <w:r>
        <w:fldChar w:fldCharType="separate"/>
      </w:r>
      <w:r>
        <w:t>36</w:t>
      </w:r>
      <w:r>
        <w:fldChar w:fldCharType="end"/>
      </w:r>
      <w:r>
        <w:fldChar w:fldCharType="end"/>
      </w:r>
    </w:p>
    <w:p>
      <w:pPr>
        <w:pStyle w:val="16"/>
        <w:tabs>
          <w:tab w:val="right" w:leader="dot" w:pos="8302"/>
        </w:tabs>
        <w:rPr>
          <w:rFonts w:asciiTheme="minorHAnsi" w:hAnsiTheme="minorHAnsi" w:eastAsiaTheme="minorEastAsia" w:cstheme="minorBidi"/>
          <w:kern w:val="2"/>
          <w:sz w:val="21"/>
        </w:rPr>
      </w:pPr>
      <w:r>
        <w:fldChar w:fldCharType="begin"/>
      </w:r>
      <w:r>
        <w:instrText xml:space="preserve"> HYPERLINK \l "_Toc61551292" </w:instrText>
      </w:r>
      <w:r>
        <w:fldChar w:fldCharType="separate"/>
      </w:r>
      <w:r>
        <w:rPr>
          <w:rStyle w:val="22"/>
          <w:rFonts w:ascii="宋体" w:hAnsi="宋体" w:cs="宋体"/>
        </w:rPr>
        <w:t>十二．项目公司印章证照使用情况</w:t>
      </w:r>
      <w:r>
        <w:tab/>
      </w:r>
      <w:r>
        <w:fldChar w:fldCharType="begin"/>
      </w:r>
      <w:r>
        <w:instrText xml:space="preserve"> PAGEREF _Toc61551292 \h </w:instrText>
      </w:r>
      <w:r>
        <w:fldChar w:fldCharType="separate"/>
      </w:r>
      <w:r>
        <w:t>37</w:t>
      </w:r>
      <w:r>
        <w:fldChar w:fldCharType="end"/>
      </w:r>
      <w:r>
        <w:fldChar w:fldCharType="end"/>
      </w:r>
    </w:p>
    <w:p>
      <w:pPr>
        <w:pStyle w:val="16"/>
        <w:tabs>
          <w:tab w:val="right" w:leader="dot" w:pos="8302"/>
        </w:tabs>
        <w:rPr>
          <w:rFonts w:asciiTheme="minorHAnsi" w:hAnsiTheme="minorHAnsi" w:eastAsiaTheme="minorEastAsia" w:cstheme="minorBidi"/>
          <w:kern w:val="2"/>
          <w:sz w:val="21"/>
        </w:rPr>
      </w:pPr>
      <w:r>
        <w:fldChar w:fldCharType="begin"/>
      </w:r>
      <w:r>
        <w:instrText xml:space="preserve"> HYPERLINK \l "_Toc61551293" </w:instrText>
      </w:r>
      <w:r>
        <w:fldChar w:fldCharType="separate"/>
      </w:r>
      <w:r>
        <w:rPr>
          <w:rStyle w:val="22"/>
          <w:rFonts w:ascii="宋体" w:hAnsi="宋体" w:cs="宋体"/>
        </w:rPr>
        <w:t>十三．项目公司签约情况</w:t>
      </w:r>
      <w:r>
        <w:tab/>
      </w:r>
      <w:r>
        <w:fldChar w:fldCharType="begin"/>
      </w:r>
      <w:r>
        <w:instrText xml:space="preserve"> PAGEREF _Toc61551293 \h </w:instrText>
      </w:r>
      <w:r>
        <w:fldChar w:fldCharType="separate"/>
      </w:r>
      <w:r>
        <w:t>37</w:t>
      </w:r>
      <w:r>
        <w:fldChar w:fldCharType="end"/>
      </w:r>
      <w:r>
        <w:fldChar w:fldCharType="end"/>
      </w:r>
    </w:p>
    <w:p>
      <w:pPr>
        <w:pStyle w:val="16"/>
        <w:tabs>
          <w:tab w:val="right" w:leader="dot" w:pos="8302"/>
        </w:tabs>
        <w:rPr>
          <w:rFonts w:asciiTheme="minorHAnsi" w:hAnsiTheme="minorHAnsi" w:eastAsiaTheme="minorEastAsia" w:cstheme="minorBidi"/>
          <w:kern w:val="2"/>
          <w:sz w:val="21"/>
        </w:rPr>
      </w:pPr>
      <w:r>
        <w:fldChar w:fldCharType="begin"/>
      </w:r>
      <w:r>
        <w:instrText xml:space="preserve"> HYPERLINK \l "_Toc61551294" </w:instrText>
      </w:r>
      <w:r>
        <w:fldChar w:fldCharType="separate"/>
      </w:r>
      <w:r>
        <w:rPr>
          <w:rStyle w:val="22"/>
          <w:rFonts w:ascii="宋体" w:hAnsi="宋体" w:cs="宋体"/>
        </w:rPr>
        <w:t>十四、项目整体运行情况分析</w:t>
      </w:r>
      <w:r>
        <w:tab/>
      </w:r>
      <w:r>
        <w:fldChar w:fldCharType="begin"/>
      </w:r>
      <w:r>
        <w:instrText xml:space="preserve"> PAGEREF _Toc61551294 \h </w:instrText>
      </w:r>
      <w:r>
        <w:fldChar w:fldCharType="separate"/>
      </w:r>
      <w:r>
        <w:t>37</w:t>
      </w:r>
      <w:r>
        <w:fldChar w:fldCharType="end"/>
      </w:r>
      <w:r>
        <w:fldChar w:fldCharType="end"/>
      </w:r>
    </w:p>
    <w:p>
      <w:pPr>
        <w:pStyle w:val="16"/>
        <w:tabs>
          <w:tab w:val="right" w:leader="dot" w:pos="8302"/>
        </w:tabs>
        <w:rPr>
          <w:rFonts w:asciiTheme="minorHAnsi" w:hAnsiTheme="minorHAnsi" w:eastAsiaTheme="minorEastAsia" w:cstheme="minorBidi"/>
          <w:kern w:val="2"/>
          <w:sz w:val="21"/>
        </w:rPr>
      </w:pPr>
      <w:r>
        <w:fldChar w:fldCharType="begin"/>
      </w:r>
      <w:r>
        <w:instrText xml:space="preserve"> HYPERLINK \l "_Toc61551295" </w:instrText>
      </w:r>
      <w:r>
        <w:fldChar w:fldCharType="separate"/>
      </w:r>
      <w:r>
        <w:rPr>
          <w:rStyle w:val="22"/>
          <w:rFonts w:ascii="宋体" w:hAnsi="宋体" w:cs="宋体"/>
        </w:rPr>
        <w:t>十五、附件</w:t>
      </w:r>
      <w:r>
        <w:tab/>
      </w:r>
      <w:r>
        <w:fldChar w:fldCharType="begin"/>
      </w:r>
      <w:r>
        <w:instrText xml:space="preserve"> PAGEREF _Toc61551295 \h </w:instrText>
      </w:r>
      <w:r>
        <w:fldChar w:fldCharType="separate"/>
      </w:r>
      <w:r>
        <w:t>39</w:t>
      </w:r>
      <w:r>
        <w:fldChar w:fldCharType="end"/>
      </w:r>
      <w:r>
        <w:fldChar w:fldCharType="end"/>
      </w:r>
    </w:p>
    <w:p>
      <w:pPr>
        <w:pStyle w:val="16"/>
        <w:tabs>
          <w:tab w:val="right" w:leader="dot" w:pos="8302"/>
        </w:tabs>
        <w:rPr>
          <w:rFonts w:asciiTheme="minorHAnsi" w:hAnsiTheme="minorHAnsi" w:eastAsiaTheme="minorEastAsia" w:cstheme="minorBidi"/>
          <w:kern w:val="2"/>
          <w:sz w:val="21"/>
        </w:rPr>
      </w:pPr>
      <w:r>
        <w:fldChar w:fldCharType="begin"/>
      </w:r>
      <w:r>
        <w:instrText xml:space="preserve"> HYPERLINK \l "_Toc61551296" </w:instrText>
      </w:r>
      <w:r>
        <w:fldChar w:fldCharType="separate"/>
      </w:r>
      <w:r>
        <w:rPr>
          <w:rStyle w:val="22"/>
          <w:rFonts w:ascii="宋体" w:hAnsi="宋体" w:cs="宋体"/>
        </w:rPr>
        <w:t>附件一:银行流水</w:t>
      </w:r>
      <w:r>
        <w:tab/>
      </w:r>
      <w:r>
        <w:fldChar w:fldCharType="begin"/>
      </w:r>
      <w:r>
        <w:instrText xml:space="preserve"> PAGEREF _Toc61551296 \h </w:instrText>
      </w:r>
      <w:r>
        <w:fldChar w:fldCharType="separate"/>
      </w:r>
      <w:r>
        <w:t>40</w:t>
      </w:r>
      <w:r>
        <w:fldChar w:fldCharType="end"/>
      </w:r>
      <w:r>
        <w:fldChar w:fldCharType="end"/>
      </w:r>
    </w:p>
    <w:p>
      <w:pPr>
        <w:pStyle w:val="16"/>
        <w:tabs>
          <w:tab w:val="right" w:leader="dot" w:pos="8302"/>
        </w:tabs>
        <w:rPr>
          <w:rFonts w:asciiTheme="minorHAnsi" w:hAnsiTheme="minorHAnsi" w:eastAsiaTheme="minorEastAsia" w:cstheme="minorBidi"/>
          <w:kern w:val="2"/>
          <w:sz w:val="21"/>
        </w:rPr>
      </w:pPr>
      <w:r>
        <w:fldChar w:fldCharType="begin"/>
      </w:r>
      <w:r>
        <w:instrText xml:space="preserve"> HYPERLINK \l "_Toc61551297" </w:instrText>
      </w:r>
      <w:r>
        <w:fldChar w:fldCharType="separate"/>
      </w:r>
      <w:r>
        <w:rPr>
          <w:rStyle w:val="22"/>
          <w:rFonts w:ascii="宋体" w:hAnsi="宋体" w:cs="宋体"/>
        </w:rPr>
        <w:t>附件二：合同统计表及付款台账</w:t>
      </w:r>
      <w:r>
        <w:tab/>
      </w:r>
      <w:r>
        <w:fldChar w:fldCharType="begin"/>
      </w:r>
      <w:r>
        <w:instrText xml:space="preserve"> PAGEREF _Toc61551297 \h </w:instrText>
      </w:r>
      <w:r>
        <w:fldChar w:fldCharType="separate"/>
      </w:r>
      <w:r>
        <w:t>60</w:t>
      </w:r>
      <w:r>
        <w:fldChar w:fldCharType="end"/>
      </w:r>
      <w:r>
        <w:fldChar w:fldCharType="end"/>
      </w:r>
    </w:p>
    <w:p>
      <w:pPr>
        <w:pStyle w:val="16"/>
        <w:tabs>
          <w:tab w:val="right" w:leader="dot" w:pos="8302"/>
        </w:tabs>
        <w:rPr>
          <w:rFonts w:asciiTheme="minorHAnsi" w:hAnsiTheme="minorHAnsi" w:eastAsiaTheme="minorEastAsia" w:cstheme="minorBidi"/>
          <w:kern w:val="2"/>
          <w:sz w:val="21"/>
        </w:rPr>
      </w:pPr>
      <w:r>
        <w:fldChar w:fldCharType="begin"/>
      </w:r>
      <w:r>
        <w:instrText xml:space="preserve"> HYPERLINK \l "_Toc61551298" </w:instrText>
      </w:r>
      <w:r>
        <w:fldChar w:fldCharType="separate"/>
      </w:r>
      <w:r>
        <w:rPr>
          <w:rStyle w:val="22"/>
          <w:rFonts w:ascii="宋体" w:hAnsi="宋体" w:cs="宋体"/>
        </w:rPr>
        <w:t>附件三：项目回款情况</w:t>
      </w:r>
      <w:r>
        <w:tab/>
      </w:r>
      <w:r>
        <w:fldChar w:fldCharType="begin"/>
      </w:r>
      <w:r>
        <w:instrText xml:space="preserve"> PAGEREF _Toc61551298 \h </w:instrText>
      </w:r>
      <w:r>
        <w:fldChar w:fldCharType="separate"/>
      </w:r>
      <w:r>
        <w:t>61</w:t>
      </w:r>
      <w:r>
        <w:fldChar w:fldCharType="end"/>
      </w:r>
      <w:r>
        <w:fldChar w:fldCharType="end"/>
      </w:r>
    </w:p>
    <w:p>
      <w:pPr>
        <w:pStyle w:val="16"/>
        <w:tabs>
          <w:tab w:val="right" w:leader="dot" w:pos="8302"/>
        </w:tabs>
        <w:rPr>
          <w:rFonts w:asciiTheme="minorHAnsi" w:hAnsiTheme="minorHAnsi" w:eastAsiaTheme="minorEastAsia" w:cstheme="minorBidi"/>
          <w:kern w:val="2"/>
          <w:sz w:val="21"/>
        </w:rPr>
      </w:pPr>
      <w:r>
        <w:fldChar w:fldCharType="begin"/>
      </w:r>
      <w:r>
        <w:instrText xml:space="preserve"> HYPERLINK \l "_Toc61551299" </w:instrText>
      </w:r>
      <w:r>
        <w:fldChar w:fldCharType="separate"/>
      </w:r>
      <w:r>
        <w:rPr>
          <w:rStyle w:val="22"/>
          <w:rFonts w:ascii="宋体" w:hAnsi="宋体" w:cs="宋体"/>
        </w:rPr>
        <w:t>附件四：下月（2021年1月）资金计划</w:t>
      </w:r>
      <w:r>
        <w:tab/>
      </w:r>
      <w:r>
        <w:fldChar w:fldCharType="begin"/>
      </w:r>
      <w:r>
        <w:instrText xml:space="preserve"> PAGEREF _Toc61551299 \h </w:instrText>
      </w:r>
      <w:r>
        <w:fldChar w:fldCharType="separate"/>
      </w:r>
      <w:r>
        <w:t>62</w:t>
      </w:r>
      <w:r>
        <w:fldChar w:fldCharType="end"/>
      </w:r>
      <w:r>
        <w:fldChar w:fldCharType="end"/>
      </w:r>
    </w:p>
    <w:p>
      <w:pPr>
        <w:pStyle w:val="16"/>
        <w:tabs>
          <w:tab w:val="right" w:leader="dot" w:pos="8302"/>
        </w:tabs>
        <w:rPr>
          <w:rFonts w:asciiTheme="minorHAnsi" w:hAnsiTheme="minorHAnsi" w:eastAsiaTheme="minorEastAsia" w:cstheme="minorBidi"/>
          <w:kern w:val="2"/>
          <w:sz w:val="21"/>
        </w:rPr>
      </w:pPr>
      <w:r>
        <w:fldChar w:fldCharType="begin"/>
      </w:r>
      <w:r>
        <w:instrText xml:space="preserve"> HYPERLINK \l "_Toc61551300" </w:instrText>
      </w:r>
      <w:r>
        <w:fldChar w:fldCharType="separate"/>
      </w:r>
      <w:r>
        <w:rPr>
          <w:rStyle w:val="22"/>
          <w:rFonts w:ascii="宋体" w:hAnsi="宋体" w:cs="宋体"/>
        </w:rPr>
        <w:t>附件五：项目形象进度表及照片</w:t>
      </w:r>
      <w:r>
        <w:tab/>
      </w:r>
      <w:r>
        <w:fldChar w:fldCharType="begin"/>
      </w:r>
      <w:r>
        <w:instrText xml:space="preserve"> PAGEREF _Toc61551300 \h </w:instrText>
      </w:r>
      <w:r>
        <w:fldChar w:fldCharType="separate"/>
      </w:r>
      <w:r>
        <w:t>63</w:t>
      </w:r>
      <w:r>
        <w:fldChar w:fldCharType="end"/>
      </w:r>
      <w:r>
        <w:fldChar w:fldCharType="end"/>
      </w:r>
    </w:p>
    <w:p>
      <w:pPr>
        <w:pStyle w:val="16"/>
        <w:tabs>
          <w:tab w:val="right" w:leader="dot" w:pos="8302"/>
        </w:tabs>
        <w:rPr>
          <w:rFonts w:asciiTheme="minorHAnsi" w:hAnsiTheme="minorHAnsi" w:eastAsiaTheme="minorEastAsia" w:cstheme="minorBidi"/>
          <w:kern w:val="2"/>
          <w:sz w:val="21"/>
        </w:rPr>
      </w:pPr>
      <w:r>
        <w:fldChar w:fldCharType="begin"/>
      </w:r>
      <w:r>
        <w:instrText xml:space="preserve"> HYPERLINK \l "_Toc61551301" </w:instrText>
      </w:r>
      <w:r>
        <w:fldChar w:fldCharType="separate"/>
      </w:r>
      <w:r>
        <w:rPr>
          <w:rStyle w:val="22"/>
          <w:rFonts w:ascii="宋体" w:hAnsi="宋体" w:cs="宋体"/>
        </w:rPr>
        <w:t>附件六：项目公司月度财务报表（资产负债表、现金流量表、利润表）</w:t>
      </w:r>
      <w:r>
        <w:tab/>
      </w:r>
      <w:r>
        <w:fldChar w:fldCharType="begin"/>
      </w:r>
      <w:r>
        <w:instrText xml:space="preserve"> PAGEREF _Toc61551301 \h </w:instrText>
      </w:r>
      <w:r>
        <w:fldChar w:fldCharType="separate"/>
      </w:r>
      <w:r>
        <w:t>67</w:t>
      </w:r>
      <w:r>
        <w:fldChar w:fldCharType="end"/>
      </w:r>
      <w:r>
        <w:fldChar w:fldCharType="end"/>
      </w:r>
    </w:p>
    <w:p>
      <w:pPr>
        <w:spacing w:line="276" w:lineRule="auto"/>
        <w:rPr>
          <w:rFonts w:ascii="宋体" w:hAnsi="宋体" w:cs="宋体"/>
          <w:b/>
          <w:bCs/>
          <w:sz w:val="13"/>
          <w:szCs w:val="13"/>
          <w:lang w:val="zh-CN"/>
        </w:rPr>
      </w:pPr>
      <w:r>
        <w:rPr>
          <w:rFonts w:hint="eastAsia" w:ascii="宋体" w:hAnsi="宋体" w:cs="宋体"/>
          <w:b/>
          <w:bCs/>
          <w:lang w:val="zh-CN"/>
        </w:rPr>
        <w:fldChar w:fldCharType="end"/>
      </w:r>
    </w:p>
    <w:p>
      <w:pPr>
        <w:rPr>
          <w:rFonts w:ascii="宋体" w:hAnsi="宋体" w:cs="宋体"/>
          <w:b/>
          <w:bCs/>
          <w:sz w:val="13"/>
          <w:szCs w:val="13"/>
          <w:lang w:val="zh-CN"/>
        </w:rPr>
      </w:pPr>
    </w:p>
    <w:p>
      <w:pPr>
        <w:rPr>
          <w:rFonts w:ascii="宋体" w:hAnsi="宋体" w:cs="宋体"/>
          <w:b/>
          <w:bCs/>
          <w:sz w:val="13"/>
          <w:szCs w:val="13"/>
          <w:lang w:val="zh-CN"/>
        </w:rPr>
      </w:pPr>
    </w:p>
    <w:p>
      <w:pPr>
        <w:rPr>
          <w:rFonts w:ascii="宋体" w:hAnsi="宋体" w:cs="宋体"/>
          <w:b/>
          <w:bCs/>
          <w:sz w:val="13"/>
          <w:szCs w:val="13"/>
          <w:lang w:val="zh-CN"/>
        </w:rPr>
      </w:pPr>
    </w:p>
    <w:p>
      <w:pPr>
        <w:rPr>
          <w:rFonts w:ascii="宋体" w:hAnsi="宋体" w:cs="宋体"/>
          <w:b/>
          <w:bCs/>
          <w:sz w:val="13"/>
          <w:szCs w:val="13"/>
          <w:lang w:val="zh-CN"/>
        </w:rPr>
      </w:pPr>
    </w:p>
    <w:p>
      <w:pPr>
        <w:rPr>
          <w:rFonts w:ascii="宋体" w:hAnsi="宋体" w:cs="宋体"/>
          <w:b/>
          <w:bCs/>
          <w:sz w:val="13"/>
          <w:szCs w:val="13"/>
          <w:lang w:val="zh-CN"/>
        </w:rPr>
      </w:pPr>
    </w:p>
    <w:p>
      <w:pPr>
        <w:rPr>
          <w:rFonts w:ascii="宋体" w:hAnsi="宋体" w:cs="宋体"/>
          <w:lang w:val="zh-CN"/>
        </w:rPr>
      </w:pPr>
    </w:p>
    <w:p>
      <w:pPr>
        <w:pStyle w:val="2"/>
        <w:ind w:firstLine="210"/>
        <w:rPr>
          <w:rFonts w:ascii="宋体" w:hAnsi="宋体" w:cs="宋体"/>
          <w:kern w:val="0"/>
          <w:szCs w:val="21"/>
        </w:rPr>
      </w:pPr>
      <w:r>
        <w:rPr>
          <w:rFonts w:hint="eastAsia" w:ascii="宋体" w:hAnsi="宋体" w:cs="宋体"/>
          <w:kern w:val="0"/>
          <w:szCs w:val="21"/>
        </w:rPr>
        <w:t>为方便阅读之目的，本报告中将部分名称简写为：</w:t>
      </w:r>
    </w:p>
    <w:p>
      <w:pPr>
        <w:pStyle w:val="2"/>
        <w:ind w:firstLine="210"/>
        <w:rPr>
          <w:rFonts w:ascii="宋体" w:hAnsi="宋体" w:cs="宋体"/>
          <w:kern w:val="0"/>
          <w:szCs w:val="21"/>
        </w:rPr>
      </w:pPr>
      <w:r>
        <w:rPr>
          <w:rFonts w:hint="eastAsia" w:ascii="宋体" w:hAnsi="宋体" w:cs="宋体"/>
          <w:kern w:val="0"/>
          <w:szCs w:val="21"/>
        </w:rPr>
        <w:t>•广西速晟：广西速晟投资开发有限公司</w:t>
      </w:r>
    </w:p>
    <w:p>
      <w:pPr>
        <w:pStyle w:val="2"/>
        <w:ind w:firstLine="210"/>
        <w:rPr>
          <w:rFonts w:ascii="宋体" w:hAnsi="宋体" w:cs="宋体"/>
          <w:kern w:val="0"/>
          <w:szCs w:val="21"/>
        </w:rPr>
      </w:pPr>
      <w:r>
        <w:rPr>
          <w:rFonts w:hint="eastAsia" w:ascii="宋体" w:hAnsi="宋体" w:cs="宋体"/>
          <w:kern w:val="0"/>
          <w:szCs w:val="21"/>
        </w:rPr>
        <w:t>•南宁峰宴：南宁峰宴房地产开发有限公司</w:t>
      </w:r>
    </w:p>
    <w:p>
      <w:pPr>
        <w:pStyle w:val="2"/>
        <w:ind w:firstLine="210"/>
        <w:rPr>
          <w:rFonts w:ascii="宋体" w:hAnsi="宋体" w:cs="宋体"/>
          <w:kern w:val="0"/>
          <w:szCs w:val="21"/>
        </w:rPr>
      </w:pPr>
      <w:r>
        <w:rPr>
          <w:rFonts w:hint="eastAsia" w:ascii="宋体" w:hAnsi="宋体" w:cs="宋体"/>
          <w:kern w:val="0"/>
          <w:szCs w:val="21"/>
        </w:rPr>
        <w:t>•项目公司：桂林威祺房地产开发有限公司</w:t>
      </w:r>
    </w:p>
    <w:p>
      <w:pPr>
        <w:pStyle w:val="2"/>
        <w:ind w:firstLine="210"/>
        <w:rPr>
          <w:rFonts w:ascii="宋体" w:hAnsi="宋体" w:cs="宋体"/>
          <w:kern w:val="0"/>
          <w:szCs w:val="21"/>
        </w:rPr>
      </w:pPr>
      <w:r>
        <w:rPr>
          <w:rFonts w:hint="eastAsia" w:ascii="宋体" w:hAnsi="宋体" w:cs="宋体"/>
          <w:kern w:val="0"/>
          <w:szCs w:val="21"/>
        </w:rPr>
        <w:t>•桂林弘彰：桂林弘彰投资有限公司</w:t>
      </w:r>
    </w:p>
    <w:p>
      <w:pPr>
        <w:pStyle w:val="2"/>
        <w:ind w:firstLine="210"/>
        <w:rPr>
          <w:rFonts w:ascii="宋体" w:hAnsi="宋体" w:cs="宋体"/>
          <w:kern w:val="0"/>
          <w:szCs w:val="21"/>
        </w:rPr>
      </w:pPr>
      <w:r>
        <w:rPr>
          <w:rFonts w:hint="eastAsia" w:ascii="宋体" w:hAnsi="宋体" w:cs="宋体"/>
          <w:kern w:val="0"/>
          <w:szCs w:val="21"/>
        </w:rPr>
        <w:t>•五矿信托：五矿国际信托有限公司</w:t>
      </w:r>
    </w:p>
    <w:p>
      <w:pPr>
        <w:pStyle w:val="2"/>
        <w:ind w:firstLine="210"/>
        <w:rPr>
          <w:rFonts w:ascii="宋体" w:hAnsi="宋体" w:cs="宋体"/>
          <w:sz w:val="24"/>
          <w:lang w:val="zh-CN"/>
        </w:rPr>
      </w:pPr>
      <w:r>
        <w:rPr>
          <w:rFonts w:hint="eastAsia" w:ascii="宋体" w:hAnsi="宋体" w:cs="宋体"/>
          <w:kern w:val="0"/>
          <w:szCs w:val="21"/>
        </w:rPr>
        <w:t>•康正：北京康正宏基房地产评估有限公司</w:t>
      </w:r>
      <w:r>
        <w:rPr>
          <w:rFonts w:hint="eastAsia" w:ascii="宋体" w:hAnsi="宋体" w:cs="宋体"/>
          <w:sz w:val="24"/>
          <w:lang w:val="zh-CN"/>
        </w:rPr>
        <w:tab/>
      </w:r>
    </w:p>
    <w:p>
      <w:pPr>
        <w:pStyle w:val="4"/>
        <w:spacing w:before="163" w:beforeLines="50" w:after="163" w:afterLines="50" w:line="480" w:lineRule="auto"/>
        <w:ind w:firstLine="4204" w:firstLineChars="2000"/>
        <w:rPr>
          <w:rFonts w:ascii="宋体" w:hAnsi="宋体" w:cs="宋体"/>
          <w:sz w:val="21"/>
          <w:szCs w:val="21"/>
        </w:rPr>
      </w:pPr>
      <w:bookmarkStart w:id="0" w:name="_Toc61551280"/>
      <w:r>
        <w:rPr>
          <w:rFonts w:hint="eastAsia" w:ascii="宋体" w:hAnsi="宋体" w:eastAsia="宋体" w:cs="宋体"/>
          <w:bCs/>
          <w:sz w:val="21"/>
          <w:szCs w:val="21"/>
        </w:rPr>
        <w:t>摘  要</w:t>
      </w:r>
      <w:bookmarkEnd w:id="0"/>
    </w:p>
    <w:p>
      <w:pPr>
        <w:adjustRightInd w:val="0"/>
        <w:snapToGrid w:val="0"/>
        <w:spacing w:line="480" w:lineRule="auto"/>
        <w:rPr>
          <w:rFonts w:ascii="宋体" w:hAnsi="宋体" w:cs="宋体"/>
          <w:b/>
          <w:sz w:val="21"/>
          <w:szCs w:val="21"/>
        </w:rPr>
      </w:pPr>
      <w:bookmarkStart w:id="1" w:name="_Toc133693353"/>
      <w:r>
        <w:rPr>
          <w:rFonts w:hint="eastAsia" w:ascii="宋体" w:hAnsi="宋体" w:cs="宋体"/>
          <w:b/>
          <w:sz w:val="21"/>
          <w:szCs w:val="21"/>
        </w:rPr>
        <w:t>五矿国际信托有限公司：</w:t>
      </w:r>
      <w:bookmarkEnd w:id="1"/>
    </w:p>
    <w:p>
      <w:pPr>
        <w:spacing w:line="480" w:lineRule="auto"/>
        <w:ind w:firstLine="420" w:firstLineChars="200"/>
        <w:jc w:val="both"/>
        <w:rPr>
          <w:rFonts w:ascii="宋体" w:hAnsi="宋体" w:cs="宋体"/>
          <w:sz w:val="21"/>
          <w:szCs w:val="21"/>
        </w:rPr>
      </w:pPr>
      <w:r>
        <w:rPr>
          <w:rFonts w:hint="eastAsia" w:ascii="宋体" w:hAnsi="宋体" w:cs="宋体"/>
          <w:sz w:val="21"/>
          <w:szCs w:val="21"/>
        </w:rPr>
        <w:t>受委托，北京康正宏基房地产评估有限公司（以下简称</w:t>
      </w:r>
      <w:r>
        <w:rPr>
          <w:rFonts w:hint="eastAsia" w:ascii="宋体" w:hAnsi="宋体" w:cs="宋体"/>
          <w:sz w:val="21"/>
          <w:szCs w:val="21"/>
          <w:lang w:val="en-US" w:eastAsia="zh-Hans"/>
        </w:rPr>
        <w:t>“</w:t>
      </w:r>
      <w:r>
        <w:rPr>
          <w:rFonts w:hint="eastAsia" w:ascii="宋体" w:hAnsi="宋体" w:cs="宋体"/>
          <w:sz w:val="21"/>
          <w:szCs w:val="21"/>
        </w:rPr>
        <w:t>我司</w:t>
      </w:r>
      <w:bookmarkStart w:id="28" w:name="_GoBack"/>
      <w:bookmarkEnd w:id="28"/>
      <w:r>
        <w:rPr>
          <w:rFonts w:hint="eastAsia" w:ascii="宋体" w:hAnsi="宋体" w:cs="宋体"/>
          <w:sz w:val="21"/>
          <w:szCs w:val="21"/>
          <w:lang w:val="en-US" w:eastAsia="zh-Hans"/>
        </w:rPr>
        <w:t>”</w:t>
      </w:r>
      <w:r>
        <w:rPr>
          <w:rFonts w:hint="eastAsia" w:ascii="宋体" w:hAnsi="宋体" w:cs="宋体"/>
          <w:sz w:val="21"/>
          <w:szCs w:val="21"/>
        </w:rPr>
        <w:t>）对广西速晟、南宁峰宴、桂林弘彰、桂林威祺及桂林威祺开发建设的位于广西壮族自治区桂林市叠彩区五福村的地块桂林春天里项目</w:t>
      </w:r>
      <w:r>
        <w:rPr>
          <w:rFonts w:ascii="宋体" w:hAnsi="宋体" w:cs="宋体"/>
          <w:sz w:val="21"/>
          <w:szCs w:val="21"/>
        </w:rPr>
        <w:t>2020年12月份房地产项目</w:t>
      </w:r>
      <w:r>
        <w:rPr>
          <w:rFonts w:hint="eastAsia" w:ascii="宋体" w:hAnsi="宋体" w:cs="宋体"/>
          <w:sz w:val="21"/>
          <w:szCs w:val="21"/>
        </w:rPr>
        <w:t>提供监管服务。我司就标的项目合同签署情况、项目证照办理情况、工程款支付情况、销售情况、账户余额情况、项目存在的风险情况等方面进行了较为全面的分析、汇总。主要内容摘录如下：</w:t>
      </w:r>
    </w:p>
    <w:p>
      <w:pPr>
        <w:pStyle w:val="2"/>
        <w:spacing w:after="0" w:line="480" w:lineRule="auto"/>
        <w:ind w:firstLine="420" w:firstLineChars="200"/>
        <w:rPr>
          <w:rFonts w:ascii="宋体" w:hAnsi="宋体" w:cs="宋体"/>
          <w:b/>
          <w:bCs/>
          <w:szCs w:val="21"/>
        </w:rPr>
      </w:pPr>
      <w:r>
        <w:rPr>
          <w:rFonts w:hint="eastAsia" w:ascii="宋体" w:hAnsi="宋体" w:cs="宋体"/>
          <w:b/>
          <w:bCs/>
          <w:szCs w:val="21"/>
        </w:rPr>
        <w:t>1.合同签署情况</w:t>
      </w:r>
    </w:p>
    <w:p>
      <w:pPr>
        <w:pStyle w:val="2"/>
        <w:spacing w:after="0" w:line="480" w:lineRule="auto"/>
        <w:ind w:firstLineChars="200"/>
        <w:rPr>
          <w:rFonts w:ascii="宋体" w:hAnsi="宋体" w:cs="宋体"/>
          <w:szCs w:val="21"/>
        </w:rPr>
      </w:pPr>
      <w:r>
        <w:rPr>
          <w:rFonts w:hint="eastAsia" w:ascii="宋体" w:hAnsi="宋体" w:cs="宋体"/>
          <w:szCs w:val="21"/>
        </w:rPr>
        <w:t>本期项目公司共签署商业合同</w:t>
      </w:r>
      <w:r>
        <w:rPr>
          <w:rFonts w:ascii="宋体" w:hAnsi="宋体" w:cs="宋体"/>
          <w:szCs w:val="21"/>
        </w:rPr>
        <w:t>1</w:t>
      </w:r>
      <w:r>
        <w:rPr>
          <w:rFonts w:hint="eastAsia" w:ascii="宋体" w:hAnsi="宋体" w:cs="宋体"/>
          <w:szCs w:val="21"/>
        </w:rPr>
        <w:t>份</w:t>
      </w:r>
      <w:r>
        <w:rPr>
          <w:rFonts w:hint="eastAsia" w:ascii="宋体" w:hAnsi="宋体" w:cs="宋体"/>
          <w:szCs w:val="21"/>
          <w:lang w:eastAsia="zh-Hans"/>
        </w:rPr>
        <w:t>：《桂林威祺房地产开发有限公司与五矿财务投资管理有限公司之财务顾问协议》，合同总价为</w:t>
      </w:r>
      <w:r>
        <w:rPr>
          <w:rFonts w:hint="eastAsia" w:ascii="宋体" w:hAnsi="宋体" w:cs="宋体"/>
          <w:szCs w:val="21"/>
        </w:rPr>
        <w:t>7</w:t>
      </w:r>
      <w:r>
        <w:rPr>
          <w:rFonts w:ascii="宋体" w:hAnsi="宋体" w:cs="宋体"/>
          <w:szCs w:val="21"/>
        </w:rPr>
        <w:t>50</w:t>
      </w:r>
      <w:r>
        <w:rPr>
          <w:rFonts w:hint="eastAsia" w:ascii="宋体" w:hAnsi="宋体" w:cs="宋体"/>
          <w:szCs w:val="21"/>
        </w:rPr>
        <w:t>,</w:t>
      </w:r>
      <w:r>
        <w:rPr>
          <w:rFonts w:ascii="宋体" w:hAnsi="宋体" w:cs="宋体"/>
          <w:szCs w:val="21"/>
        </w:rPr>
        <w:t>000.00</w:t>
      </w:r>
      <w:r>
        <w:rPr>
          <w:rFonts w:hint="eastAsia" w:ascii="宋体" w:hAnsi="宋体" w:cs="宋体"/>
          <w:szCs w:val="21"/>
        </w:rPr>
        <w:t>元。</w:t>
      </w:r>
    </w:p>
    <w:p>
      <w:pPr>
        <w:pStyle w:val="2"/>
        <w:spacing w:after="0" w:line="480" w:lineRule="auto"/>
        <w:ind w:firstLine="420" w:firstLineChars="200"/>
        <w:rPr>
          <w:rFonts w:ascii="宋体" w:hAnsi="宋体" w:cs="宋体"/>
          <w:b/>
          <w:bCs/>
          <w:szCs w:val="21"/>
        </w:rPr>
      </w:pPr>
      <w:r>
        <w:rPr>
          <w:rFonts w:hint="eastAsia" w:ascii="宋体" w:hAnsi="宋体" w:cs="宋体"/>
          <w:b/>
          <w:bCs/>
          <w:szCs w:val="21"/>
        </w:rPr>
        <w:t>2.项目证照办理情况</w:t>
      </w:r>
    </w:p>
    <w:p>
      <w:pPr>
        <w:pStyle w:val="2"/>
        <w:spacing w:after="0" w:line="480" w:lineRule="auto"/>
        <w:ind w:firstLineChars="200"/>
        <w:rPr>
          <w:rFonts w:ascii="宋体" w:hAnsi="宋体" w:cs="宋体"/>
          <w:szCs w:val="21"/>
        </w:rPr>
      </w:pPr>
      <w:r>
        <w:rPr>
          <w:rFonts w:hint="eastAsia" w:ascii="宋体" w:hAnsi="宋体" w:cs="宋体"/>
          <w:szCs w:val="21"/>
          <w:lang w:eastAsia="zh-Hans"/>
        </w:rPr>
        <w:t>截至本期期末，</w:t>
      </w:r>
      <w:r>
        <w:rPr>
          <w:rFonts w:hint="eastAsia" w:ascii="宋体" w:hAnsi="宋体" w:cs="宋体"/>
          <w:szCs w:val="21"/>
        </w:rPr>
        <w:t>春天里项目已取得《建设用地规划许可证》、《建设工程规划许可证》、《建筑工程施工许可证》，暂未取得《不动产权证书》、《商品房预售许可证》。</w:t>
      </w:r>
    </w:p>
    <w:p>
      <w:pPr>
        <w:pStyle w:val="2"/>
        <w:spacing w:after="0" w:line="480" w:lineRule="auto"/>
        <w:ind w:firstLine="420" w:firstLineChars="200"/>
        <w:rPr>
          <w:rFonts w:ascii="宋体" w:hAnsi="宋体" w:cs="宋体"/>
          <w:b/>
          <w:bCs/>
          <w:szCs w:val="21"/>
        </w:rPr>
      </w:pPr>
      <w:r>
        <w:rPr>
          <w:rFonts w:hint="eastAsia" w:ascii="宋体" w:hAnsi="宋体" w:cs="宋体"/>
          <w:b/>
          <w:bCs/>
          <w:szCs w:val="21"/>
        </w:rPr>
        <w:t>3.工程款支付情况</w:t>
      </w:r>
    </w:p>
    <w:p>
      <w:pPr>
        <w:pStyle w:val="2"/>
        <w:spacing w:after="0" w:line="480" w:lineRule="auto"/>
        <w:ind w:firstLineChars="200"/>
        <w:rPr>
          <w:rFonts w:ascii="宋体" w:hAnsi="宋体" w:cs="宋体"/>
          <w:b/>
          <w:bCs/>
          <w:szCs w:val="21"/>
        </w:rPr>
      </w:pPr>
      <w:r>
        <w:rPr>
          <w:rFonts w:hint="eastAsia" w:ascii="宋体" w:hAnsi="宋体" w:cs="宋体"/>
          <w:szCs w:val="21"/>
        </w:rPr>
        <w:t>本期项目公司支付</w:t>
      </w:r>
      <w:r>
        <w:rPr>
          <w:rFonts w:hint="eastAsia" w:ascii="宋体" w:hAnsi="宋体" w:cs="宋体"/>
          <w:szCs w:val="21"/>
          <w:lang w:eastAsia="zh-Hans"/>
        </w:rPr>
        <w:t>工程款</w:t>
      </w:r>
      <w:r>
        <w:rPr>
          <w:rFonts w:ascii="宋体" w:hAnsi="宋体" w:cs="宋体"/>
          <w:szCs w:val="21"/>
        </w:rPr>
        <w:t>203</w:t>
      </w:r>
      <w:r>
        <w:rPr>
          <w:rFonts w:hint="eastAsia" w:ascii="宋体" w:hAnsi="宋体" w:cs="宋体"/>
          <w:szCs w:val="21"/>
        </w:rPr>
        <w:t>.</w:t>
      </w:r>
      <w:r>
        <w:rPr>
          <w:rFonts w:ascii="宋体" w:hAnsi="宋体" w:cs="宋体"/>
          <w:szCs w:val="21"/>
        </w:rPr>
        <w:t>82216</w:t>
      </w:r>
      <w:r>
        <w:rPr>
          <w:rFonts w:hint="eastAsia" w:ascii="宋体" w:hAnsi="宋体" w:cs="宋体"/>
          <w:szCs w:val="21"/>
        </w:rPr>
        <w:t>万元</w:t>
      </w:r>
      <w:r>
        <w:rPr>
          <w:rFonts w:hint="eastAsia" w:ascii="宋体" w:hAnsi="宋体" w:cs="宋体"/>
          <w:szCs w:val="21"/>
          <w:lang w:eastAsia="zh-Hans"/>
        </w:rPr>
        <w:t>，包含春天里项目景观设计合同进度款、展示区室外排水施工合同进度款、春天里项目售楼部、样板间、看房通道、业主食堂室内精装修工程合同进度款、建设工程委托监理合同进度款</w:t>
      </w:r>
      <w:r>
        <w:rPr>
          <w:rFonts w:hint="eastAsia" w:ascii="宋体" w:hAnsi="宋体" w:cs="宋体"/>
          <w:szCs w:val="21"/>
        </w:rPr>
        <w:t>。</w:t>
      </w:r>
    </w:p>
    <w:p>
      <w:pPr>
        <w:pStyle w:val="2"/>
        <w:spacing w:after="0" w:line="480" w:lineRule="auto"/>
        <w:ind w:firstLine="420" w:firstLineChars="200"/>
        <w:rPr>
          <w:rFonts w:ascii="宋体" w:hAnsi="宋体" w:cs="宋体"/>
          <w:b/>
          <w:bCs/>
          <w:szCs w:val="21"/>
        </w:rPr>
      </w:pPr>
      <w:r>
        <w:rPr>
          <w:rFonts w:hint="eastAsia" w:ascii="宋体" w:hAnsi="宋体" w:cs="宋体"/>
          <w:b/>
          <w:bCs/>
          <w:szCs w:val="21"/>
        </w:rPr>
        <w:t>4.销售情况</w:t>
      </w:r>
    </w:p>
    <w:p>
      <w:pPr>
        <w:pStyle w:val="2"/>
        <w:spacing w:after="0" w:line="480" w:lineRule="auto"/>
        <w:ind w:firstLineChars="200"/>
        <w:rPr>
          <w:rFonts w:asciiTheme="minorEastAsia" w:hAnsiTheme="minorEastAsia" w:eastAsiaTheme="minorEastAsia" w:cstheme="minorEastAsia"/>
          <w:bCs/>
          <w:sz w:val="18"/>
          <w:szCs w:val="18"/>
        </w:rPr>
      </w:pPr>
      <w:r>
        <w:rPr>
          <w:rFonts w:hint="eastAsia" w:ascii="宋体" w:hAnsi="宋体" w:cs="宋体"/>
          <w:szCs w:val="21"/>
          <w:lang w:eastAsia="zh-Hans"/>
        </w:rPr>
        <w:t>截至本期期末，春天里项目新增住宅认筹</w:t>
      </w:r>
      <w:r>
        <w:rPr>
          <w:rFonts w:ascii="宋体" w:hAnsi="宋体" w:cs="宋体"/>
          <w:szCs w:val="21"/>
          <w:lang w:eastAsia="zh-Hans"/>
        </w:rPr>
        <w:t>10</w:t>
      </w:r>
      <w:r>
        <w:rPr>
          <w:rFonts w:hint="eastAsia" w:ascii="宋体" w:hAnsi="宋体" w:cs="宋体"/>
          <w:szCs w:val="21"/>
          <w:lang w:eastAsia="zh-Hans"/>
        </w:rPr>
        <w:t>户，车位新增认筹</w:t>
      </w:r>
      <w:r>
        <w:rPr>
          <w:rFonts w:ascii="宋体" w:hAnsi="宋体" w:cs="宋体"/>
          <w:szCs w:val="21"/>
          <w:lang w:eastAsia="zh-Hans"/>
        </w:rPr>
        <w:t>11</w:t>
      </w:r>
      <w:r>
        <w:rPr>
          <w:rFonts w:hint="eastAsia" w:ascii="宋体" w:hAnsi="宋体" w:cs="宋体"/>
          <w:szCs w:val="21"/>
          <w:lang w:eastAsia="zh-Hans"/>
        </w:rPr>
        <w:t>组；现有住宅累计认筹客户</w:t>
      </w:r>
      <w:r>
        <w:rPr>
          <w:rFonts w:ascii="宋体" w:hAnsi="宋体" w:cs="宋体"/>
          <w:szCs w:val="21"/>
          <w:lang w:eastAsia="zh-Hans"/>
        </w:rPr>
        <w:t>242</w:t>
      </w:r>
      <w:r>
        <w:rPr>
          <w:rFonts w:hint="eastAsia" w:ascii="宋体" w:hAnsi="宋体" w:cs="宋体"/>
          <w:szCs w:val="21"/>
          <w:lang w:eastAsia="zh-Hans"/>
        </w:rPr>
        <w:t>户，车位累计认筹</w:t>
      </w:r>
      <w:r>
        <w:rPr>
          <w:rFonts w:ascii="宋体" w:hAnsi="宋体" w:cs="宋体"/>
          <w:szCs w:val="21"/>
          <w:lang w:eastAsia="zh-Hans"/>
        </w:rPr>
        <w:t>245</w:t>
      </w:r>
      <w:r>
        <w:rPr>
          <w:rFonts w:hint="eastAsia" w:ascii="宋体" w:hAnsi="宋体" w:cs="宋体"/>
          <w:szCs w:val="21"/>
          <w:lang w:eastAsia="zh-Hans"/>
        </w:rPr>
        <w:t>户，商铺累计认筹8户，因项目未办理预售证，因此认筹预约金皆收到桂林弘彰账户中。</w:t>
      </w:r>
    </w:p>
    <w:p>
      <w:pPr>
        <w:pStyle w:val="2"/>
        <w:spacing w:after="0" w:line="480" w:lineRule="auto"/>
        <w:ind w:firstLine="420" w:firstLineChars="200"/>
        <w:rPr>
          <w:rFonts w:ascii="宋体" w:hAnsi="宋体" w:cs="宋体"/>
          <w:b/>
          <w:bCs/>
          <w:szCs w:val="21"/>
        </w:rPr>
      </w:pPr>
      <w:r>
        <w:rPr>
          <w:rFonts w:hint="eastAsia" w:ascii="宋体" w:hAnsi="宋体" w:cs="宋体"/>
          <w:b/>
          <w:bCs/>
          <w:szCs w:val="21"/>
        </w:rPr>
        <w:t>5.账户余额情况</w:t>
      </w:r>
    </w:p>
    <w:p>
      <w:pPr>
        <w:pStyle w:val="2"/>
        <w:spacing w:after="0" w:line="480" w:lineRule="auto"/>
        <w:ind w:firstLineChars="200"/>
        <w:rPr>
          <w:rFonts w:ascii="宋体" w:hAnsi="宋体" w:cs="宋体"/>
          <w:szCs w:val="21"/>
        </w:rPr>
      </w:pPr>
      <w:r>
        <w:rPr>
          <w:rFonts w:hint="eastAsia" w:ascii="宋体" w:hAnsi="宋体" w:cs="宋体"/>
          <w:szCs w:val="21"/>
        </w:rPr>
        <w:t>截至</w:t>
      </w:r>
      <w:r>
        <w:rPr>
          <w:rFonts w:ascii="宋体" w:hAnsi="宋体" w:cs="宋体"/>
          <w:szCs w:val="21"/>
        </w:rPr>
        <w:t>12</w:t>
      </w:r>
      <w:r>
        <w:rPr>
          <w:rFonts w:hint="eastAsia" w:ascii="宋体" w:hAnsi="宋体" w:cs="宋体"/>
          <w:szCs w:val="21"/>
        </w:rPr>
        <w:t>月31日,被监管主体各账户余额情况：</w:t>
      </w:r>
      <w:r>
        <w:rPr>
          <w:rFonts w:ascii="宋体" w:hAnsi="宋体" w:cs="宋体"/>
          <w:szCs w:val="21"/>
        </w:rPr>
        <w:t xml:space="preserve"> </w:t>
      </w:r>
    </w:p>
    <w:p>
      <w:pPr>
        <w:pStyle w:val="2"/>
        <w:spacing w:after="0" w:line="480" w:lineRule="auto"/>
        <w:ind w:firstLine="360" w:firstLineChars="200"/>
        <w:jc w:val="center"/>
        <w:rPr>
          <w:rFonts w:ascii="宋体" w:hAnsi="宋体" w:cs="宋体"/>
          <w:sz w:val="18"/>
          <w:szCs w:val="18"/>
        </w:rPr>
      </w:pPr>
      <w:r>
        <w:rPr>
          <w:rFonts w:hint="eastAsia" w:ascii="宋体" w:hAnsi="宋体" w:cs="宋体"/>
          <w:sz w:val="18"/>
          <w:szCs w:val="18"/>
        </w:rPr>
        <w:t>表一：被监管主体账户余额表</w:t>
      </w:r>
    </w:p>
    <w:tbl>
      <w:tblPr>
        <w:tblStyle w:val="24"/>
        <w:tblW w:w="8751" w:type="dxa"/>
        <w:jc w:val="center"/>
        <w:tblLayout w:type="fixed"/>
        <w:tblCellMar>
          <w:top w:w="0" w:type="dxa"/>
          <w:left w:w="108" w:type="dxa"/>
          <w:bottom w:w="0" w:type="dxa"/>
          <w:right w:w="108" w:type="dxa"/>
        </w:tblCellMar>
      </w:tblPr>
      <w:tblGrid>
        <w:gridCol w:w="645"/>
        <w:gridCol w:w="1274"/>
        <w:gridCol w:w="1143"/>
        <w:gridCol w:w="2110"/>
        <w:gridCol w:w="1092"/>
        <w:gridCol w:w="1627"/>
        <w:gridCol w:w="860"/>
      </w:tblGrid>
      <w:tr>
        <w:trPr>
          <w:trHeight w:val="978" w:hRule="atLeast"/>
          <w:tblHeader/>
          <w:jc w:val="center"/>
        </w:trPr>
        <w:tc>
          <w:tcPr>
            <w:tcW w:w="645" w:type="dxa"/>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序号</w:t>
            </w:r>
          </w:p>
        </w:tc>
        <w:tc>
          <w:tcPr>
            <w:tcW w:w="1274" w:type="dxa"/>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公司名称</w:t>
            </w:r>
          </w:p>
        </w:tc>
        <w:tc>
          <w:tcPr>
            <w:tcW w:w="1143" w:type="dxa"/>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银行名称</w:t>
            </w:r>
          </w:p>
        </w:tc>
        <w:tc>
          <w:tcPr>
            <w:tcW w:w="2110" w:type="dxa"/>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账号</w:t>
            </w:r>
          </w:p>
        </w:tc>
        <w:tc>
          <w:tcPr>
            <w:tcW w:w="1092" w:type="dxa"/>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账户性质</w:t>
            </w:r>
          </w:p>
        </w:tc>
        <w:tc>
          <w:tcPr>
            <w:tcW w:w="1627"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本期余额（元）</w:t>
            </w:r>
          </w:p>
        </w:tc>
        <w:tc>
          <w:tcPr>
            <w:tcW w:w="860" w:type="dxa"/>
            <w:tcBorders>
              <w:top w:val="single" w:color="auto" w:sz="8" w:space="0"/>
              <w:left w:val="single" w:color="auto" w:sz="8" w:space="0"/>
              <w:bottom w:val="single" w:color="000000" w:sz="8" w:space="0"/>
              <w:right w:val="single" w:color="auto" w:sz="8" w:space="0"/>
            </w:tcBorders>
            <w:shd w:val="clear" w:color="auto" w:fill="auto"/>
            <w:noWrap/>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备注</w:t>
            </w:r>
          </w:p>
        </w:tc>
      </w:tr>
      <w:tr>
        <w:trPr>
          <w:trHeight w:val="490" w:hRule="atLeast"/>
          <w:jc w:val="center"/>
        </w:trPr>
        <w:tc>
          <w:tcPr>
            <w:tcW w:w="645" w:type="dxa"/>
            <w:tcBorders>
              <w:top w:val="nil"/>
              <w:left w:val="single" w:color="auto" w:sz="8" w:space="0"/>
              <w:bottom w:val="single" w:color="auto" w:sz="8" w:space="0"/>
              <w:right w:val="nil"/>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1274"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广西速晟</w:t>
            </w:r>
          </w:p>
        </w:tc>
        <w:tc>
          <w:tcPr>
            <w:tcW w:w="114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民生银行</w:t>
            </w:r>
          </w:p>
        </w:tc>
        <w:tc>
          <w:tcPr>
            <w:tcW w:w="211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6325 4124 6</w:t>
            </w:r>
          </w:p>
        </w:tc>
        <w:tc>
          <w:tcPr>
            <w:tcW w:w="1092"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基本户</w:t>
            </w:r>
          </w:p>
        </w:tc>
        <w:tc>
          <w:tcPr>
            <w:tcW w:w="1627"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406,803.67</w:t>
            </w:r>
          </w:p>
        </w:tc>
        <w:tc>
          <w:tcPr>
            <w:tcW w:w="860"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p>
        </w:tc>
      </w:tr>
      <w:tr>
        <w:trPr>
          <w:trHeight w:val="488" w:hRule="atLeast"/>
          <w:jc w:val="center"/>
        </w:trPr>
        <w:tc>
          <w:tcPr>
            <w:tcW w:w="645"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w:t>
            </w:r>
          </w:p>
        </w:tc>
        <w:tc>
          <w:tcPr>
            <w:tcW w:w="1274"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南宁峰宴</w:t>
            </w:r>
          </w:p>
        </w:tc>
        <w:tc>
          <w:tcPr>
            <w:tcW w:w="114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广西农信社</w:t>
            </w:r>
          </w:p>
        </w:tc>
        <w:tc>
          <w:tcPr>
            <w:tcW w:w="211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1800 1201 0102 0256 22</w:t>
            </w:r>
          </w:p>
        </w:tc>
        <w:tc>
          <w:tcPr>
            <w:tcW w:w="1092"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基本户</w:t>
            </w:r>
          </w:p>
        </w:tc>
        <w:tc>
          <w:tcPr>
            <w:tcW w:w="1627"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23,792.35</w:t>
            </w:r>
          </w:p>
        </w:tc>
        <w:tc>
          <w:tcPr>
            <w:tcW w:w="860"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p>
        </w:tc>
      </w:tr>
      <w:tr>
        <w:trPr>
          <w:trHeight w:val="730" w:hRule="atLeast"/>
          <w:jc w:val="center"/>
        </w:trPr>
        <w:tc>
          <w:tcPr>
            <w:tcW w:w="645"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w:t>
            </w:r>
          </w:p>
        </w:tc>
        <w:tc>
          <w:tcPr>
            <w:tcW w:w="1274"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桂林弘彰</w:t>
            </w:r>
          </w:p>
        </w:tc>
        <w:tc>
          <w:tcPr>
            <w:tcW w:w="114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交通银行</w:t>
            </w:r>
          </w:p>
        </w:tc>
        <w:tc>
          <w:tcPr>
            <w:tcW w:w="211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4538 0100 0018 0101 4938 3</w:t>
            </w:r>
          </w:p>
        </w:tc>
        <w:tc>
          <w:tcPr>
            <w:tcW w:w="1092"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基本户</w:t>
            </w:r>
          </w:p>
        </w:tc>
        <w:tc>
          <w:tcPr>
            <w:tcW w:w="1627"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48,945,789.90</w:t>
            </w:r>
          </w:p>
        </w:tc>
        <w:tc>
          <w:tcPr>
            <w:tcW w:w="860"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p>
        </w:tc>
      </w:tr>
      <w:tr>
        <w:trPr>
          <w:trHeight w:val="730" w:hRule="atLeast"/>
          <w:jc w:val="center"/>
        </w:trPr>
        <w:tc>
          <w:tcPr>
            <w:tcW w:w="645"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1274"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桂林威祺</w:t>
            </w:r>
          </w:p>
        </w:tc>
        <w:tc>
          <w:tcPr>
            <w:tcW w:w="114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建设银行</w:t>
            </w:r>
          </w:p>
        </w:tc>
        <w:tc>
          <w:tcPr>
            <w:tcW w:w="211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4505 0163 5101 0000 0964</w:t>
            </w:r>
          </w:p>
        </w:tc>
        <w:tc>
          <w:tcPr>
            <w:tcW w:w="1092"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基本户</w:t>
            </w:r>
          </w:p>
        </w:tc>
        <w:tc>
          <w:tcPr>
            <w:tcW w:w="1627"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5,991,469.22</w:t>
            </w:r>
          </w:p>
        </w:tc>
        <w:tc>
          <w:tcPr>
            <w:tcW w:w="860"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s="宋体"/>
                <w:color w:val="000000"/>
                <w:sz w:val="18"/>
                <w:szCs w:val="18"/>
              </w:rPr>
            </w:pPr>
          </w:p>
        </w:tc>
      </w:tr>
      <w:tr>
        <w:trPr>
          <w:trHeight w:val="554" w:hRule="atLeast"/>
          <w:jc w:val="center"/>
        </w:trPr>
        <w:tc>
          <w:tcPr>
            <w:tcW w:w="645"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5</w:t>
            </w:r>
          </w:p>
        </w:tc>
        <w:tc>
          <w:tcPr>
            <w:tcW w:w="1274"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114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工商银行</w:t>
            </w:r>
          </w:p>
        </w:tc>
        <w:tc>
          <w:tcPr>
            <w:tcW w:w="211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2103 2001 1930 0034 555</w:t>
            </w:r>
          </w:p>
        </w:tc>
        <w:tc>
          <w:tcPr>
            <w:tcW w:w="1092"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一般户</w:t>
            </w:r>
          </w:p>
        </w:tc>
        <w:tc>
          <w:tcPr>
            <w:tcW w:w="1627"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0</w:t>
            </w:r>
          </w:p>
        </w:tc>
        <w:tc>
          <w:tcPr>
            <w:tcW w:w="860"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s="宋体"/>
                <w:color w:val="000000"/>
                <w:sz w:val="18"/>
                <w:szCs w:val="18"/>
              </w:rPr>
            </w:pPr>
          </w:p>
        </w:tc>
      </w:tr>
      <w:tr>
        <w:trPr>
          <w:trHeight w:val="730" w:hRule="atLeast"/>
          <w:jc w:val="center"/>
        </w:trPr>
        <w:tc>
          <w:tcPr>
            <w:tcW w:w="645"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w:t>
            </w:r>
          </w:p>
        </w:tc>
        <w:tc>
          <w:tcPr>
            <w:tcW w:w="1274"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114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交通银行</w:t>
            </w:r>
          </w:p>
        </w:tc>
        <w:tc>
          <w:tcPr>
            <w:tcW w:w="211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4530 6080 1013 0001 5985 3</w:t>
            </w:r>
          </w:p>
        </w:tc>
        <w:tc>
          <w:tcPr>
            <w:tcW w:w="1092"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一般户</w:t>
            </w:r>
          </w:p>
        </w:tc>
        <w:tc>
          <w:tcPr>
            <w:tcW w:w="1627"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0</w:t>
            </w:r>
          </w:p>
        </w:tc>
        <w:tc>
          <w:tcPr>
            <w:tcW w:w="860"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s="宋体"/>
                <w:color w:val="000000"/>
                <w:sz w:val="18"/>
                <w:szCs w:val="18"/>
              </w:rPr>
            </w:pPr>
          </w:p>
        </w:tc>
      </w:tr>
      <w:tr>
        <w:trPr>
          <w:trHeight w:val="490" w:hRule="atLeast"/>
          <w:jc w:val="center"/>
        </w:trPr>
        <w:tc>
          <w:tcPr>
            <w:tcW w:w="645"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w:t>
            </w:r>
          </w:p>
        </w:tc>
        <w:tc>
          <w:tcPr>
            <w:tcW w:w="1274"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114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民生银行</w:t>
            </w:r>
          </w:p>
        </w:tc>
        <w:tc>
          <w:tcPr>
            <w:tcW w:w="211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6324 3534 8</w:t>
            </w:r>
          </w:p>
        </w:tc>
        <w:tc>
          <w:tcPr>
            <w:tcW w:w="1092"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一般户</w:t>
            </w:r>
          </w:p>
        </w:tc>
        <w:tc>
          <w:tcPr>
            <w:tcW w:w="1627"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0</w:t>
            </w:r>
          </w:p>
        </w:tc>
        <w:tc>
          <w:tcPr>
            <w:tcW w:w="860"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s="宋体"/>
                <w:color w:val="000000"/>
                <w:sz w:val="18"/>
                <w:szCs w:val="18"/>
              </w:rPr>
            </w:pPr>
          </w:p>
        </w:tc>
      </w:tr>
      <w:tr>
        <w:trPr>
          <w:trHeight w:val="488" w:hRule="atLeast"/>
          <w:jc w:val="center"/>
        </w:trPr>
        <w:tc>
          <w:tcPr>
            <w:tcW w:w="645"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8</w:t>
            </w:r>
          </w:p>
        </w:tc>
        <w:tc>
          <w:tcPr>
            <w:tcW w:w="1274"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114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农业银行</w:t>
            </w:r>
          </w:p>
        </w:tc>
        <w:tc>
          <w:tcPr>
            <w:tcW w:w="211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2020 9601 0400 1436 1</w:t>
            </w:r>
          </w:p>
        </w:tc>
        <w:tc>
          <w:tcPr>
            <w:tcW w:w="1092"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一般户</w:t>
            </w:r>
          </w:p>
        </w:tc>
        <w:tc>
          <w:tcPr>
            <w:tcW w:w="1627"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0</w:t>
            </w:r>
          </w:p>
        </w:tc>
        <w:tc>
          <w:tcPr>
            <w:tcW w:w="860"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s="宋体"/>
                <w:color w:val="000000"/>
                <w:sz w:val="18"/>
                <w:szCs w:val="18"/>
              </w:rPr>
            </w:pPr>
          </w:p>
        </w:tc>
      </w:tr>
      <w:tr>
        <w:trPr>
          <w:trHeight w:val="467" w:hRule="atLeast"/>
          <w:jc w:val="center"/>
        </w:trPr>
        <w:tc>
          <w:tcPr>
            <w:tcW w:w="645"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9</w:t>
            </w:r>
          </w:p>
        </w:tc>
        <w:tc>
          <w:tcPr>
            <w:tcW w:w="1274"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114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桂林银行</w:t>
            </w:r>
          </w:p>
        </w:tc>
        <w:tc>
          <w:tcPr>
            <w:tcW w:w="211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6600 0001 3369 8000 10</w:t>
            </w:r>
          </w:p>
        </w:tc>
        <w:tc>
          <w:tcPr>
            <w:tcW w:w="1092"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一般户</w:t>
            </w:r>
          </w:p>
        </w:tc>
        <w:tc>
          <w:tcPr>
            <w:tcW w:w="1627"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0</w:t>
            </w:r>
          </w:p>
        </w:tc>
        <w:tc>
          <w:tcPr>
            <w:tcW w:w="860"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s="宋体"/>
                <w:color w:val="000000"/>
                <w:sz w:val="18"/>
                <w:szCs w:val="18"/>
              </w:rPr>
            </w:pPr>
          </w:p>
        </w:tc>
      </w:tr>
      <w:tr>
        <w:trPr>
          <w:trHeight w:val="510" w:hRule="atLeast"/>
          <w:jc w:val="center"/>
        </w:trPr>
        <w:tc>
          <w:tcPr>
            <w:tcW w:w="645"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10</w:t>
            </w:r>
          </w:p>
        </w:tc>
        <w:tc>
          <w:tcPr>
            <w:tcW w:w="1274"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114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兴业银行</w:t>
            </w:r>
          </w:p>
        </w:tc>
        <w:tc>
          <w:tcPr>
            <w:tcW w:w="211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5550 1010 0100 2032 13</w:t>
            </w:r>
          </w:p>
        </w:tc>
        <w:tc>
          <w:tcPr>
            <w:tcW w:w="1092"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一般户</w:t>
            </w:r>
          </w:p>
        </w:tc>
        <w:tc>
          <w:tcPr>
            <w:tcW w:w="1627"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0</w:t>
            </w:r>
          </w:p>
        </w:tc>
        <w:tc>
          <w:tcPr>
            <w:tcW w:w="860" w:type="dxa"/>
            <w:tcBorders>
              <w:top w:val="nil"/>
              <w:left w:val="nil"/>
              <w:bottom w:val="single" w:color="auto" w:sz="8" w:space="0"/>
              <w:right w:val="single" w:color="auto" w:sz="8" w:space="0"/>
            </w:tcBorders>
            <w:shd w:val="clear" w:color="auto" w:fill="auto"/>
            <w:noWrap/>
            <w:vAlign w:val="center"/>
          </w:tcPr>
          <w:p>
            <w:pPr>
              <w:rPr>
                <w:rFonts w:ascii="等线" w:hAnsi="等线" w:eastAsia="等线" w:cs="宋体"/>
                <w:color w:val="000000"/>
                <w:sz w:val="18"/>
                <w:szCs w:val="18"/>
              </w:rPr>
            </w:pPr>
          </w:p>
        </w:tc>
      </w:tr>
      <w:tr>
        <w:trPr>
          <w:trHeight w:val="466" w:hRule="atLeast"/>
          <w:jc w:val="center"/>
        </w:trPr>
        <w:tc>
          <w:tcPr>
            <w:tcW w:w="645"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11</w:t>
            </w:r>
          </w:p>
        </w:tc>
        <w:tc>
          <w:tcPr>
            <w:tcW w:w="1274"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114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光大银行</w:t>
            </w:r>
          </w:p>
        </w:tc>
        <w:tc>
          <w:tcPr>
            <w:tcW w:w="211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5031 0188 0001 8946 3</w:t>
            </w:r>
          </w:p>
        </w:tc>
        <w:tc>
          <w:tcPr>
            <w:tcW w:w="1092"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一般户</w:t>
            </w:r>
          </w:p>
        </w:tc>
        <w:tc>
          <w:tcPr>
            <w:tcW w:w="1627"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0</w:t>
            </w:r>
          </w:p>
        </w:tc>
        <w:tc>
          <w:tcPr>
            <w:tcW w:w="860"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s="宋体"/>
                <w:color w:val="000000"/>
                <w:sz w:val="18"/>
                <w:szCs w:val="18"/>
              </w:rPr>
            </w:pPr>
          </w:p>
        </w:tc>
      </w:tr>
      <w:tr>
        <w:trPr>
          <w:trHeight w:val="490" w:hRule="atLeast"/>
          <w:jc w:val="center"/>
        </w:trPr>
        <w:tc>
          <w:tcPr>
            <w:tcW w:w="645"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12</w:t>
            </w:r>
          </w:p>
        </w:tc>
        <w:tc>
          <w:tcPr>
            <w:tcW w:w="1274"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114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中国银行</w:t>
            </w:r>
          </w:p>
        </w:tc>
        <w:tc>
          <w:tcPr>
            <w:tcW w:w="211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6119 8020 8076</w:t>
            </w:r>
          </w:p>
        </w:tc>
        <w:tc>
          <w:tcPr>
            <w:tcW w:w="1092"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一般户</w:t>
            </w:r>
          </w:p>
        </w:tc>
        <w:tc>
          <w:tcPr>
            <w:tcW w:w="1627"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0</w:t>
            </w:r>
          </w:p>
        </w:tc>
        <w:tc>
          <w:tcPr>
            <w:tcW w:w="860" w:type="dxa"/>
            <w:tcBorders>
              <w:top w:val="nil"/>
              <w:left w:val="nil"/>
              <w:bottom w:val="single" w:color="auto" w:sz="8" w:space="0"/>
              <w:right w:val="single" w:color="auto" w:sz="8" w:space="0"/>
            </w:tcBorders>
            <w:shd w:val="clear" w:color="auto" w:fill="auto"/>
            <w:noWrap/>
            <w:vAlign w:val="center"/>
          </w:tcPr>
          <w:p>
            <w:pPr>
              <w:rPr>
                <w:rFonts w:ascii="等线" w:hAnsi="等线" w:eastAsia="等线" w:cs="宋体"/>
                <w:color w:val="000000"/>
                <w:sz w:val="18"/>
                <w:szCs w:val="18"/>
              </w:rPr>
            </w:pPr>
          </w:p>
        </w:tc>
      </w:tr>
      <w:tr>
        <w:trPr>
          <w:trHeight w:val="730" w:hRule="atLeast"/>
          <w:jc w:val="center"/>
        </w:trPr>
        <w:tc>
          <w:tcPr>
            <w:tcW w:w="645"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13</w:t>
            </w:r>
          </w:p>
        </w:tc>
        <w:tc>
          <w:tcPr>
            <w:tcW w:w="1274"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114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浦发银行</w:t>
            </w:r>
          </w:p>
        </w:tc>
        <w:tc>
          <w:tcPr>
            <w:tcW w:w="211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4102 0078 8018 0000 0432</w:t>
            </w:r>
          </w:p>
        </w:tc>
        <w:tc>
          <w:tcPr>
            <w:tcW w:w="1092"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一般户</w:t>
            </w:r>
          </w:p>
        </w:tc>
        <w:tc>
          <w:tcPr>
            <w:tcW w:w="1627"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0</w:t>
            </w:r>
          </w:p>
        </w:tc>
        <w:tc>
          <w:tcPr>
            <w:tcW w:w="860"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s="宋体"/>
                <w:color w:val="000000"/>
                <w:sz w:val="18"/>
                <w:szCs w:val="18"/>
              </w:rPr>
            </w:pPr>
          </w:p>
        </w:tc>
      </w:tr>
    </w:tbl>
    <w:p>
      <w:pPr>
        <w:pStyle w:val="2"/>
        <w:spacing w:after="0" w:line="480" w:lineRule="auto"/>
        <w:ind w:firstLine="420" w:firstLineChars="200"/>
        <w:rPr>
          <w:rFonts w:ascii="宋体" w:hAnsi="宋体" w:cs="宋体"/>
          <w:b/>
          <w:bCs/>
          <w:szCs w:val="21"/>
        </w:rPr>
      </w:pPr>
      <w:r>
        <w:rPr>
          <w:rFonts w:hint="eastAsia" w:ascii="宋体" w:hAnsi="宋体" w:cs="宋体"/>
          <w:b/>
          <w:bCs/>
          <w:szCs w:val="21"/>
        </w:rPr>
        <w:t>6.项目存在的风险情况</w:t>
      </w:r>
    </w:p>
    <w:p>
      <w:pPr>
        <w:spacing w:line="480" w:lineRule="auto"/>
        <w:ind w:firstLine="420" w:firstLineChars="200"/>
        <w:rPr>
          <w:rFonts w:ascii="宋体" w:hAnsi="宋体" w:cs="宋体"/>
          <w:kern w:val="2"/>
          <w:sz w:val="21"/>
          <w:szCs w:val="21"/>
        </w:rPr>
      </w:pPr>
      <w:r>
        <w:rPr>
          <w:rFonts w:hint="eastAsia" w:ascii="宋体" w:hAnsi="宋体" w:cs="宋体"/>
          <w:kern w:val="2"/>
          <w:sz w:val="21"/>
          <w:szCs w:val="21"/>
        </w:rPr>
        <w:t>本期春天里项目存在的风险：本项目于2020年9月开始无证认筹，并于11月份无证开盘，在未取得预售证的情况下，已经产生实质销售，现已预定住宅24</w:t>
      </w:r>
      <w:r>
        <w:rPr>
          <w:rFonts w:ascii="宋体" w:hAnsi="宋体" w:cs="宋体"/>
          <w:kern w:val="2"/>
          <w:sz w:val="21"/>
          <w:szCs w:val="21"/>
        </w:rPr>
        <w:t>2</w:t>
      </w:r>
      <w:r>
        <w:rPr>
          <w:rFonts w:hint="eastAsia" w:ascii="宋体" w:hAnsi="宋体" w:cs="宋体"/>
          <w:kern w:val="2"/>
          <w:sz w:val="21"/>
          <w:szCs w:val="21"/>
        </w:rPr>
        <w:t>套、车位2</w:t>
      </w:r>
      <w:r>
        <w:rPr>
          <w:rFonts w:ascii="宋体" w:hAnsi="宋体" w:cs="宋体"/>
          <w:kern w:val="2"/>
          <w:sz w:val="21"/>
          <w:szCs w:val="21"/>
        </w:rPr>
        <w:t>45</w:t>
      </w:r>
      <w:r>
        <w:rPr>
          <w:rFonts w:hint="eastAsia" w:ascii="宋体" w:hAnsi="宋体" w:cs="宋体"/>
          <w:kern w:val="2"/>
          <w:sz w:val="21"/>
          <w:szCs w:val="21"/>
        </w:rPr>
        <w:t>个，商业8套，存在因无证销售的违规操作而被处罚的风险；</w:t>
      </w:r>
    </w:p>
    <w:p>
      <w:pPr>
        <w:pStyle w:val="2"/>
        <w:spacing w:after="0" w:line="480" w:lineRule="auto"/>
        <w:ind w:firstLine="420" w:firstLineChars="200"/>
        <w:rPr>
          <w:rFonts w:ascii="宋体" w:hAnsi="宋体" w:cs="宋体"/>
          <w:b/>
          <w:bCs/>
          <w:szCs w:val="21"/>
        </w:rPr>
      </w:pPr>
      <w:r>
        <w:rPr>
          <w:rFonts w:ascii="宋体" w:hAnsi="宋体" w:cs="宋体"/>
          <w:b/>
          <w:bCs/>
          <w:szCs w:val="21"/>
        </w:rPr>
        <w:t>7.</w:t>
      </w:r>
      <w:r>
        <w:rPr>
          <w:rFonts w:hint="eastAsia" w:ascii="宋体" w:hAnsi="宋体" w:cs="宋体"/>
          <w:b/>
          <w:bCs/>
          <w:szCs w:val="21"/>
        </w:rPr>
        <w:t>项目重大事项</w:t>
      </w:r>
    </w:p>
    <w:p>
      <w:pPr>
        <w:spacing w:line="480" w:lineRule="auto"/>
        <w:ind w:firstLine="420" w:firstLineChars="200"/>
        <w:rPr>
          <w:rFonts w:ascii="宋体" w:hAnsi="宋体" w:cs="宋体"/>
          <w:kern w:val="2"/>
          <w:sz w:val="21"/>
          <w:szCs w:val="21"/>
        </w:rPr>
      </w:pPr>
      <w:r>
        <w:rPr>
          <w:rFonts w:hint="eastAsia" w:ascii="宋体" w:hAnsi="宋体" w:cs="宋体"/>
          <w:kern w:val="2"/>
          <w:sz w:val="21"/>
          <w:szCs w:val="21"/>
        </w:rPr>
        <w:t>本期春天里项目重大事项：①我司于2020年12月21日入驻桂林春天里项目提供监管服务；②南宁峰宴于2020年12月24日向桂林威祺拨付800万元注册资本；③南宁峰宴于2020年12月30日归还股东借款3,309万元；④2020年12月31日归还股东借款5,400万元；⑤2020年12月31日归还股东借款1,837万元。</w:t>
      </w:r>
    </w:p>
    <w:p>
      <w:pPr>
        <w:pStyle w:val="2"/>
        <w:ind w:firstLine="210"/>
      </w:pPr>
    </w:p>
    <w:p>
      <w:pPr>
        <w:pStyle w:val="2"/>
        <w:spacing w:after="0" w:line="480" w:lineRule="auto"/>
        <w:ind w:firstLine="420" w:firstLineChars="200"/>
        <w:rPr>
          <w:rFonts w:ascii="宋体" w:hAnsi="宋体" w:cs="宋体"/>
          <w:b/>
          <w:bCs/>
          <w:szCs w:val="21"/>
        </w:rPr>
      </w:pPr>
    </w:p>
    <w:p>
      <w:pPr>
        <w:pStyle w:val="2"/>
        <w:ind w:firstLine="0" w:firstLineChars="0"/>
        <w:rPr>
          <w:rFonts w:ascii="宋体" w:hAnsi="宋体" w:cs="宋体"/>
          <w:b/>
          <w:bCs/>
          <w:sz w:val="28"/>
          <w:szCs w:val="28"/>
        </w:rPr>
      </w:pPr>
    </w:p>
    <w:p>
      <w:pPr>
        <w:pStyle w:val="2"/>
        <w:ind w:firstLine="0" w:firstLineChars="0"/>
        <w:rPr>
          <w:rFonts w:ascii="宋体" w:hAnsi="宋体" w:cs="宋体"/>
          <w:b/>
          <w:bCs/>
          <w:sz w:val="28"/>
          <w:szCs w:val="28"/>
        </w:rPr>
      </w:pPr>
    </w:p>
    <w:p>
      <w:pPr>
        <w:pStyle w:val="2"/>
        <w:ind w:firstLine="0" w:firstLineChars="0"/>
        <w:rPr>
          <w:rFonts w:ascii="宋体" w:hAnsi="宋体" w:cs="宋体"/>
          <w:b/>
          <w:bCs/>
          <w:sz w:val="28"/>
          <w:szCs w:val="28"/>
        </w:rPr>
      </w:pPr>
    </w:p>
    <w:p>
      <w:pPr>
        <w:pStyle w:val="2"/>
        <w:ind w:firstLine="0" w:firstLineChars="0"/>
        <w:rPr>
          <w:rFonts w:ascii="宋体" w:hAnsi="宋体" w:cs="宋体"/>
          <w:b/>
          <w:bCs/>
          <w:sz w:val="28"/>
          <w:szCs w:val="28"/>
        </w:rPr>
      </w:pPr>
    </w:p>
    <w:p>
      <w:pPr>
        <w:pStyle w:val="2"/>
        <w:ind w:firstLine="0" w:firstLineChars="0"/>
        <w:rPr>
          <w:rFonts w:ascii="宋体" w:hAnsi="宋体" w:cs="宋体"/>
          <w:b/>
          <w:bCs/>
          <w:sz w:val="28"/>
          <w:szCs w:val="28"/>
        </w:rPr>
      </w:pPr>
    </w:p>
    <w:p>
      <w:pPr>
        <w:pStyle w:val="2"/>
        <w:ind w:firstLine="0" w:firstLineChars="0"/>
        <w:rPr>
          <w:rFonts w:ascii="宋体" w:hAnsi="宋体" w:cs="宋体"/>
          <w:b/>
          <w:bCs/>
          <w:sz w:val="28"/>
          <w:szCs w:val="28"/>
        </w:rPr>
      </w:pPr>
    </w:p>
    <w:p>
      <w:pPr>
        <w:pStyle w:val="2"/>
        <w:ind w:firstLine="0" w:firstLineChars="0"/>
        <w:rPr>
          <w:rFonts w:ascii="宋体" w:hAnsi="宋体" w:cs="宋体"/>
          <w:b/>
          <w:bCs/>
          <w:sz w:val="28"/>
          <w:szCs w:val="28"/>
        </w:rPr>
      </w:pPr>
    </w:p>
    <w:p>
      <w:pPr>
        <w:pStyle w:val="2"/>
        <w:ind w:firstLine="0" w:firstLineChars="0"/>
        <w:rPr>
          <w:rFonts w:ascii="宋体" w:hAnsi="宋体" w:cs="宋体"/>
          <w:b/>
          <w:bCs/>
          <w:sz w:val="28"/>
          <w:szCs w:val="28"/>
        </w:rPr>
      </w:pPr>
    </w:p>
    <w:p>
      <w:pPr>
        <w:pStyle w:val="2"/>
        <w:ind w:firstLine="0" w:firstLineChars="0"/>
        <w:rPr>
          <w:rFonts w:ascii="宋体" w:hAnsi="宋体" w:cs="宋体"/>
          <w:b/>
          <w:bCs/>
          <w:sz w:val="28"/>
          <w:szCs w:val="28"/>
        </w:rPr>
      </w:pPr>
    </w:p>
    <w:p>
      <w:pPr>
        <w:jc w:val="center"/>
        <w:rPr>
          <w:rFonts w:ascii="宋体" w:hAnsi="宋体" w:cs="宋体"/>
          <w:b/>
          <w:bCs/>
          <w:sz w:val="28"/>
          <w:szCs w:val="28"/>
        </w:rPr>
      </w:pPr>
      <w:r>
        <w:rPr>
          <w:rFonts w:hint="eastAsia" w:ascii="宋体" w:hAnsi="宋体" w:cs="宋体"/>
          <w:b/>
          <w:bCs/>
          <w:sz w:val="28"/>
          <w:szCs w:val="28"/>
        </w:rPr>
        <w:t>五矿信托·</w:t>
      </w:r>
      <w:r>
        <w:rPr>
          <w:rFonts w:hint="eastAsia" w:ascii="宋体" w:hAnsi="宋体" w:cs="宋体"/>
          <w:b/>
          <w:bCs/>
          <w:sz w:val="28"/>
          <w:szCs w:val="28"/>
          <w:lang w:eastAsia="zh-Hans"/>
        </w:rPr>
        <w:t>桂林</w:t>
      </w:r>
      <w:r>
        <w:rPr>
          <w:rFonts w:hint="eastAsia" w:ascii="宋体" w:hAnsi="宋体" w:cs="宋体"/>
          <w:b/>
          <w:bCs/>
          <w:sz w:val="28"/>
          <w:szCs w:val="28"/>
        </w:rPr>
        <w:t>春天里项目</w:t>
      </w:r>
    </w:p>
    <w:p>
      <w:pPr>
        <w:jc w:val="center"/>
        <w:rPr>
          <w:rFonts w:ascii="宋体" w:hAnsi="宋体" w:cs="宋体"/>
          <w:b/>
          <w:bCs/>
          <w:sz w:val="28"/>
          <w:szCs w:val="28"/>
        </w:rPr>
      </w:pPr>
      <w:r>
        <w:rPr>
          <w:rFonts w:hint="eastAsia" w:ascii="宋体" w:hAnsi="宋体" w:cs="宋体"/>
          <w:b/>
          <w:bCs/>
          <w:sz w:val="28"/>
          <w:szCs w:val="28"/>
        </w:rPr>
        <w:t>监管月报</w:t>
      </w:r>
    </w:p>
    <w:p>
      <w:pPr>
        <w:ind w:firstLine="260" w:firstLineChars="200"/>
        <w:rPr>
          <w:rFonts w:ascii="宋体" w:hAnsi="宋体" w:cs="宋体"/>
          <w:sz w:val="13"/>
          <w:szCs w:val="13"/>
        </w:rPr>
      </w:pPr>
    </w:p>
    <w:p>
      <w:pPr>
        <w:pStyle w:val="2"/>
        <w:spacing w:line="480" w:lineRule="auto"/>
        <w:ind w:firstLine="420" w:firstLineChars="200"/>
        <w:outlineLvl w:val="0"/>
        <w:rPr>
          <w:rFonts w:ascii="宋体" w:hAnsi="宋体" w:cs="宋体"/>
          <w:b/>
        </w:rPr>
      </w:pPr>
      <w:bookmarkStart w:id="2" w:name="_Toc61551281"/>
      <w:r>
        <w:rPr>
          <w:rFonts w:hint="eastAsia" w:ascii="宋体" w:hAnsi="宋体" w:cs="宋体"/>
          <w:b/>
        </w:rPr>
        <w:t>一、项目基本情况介绍</w:t>
      </w:r>
      <w:bookmarkEnd w:id="2"/>
    </w:p>
    <w:p>
      <w:pPr>
        <w:pStyle w:val="2"/>
        <w:spacing w:line="480" w:lineRule="auto"/>
        <w:ind w:firstLineChars="200"/>
        <w:rPr>
          <w:rFonts w:ascii="宋体" w:hAnsi="宋体" w:cs="宋体"/>
          <w:bCs/>
          <w:kern w:val="0"/>
          <w:szCs w:val="21"/>
        </w:rPr>
      </w:pPr>
      <w:r>
        <w:rPr>
          <w:rFonts w:hint="eastAsia" w:ascii="宋体" w:hAnsi="宋体" w:cs="宋体"/>
          <w:bCs/>
          <w:kern w:val="0"/>
          <w:szCs w:val="21"/>
        </w:rPr>
        <w:t>1.介绍项目公司股东的基本情况及关联关系</w:t>
      </w:r>
    </w:p>
    <w:p>
      <w:pPr>
        <w:pStyle w:val="2"/>
        <w:spacing w:line="480" w:lineRule="auto"/>
        <w:ind w:firstLineChars="200"/>
        <w:rPr>
          <w:rFonts w:ascii="宋体" w:hAnsi="宋体" w:cs="宋体"/>
          <w:bCs/>
          <w:kern w:val="0"/>
          <w:szCs w:val="21"/>
        </w:rPr>
      </w:pPr>
      <w:r>
        <w:rPr>
          <w:rFonts w:hint="eastAsia" w:ascii="宋体" w:hAnsi="宋体" w:cs="宋体"/>
          <w:bCs/>
          <w:kern w:val="0"/>
          <w:szCs w:val="21"/>
        </w:rPr>
        <w:t>桂林威祺</w:t>
      </w:r>
      <w:r>
        <w:rPr>
          <w:rFonts w:hint="eastAsia" w:ascii="宋体" w:hAnsi="宋体" w:cs="宋体"/>
          <w:bCs/>
          <w:kern w:val="0"/>
          <w:szCs w:val="21"/>
          <w:lang w:eastAsia="zh-Hans"/>
        </w:rPr>
        <w:t>股权为多层架构</w:t>
      </w:r>
      <w:r>
        <w:rPr>
          <w:rFonts w:hint="eastAsia" w:ascii="宋体" w:hAnsi="宋体" w:cs="宋体"/>
          <w:bCs/>
          <w:kern w:val="0"/>
          <w:szCs w:val="21"/>
        </w:rPr>
        <w:t>，实际控制人为桂林彰泰实业集团有限公司，最终利益获取人也为桂林彰泰实业集团有限公司。</w:t>
      </w:r>
    </w:p>
    <w:p>
      <w:pPr>
        <w:pStyle w:val="2"/>
        <w:spacing w:line="480" w:lineRule="auto"/>
        <w:ind w:firstLineChars="200"/>
        <w:rPr>
          <w:rFonts w:ascii="宋体" w:hAnsi="宋体" w:cs="宋体"/>
          <w:bCs/>
          <w:kern w:val="0"/>
          <w:szCs w:val="21"/>
        </w:rPr>
      </w:pPr>
      <w:r>
        <w:rPr>
          <w:rFonts w:hint="eastAsia" w:ascii="宋体" w:hAnsi="宋体" w:cs="宋体"/>
          <w:bCs/>
          <w:kern w:val="0"/>
          <w:szCs w:val="21"/>
        </w:rPr>
        <w:t>桂林威祺股东为南宁峰宴，基本情况：注册地址为南宁市青秀区中柬路9号利海·亚洲国际7号楼7-920号，注册资本</w:t>
      </w:r>
      <w:r>
        <w:rPr>
          <w:rFonts w:ascii="宋体" w:hAnsi="宋体" w:cs="宋体"/>
          <w:bCs/>
          <w:kern w:val="0"/>
          <w:szCs w:val="21"/>
        </w:rPr>
        <w:t>2</w:t>
      </w:r>
      <w:r>
        <w:rPr>
          <w:rFonts w:hint="eastAsia" w:ascii="宋体" w:hAnsi="宋体" w:cs="宋体"/>
          <w:bCs/>
          <w:kern w:val="0"/>
          <w:szCs w:val="21"/>
        </w:rPr>
        <w:t>,</w:t>
      </w:r>
      <w:r>
        <w:rPr>
          <w:rFonts w:ascii="宋体" w:hAnsi="宋体" w:cs="宋体"/>
          <w:bCs/>
          <w:kern w:val="0"/>
          <w:szCs w:val="21"/>
        </w:rPr>
        <w:t>000.00</w:t>
      </w:r>
      <w:r>
        <w:rPr>
          <w:rFonts w:hint="eastAsia" w:ascii="宋体" w:hAnsi="宋体" w:cs="宋体"/>
          <w:bCs/>
          <w:kern w:val="0"/>
          <w:szCs w:val="21"/>
        </w:rPr>
        <w:t>万元人民币，法定代表人朱忠勇，经营状态为存续（在营、开业、在册），经营范围：许可项目：房地产开发经营（依法须经批准的项目，经相关部门批准后方可开展经营活动，具体经营项目以相关部门批准文件或许可证件为准）一般项目：对外承包工程；园林绿化工程施工；土石方工程施工；房地产咨询；土地使用权租赁；物业管理（除依法须经批准的项目外，凭营业执照依法自主开展经营活动），南宁峰宴认缴出资额为</w:t>
      </w:r>
      <w:r>
        <w:rPr>
          <w:rFonts w:ascii="宋体" w:hAnsi="宋体" w:cs="宋体"/>
          <w:bCs/>
          <w:kern w:val="0"/>
          <w:szCs w:val="21"/>
        </w:rPr>
        <w:t>800.00</w:t>
      </w:r>
      <w:r>
        <w:rPr>
          <w:rFonts w:hint="eastAsia" w:ascii="宋体" w:hAnsi="宋体" w:cs="宋体"/>
          <w:bCs/>
          <w:kern w:val="0"/>
          <w:szCs w:val="21"/>
        </w:rPr>
        <w:t>万元，持有桂林威祺股份</w:t>
      </w:r>
      <w:r>
        <w:rPr>
          <w:rFonts w:ascii="宋体" w:hAnsi="宋体" w:cs="宋体"/>
          <w:bCs/>
          <w:kern w:val="0"/>
          <w:szCs w:val="21"/>
        </w:rPr>
        <w:t>100</w:t>
      </w:r>
      <w:r>
        <w:rPr>
          <w:rFonts w:hint="eastAsia" w:ascii="宋体" w:hAnsi="宋体" w:cs="宋体"/>
          <w:bCs/>
          <w:kern w:val="0"/>
          <w:szCs w:val="21"/>
        </w:rPr>
        <w:t>%；</w:t>
      </w:r>
    </w:p>
    <w:p>
      <w:pPr>
        <w:pStyle w:val="2"/>
        <w:spacing w:line="480" w:lineRule="auto"/>
        <w:ind w:firstLineChars="200"/>
        <w:rPr>
          <w:rFonts w:ascii="宋体" w:hAnsi="宋体" w:cs="宋体"/>
          <w:bCs/>
          <w:kern w:val="0"/>
          <w:szCs w:val="21"/>
        </w:rPr>
      </w:pPr>
      <w:r>
        <w:rPr>
          <w:rFonts w:hint="eastAsia" w:ascii="宋体" w:hAnsi="宋体" w:cs="宋体"/>
          <w:bCs/>
          <w:kern w:val="0"/>
          <w:szCs w:val="21"/>
        </w:rPr>
        <w:t>南宁峰宴的股东为广西速晟投资开发有限公司，基本情况：注册地址为中国(广西)自由贸易试验区南宁片区五象大道660号彰泰城B区A#楼，注册资本</w:t>
      </w:r>
      <w:r>
        <w:rPr>
          <w:rFonts w:ascii="宋体" w:hAnsi="宋体" w:cs="宋体"/>
          <w:bCs/>
          <w:kern w:val="0"/>
          <w:szCs w:val="21"/>
        </w:rPr>
        <w:t>2,040.816327</w:t>
      </w:r>
      <w:r>
        <w:rPr>
          <w:rFonts w:hint="eastAsia" w:ascii="宋体" w:hAnsi="宋体" w:cs="宋体"/>
          <w:bCs/>
          <w:kern w:val="0"/>
          <w:szCs w:val="21"/>
        </w:rPr>
        <w:t>万元人民币，法定代表人朱忠勇，经营状态为存续（在营、开业、在册），经营范围：一般项目：以自有资金从事投资活动；房地产咨询（除依法须经批准的项目外，凭营业执照依法自主开展经营活动）许可项目：房地产开发经营（依法须经批准的项目，经相关部门批准后方可开展经营活动，具体经营项目以相关部门批准文件或许可证件为准），广西速晟认缴出资额为</w:t>
      </w:r>
      <w:r>
        <w:rPr>
          <w:rFonts w:ascii="宋体" w:hAnsi="宋体" w:cs="宋体"/>
          <w:bCs/>
          <w:kern w:val="0"/>
          <w:szCs w:val="21"/>
        </w:rPr>
        <w:t>2,000.00</w:t>
      </w:r>
      <w:r>
        <w:rPr>
          <w:rFonts w:hint="eastAsia" w:ascii="宋体" w:hAnsi="宋体" w:cs="宋体"/>
          <w:bCs/>
          <w:kern w:val="0"/>
          <w:szCs w:val="21"/>
        </w:rPr>
        <w:t>万元，持有南宁峰宴股份</w:t>
      </w:r>
      <w:r>
        <w:rPr>
          <w:rFonts w:ascii="宋体" w:hAnsi="宋体" w:cs="宋体"/>
          <w:bCs/>
          <w:kern w:val="0"/>
          <w:szCs w:val="21"/>
        </w:rPr>
        <w:t>100</w:t>
      </w:r>
      <w:r>
        <w:rPr>
          <w:rFonts w:hint="eastAsia" w:ascii="宋体" w:hAnsi="宋体" w:cs="宋体"/>
          <w:bCs/>
          <w:kern w:val="0"/>
          <w:szCs w:val="21"/>
        </w:rPr>
        <w:t>%；</w:t>
      </w:r>
    </w:p>
    <w:p>
      <w:pPr>
        <w:pStyle w:val="2"/>
        <w:spacing w:line="480" w:lineRule="auto"/>
        <w:ind w:firstLineChars="200"/>
        <w:rPr>
          <w:rFonts w:ascii="宋体" w:hAnsi="宋体" w:cs="宋体"/>
          <w:bCs/>
          <w:kern w:val="0"/>
          <w:szCs w:val="21"/>
        </w:rPr>
      </w:pPr>
      <w:r>
        <w:rPr>
          <w:rFonts w:hint="eastAsia" w:ascii="宋体" w:hAnsi="宋体" w:cs="宋体"/>
          <w:bCs/>
          <w:kern w:val="0"/>
          <w:szCs w:val="21"/>
        </w:rPr>
        <w:t>广西速晟的股东为彰泰实业及五矿信托：</w:t>
      </w:r>
    </w:p>
    <w:p>
      <w:pPr>
        <w:pStyle w:val="2"/>
        <w:spacing w:line="480" w:lineRule="auto"/>
        <w:ind w:firstLineChars="200"/>
        <w:rPr>
          <w:rFonts w:ascii="宋体" w:hAnsi="宋体" w:cs="宋体"/>
          <w:bCs/>
          <w:kern w:val="0"/>
          <w:szCs w:val="21"/>
        </w:rPr>
      </w:pPr>
      <w:r>
        <w:rPr>
          <w:rFonts w:hint="eastAsia" w:ascii="宋体" w:hAnsi="宋体" w:cs="宋体"/>
          <w:bCs/>
          <w:kern w:val="0"/>
          <w:szCs w:val="21"/>
        </w:rPr>
        <w:t>股东一、桂林彰泰实业集团有限公司：基本情况：注册地址为桂林市临桂县临桂镇凤凰路7号彰泰城市1号2幢1单元7层01号等127处，注册资本1</w:t>
      </w:r>
      <w:r>
        <w:rPr>
          <w:rFonts w:ascii="宋体" w:hAnsi="宋体" w:cs="宋体"/>
          <w:bCs/>
          <w:kern w:val="0"/>
          <w:szCs w:val="21"/>
        </w:rPr>
        <w:t>,</w:t>
      </w:r>
      <w:r>
        <w:rPr>
          <w:rFonts w:hint="eastAsia" w:ascii="宋体" w:hAnsi="宋体" w:cs="宋体"/>
          <w:bCs/>
          <w:kern w:val="0"/>
          <w:szCs w:val="21"/>
        </w:rPr>
        <w:t>050</w:t>
      </w:r>
      <w:r>
        <w:rPr>
          <w:rFonts w:ascii="宋体" w:hAnsi="宋体" w:cs="宋体"/>
          <w:bCs/>
          <w:kern w:val="0"/>
          <w:szCs w:val="21"/>
        </w:rPr>
        <w:t>.00</w:t>
      </w:r>
      <w:r>
        <w:rPr>
          <w:rFonts w:hint="eastAsia" w:ascii="宋体" w:hAnsi="宋体" w:cs="宋体"/>
          <w:bCs/>
          <w:kern w:val="0"/>
          <w:szCs w:val="21"/>
        </w:rPr>
        <w:t>万美元，法定代表人刘文萍，经营状态为存续（在营、开业、在册），经营范围：房地产开发经营（凭有效资质证经营）；企业管理咨询服务；房屋租赁；企业品牌营销策划；土地整理。（依法须经批准的项目，经相关部门批准后方可开展经营活动。）彰泰实业认缴出资额为</w:t>
      </w:r>
      <w:r>
        <w:rPr>
          <w:rFonts w:ascii="宋体" w:hAnsi="宋体" w:cs="宋体"/>
          <w:bCs/>
          <w:kern w:val="0"/>
          <w:szCs w:val="21"/>
        </w:rPr>
        <w:t>1,040.816327</w:t>
      </w:r>
      <w:r>
        <w:rPr>
          <w:rFonts w:hint="eastAsia" w:ascii="宋体" w:hAnsi="宋体" w:cs="宋体"/>
          <w:bCs/>
          <w:kern w:val="0"/>
          <w:szCs w:val="21"/>
        </w:rPr>
        <w:t>万元，持有广西速晟股份5</w:t>
      </w:r>
      <w:r>
        <w:rPr>
          <w:rFonts w:ascii="宋体" w:hAnsi="宋体" w:cs="宋体"/>
          <w:bCs/>
          <w:kern w:val="0"/>
          <w:szCs w:val="21"/>
        </w:rPr>
        <w:t>1</w:t>
      </w:r>
      <w:r>
        <w:rPr>
          <w:rFonts w:hint="eastAsia" w:ascii="宋体" w:hAnsi="宋体" w:cs="宋体"/>
          <w:bCs/>
          <w:kern w:val="0"/>
          <w:szCs w:val="21"/>
        </w:rPr>
        <w:t>%；</w:t>
      </w:r>
    </w:p>
    <w:p>
      <w:pPr>
        <w:pStyle w:val="2"/>
        <w:spacing w:line="480" w:lineRule="auto"/>
        <w:ind w:firstLineChars="200"/>
        <w:rPr>
          <w:rFonts w:ascii="宋体" w:hAnsi="宋体" w:cs="宋体"/>
          <w:bCs/>
          <w:kern w:val="0"/>
          <w:szCs w:val="21"/>
        </w:rPr>
      </w:pPr>
      <w:r>
        <w:rPr>
          <w:rFonts w:hint="eastAsia" w:ascii="宋体" w:hAnsi="宋体" w:cs="宋体"/>
          <w:bCs/>
          <w:kern w:val="0"/>
          <w:szCs w:val="21"/>
        </w:rPr>
        <w:t>股东二、五矿国际信托有限公司，基本情况：注册地址为青海省西宁市城中区创业路108号南川工业园区投资服务中心1号楼4层，注册资本</w:t>
      </w:r>
      <w:r>
        <w:rPr>
          <w:rFonts w:ascii="宋体" w:hAnsi="宋体" w:cs="宋体"/>
          <w:bCs/>
          <w:kern w:val="0"/>
          <w:szCs w:val="21"/>
        </w:rPr>
        <w:t>600,000.00</w:t>
      </w:r>
      <w:r>
        <w:rPr>
          <w:rFonts w:hint="eastAsia" w:ascii="宋体" w:hAnsi="宋体" w:cs="宋体"/>
          <w:bCs/>
          <w:kern w:val="0"/>
          <w:szCs w:val="21"/>
        </w:rPr>
        <w:t>万元人民币，法定代表人朱忠勇，经营状态为存续，经营范围：资金信托；动产信托；不动产信托；有价证券信托；其他财产或财产权信托；作为投资基金或者基金管理公司的发起人从事投资基金业务；经营企业资产的重组、购并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受托境外理财；法律法规规定或中国银行保险监督管理委员会批准的其他业务。五矿信托认缴出资额为</w:t>
      </w:r>
      <w:r>
        <w:rPr>
          <w:rFonts w:ascii="宋体" w:hAnsi="宋体" w:cs="宋体"/>
          <w:bCs/>
          <w:kern w:val="0"/>
          <w:szCs w:val="21"/>
        </w:rPr>
        <w:t>1,000.00</w:t>
      </w:r>
      <w:r>
        <w:rPr>
          <w:rFonts w:hint="eastAsia" w:ascii="宋体" w:hAnsi="宋体" w:cs="宋体"/>
          <w:bCs/>
          <w:kern w:val="0"/>
          <w:szCs w:val="21"/>
        </w:rPr>
        <w:t>万元，持有广西速晟股份4</w:t>
      </w:r>
      <w:r>
        <w:rPr>
          <w:rFonts w:ascii="宋体" w:hAnsi="宋体" w:cs="宋体"/>
          <w:bCs/>
          <w:kern w:val="0"/>
          <w:szCs w:val="21"/>
        </w:rPr>
        <w:t>9</w:t>
      </w:r>
      <w:r>
        <w:rPr>
          <w:rFonts w:hint="eastAsia" w:ascii="宋体" w:hAnsi="宋体" w:cs="宋体"/>
          <w:bCs/>
          <w:kern w:val="0"/>
          <w:szCs w:val="21"/>
        </w:rPr>
        <w:t>%。</w:t>
      </w:r>
    </w:p>
    <w:p>
      <w:pPr>
        <w:spacing w:line="480" w:lineRule="auto"/>
        <w:ind w:firstLine="420" w:firstLineChars="200"/>
        <w:rPr>
          <w:rFonts w:ascii="宋体" w:hAnsi="宋体" w:cs="宋体"/>
          <w:bCs/>
          <w:sz w:val="21"/>
          <w:szCs w:val="21"/>
        </w:rPr>
      </w:pPr>
      <w:r>
        <w:rPr>
          <w:rFonts w:hint="eastAsia" w:ascii="宋体" w:hAnsi="宋体" w:cs="宋体"/>
          <w:bCs/>
          <w:sz w:val="21"/>
          <w:szCs w:val="21"/>
        </w:rPr>
        <w:t>桂林威祺房地产开发有限公司企业股权结构如下所示：</w:t>
      </w:r>
    </w:p>
    <w:p>
      <w:pPr>
        <w:pStyle w:val="9"/>
        <w:spacing w:line="360" w:lineRule="auto"/>
        <w:ind w:left="0" w:leftChars="0"/>
        <w:jc w:val="both"/>
        <w:rPr>
          <w:rFonts w:ascii="宋体" w:hAnsi="宋体"/>
          <w:bCs/>
          <w:sz w:val="13"/>
          <w:szCs w:val="13"/>
        </w:rPr>
      </w:pPr>
      <w:r>
        <w:rPr>
          <w:rFonts w:ascii="宋体" w:hAnsi="宋体"/>
          <w:bCs/>
          <w:sz w:val="13"/>
          <w:szCs w:val="13"/>
        </w:rPr>
        <w:drawing>
          <wp:inline distT="0" distB="0" distL="0" distR="0">
            <wp:extent cx="4953000" cy="6108700"/>
            <wp:effectExtent l="0" t="0" r="0" b="127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953255" cy="6109014"/>
                    </a:xfrm>
                    <a:prstGeom prst="rect">
                      <a:avLst/>
                    </a:prstGeom>
                  </pic:spPr>
                </pic:pic>
              </a:graphicData>
            </a:graphic>
          </wp:inline>
        </w:drawing>
      </w:r>
    </w:p>
    <w:p>
      <w:pPr>
        <w:pStyle w:val="2"/>
        <w:spacing w:line="480" w:lineRule="auto"/>
        <w:ind w:firstLine="211"/>
        <w:rPr>
          <w:rFonts w:ascii="宋体" w:hAnsi="宋体" w:cs="宋体"/>
          <w:bCs/>
          <w:sz w:val="13"/>
          <w:szCs w:val="13"/>
        </w:rPr>
      </w:pPr>
      <w:r>
        <w:rPr>
          <w:rFonts w:hint="eastAsia" w:ascii="宋体" w:hAnsi="宋体" w:cs="宋体"/>
          <w:b/>
        </w:rPr>
        <w:t>2.项目各项经济指标</w:t>
      </w:r>
    </w:p>
    <w:p>
      <w:pPr>
        <w:ind w:firstLine="360" w:firstLineChars="200"/>
        <w:jc w:val="center"/>
        <w:rPr>
          <w:rFonts w:ascii="宋体" w:hAnsi="宋体" w:cs="宋体"/>
          <w:bCs/>
          <w:sz w:val="18"/>
          <w:szCs w:val="18"/>
        </w:rPr>
      </w:pPr>
      <w:r>
        <w:rPr>
          <w:rFonts w:hint="eastAsia" w:ascii="宋体" w:hAnsi="宋体" w:cs="宋体"/>
          <w:bCs/>
          <w:sz w:val="18"/>
          <w:szCs w:val="18"/>
        </w:rPr>
        <w:t>表二：项目各项经济指标</w:t>
      </w:r>
      <w:r>
        <w:rPr>
          <w:rFonts w:hint="eastAsia" w:ascii="宋体" w:hAnsi="宋体" w:cs="宋体"/>
          <w:bCs/>
          <w:sz w:val="18"/>
          <w:szCs w:val="18"/>
          <w:lang w:eastAsia="zh-Hans"/>
        </w:rPr>
        <w:t>（一期）</w:t>
      </w:r>
    </w:p>
    <w:tbl>
      <w:tblPr>
        <w:tblStyle w:val="24"/>
        <w:tblW w:w="8527" w:type="dxa"/>
        <w:tblInd w:w="-156" w:type="dxa"/>
        <w:tblLayout w:type="autofit"/>
        <w:tblCellMar>
          <w:top w:w="0" w:type="dxa"/>
          <w:left w:w="108" w:type="dxa"/>
          <w:bottom w:w="0" w:type="dxa"/>
          <w:right w:w="108" w:type="dxa"/>
        </w:tblCellMar>
      </w:tblPr>
      <w:tblGrid>
        <w:gridCol w:w="794"/>
        <w:gridCol w:w="1206"/>
        <w:gridCol w:w="1296"/>
        <w:gridCol w:w="1143"/>
        <w:gridCol w:w="1253"/>
        <w:gridCol w:w="1473"/>
        <w:gridCol w:w="1362"/>
      </w:tblGrid>
      <w:tr>
        <w:trPr>
          <w:trHeight w:val="1076" w:hRule="atLeast"/>
          <w:tblHeader/>
        </w:trPr>
        <w:tc>
          <w:tcPr>
            <w:tcW w:w="794" w:type="dxa"/>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序号</w:t>
            </w:r>
          </w:p>
        </w:tc>
        <w:tc>
          <w:tcPr>
            <w:tcW w:w="1206"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用地面积</w:t>
            </w:r>
          </w:p>
          <w:p>
            <w:pPr>
              <w:jc w:val="center"/>
              <w:rPr>
                <w:rFonts w:ascii="宋体" w:hAnsi="宋体" w:cs="宋体"/>
                <w:b/>
                <w:bCs/>
                <w:color w:val="000000"/>
                <w:sz w:val="18"/>
                <w:szCs w:val="18"/>
              </w:rPr>
            </w:pPr>
            <w:r>
              <w:rPr>
                <w:rFonts w:hint="eastAsia" w:ascii="宋体" w:hAnsi="宋体" w:cs="宋体"/>
                <w:b/>
                <w:bCs/>
                <w:color w:val="000000"/>
                <w:sz w:val="18"/>
                <w:szCs w:val="18"/>
              </w:rPr>
              <w:t>（万平米）</w:t>
            </w:r>
          </w:p>
        </w:tc>
        <w:tc>
          <w:tcPr>
            <w:tcW w:w="1296" w:type="dxa"/>
            <w:tcBorders>
              <w:top w:val="single" w:color="auto" w:sz="8" w:space="0"/>
              <w:left w:val="single" w:color="auto" w:sz="8" w:space="0"/>
              <w:bottom w:val="single" w:color="000000" w:sz="8" w:space="0"/>
              <w:right w:val="single" w:color="auto" w:sz="4"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单位工程</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建筑面积</w:t>
            </w:r>
          </w:p>
          <w:p>
            <w:pPr>
              <w:jc w:val="center"/>
              <w:rPr>
                <w:rFonts w:ascii="宋体" w:hAnsi="宋体" w:cs="宋体"/>
                <w:b/>
                <w:bCs/>
                <w:color w:val="000000"/>
                <w:sz w:val="18"/>
                <w:szCs w:val="18"/>
              </w:rPr>
            </w:pPr>
            <w:r>
              <w:rPr>
                <w:rFonts w:hint="eastAsia" w:ascii="宋体" w:hAnsi="宋体" w:cs="宋体"/>
                <w:b/>
                <w:bCs/>
                <w:color w:val="000000"/>
                <w:sz w:val="18"/>
                <w:szCs w:val="18"/>
              </w:rPr>
              <w:t>（万平米）</w:t>
            </w:r>
          </w:p>
        </w:tc>
        <w:tc>
          <w:tcPr>
            <w:tcW w:w="125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计容面积</w:t>
            </w:r>
          </w:p>
          <w:p>
            <w:pPr>
              <w:jc w:val="center"/>
              <w:rPr>
                <w:rFonts w:ascii="宋体" w:hAnsi="宋体" w:cs="宋体"/>
                <w:b/>
                <w:bCs/>
                <w:color w:val="000000"/>
                <w:sz w:val="18"/>
                <w:szCs w:val="18"/>
              </w:rPr>
            </w:pPr>
            <w:r>
              <w:rPr>
                <w:rFonts w:hint="eastAsia" w:ascii="宋体" w:hAnsi="宋体" w:cs="宋体"/>
                <w:b/>
                <w:bCs/>
                <w:color w:val="000000"/>
                <w:sz w:val="18"/>
                <w:szCs w:val="18"/>
              </w:rPr>
              <w:t>（万平米）</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可售面积</w:t>
            </w:r>
          </w:p>
          <w:p>
            <w:pPr>
              <w:jc w:val="center"/>
              <w:rPr>
                <w:rFonts w:ascii="宋体" w:hAnsi="宋体" w:cs="宋体"/>
                <w:b/>
                <w:bCs/>
                <w:color w:val="000000"/>
                <w:sz w:val="18"/>
                <w:szCs w:val="18"/>
              </w:rPr>
            </w:pPr>
            <w:r>
              <w:rPr>
                <w:rFonts w:hint="eastAsia" w:ascii="宋体" w:hAnsi="宋体" w:cs="宋体"/>
                <w:b/>
                <w:bCs/>
                <w:color w:val="000000"/>
                <w:sz w:val="18"/>
                <w:szCs w:val="18"/>
              </w:rPr>
              <w:t>（万平米）</w:t>
            </w:r>
          </w:p>
        </w:tc>
        <w:tc>
          <w:tcPr>
            <w:tcW w:w="1362" w:type="dxa"/>
            <w:tcBorders>
              <w:top w:val="single" w:color="auto" w:sz="8" w:space="0"/>
              <w:left w:val="single" w:color="auto" w:sz="4" w:space="0"/>
              <w:bottom w:val="single" w:color="000000"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备注</w:t>
            </w:r>
          </w:p>
        </w:tc>
      </w:tr>
      <w:tr>
        <w:trPr>
          <w:trHeight w:val="464" w:hRule="atLeast"/>
        </w:trPr>
        <w:tc>
          <w:tcPr>
            <w:tcW w:w="794"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highlight w:val="red"/>
              </w:rPr>
            </w:pPr>
            <w:r>
              <w:rPr>
                <w:rFonts w:ascii="宋体" w:hAnsi="宋体" w:cs="宋体"/>
                <w:color w:val="000000"/>
                <w:sz w:val="18"/>
                <w:szCs w:val="18"/>
              </w:rPr>
              <w:t>1</w:t>
            </w:r>
          </w:p>
        </w:tc>
        <w:tc>
          <w:tcPr>
            <w:tcW w:w="1206"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br w:type="textWrapping"/>
            </w:r>
            <w:r>
              <w:rPr>
                <w:rFonts w:hint="eastAsia" w:ascii="宋体" w:hAnsi="宋体" w:cs="宋体"/>
                <w:color w:val="000000"/>
                <w:sz w:val="18"/>
                <w:szCs w:val="18"/>
              </w:rPr>
              <w:t>2.9</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高层（12F）</w:t>
            </w:r>
          </w:p>
        </w:tc>
        <w:tc>
          <w:tcPr>
            <w:tcW w:w="1143" w:type="dxa"/>
            <w:tcBorders>
              <w:top w:val="single" w:color="auto" w:sz="4" w:space="0"/>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5.67</w:t>
            </w:r>
          </w:p>
        </w:tc>
        <w:tc>
          <w:tcPr>
            <w:tcW w:w="1253" w:type="dxa"/>
            <w:tcBorders>
              <w:top w:val="single" w:color="auto" w:sz="4" w:space="0"/>
              <w:left w:val="nil"/>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5.98</w:t>
            </w:r>
          </w:p>
        </w:tc>
        <w:tc>
          <w:tcPr>
            <w:tcW w:w="1473" w:type="dxa"/>
            <w:tcBorders>
              <w:top w:val="single" w:color="auto" w:sz="4" w:space="0"/>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5.44</w:t>
            </w:r>
          </w:p>
        </w:tc>
        <w:tc>
          <w:tcPr>
            <w:tcW w:w="1362"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一期（15#-21#楼、22#幼儿园）</w:t>
            </w:r>
          </w:p>
        </w:tc>
      </w:tr>
      <w:tr>
        <w:trPr>
          <w:trHeight w:val="313" w:hRule="atLeast"/>
        </w:trPr>
        <w:tc>
          <w:tcPr>
            <w:tcW w:w="794"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highlight w:val="red"/>
              </w:rPr>
            </w:pPr>
            <w:r>
              <w:rPr>
                <w:rFonts w:ascii="宋体" w:hAnsi="宋体" w:cs="宋体"/>
                <w:color w:val="000000"/>
                <w:sz w:val="18"/>
                <w:szCs w:val="18"/>
              </w:rPr>
              <w:t>2</w:t>
            </w:r>
          </w:p>
        </w:tc>
        <w:tc>
          <w:tcPr>
            <w:tcW w:w="1206"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商铺</w:t>
            </w:r>
          </w:p>
        </w:tc>
        <w:tc>
          <w:tcPr>
            <w:tcW w:w="114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0.1</w:t>
            </w:r>
          </w:p>
        </w:tc>
        <w:tc>
          <w:tcPr>
            <w:tcW w:w="1253"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c>
          <w:tcPr>
            <w:tcW w:w="147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0.1</w:t>
            </w:r>
          </w:p>
        </w:tc>
        <w:tc>
          <w:tcPr>
            <w:tcW w:w="1362"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r>
      <w:tr>
        <w:trPr>
          <w:trHeight w:val="422" w:hRule="atLeast"/>
        </w:trPr>
        <w:tc>
          <w:tcPr>
            <w:tcW w:w="794"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highlight w:val="red"/>
              </w:rPr>
            </w:pPr>
            <w:r>
              <w:rPr>
                <w:rFonts w:ascii="宋体" w:hAnsi="宋体" w:cs="宋体"/>
                <w:color w:val="000000"/>
                <w:sz w:val="18"/>
                <w:szCs w:val="18"/>
              </w:rPr>
              <w:t>3</w:t>
            </w:r>
          </w:p>
        </w:tc>
        <w:tc>
          <w:tcPr>
            <w:tcW w:w="1206"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车位</w:t>
            </w:r>
          </w:p>
        </w:tc>
        <w:tc>
          <w:tcPr>
            <w:tcW w:w="114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1.71</w:t>
            </w:r>
          </w:p>
        </w:tc>
        <w:tc>
          <w:tcPr>
            <w:tcW w:w="125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0</w:t>
            </w:r>
          </w:p>
        </w:tc>
        <w:tc>
          <w:tcPr>
            <w:tcW w:w="147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1.71</w:t>
            </w:r>
          </w:p>
        </w:tc>
        <w:tc>
          <w:tcPr>
            <w:tcW w:w="1362"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r>
      <w:tr>
        <w:trPr>
          <w:trHeight w:val="290" w:hRule="atLeast"/>
        </w:trPr>
        <w:tc>
          <w:tcPr>
            <w:tcW w:w="794"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合计</w:t>
            </w:r>
          </w:p>
        </w:tc>
        <w:tc>
          <w:tcPr>
            <w:tcW w:w="120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c>
          <w:tcPr>
            <w:tcW w:w="114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7.48</w:t>
            </w:r>
          </w:p>
        </w:tc>
        <w:tc>
          <w:tcPr>
            <w:tcW w:w="125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c>
          <w:tcPr>
            <w:tcW w:w="147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7.25</w:t>
            </w:r>
          </w:p>
        </w:tc>
        <w:tc>
          <w:tcPr>
            <w:tcW w:w="1362"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bl>
    <w:p>
      <w:pPr>
        <w:pStyle w:val="2"/>
        <w:ind w:firstLine="210"/>
      </w:pPr>
    </w:p>
    <w:p>
      <w:pPr>
        <w:spacing w:line="480" w:lineRule="auto"/>
        <w:ind w:firstLine="420" w:firstLineChars="200"/>
        <w:rPr>
          <w:rFonts w:ascii="宋体" w:hAnsi="宋体" w:cs="宋体"/>
          <w:bCs/>
          <w:sz w:val="21"/>
          <w:szCs w:val="21"/>
        </w:rPr>
      </w:pPr>
      <w:r>
        <w:rPr>
          <w:rFonts w:hint="eastAsia" w:ascii="宋体" w:hAnsi="宋体" w:cs="宋体"/>
          <w:bCs/>
          <w:sz w:val="21"/>
          <w:szCs w:val="21"/>
        </w:rPr>
        <w:t>（1）存在的问题、原因及潜在风险。</w:t>
      </w:r>
    </w:p>
    <w:p>
      <w:pPr>
        <w:pStyle w:val="37"/>
        <w:spacing w:line="480" w:lineRule="auto"/>
        <w:rPr>
          <w:rFonts w:ascii="宋体" w:hAnsi="宋体" w:cs="宋体"/>
          <w:bCs/>
          <w:sz w:val="21"/>
          <w:szCs w:val="21"/>
        </w:rPr>
      </w:pPr>
      <w:r>
        <w:rPr>
          <w:rFonts w:ascii="宋体" w:hAnsi="宋体" w:cs="宋体"/>
          <w:bCs/>
          <w:sz w:val="21"/>
          <w:szCs w:val="21"/>
        </w:rPr>
        <w:t>1）</w:t>
      </w:r>
      <w:r>
        <w:rPr>
          <w:rFonts w:hint="eastAsia" w:ascii="宋体" w:hAnsi="宋体" w:cs="宋体"/>
          <w:bCs/>
          <w:sz w:val="21"/>
          <w:szCs w:val="21"/>
        </w:rPr>
        <w:t>存在的问题</w:t>
      </w:r>
    </w:p>
    <w:p>
      <w:pPr>
        <w:spacing w:line="480" w:lineRule="auto"/>
        <w:ind w:firstLine="420" w:firstLineChars="200"/>
        <w:rPr>
          <w:rFonts w:ascii="宋体" w:hAnsi="宋体" w:cs="宋体"/>
          <w:bCs/>
          <w:sz w:val="21"/>
          <w:szCs w:val="21"/>
        </w:rPr>
      </w:pPr>
      <w:r>
        <w:rPr>
          <w:rFonts w:hint="eastAsia" w:ascii="宋体" w:hAnsi="宋体" w:cs="宋体"/>
          <w:bCs/>
          <w:sz w:val="21"/>
          <w:szCs w:val="21"/>
        </w:rPr>
        <w:t>目前，项目公司</w:t>
      </w:r>
      <w:r>
        <w:rPr>
          <w:rFonts w:hint="eastAsia" w:ascii="宋体" w:hAnsi="宋体" w:cs="宋体"/>
          <w:bCs/>
          <w:sz w:val="21"/>
          <w:szCs w:val="21"/>
          <w:lang w:eastAsia="zh-Hans"/>
        </w:rPr>
        <w:t>未取得</w:t>
      </w:r>
      <w:r>
        <w:rPr>
          <w:rFonts w:hint="eastAsia" w:ascii="宋体" w:hAnsi="宋体" w:cs="宋体"/>
          <w:bCs/>
          <w:sz w:val="21"/>
          <w:szCs w:val="21"/>
        </w:rPr>
        <w:t>预售证，</w:t>
      </w:r>
      <w:r>
        <w:rPr>
          <w:rFonts w:hint="eastAsia" w:ascii="宋体" w:hAnsi="宋体" w:cs="宋体"/>
          <w:bCs/>
          <w:sz w:val="21"/>
          <w:szCs w:val="21"/>
          <w:lang w:eastAsia="zh-Hans"/>
        </w:rPr>
        <w:t>暂无</w:t>
      </w:r>
      <w:r>
        <w:rPr>
          <w:rFonts w:hint="eastAsia" w:ascii="宋体" w:hAnsi="宋体" w:cs="宋体"/>
          <w:bCs/>
          <w:sz w:val="21"/>
          <w:szCs w:val="21"/>
        </w:rPr>
        <w:t>备案价格，拟定认筹均价：</w:t>
      </w:r>
      <w:r>
        <w:rPr>
          <w:rFonts w:hint="eastAsia" w:ascii="宋体" w:hAnsi="宋体" w:cs="宋体"/>
          <w:sz w:val="21"/>
          <w:szCs w:val="21"/>
        </w:rPr>
        <w:t>高层（T</w:t>
      </w:r>
      <w:r>
        <w:rPr>
          <w:rFonts w:ascii="宋体" w:hAnsi="宋体" w:cs="宋体"/>
          <w:sz w:val="21"/>
          <w:szCs w:val="21"/>
        </w:rPr>
        <w:t>4</w:t>
      </w:r>
      <w:r>
        <w:rPr>
          <w:rFonts w:hint="eastAsia" w:ascii="宋体" w:hAnsi="宋体" w:cs="宋体"/>
          <w:sz w:val="21"/>
          <w:szCs w:val="21"/>
        </w:rPr>
        <w:t>）</w:t>
      </w:r>
      <w:r>
        <w:rPr>
          <w:rFonts w:ascii="宋体" w:hAnsi="宋体" w:cs="宋体"/>
          <w:sz w:val="21"/>
          <w:szCs w:val="21"/>
        </w:rPr>
        <w:t>8574</w:t>
      </w:r>
      <w:r>
        <w:rPr>
          <w:rFonts w:hint="eastAsia" w:ascii="宋体" w:hAnsi="宋体" w:cs="宋体"/>
          <w:sz w:val="21"/>
          <w:szCs w:val="21"/>
        </w:rPr>
        <w:t>元/㎡，较原指标方案（</w:t>
      </w:r>
      <w:r>
        <w:rPr>
          <w:rFonts w:ascii="宋体" w:hAnsi="宋体" w:cs="宋体"/>
          <w:sz w:val="21"/>
          <w:szCs w:val="21"/>
        </w:rPr>
        <w:t>9500</w:t>
      </w:r>
      <w:r>
        <w:rPr>
          <w:rFonts w:hint="eastAsia" w:ascii="宋体" w:hAnsi="宋体" w:cs="宋体"/>
          <w:sz w:val="21"/>
          <w:szCs w:val="21"/>
        </w:rPr>
        <w:t>元/㎡）降低</w:t>
      </w:r>
      <w:r>
        <w:rPr>
          <w:rFonts w:ascii="宋体" w:hAnsi="宋体" w:cs="宋体"/>
          <w:sz w:val="21"/>
          <w:szCs w:val="21"/>
        </w:rPr>
        <w:t>926</w:t>
      </w:r>
      <w:r>
        <w:rPr>
          <w:rFonts w:hint="eastAsia" w:ascii="宋体" w:hAnsi="宋体" w:cs="宋体"/>
          <w:sz w:val="21"/>
          <w:szCs w:val="21"/>
        </w:rPr>
        <w:t>元/㎡；高层（T</w:t>
      </w:r>
      <w:r>
        <w:rPr>
          <w:rFonts w:ascii="宋体" w:hAnsi="宋体" w:cs="宋体"/>
          <w:sz w:val="21"/>
          <w:szCs w:val="21"/>
        </w:rPr>
        <w:t>2</w:t>
      </w:r>
      <w:r>
        <w:rPr>
          <w:rFonts w:hint="eastAsia" w:ascii="宋体" w:hAnsi="宋体" w:cs="宋体"/>
          <w:sz w:val="21"/>
          <w:szCs w:val="21"/>
        </w:rPr>
        <w:t>）</w:t>
      </w:r>
      <w:r>
        <w:rPr>
          <w:rFonts w:ascii="宋体" w:hAnsi="宋体" w:cs="宋体"/>
          <w:sz w:val="21"/>
          <w:szCs w:val="21"/>
        </w:rPr>
        <w:t>9778</w:t>
      </w:r>
      <w:r>
        <w:rPr>
          <w:rFonts w:hint="eastAsia" w:ascii="宋体" w:hAnsi="宋体" w:cs="宋体"/>
          <w:sz w:val="21"/>
          <w:szCs w:val="21"/>
        </w:rPr>
        <w:t>元/㎡，较原指标方案（</w:t>
      </w:r>
      <w:r>
        <w:rPr>
          <w:rFonts w:ascii="宋体" w:hAnsi="宋体" w:cs="宋体"/>
          <w:sz w:val="21"/>
          <w:szCs w:val="21"/>
        </w:rPr>
        <w:t>11000</w:t>
      </w:r>
      <w:r>
        <w:rPr>
          <w:rFonts w:hint="eastAsia" w:ascii="宋体" w:hAnsi="宋体" w:cs="宋体"/>
          <w:sz w:val="21"/>
          <w:szCs w:val="21"/>
        </w:rPr>
        <w:t>元/㎡）降低</w:t>
      </w:r>
      <w:r>
        <w:rPr>
          <w:rFonts w:ascii="宋体" w:hAnsi="宋体" w:cs="宋体"/>
          <w:sz w:val="21"/>
          <w:szCs w:val="21"/>
        </w:rPr>
        <w:t>1222</w:t>
      </w:r>
      <w:r>
        <w:rPr>
          <w:rFonts w:hint="eastAsia" w:ascii="宋体" w:hAnsi="宋体" w:cs="宋体"/>
          <w:sz w:val="21"/>
          <w:szCs w:val="21"/>
        </w:rPr>
        <w:t>元/㎡；商业</w:t>
      </w:r>
      <w:r>
        <w:rPr>
          <w:rFonts w:ascii="宋体" w:hAnsi="宋体" w:cs="宋体"/>
          <w:sz w:val="21"/>
          <w:szCs w:val="21"/>
        </w:rPr>
        <w:t>14644</w:t>
      </w:r>
      <w:r>
        <w:rPr>
          <w:rFonts w:hint="eastAsia" w:ascii="宋体" w:hAnsi="宋体" w:cs="宋体"/>
          <w:sz w:val="21"/>
          <w:szCs w:val="21"/>
        </w:rPr>
        <w:t>元/㎡，较原指标方案（</w:t>
      </w:r>
      <w:r>
        <w:rPr>
          <w:rFonts w:ascii="宋体" w:hAnsi="宋体" w:cs="宋体"/>
          <w:sz w:val="21"/>
          <w:szCs w:val="21"/>
        </w:rPr>
        <w:t>15000</w:t>
      </w:r>
      <w:r>
        <w:rPr>
          <w:rFonts w:hint="eastAsia" w:ascii="宋体" w:hAnsi="宋体" w:cs="宋体"/>
          <w:sz w:val="21"/>
          <w:szCs w:val="21"/>
        </w:rPr>
        <w:t>元/㎡）降低</w:t>
      </w:r>
      <w:r>
        <w:rPr>
          <w:rFonts w:ascii="宋体" w:hAnsi="宋体" w:cs="宋体"/>
          <w:sz w:val="21"/>
          <w:szCs w:val="21"/>
        </w:rPr>
        <w:t>356</w:t>
      </w:r>
      <w:r>
        <w:rPr>
          <w:rFonts w:hint="eastAsia" w:ascii="宋体" w:hAnsi="宋体" w:cs="宋体"/>
          <w:sz w:val="21"/>
          <w:szCs w:val="21"/>
        </w:rPr>
        <w:t>元/㎡；地下车位1</w:t>
      </w:r>
      <w:r>
        <w:rPr>
          <w:rFonts w:ascii="宋体" w:hAnsi="宋体" w:cs="宋体"/>
          <w:sz w:val="21"/>
          <w:szCs w:val="21"/>
        </w:rPr>
        <w:t>19476</w:t>
      </w:r>
      <w:r>
        <w:rPr>
          <w:rFonts w:hint="eastAsia" w:ascii="宋体" w:hAnsi="宋体" w:cs="宋体"/>
          <w:sz w:val="21"/>
          <w:szCs w:val="21"/>
        </w:rPr>
        <w:t>元/个，较原指标方案（</w:t>
      </w:r>
      <w:r>
        <w:rPr>
          <w:rFonts w:ascii="宋体" w:hAnsi="宋体" w:cs="宋体"/>
          <w:sz w:val="21"/>
          <w:szCs w:val="21"/>
        </w:rPr>
        <w:t>80000</w:t>
      </w:r>
      <w:r>
        <w:rPr>
          <w:rFonts w:hint="eastAsia" w:ascii="宋体" w:hAnsi="宋体" w:cs="宋体"/>
          <w:sz w:val="21"/>
          <w:szCs w:val="21"/>
        </w:rPr>
        <w:t>元/个）上浮3</w:t>
      </w:r>
      <w:r>
        <w:rPr>
          <w:rFonts w:ascii="宋体" w:hAnsi="宋体" w:cs="宋体"/>
          <w:sz w:val="21"/>
          <w:szCs w:val="21"/>
        </w:rPr>
        <w:t>9476</w:t>
      </w:r>
      <w:r>
        <w:rPr>
          <w:rFonts w:hint="eastAsia" w:ascii="宋体" w:hAnsi="宋体" w:cs="宋体"/>
          <w:sz w:val="21"/>
          <w:szCs w:val="21"/>
        </w:rPr>
        <w:t>元/个。项目初开盘阶段，优惠力度较大，住宅和商铺皆有各种优惠政策，车位因企业内部原始定价较高，因此在优惠之后，价格仍高于原指标方案。因项目处于无证预售期，所有价格皆为预估认筹价，实际销售时，价格还会有所变动，因此无法确定货值；用地面积仅为15#-21#楼、22#幼儿园合计，其他楼栋数据暂无法确认</w:t>
      </w:r>
      <w:r>
        <w:rPr>
          <w:rFonts w:hint="eastAsia" w:ascii="宋体" w:hAnsi="宋体" w:cs="宋体"/>
          <w:bCs/>
          <w:sz w:val="21"/>
          <w:szCs w:val="21"/>
        </w:rPr>
        <w:t>。</w:t>
      </w:r>
    </w:p>
    <w:p>
      <w:pPr>
        <w:pStyle w:val="2"/>
        <w:spacing w:after="0" w:line="480" w:lineRule="auto"/>
        <w:ind w:firstLineChars="200"/>
        <w:rPr>
          <w:rFonts w:ascii="宋体" w:hAnsi="宋体" w:cs="宋体"/>
          <w:szCs w:val="21"/>
          <w:lang w:bidi="ar"/>
        </w:rPr>
      </w:pPr>
      <w:r>
        <w:rPr>
          <w:rFonts w:ascii="宋体" w:hAnsi="宋体" w:cs="宋体"/>
          <w:szCs w:val="21"/>
          <w:lang w:bidi="ar"/>
        </w:rPr>
        <w:t>2）</w:t>
      </w:r>
      <w:r>
        <w:rPr>
          <w:rFonts w:hint="eastAsia" w:ascii="宋体" w:hAnsi="宋体" w:cs="宋体"/>
          <w:szCs w:val="21"/>
          <w:lang w:bidi="ar"/>
        </w:rPr>
        <w:t>潜在风险</w:t>
      </w:r>
    </w:p>
    <w:p>
      <w:pPr>
        <w:pStyle w:val="2"/>
        <w:spacing w:after="0" w:line="480" w:lineRule="auto"/>
        <w:ind w:firstLineChars="200"/>
        <w:rPr>
          <w:rFonts w:ascii="宋体" w:hAnsi="宋体" w:cs="宋体"/>
          <w:szCs w:val="21"/>
          <w:lang w:bidi="ar"/>
        </w:rPr>
      </w:pPr>
      <w:r>
        <w:rPr>
          <w:rFonts w:hint="eastAsia" w:ascii="宋体" w:hAnsi="宋体" w:cs="宋体"/>
          <w:bCs/>
          <w:szCs w:val="21"/>
        </w:rPr>
        <w:t>因项目处于初期，费用</w:t>
      </w:r>
      <w:r>
        <w:rPr>
          <w:rFonts w:hint="eastAsia" w:ascii="宋体" w:hAnsi="宋体" w:cs="宋体"/>
          <w:bCs/>
          <w:szCs w:val="21"/>
          <w:lang w:eastAsia="zh-Hans"/>
        </w:rPr>
        <w:t>暂</w:t>
      </w:r>
      <w:r>
        <w:rPr>
          <w:rFonts w:hint="eastAsia" w:ascii="宋体" w:hAnsi="宋体" w:cs="宋体"/>
          <w:bCs/>
          <w:szCs w:val="21"/>
        </w:rPr>
        <w:t>不存在超支情况</w:t>
      </w:r>
      <w:r>
        <w:rPr>
          <w:rFonts w:hint="eastAsia" w:ascii="宋体" w:hAnsi="宋体" w:cs="宋体"/>
          <w:szCs w:val="21"/>
        </w:rPr>
        <w:t>。</w:t>
      </w:r>
    </w:p>
    <w:p>
      <w:pPr>
        <w:spacing w:line="480" w:lineRule="auto"/>
        <w:ind w:firstLine="420" w:firstLineChars="200"/>
        <w:rPr>
          <w:rFonts w:ascii="宋体" w:hAnsi="宋体" w:cs="宋体"/>
          <w:bCs/>
          <w:sz w:val="21"/>
          <w:szCs w:val="21"/>
        </w:rPr>
      </w:pPr>
      <w:r>
        <w:rPr>
          <w:rFonts w:hint="eastAsia" w:ascii="宋体" w:hAnsi="宋体" w:cs="宋体"/>
          <w:bCs/>
          <w:sz w:val="21"/>
          <w:szCs w:val="21"/>
        </w:rPr>
        <w:t>3）建议措施</w:t>
      </w:r>
    </w:p>
    <w:p>
      <w:pPr>
        <w:spacing w:line="480" w:lineRule="auto"/>
        <w:ind w:firstLine="420" w:firstLineChars="200"/>
        <w:rPr>
          <w:rFonts w:ascii="宋体" w:hAnsi="宋体" w:cs="宋体"/>
          <w:sz w:val="21"/>
          <w:szCs w:val="21"/>
        </w:rPr>
      </w:pPr>
      <w:r>
        <w:rPr>
          <w:rFonts w:hint="eastAsia" w:ascii="宋体" w:hAnsi="宋体" w:cs="宋体"/>
          <w:sz w:val="21"/>
          <w:szCs w:val="21"/>
        </w:rPr>
        <w:t>无。</w:t>
      </w:r>
    </w:p>
    <w:p>
      <w:pPr>
        <w:spacing w:line="480" w:lineRule="auto"/>
        <w:ind w:firstLine="420" w:firstLineChars="200"/>
        <w:rPr>
          <w:rFonts w:ascii="宋体" w:hAnsi="宋体" w:cs="宋体"/>
          <w:bCs/>
          <w:sz w:val="21"/>
          <w:szCs w:val="21"/>
        </w:rPr>
      </w:pPr>
      <w:r>
        <w:rPr>
          <w:rFonts w:ascii="宋体" w:hAnsi="宋体" w:cs="宋体"/>
          <w:bCs/>
          <w:sz w:val="21"/>
          <w:szCs w:val="21"/>
        </w:rPr>
        <w:t>4</w:t>
      </w:r>
      <w:r>
        <w:rPr>
          <w:rFonts w:hint="eastAsia" w:ascii="宋体" w:hAnsi="宋体" w:cs="宋体"/>
          <w:bCs/>
          <w:sz w:val="21"/>
          <w:szCs w:val="21"/>
        </w:rPr>
        <w:t>）后期需关注事项</w:t>
      </w:r>
    </w:p>
    <w:p>
      <w:pPr>
        <w:spacing w:line="480" w:lineRule="auto"/>
        <w:ind w:firstLine="420" w:firstLineChars="200"/>
        <w:rPr>
          <w:rFonts w:ascii="宋体" w:hAnsi="宋体" w:cs="宋体"/>
          <w:sz w:val="21"/>
          <w:szCs w:val="21"/>
        </w:rPr>
      </w:pPr>
      <w:r>
        <w:rPr>
          <w:rFonts w:hint="eastAsia" w:ascii="宋体" w:hAnsi="宋体" w:cs="宋体"/>
          <w:sz w:val="21"/>
          <w:szCs w:val="21"/>
        </w:rPr>
        <w:t>后续需关注新签订合同金额。</w:t>
      </w:r>
    </w:p>
    <w:p>
      <w:pPr>
        <w:pStyle w:val="2"/>
        <w:spacing w:line="480" w:lineRule="auto"/>
        <w:ind w:firstLine="0" w:firstLineChars="0"/>
        <w:outlineLvl w:val="0"/>
        <w:rPr>
          <w:rFonts w:ascii="宋体" w:hAnsi="宋体" w:cs="宋体"/>
          <w:bCs/>
          <w:sz w:val="18"/>
          <w:szCs w:val="18"/>
        </w:rPr>
      </w:pPr>
      <w:bookmarkStart w:id="3" w:name="_Toc61551282"/>
      <w:r>
        <w:rPr>
          <w:rFonts w:hint="eastAsia" w:ascii="宋体" w:hAnsi="宋体" w:cs="宋体"/>
          <w:b/>
        </w:rPr>
        <w:t>二、项目证件办理情况</w:t>
      </w:r>
      <w:bookmarkEnd w:id="3"/>
    </w:p>
    <w:p>
      <w:pPr>
        <w:jc w:val="center"/>
        <w:rPr>
          <w:rFonts w:ascii="宋体" w:hAnsi="宋体" w:cs="宋体"/>
          <w:sz w:val="18"/>
          <w:szCs w:val="18"/>
        </w:rPr>
      </w:pPr>
      <w:r>
        <w:rPr>
          <w:rFonts w:hint="eastAsia" w:ascii="宋体" w:hAnsi="宋体" w:cs="宋体"/>
          <w:sz w:val="18"/>
          <w:szCs w:val="18"/>
        </w:rPr>
        <w:t>表三：项目五证办理情况</w:t>
      </w:r>
    </w:p>
    <w:tbl>
      <w:tblPr>
        <w:tblStyle w:val="24"/>
        <w:tblW w:w="9019" w:type="dxa"/>
        <w:tblInd w:w="-281" w:type="dxa"/>
        <w:tblLayout w:type="autofit"/>
        <w:tblCellMar>
          <w:top w:w="0" w:type="dxa"/>
          <w:left w:w="108" w:type="dxa"/>
          <w:bottom w:w="0" w:type="dxa"/>
          <w:right w:w="108" w:type="dxa"/>
        </w:tblCellMar>
      </w:tblPr>
      <w:tblGrid>
        <w:gridCol w:w="594"/>
        <w:gridCol w:w="1011"/>
        <w:gridCol w:w="3107"/>
        <w:gridCol w:w="1197"/>
        <w:gridCol w:w="1039"/>
        <w:gridCol w:w="1038"/>
        <w:gridCol w:w="1033"/>
      </w:tblGrid>
      <w:tr>
        <w:trPr>
          <w:trHeight w:val="280" w:hRule="atLeast"/>
          <w:tblHeader/>
        </w:trPr>
        <w:tc>
          <w:tcPr>
            <w:tcW w:w="594" w:type="dxa"/>
            <w:vMerge w:val="restart"/>
            <w:tcBorders>
              <w:top w:val="single" w:color="auto" w:sz="4" w:space="0"/>
              <w:left w:val="single" w:color="auto" w:sz="4" w:space="0"/>
              <w:bottom w:val="single" w:color="000000"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序号</w:t>
            </w:r>
          </w:p>
        </w:tc>
        <w:tc>
          <w:tcPr>
            <w:tcW w:w="1011" w:type="dxa"/>
            <w:vMerge w:val="restart"/>
            <w:tcBorders>
              <w:top w:val="single" w:color="auto" w:sz="4" w:space="0"/>
              <w:left w:val="single" w:color="auto" w:sz="8" w:space="0"/>
              <w:bottom w:val="single" w:color="000000"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证件名称</w:t>
            </w:r>
          </w:p>
        </w:tc>
        <w:tc>
          <w:tcPr>
            <w:tcW w:w="3107" w:type="dxa"/>
            <w:vMerge w:val="restart"/>
            <w:tcBorders>
              <w:top w:val="single" w:color="auto" w:sz="4" w:space="0"/>
              <w:left w:val="single" w:color="auto" w:sz="8" w:space="0"/>
              <w:bottom w:val="single" w:color="000000"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政策要求</w:t>
            </w:r>
          </w:p>
        </w:tc>
        <w:tc>
          <w:tcPr>
            <w:tcW w:w="1197" w:type="dxa"/>
            <w:tcBorders>
              <w:top w:val="single" w:color="auto" w:sz="4" w:space="0"/>
              <w:left w:val="nil"/>
              <w:bottom w:val="nil"/>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预计取证</w:t>
            </w:r>
          </w:p>
        </w:tc>
        <w:tc>
          <w:tcPr>
            <w:tcW w:w="1039" w:type="dxa"/>
            <w:tcBorders>
              <w:top w:val="single" w:color="auto" w:sz="4" w:space="0"/>
              <w:left w:val="nil"/>
              <w:bottom w:val="nil"/>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实际取证</w:t>
            </w:r>
          </w:p>
        </w:tc>
        <w:tc>
          <w:tcPr>
            <w:tcW w:w="1038" w:type="dxa"/>
            <w:vMerge w:val="restart"/>
            <w:tcBorders>
              <w:top w:val="single" w:color="auto" w:sz="4" w:space="0"/>
              <w:left w:val="single" w:color="auto" w:sz="8" w:space="0"/>
              <w:bottom w:val="single" w:color="000000"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证载面积</w:t>
            </w:r>
          </w:p>
        </w:tc>
        <w:tc>
          <w:tcPr>
            <w:tcW w:w="1033" w:type="dxa"/>
            <w:vMerge w:val="restart"/>
            <w:tcBorders>
              <w:top w:val="single" w:color="auto" w:sz="4" w:space="0"/>
              <w:left w:val="single" w:color="auto" w:sz="8" w:space="0"/>
              <w:bottom w:val="single" w:color="000000" w:sz="8" w:space="0"/>
              <w:right w:val="single" w:color="auto" w:sz="4"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备注</w:t>
            </w:r>
          </w:p>
        </w:tc>
      </w:tr>
      <w:tr>
        <w:trPr>
          <w:trHeight w:val="290" w:hRule="atLeast"/>
          <w:tblHeader/>
        </w:trPr>
        <w:tc>
          <w:tcPr>
            <w:tcW w:w="594" w:type="dxa"/>
            <w:vMerge w:val="continue"/>
            <w:tcBorders>
              <w:top w:val="single" w:color="auto" w:sz="8" w:space="0"/>
              <w:left w:val="single" w:color="auto" w:sz="4" w:space="0"/>
              <w:bottom w:val="single" w:color="000000" w:sz="8" w:space="0"/>
              <w:right w:val="single" w:color="auto" w:sz="8" w:space="0"/>
            </w:tcBorders>
            <w:vAlign w:val="center"/>
          </w:tcPr>
          <w:p>
            <w:pPr>
              <w:rPr>
                <w:rFonts w:ascii="宋体" w:hAnsi="宋体" w:cs="宋体"/>
                <w:b/>
                <w:bCs/>
                <w:color w:val="000000"/>
                <w:sz w:val="18"/>
                <w:szCs w:val="18"/>
              </w:rPr>
            </w:pPr>
          </w:p>
        </w:tc>
        <w:tc>
          <w:tcPr>
            <w:tcW w:w="1011" w:type="dxa"/>
            <w:vMerge w:val="continue"/>
            <w:tcBorders>
              <w:top w:val="single" w:color="auto" w:sz="8" w:space="0"/>
              <w:left w:val="single" w:color="auto" w:sz="8" w:space="0"/>
              <w:bottom w:val="single" w:color="000000" w:sz="8" w:space="0"/>
              <w:right w:val="single" w:color="auto" w:sz="8" w:space="0"/>
            </w:tcBorders>
            <w:vAlign w:val="center"/>
          </w:tcPr>
          <w:p>
            <w:pPr>
              <w:rPr>
                <w:rFonts w:ascii="宋体" w:hAnsi="宋体" w:cs="宋体"/>
                <w:b/>
                <w:bCs/>
                <w:color w:val="000000"/>
                <w:sz w:val="18"/>
                <w:szCs w:val="18"/>
              </w:rPr>
            </w:pPr>
          </w:p>
        </w:tc>
        <w:tc>
          <w:tcPr>
            <w:tcW w:w="3107" w:type="dxa"/>
            <w:vMerge w:val="continue"/>
            <w:tcBorders>
              <w:top w:val="single" w:color="auto" w:sz="8" w:space="0"/>
              <w:left w:val="single" w:color="auto" w:sz="8" w:space="0"/>
              <w:bottom w:val="single" w:color="000000" w:sz="8" w:space="0"/>
              <w:right w:val="single" w:color="auto" w:sz="8" w:space="0"/>
            </w:tcBorders>
            <w:vAlign w:val="center"/>
          </w:tcPr>
          <w:p>
            <w:pPr>
              <w:rPr>
                <w:rFonts w:ascii="宋体" w:hAnsi="宋体" w:cs="宋体"/>
                <w:b/>
                <w:bCs/>
                <w:color w:val="000000"/>
                <w:sz w:val="18"/>
                <w:szCs w:val="18"/>
              </w:rPr>
            </w:pPr>
          </w:p>
        </w:tc>
        <w:tc>
          <w:tcPr>
            <w:tcW w:w="1197" w:type="dxa"/>
            <w:tcBorders>
              <w:top w:val="nil"/>
              <w:left w:val="nil"/>
              <w:bottom w:val="single" w:color="auto"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日期</w:t>
            </w:r>
          </w:p>
        </w:tc>
        <w:tc>
          <w:tcPr>
            <w:tcW w:w="1039" w:type="dxa"/>
            <w:tcBorders>
              <w:top w:val="nil"/>
              <w:left w:val="nil"/>
              <w:bottom w:val="single" w:color="auto"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日期</w:t>
            </w:r>
          </w:p>
        </w:tc>
        <w:tc>
          <w:tcPr>
            <w:tcW w:w="1038" w:type="dxa"/>
            <w:vMerge w:val="continue"/>
            <w:tcBorders>
              <w:top w:val="single" w:color="auto" w:sz="8" w:space="0"/>
              <w:left w:val="single" w:color="auto" w:sz="8" w:space="0"/>
              <w:bottom w:val="single" w:color="000000" w:sz="8" w:space="0"/>
              <w:right w:val="single" w:color="auto" w:sz="8" w:space="0"/>
            </w:tcBorders>
            <w:vAlign w:val="center"/>
          </w:tcPr>
          <w:p>
            <w:pPr>
              <w:rPr>
                <w:rFonts w:ascii="宋体" w:hAnsi="宋体" w:cs="宋体"/>
                <w:b/>
                <w:bCs/>
                <w:color w:val="000000"/>
                <w:sz w:val="18"/>
                <w:szCs w:val="18"/>
              </w:rPr>
            </w:pPr>
          </w:p>
        </w:tc>
        <w:tc>
          <w:tcPr>
            <w:tcW w:w="1033" w:type="dxa"/>
            <w:vMerge w:val="continue"/>
            <w:tcBorders>
              <w:top w:val="single" w:color="auto" w:sz="8" w:space="0"/>
              <w:left w:val="single" w:color="auto" w:sz="8" w:space="0"/>
              <w:bottom w:val="single" w:color="000000" w:sz="8" w:space="0"/>
              <w:right w:val="single" w:color="auto" w:sz="4" w:space="0"/>
            </w:tcBorders>
            <w:vAlign w:val="center"/>
          </w:tcPr>
          <w:p>
            <w:pPr>
              <w:rPr>
                <w:rFonts w:ascii="宋体" w:hAnsi="宋体" w:cs="宋体"/>
                <w:b/>
                <w:bCs/>
                <w:color w:val="000000"/>
                <w:sz w:val="18"/>
                <w:szCs w:val="18"/>
              </w:rPr>
            </w:pPr>
          </w:p>
        </w:tc>
      </w:tr>
      <w:tr>
        <w:trPr>
          <w:trHeight w:val="1450" w:hRule="atLeast"/>
        </w:trPr>
        <w:tc>
          <w:tcPr>
            <w:tcW w:w="594" w:type="dxa"/>
            <w:tcBorders>
              <w:top w:val="nil"/>
              <w:left w:val="single" w:color="auto" w:sz="4" w:space="0"/>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1011" w:type="dxa"/>
            <w:tcBorders>
              <w:top w:val="nil"/>
              <w:left w:val="nil"/>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不动产权证书</w:t>
            </w:r>
          </w:p>
        </w:tc>
        <w:tc>
          <w:tcPr>
            <w:tcW w:w="3107" w:type="dxa"/>
            <w:tcBorders>
              <w:top w:val="nil"/>
              <w:left w:val="nil"/>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不动产登记申请表、申请人（代理人）身份证明（核验原件）、委托书、不动产权属证书、不动产权属变更证明材料、公安部门、地名委员会等有关机关出具的房屋地址证明</w:t>
            </w:r>
          </w:p>
        </w:tc>
        <w:tc>
          <w:tcPr>
            <w:tcW w:w="1197"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2021/2/8</w:t>
            </w:r>
          </w:p>
        </w:tc>
        <w:tc>
          <w:tcPr>
            <w:tcW w:w="103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暂未取得</w:t>
            </w:r>
          </w:p>
        </w:tc>
        <w:tc>
          <w:tcPr>
            <w:tcW w:w="1038" w:type="dxa"/>
            <w:tcBorders>
              <w:top w:val="nil"/>
              <w:left w:val="nil"/>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c>
          <w:tcPr>
            <w:tcW w:w="1033" w:type="dxa"/>
            <w:tcBorders>
              <w:top w:val="nil"/>
              <w:left w:val="nil"/>
              <w:bottom w:val="nil"/>
              <w:right w:val="single" w:color="auto" w:sz="4"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证载面积以证件载明为准</w:t>
            </w:r>
          </w:p>
        </w:tc>
      </w:tr>
      <w:tr>
        <w:trPr>
          <w:trHeight w:val="970" w:hRule="atLeast"/>
        </w:trPr>
        <w:tc>
          <w:tcPr>
            <w:tcW w:w="594" w:type="dxa"/>
            <w:tcBorders>
              <w:top w:val="single" w:color="auto" w:sz="8" w:space="0"/>
              <w:left w:val="single" w:color="auto" w:sz="4" w:space="0"/>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w:t>
            </w:r>
          </w:p>
        </w:tc>
        <w:tc>
          <w:tcPr>
            <w:tcW w:w="1011" w:type="dxa"/>
            <w:tcBorders>
              <w:top w:val="single" w:color="auto" w:sz="8" w:space="0"/>
              <w:left w:val="nil"/>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建设用地规划许可证</w:t>
            </w:r>
          </w:p>
        </w:tc>
        <w:tc>
          <w:tcPr>
            <w:tcW w:w="3107" w:type="dxa"/>
            <w:tcBorders>
              <w:top w:val="single" w:color="auto" w:sz="8" w:space="0"/>
              <w:left w:val="nil"/>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建设用地规划许可证申请表、身份证明材料、国有建设用地使用权出让合同或者拨划合同、宗地图</w:t>
            </w:r>
          </w:p>
        </w:tc>
        <w:tc>
          <w:tcPr>
            <w:tcW w:w="1197" w:type="dxa"/>
            <w:tcBorders>
              <w:top w:val="nil"/>
              <w:left w:val="nil"/>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已取得</w:t>
            </w:r>
          </w:p>
        </w:tc>
        <w:tc>
          <w:tcPr>
            <w:tcW w:w="103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2020/9/29</w:t>
            </w:r>
          </w:p>
        </w:tc>
        <w:tc>
          <w:tcPr>
            <w:tcW w:w="1038" w:type="dxa"/>
            <w:tcBorders>
              <w:top w:val="single" w:color="auto" w:sz="8" w:space="0"/>
              <w:left w:val="nil"/>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64956.00㎡</w:t>
            </w:r>
          </w:p>
        </w:tc>
        <w:tc>
          <w:tcPr>
            <w:tcW w:w="1033" w:type="dxa"/>
            <w:tcBorders>
              <w:top w:val="single" w:color="auto" w:sz="8" w:space="0"/>
              <w:left w:val="nil"/>
              <w:bottom w:val="nil"/>
              <w:right w:val="single" w:color="auto" w:sz="4"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2170" w:hRule="atLeast"/>
        </w:trPr>
        <w:tc>
          <w:tcPr>
            <w:tcW w:w="594" w:type="dxa"/>
            <w:tcBorders>
              <w:top w:val="single" w:color="auto" w:sz="8" w:space="0"/>
              <w:left w:val="single" w:color="auto" w:sz="4" w:space="0"/>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w:t>
            </w:r>
          </w:p>
        </w:tc>
        <w:tc>
          <w:tcPr>
            <w:tcW w:w="1011" w:type="dxa"/>
            <w:tcBorders>
              <w:top w:val="single" w:color="auto" w:sz="8" w:space="0"/>
              <w:left w:val="nil"/>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建设工程规划许可证</w:t>
            </w:r>
          </w:p>
        </w:tc>
        <w:tc>
          <w:tcPr>
            <w:tcW w:w="3107" w:type="dxa"/>
            <w:tcBorders>
              <w:top w:val="single" w:color="auto" w:sz="8" w:space="0"/>
              <w:left w:val="nil"/>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建设工程规划许可证申请表、申请报告、法人委托书、法人身份证及经办人身份证复印件、不动产权证及其附件的复印件、建设用地规划许可证复印件、审批单及其附图、建设项目批准文件、建设工程设计方案文本（含总平面蓝图）、地形图、光盘、排水规划设计条件</w:t>
            </w:r>
          </w:p>
        </w:tc>
        <w:tc>
          <w:tcPr>
            <w:tcW w:w="1197" w:type="dxa"/>
            <w:tcBorders>
              <w:top w:val="single" w:color="auto" w:sz="8" w:space="0"/>
              <w:left w:val="nil"/>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已取得</w:t>
            </w:r>
          </w:p>
        </w:tc>
        <w:tc>
          <w:tcPr>
            <w:tcW w:w="103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2020/10/12</w:t>
            </w:r>
          </w:p>
        </w:tc>
        <w:tc>
          <w:tcPr>
            <w:tcW w:w="1038" w:type="dxa"/>
            <w:tcBorders>
              <w:top w:val="single" w:color="auto" w:sz="8" w:space="0"/>
              <w:left w:val="nil"/>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78010.02㎡（13#、15#-22#楼及一期地下公共停车场）</w:t>
            </w:r>
          </w:p>
        </w:tc>
        <w:tc>
          <w:tcPr>
            <w:tcW w:w="1033" w:type="dxa"/>
            <w:tcBorders>
              <w:top w:val="single" w:color="auto" w:sz="8" w:space="0"/>
              <w:left w:val="nil"/>
              <w:bottom w:val="nil"/>
              <w:right w:val="single" w:color="auto" w:sz="4"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1690" w:hRule="atLeast"/>
        </w:trPr>
        <w:tc>
          <w:tcPr>
            <w:tcW w:w="594" w:type="dxa"/>
            <w:tcBorders>
              <w:top w:val="single" w:color="auto" w:sz="8" w:space="0"/>
              <w:left w:val="single" w:color="auto" w:sz="4" w:space="0"/>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1011" w:type="dxa"/>
            <w:tcBorders>
              <w:top w:val="single" w:color="auto" w:sz="8" w:space="0"/>
              <w:left w:val="nil"/>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建筑工程施工许可证</w:t>
            </w:r>
          </w:p>
        </w:tc>
        <w:tc>
          <w:tcPr>
            <w:tcW w:w="3107" w:type="dxa"/>
            <w:tcBorders>
              <w:top w:val="single" w:color="auto" w:sz="8" w:space="0"/>
              <w:left w:val="nil"/>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加盖公章、法人章、骑缝章的施工证申请表一套；加盖公章的用地批准手续复印件、建设用处规划许可证复印件、施工单位中标通知书或施工合同复印件、施工图设计文件审查意见书、质量安全监督注册书</w:t>
            </w:r>
          </w:p>
        </w:tc>
        <w:tc>
          <w:tcPr>
            <w:tcW w:w="1197" w:type="dxa"/>
            <w:tcBorders>
              <w:top w:val="single" w:color="auto" w:sz="8" w:space="0"/>
              <w:left w:val="nil"/>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已取得</w:t>
            </w:r>
          </w:p>
        </w:tc>
        <w:tc>
          <w:tcPr>
            <w:tcW w:w="103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2020/11/5</w:t>
            </w:r>
          </w:p>
        </w:tc>
        <w:tc>
          <w:tcPr>
            <w:tcW w:w="1038" w:type="dxa"/>
            <w:tcBorders>
              <w:top w:val="single" w:color="auto" w:sz="8" w:space="0"/>
              <w:left w:val="nil"/>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78010.02㎡（13#、15#-22#楼及一期地下公共停车场）</w:t>
            </w:r>
          </w:p>
        </w:tc>
        <w:tc>
          <w:tcPr>
            <w:tcW w:w="1033" w:type="dxa"/>
            <w:tcBorders>
              <w:top w:val="single" w:color="auto" w:sz="8" w:space="0"/>
              <w:left w:val="nil"/>
              <w:bottom w:val="nil"/>
              <w:right w:val="single" w:color="auto" w:sz="4"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　</w:t>
            </w:r>
          </w:p>
        </w:tc>
      </w:tr>
      <w:tr>
        <w:trPr>
          <w:trHeight w:val="367" w:hRule="atLeast"/>
        </w:trPr>
        <w:tc>
          <w:tcPr>
            <w:tcW w:w="594" w:type="dxa"/>
            <w:tcBorders>
              <w:top w:val="single" w:color="auto" w:sz="8" w:space="0"/>
              <w:left w:val="single" w:color="auto" w:sz="4" w:space="0"/>
              <w:bottom w:val="single" w:color="auto" w:sz="4" w:space="0"/>
              <w:right w:val="single" w:color="auto" w:sz="8" w:space="0"/>
            </w:tcBorders>
            <w:shd w:val="clear" w:color="auto" w:fill="auto"/>
            <w:vAlign w:val="center"/>
          </w:tcPr>
          <w:p>
            <w:pPr>
              <w:ind w:firstLine="180" w:firstLineChars="100"/>
              <w:rPr>
                <w:rFonts w:ascii="宋体" w:hAnsi="宋体" w:cs="宋体"/>
                <w:color w:val="000000"/>
                <w:sz w:val="18"/>
                <w:szCs w:val="18"/>
              </w:rPr>
            </w:pPr>
            <w:r>
              <w:rPr>
                <w:rFonts w:hint="eastAsia" w:ascii="宋体" w:hAnsi="宋体" w:cs="宋体"/>
                <w:color w:val="000000"/>
                <w:sz w:val="18"/>
                <w:szCs w:val="18"/>
              </w:rPr>
              <w:t>5</w:t>
            </w:r>
          </w:p>
        </w:tc>
        <w:tc>
          <w:tcPr>
            <w:tcW w:w="1011" w:type="dxa"/>
            <w:tcBorders>
              <w:top w:val="single" w:color="auto" w:sz="8" w:space="0"/>
              <w:left w:val="nil"/>
              <w:bottom w:val="single" w:color="auto" w:sz="4"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商品房预售许可证</w:t>
            </w:r>
          </w:p>
        </w:tc>
        <w:tc>
          <w:tcPr>
            <w:tcW w:w="3107" w:type="dxa"/>
            <w:tcBorders>
              <w:top w:val="single" w:color="auto" w:sz="8" w:space="0"/>
              <w:left w:val="nil"/>
              <w:bottom w:val="single" w:color="auto" w:sz="4"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商品房预（销）售申请表、商品房预（销）售登记总表、营业执照、开发资质证书、通过测绘审核的预测报告、关于允许购房人使用住房公积金贷款的承诺书、预（销）售方案、预售款监管协议、一房一价申报表、商品房项目核准批复或备案表、修建性详细规划（文及图）或规划定点文（图）、土地批文或出地出让合同及附图、不动产登记证或土地使用证及宗地图、抵押权人同意销售证明、建设工程规划许可证、建设用地规划许可证、建筑工程施工许可证、施工合同、物业服务企业营业执照、物业服务合同及物业管理方案、项目分层平面建施图、项目总平图、物业服务项目招标、中标备案证明、预收款监管情况的说明（首次申报不需要提交）</w:t>
            </w:r>
          </w:p>
        </w:tc>
        <w:tc>
          <w:tcPr>
            <w:tcW w:w="1197" w:type="dxa"/>
            <w:tcBorders>
              <w:top w:val="single" w:color="auto" w:sz="8" w:space="0"/>
              <w:left w:val="nil"/>
              <w:bottom w:val="single" w:color="auto" w:sz="4"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2021/2/10</w:t>
            </w:r>
          </w:p>
        </w:tc>
        <w:tc>
          <w:tcPr>
            <w:tcW w:w="1039" w:type="dxa"/>
            <w:tcBorders>
              <w:top w:val="nil"/>
              <w:left w:val="nil"/>
              <w:bottom w:val="single" w:color="auto" w:sz="4"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暂未取得</w:t>
            </w:r>
          </w:p>
        </w:tc>
        <w:tc>
          <w:tcPr>
            <w:tcW w:w="1038" w:type="dxa"/>
            <w:tcBorders>
              <w:top w:val="single" w:color="auto" w:sz="8" w:space="0"/>
              <w:left w:val="nil"/>
              <w:bottom w:val="single" w:color="auto" w:sz="4"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c>
          <w:tcPr>
            <w:tcW w:w="1033" w:type="dxa"/>
            <w:tcBorders>
              <w:top w:val="single" w:color="auto" w:sz="8" w:space="0"/>
              <w:left w:val="nil"/>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证载面积以证件载明为准</w:t>
            </w:r>
          </w:p>
        </w:tc>
      </w:tr>
    </w:tbl>
    <w:p>
      <w:pPr>
        <w:spacing w:line="480" w:lineRule="auto"/>
        <w:ind w:firstLine="315" w:firstLineChars="150"/>
        <w:rPr>
          <w:rFonts w:ascii="宋体" w:hAnsi="宋体" w:cs="宋体"/>
          <w:bCs/>
          <w:sz w:val="21"/>
          <w:szCs w:val="21"/>
        </w:rPr>
      </w:pPr>
      <w:r>
        <w:rPr>
          <w:rFonts w:hint="eastAsia" w:ascii="宋体" w:hAnsi="宋体" w:cs="宋体"/>
          <w:bCs/>
          <w:sz w:val="21"/>
          <w:szCs w:val="21"/>
        </w:rPr>
        <w:t>（1）存在的问题、原因及潜在风险。</w:t>
      </w:r>
    </w:p>
    <w:p>
      <w:pPr>
        <w:spacing w:line="480" w:lineRule="auto"/>
        <w:ind w:firstLine="420" w:firstLineChars="200"/>
        <w:rPr>
          <w:rFonts w:ascii="宋体" w:hAnsi="宋体" w:cs="宋体"/>
          <w:bCs/>
          <w:sz w:val="21"/>
          <w:szCs w:val="21"/>
        </w:rPr>
      </w:pPr>
      <w:r>
        <w:rPr>
          <w:rFonts w:hint="eastAsia" w:ascii="宋体" w:hAnsi="宋体" w:cs="宋体"/>
          <w:bCs/>
          <w:sz w:val="21"/>
          <w:szCs w:val="21"/>
        </w:rPr>
        <w:t>1) 存在的问题</w:t>
      </w:r>
    </w:p>
    <w:p>
      <w:pPr>
        <w:spacing w:line="480" w:lineRule="auto"/>
        <w:ind w:firstLine="420" w:firstLineChars="200"/>
        <w:rPr>
          <w:rFonts w:ascii="宋体" w:hAnsi="宋体" w:cs="宋体"/>
          <w:bCs/>
          <w:sz w:val="21"/>
          <w:szCs w:val="21"/>
        </w:rPr>
      </w:pPr>
      <w:r>
        <w:rPr>
          <w:rFonts w:hint="eastAsia" w:ascii="宋体" w:hAnsi="宋体" w:cs="宋体"/>
          <w:bCs/>
          <w:sz w:val="21"/>
          <w:szCs w:val="21"/>
        </w:rPr>
        <w:t>春天里项目存在无证认筹的问题</w:t>
      </w:r>
      <w:r>
        <w:rPr>
          <w:rFonts w:hint="eastAsia" w:ascii="宋体" w:hAnsi="宋体" w:cs="宋体"/>
          <w:sz w:val="21"/>
          <w:szCs w:val="21"/>
        </w:rPr>
        <w:t>。2020年</w:t>
      </w:r>
      <w:r>
        <w:rPr>
          <w:rFonts w:ascii="宋体" w:hAnsi="宋体" w:cs="宋体"/>
          <w:sz w:val="21"/>
          <w:szCs w:val="21"/>
        </w:rPr>
        <w:t>9</w:t>
      </w:r>
      <w:r>
        <w:rPr>
          <w:rFonts w:hint="eastAsia" w:ascii="宋体" w:hAnsi="宋体" w:cs="宋体"/>
          <w:sz w:val="21"/>
          <w:szCs w:val="21"/>
        </w:rPr>
        <w:t>月项目公司开始无证认筹，与2</w:t>
      </w:r>
      <w:r>
        <w:rPr>
          <w:rFonts w:ascii="宋体" w:hAnsi="宋体" w:cs="宋体"/>
          <w:sz w:val="21"/>
          <w:szCs w:val="21"/>
        </w:rPr>
        <w:t>020</w:t>
      </w:r>
      <w:r>
        <w:rPr>
          <w:rFonts w:hint="eastAsia" w:ascii="宋体" w:hAnsi="宋体" w:cs="宋体"/>
          <w:sz w:val="21"/>
          <w:szCs w:val="21"/>
        </w:rPr>
        <w:t>年1</w:t>
      </w:r>
      <w:r>
        <w:rPr>
          <w:rFonts w:ascii="宋体" w:hAnsi="宋体" w:cs="宋体"/>
          <w:sz w:val="21"/>
          <w:szCs w:val="21"/>
        </w:rPr>
        <w:t>1</w:t>
      </w:r>
      <w:r>
        <w:rPr>
          <w:rFonts w:hint="eastAsia" w:ascii="宋体" w:hAnsi="宋体" w:cs="宋体"/>
          <w:sz w:val="21"/>
          <w:szCs w:val="21"/>
        </w:rPr>
        <w:t>月份开盘预售，</w:t>
      </w:r>
      <w:r>
        <w:rPr>
          <w:rFonts w:hint="eastAsia" w:ascii="宋体" w:hAnsi="宋体" w:cs="Arial"/>
          <w:sz w:val="21"/>
          <w:szCs w:val="21"/>
        </w:rPr>
        <w:t>在未取得预售证的情况下，已经产生实质销售</w:t>
      </w:r>
      <w:r>
        <w:rPr>
          <w:rFonts w:hint="eastAsia" w:ascii="宋体" w:hAnsi="宋体" w:cs="宋体"/>
          <w:sz w:val="21"/>
          <w:szCs w:val="21"/>
        </w:rPr>
        <w:t>。</w:t>
      </w:r>
    </w:p>
    <w:p>
      <w:pPr>
        <w:spacing w:line="480" w:lineRule="auto"/>
        <w:ind w:firstLine="420" w:firstLineChars="200"/>
        <w:rPr>
          <w:rFonts w:ascii="宋体" w:hAnsi="宋体" w:cs="宋体"/>
          <w:bCs/>
          <w:sz w:val="21"/>
          <w:szCs w:val="21"/>
        </w:rPr>
      </w:pPr>
      <w:r>
        <w:rPr>
          <w:rFonts w:hint="eastAsia" w:ascii="宋体" w:hAnsi="宋体" w:cs="宋体"/>
          <w:bCs/>
          <w:sz w:val="21"/>
          <w:szCs w:val="21"/>
        </w:rPr>
        <w:t>2）原因</w:t>
      </w:r>
    </w:p>
    <w:p>
      <w:pPr>
        <w:spacing w:line="480" w:lineRule="auto"/>
        <w:ind w:firstLine="420" w:firstLineChars="200"/>
        <w:rPr>
          <w:rFonts w:ascii="宋体" w:hAnsi="宋体" w:cs="宋体"/>
          <w:sz w:val="21"/>
          <w:szCs w:val="21"/>
          <w:lang w:bidi="ar"/>
        </w:rPr>
      </w:pPr>
      <w:r>
        <w:rPr>
          <w:rFonts w:hint="eastAsia" w:ascii="宋体" w:hAnsi="宋体" w:cs="宋体"/>
          <w:sz w:val="21"/>
          <w:szCs w:val="21"/>
        </w:rPr>
        <w:t>春天里项目</w:t>
      </w:r>
      <w:r>
        <w:rPr>
          <w:rFonts w:ascii="宋体" w:hAnsi="宋体" w:cs="宋体"/>
          <w:sz w:val="21"/>
          <w:szCs w:val="21"/>
        </w:rPr>
        <w:t>暂未</w:t>
      </w:r>
      <w:r>
        <w:rPr>
          <w:rFonts w:hint="eastAsia" w:ascii="宋体" w:hAnsi="宋体" w:cs="宋体"/>
          <w:sz w:val="21"/>
          <w:szCs w:val="21"/>
        </w:rPr>
        <w:t>取得</w:t>
      </w:r>
      <w:r>
        <w:rPr>
          <w:rFonts w:hint="eastAsia" w:ascii="宋体" w:hAnsi="宋体" w:cs="宋体"/>
          <w:sz w:val="21"/>
          <w:szCs w:val="21"/>
          <w:lang w:bidi="ar"/>
        </w:rPr>
        <w:t>《商品房预售许可证》，预计在2</w:t>
      </w:r>
      <w:r>
        <w:rPr>
          <w:rFonts w:ascii="宋体" w:hAnsi="宋体" w:cs="宋体"/>
          <w:sz w:val="21"/>
          <w:szCs w:val="21"/>
          <w:lang w:bidi="ar"/>
        </w:rPr>
        <w:t>021</w:t>
      </w:r>
      <w:r>
        <w:rPr>
          <w:rFonts w:hint="eastAsia" w:ascii="宋体" w:hAnsi="宋体" w:cs="宋体"/>
          <w:sz w:val="21"/>
          <w:szCs w:val="21"/>
          <w:lang w:bidi="ar"/>
        </w:rPr>
        <w:t>年2月1</w:t>
      </w:r>
      <w:r>
        <w:rPr>
          <w:rFonts w:ascii="宋体" w:hAnsi="宋体" w:cs="宋体"/>
          <w:sz w:val="21"/>
          <w:szCs w:val="21"/>
          <w:lang w:bidi="ar"/>
        </w:rPr>
        <w:t>0</w:t>
      </w:r>
      <w:r>
        <w:rPr>
          <w:rFonts w:hint="eastAsia" w:ascii="宋体" w:hAnsi="宋体" w:cs="宋体"/>
          <w:sz w:val="21"/>
          <w:szCs w:val="21"/>
          <w:lang w:bidi="ar"/>
        </w:rPr>
        <w:t>日开始正式开盘预售</w:t>
      </w:r>
      <w:r>
        <w:rPr>
          <w:rFonts w:hint="eastAsia" w:ascii="宋体" w:hAnsi="宋体" w:cs="宋体"/>
          <w:bCs/>
          <w:sz w:val="21"/>
          <w:szCs w:val="21"/>
        </w:rPr>
        <w:t>。</w:t>
      </w:r>
    </w:p>
    <w:p>
      <w:pPr>
        <w:pStyle w:val="2"/>
        <w:spacing w:line="480" w:lineRule="auto"/>
        <w:ind w:firstLineChars="200"/>
        <w:rPr>
          <w:rFonts w:ascii="宋体" w:hAnsi="宋体" w:cs="宋体"/>
          <w:szCs w:val="21"/>
          <w:lang w:bidi="ar"/>
        </w:rPr>
      </w:pPr>
      <w:r>
        <w:rPr>
          <w:rFonts w:hint="eastAsia" w:ascii="宋体" w:hAnsi="宋体" w:cs="宋体"/>
          <w:szCs w:val="21"/>
          <w:lang w:bidi="ar"/>
        </w:rPr>
        <w:t>3）潜在风险</w:t>
      </w:r>
    </w:p>
    <w:p>
      <w:pPr>
        <w:pStyle w:val="2"/>
        <w:spacing w:line="480" w:lineRule="auto"/>
        <w:ind w:firstLineChars="200"/>
        <w:rPr>
          <w:rFonts w:ascii="宋体" w:hAnsi="宋体" w:cs="宋体"/>
          <w:bCs/>
          <w:kern w:val="0"/>
          <w:szCs w:val="21"/>
        </w:rPr>
      </w:pPr>
      <w:r>
        <w:rPr>
          <w:rFonts w:hint="eastAsia" w:ascii="宋体" w:hAnsi="宋体" w:cs="Arial"/>
          <w:szCs w:val="21"/>
        </w:rPr>
        <w:t>存在因</w:t>
      </w:r>
      <w:r>
        <w:rPr>
          <w:rFonts w:hint="eastAsia" w:ascii="宋体" w:hAnsi="宋体" w:cs="Arial"/>
          <w:szCs w:val="21"/>
          <w:lang w:eastAsia="zh-Hans"/>
        </w:rPr>
        <w:t>无证销售的</w:t>
      </w:r>
      <w:r>
        <w:rPr>
          <w:rFonts w:hint="eastAsia" w:ascii="宋体" w:hAnsi="宋体" w:cs="Arial"/>
          <w:szCs w:val="21"/>
        </w:rPr>
        <w:t>违规操作而被处罚的</w:t>
      </w:r>
      <w:r>
        <w:rPr>
          <w:rFonts w:hint="eastAsia" w:ascii="宋体" w:hAnsi="宋体" w:cs="Arial"/>
          <w:szCs w:val="21"/>
          <w:lang w:eastAsia="zh-Hans"/>
        </w:rPr>
        <w:t>风</w:t>
      </w:r>
      <w:r>
        <w:rPr>
          <w:rFonts w:hint="eastAsia" w:ascii="宋体" w:hAnsi="宋体" w:cs="Arial"/>
          <w:szCs w:val="21"/>
        </w:rPr>
        <w:t>险</w:t>
      </w:r>
      <w:r>
        <w:rPr>
          <w:rFonts w:hint="eastAsia" w:ascii="宋体" w:hAnsi="宋体" w:cs="宋体"/>
          <w:bCs/>
          <w:kern w:val="0"/>
          <w:szCs w:val="21"/>
        </w:rPr>
        <w:t>。</w:t>
      </w:r>
    </w:p>
    <w:p>
      <w:pPr>
        <w:spacing w:line="480" w:lineRule="auto"/>
        <w:ind w:firstLine="420" w:firstLineChars="200"/>
        <w:rPr>
          <w:rFonts w:ascii="宋体" w:hAnsi="宋体" w:cs="宋体"/>
          <w:bCs/>
          <w:sz w:val="21"/>
          <w:szCs w:val="21"/>
        </w:rPr>
      </w:pPr>
      <w:r>
        <w:rPr>
          <w:rFonts w:hint="eastAsia" w:ascii="宋体" w:hAnsi="宋体" w:cs="宋体"/>
          <w:bCs/>
          <w:sz w:val="21"/>
          <w:szCs w:val="21"/>
        </w:rPr>
        <w:t>（2）建议措施及后期需关注事项。</w:t>
      </w:r>
    </w:p>
    <w:p>
      <w:pPr>
        <w:spacing w:line="480" w:lineRule="auto"/>
        <w:ind w:firstLine="420" w:firstLineChars="200"/>
        <w:rPr>
          <w:rFonts w:ascii="宋体" w:hAnsi="宋体" w:cs="宋体"/>
          <w:bCs/>
          <w:sz w:val="21"/>
          <w:szCs w:val="21"/>
        </w:rPr>
      </w:pPr>
      <w:r>
        <w:rPr>
          <w:rFonts w:hint="eastAsia" w:ascii="宋体" w:hAnsi="宋体" w:cs="宋体"/>
          <w:bCs/>
          <w:sz w:val="21"/>
          <w:szCs w:val="21"/>
        </w:rPr>
        <w:t>1）建议措施</w:t>
      </w:r>
    </w:p>
    <w:p>
      <w:pPr>
        <w:pStyle w:val="2"/>
        <w:spacing w:line="480" w:lineRule="auto"/>
        <w:ind w:firstLineChars="200"/>
        <w:rPr>
          <w:rFonts w:ascii="宋体" w:hAnsi="宋体" w:cs="宋体"/>
          <w:szCs w:val="21"/>
        </w:rPr>
      </w:pPr>
      <w:r>
        <w:rPr>
          <w:rFonts w:ascii="宋体" w:hAnsi="宋体" w:cs="Arial"/>
          <w:kern w:val="0"/>
          <w:szCs w:val="21"/>
          <w:lang w:eastAsia="zh-Hans"/>
        </w:rPr>
        <w:t>1</w:t>
      </w:r>
      <w:r>
        <w:rPr>
          <w:rFonts w:hint="eastAsia" w:ascii="宋体" w:hAnsi="宋体" w:cs="Arial"/>
          <w:kern w:val="0"/>
          <w:szCs w:val="21"/>
          <w:lang w:eastAsia="zh-Hans"/>
        </w:rPr>
        <w:t>、做好取证工作的资料准备工作；</w:t>
      </w:r>
      <w:r>
        <w:rPr>
          <w:rFonts w:ascii="宋体" w:hAnsi="宋体" w:cs="Arial"/>
          <w:kern w:val="0"/>
          <w:szCs w:val="21"/>
          <w:lang w:eastAsia="zh-Hans"/>
        </w:rPr>
        <w:t>2</w:t>
      </w:r>
      <w:r>
        <w:rPr>
          <w:rFonts w:hint="eastAsia" w:ascii="宋体" w:hAnsi="宋体" w:cs="Arial"/>
          <w:kern w:val="0"/>
          <w:szCs w:val="21"/>
          <w:lang w:eastAsia="zh-Hans"/>
        </w:rPr>
        <w:t>、加快已销售楼栋的工程进度，达到预售许可证所需的形象进度；</w:t>
      </w:r>
      <w:r>
        <w:rPr>
          <w:rFonts w:ascii="宋体" w:hAnsi="宋体" w:cs="Arial"/>
          <w:kern w:val="0"/>
          <w:szCs w:val="21"/>
          <w:lang w:eastAsia="zh-Hans"/>
        </w:rPr>
        <w:t>3</w:t>
      </w:r>
      <w:r>
        <w:rPr>
          <w:rFonts w:hint="eastAsia" w:ascii="宋体" w:hAnsi="宋体" w:cs="Arial"/>
          <w:kern w:val="0"/>
          <w:szCs w:val="21"/>
          <w:lang w:eastAsia="zh-Hans"/>
        </w:rPr>
        <w:t>、提前筹划公关工作，避免产生罚款</w:t>
      </w:r>
      <w:r>
        <w:rPr>
          <w:rFonts w:hint="eastAsia" w:ascii="宋体" w:hAnsi="宋体" w:cs="宋体"/>
          <w:szCs w:val="21"/>
        </w:rPr>
        <w:t>。</w:t>
      </w:r>
    </w:p>
    <w:p>
      <w:pPr>
        <w:spacing w:line="480" w:lineRule="auto"/>
        <w:ind w:firstLine="420" w:firstLineChars="200"/>
        <w:rPr>
          <w:rFonts w:ascii="宋体" w:hAnsi="宋体" w:cs="宋体"/>
          <w:bCs/>
          <w:sz w:val="21"/>
          <w:szCs w:val="21"/>
        </w:rPr>
      </w:pPr>
      <w:r>
        <w:rPr>
          <w:rFonts w:hint="eastAsia" w:ascii="宋体" w:hAnsi="宋体" w:cs="宋体"/>
          <w:bCs/>
          <w:sz w:val="21"/>
          <w:szCs w:val="21"/>
        </w:rPr>
        <w:t>2）后期需关注事项</w:t>
      </w:r>
    </w:p>
    <w:p>
      <w:pPr>
        <w:spacing w:line="480" w:lineRule="auto"/>
        <w:ind w:firstLine="420" w:firstLineChars="200"/>
        <w:jc w:val="both"/>
        <w:rPr>
          <w:rFonts w:ascii="宋体" w:hAnsi="宋体" w:cs="宋体"/>
          <w:bCs/>
          <w:sz w:val="18"/>
          <w:szCs w:val="18"/>
        </w:rPr>
      </w:pPr>
      <w:r>
        <w:rPr>
          <w:rFonts w:hint="eastAsia" w:ascii="宋体" w:hAnsi="宋体" w:cs="宋体"/>
          <w:bCs/>
          <w:sz w:val="21"/>
          <w:szCs w:val="21"/>
        </w:rPr>
        <w:t>后期特别关注相关证件办理进度，现场施工情况。</w:t>
      </w:r>
    </w:p>
    <w:p>
      <w:pPr>
        <w:pStyle w:val="2"/>
        <w:spacing w:line="480" w:lineRule="auto"/>
        <w:ind w:firstLine="0" w:firstLineChars="0"/>
        <w:outlineLvl w:val="0"/>
        <w:rPr>
          <w:rFonts w:ascii="宋体" w:hAnsi="宋体" w:cs="宋体"/>
          <w:b/>
        </w:rPr>
      </w:pPr>
      <w:bookmarkStart w:id="4" w:name="_Toc61551283"/>
      <w:r>
        <w:rPr>
          <w:rFonts w:hint="eastAsia" w:ascii="宋体" w:hAnsi="宋体" w:cs="宋体"/>
          <w:b/>
        </w:rPr>
        <w:t>三、项目开发建设情况</w:t>
      </w:r>
      <w:bookmarkEnd w:id="4"/>
    </w:p>
    <w:p>
      <w:pPr>
        <w:ind w:firstLine="2880" w:firstLineChars="1600"/>
        <w:rPr>
          <w:rFonts w:ascii="宋体" w:hAnsi="宋体" w:cs="宋体"/>
          <w:bCs/>
          <w:sz w:val="18"/>
          <w:szCs w:val="18"/>
        </w:rPr>
      </w:pPr>
      <w:r>
        <w:rPr>
          <w:rFonts w:hint="eastAsia" w:ascii="宋体" w:hAnsi="宋体" w:cs="宋体"/>
          <w:sz w:val="18"/>
          <w:szCs w:val="18"/>
        </w:rPr>
        <w:t>表四：</w:t>
      </w:r>
      <w:r>
        <w:rPr>
          <w:rFonts w:hint="eastAsia" w:ascii="宋体" w:hAnsi="宋体" w:cs="宋体"/>
          <w:bCs/>
          <w:sz w:val="18"/>
          <w:szCs w:val="18"/>
        </w:rPr>
        <w:t>项目开发进度计划</w:t>
      </w:r>
    </w:p>
    <w:tbl>
      <w:tblPr>
        <w:tblStyle w:val="24"/>
        <w:tblW w:w="8892" w:type="dxa"/>
        <w:tblInd w:w="-134" w:type="dxa"/>
        <w:tblLayout w:type="autofit"/>
        <w:tblCellMar>
          <w:top w:w="0" w:type="dxa"/>
          <w:left w:w="108" w:type="dxa"/>
          <w:bottom w:w="0" w:type="dxa"/>
          <w:right w:w="108" w:type="dxa"/>
        </w:tblCellMar>
      </w:tblPr>
      <w:tblGrid>
        <w:gridCol w:w="725"/>
        <w:gridCol w:w="1341"/>
        <w:gridCol w:w="1426"/>
        <w:gridCol w:w="1080"/>
        <w:gridCol w:w="1080"/>
        <w:gridCol w:w="1080"/>
        <w:gridCol w:w="1080"/>
        <w:gridCol w:w="1080"/>
      </w:tblGrid>
      <w:tr>
        <w:trPr>
          <w:trHeight w:val="1082" w:hRule="atLeast"/>
          <w:tblHeader/>
        </w:trPr>
        <w:tc>
          <w:tcPr>
            <w:tcW w:w="725" w:type="dxa"/>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序号</w:t>
            </w:r>
          </w:p>
        </w:tc>
        <w:tc>
          <w:tcPr>
            <w:tcW w:w="1341"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单位工程/</w:t>
            </w:r>
          </w:p>
          <w:p>
            <w:pPr>
              <w:jc w:val="center"/>
              <w:rPr>
                <w:rFonts w:ascii="宋体" w:hAnsi="宋体" w:cs="宋体"/>
                <w:b/>
                <w:bCs/>
                <w:color w:val="000000"/>
                <w:sz w:val="18"/>
                <w:szCs w:val="18"/>
              </w:rPr>
            </w:pPr>
            <w:r>
              <w:rPr>
                <w:rFonts w:hint="eastAsia" w:ascii="宋体" w:hAnsi="宋体" w:cs="宋体"/>
                <w:b/>
                <w:bCs/>
                <w:color w:val="000000"/>
                <w:sz w:val="18"/>
                <w:szCs w:val="18"/>
              </w:rPr>
              <w:t>开发期次</w:t>
            </w:r>
          </w:p>
        </w:tc>
        <w:tc>
          <w:tcPr>
            <w:tcW w:w="1426" w:type="dxa"/>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计划开工时间</w:t>
            </w:r>
          </w:p>
        </w:tc>
        <w:tc>
          <w:tcPr>
            <w:tcW w:w="1080" w:type="dxa"/>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计划开盘时间</w:t>
            </w:r>
          </w:p>
        </w:tc>
        <w:tc>
          <w:tcPr>
            <w:tcW w:w="1080" w:type="dxa"/>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结构计划封顶时间</w:t>
            </w:r>
          </w:p>
        </w:tc>
        <w:tc>
          <w:tcPr>
            <w:tcW w:w="1080" w:type="dxa"/>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去化率满足模拟清算</w:t>
            </w:r>
          </w:p>
        </w:tc>
        <w:tc>
          <w:tcPr>
            <w:tcW w:w="1080" w:type="dxa"/>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评价当前施工进度</w:t>
            </w:r>
          </w:p>
        </w:tc>
        <w:tc>
          <w:tcPr>
            <w:tcW w:w="1080"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备注</w:t>
            </w:r>
          </w:p>
        </w:tc>
      </w:tr>
      <w:tr>
        <w:trPr>
          <w:trHeight w:val="430" w:hRule="atLeast"/>
        </w:trPr>
        <w:tc>
          <w:tcPr>
            <w:tcW w:w="725" w:type="dxa"/>
            <w:tcBorders>
              <w:top w:val="nil"/>
              <w:left w:val="single" w:color="auto" w:sz="8" w:space="0"/>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1341" w:type="dxa"/>
            <w:tcBorders>
              <w:top w:val="nil"/>
              <w:left w:val="nil"/>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15#</w:t>
            </w:r>
          </w:p>
        </w:tc>
        <w:tc>
          <w:tcPr>
            <w:tcW w:w="142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2020.10.5</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2020.11.7</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2021.6.30</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否</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进度正常</w:t>
            </w:r>
          </w:p>
        </w:tc>
        <w:tc>
          <w:tcPr>
            <w:tcW w:w="1080"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　</w:t>
            </w:r>
          </w:p>
        </w:tc>
      </w:tr>
      <w:tr>
        <w:trPr>
          <w:trHeight w:val="430" w:hRule="atLeast"/>
        </w:trPr>
        <w:tc>
          <w:tcPr>
            <w:tcW w:w="725" w:type="dxa"/>
            <w:tcBorders>
              <w:top w:val="single" w:color="auto" w:sz="8" w:space="0"/>
              <w:left w:val="single" w:color="auto" w:sz="8" w:space="0"/>
              <w:bottom w:val="single" w:color="auto" w:sz="4"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w:t>
            </w:r>
          </w:p>
        </w:tc>
        <w:tc>
          <w:tcPr>
            <w:tcW w:w="1341" w:type="dxa"/>
            <w:tcBorders>
              <w:top w:val="single" w:color="auto" w:sz="8" w:space="0"/>
              <w:left w:val="nil"/>
              <w:bottom w:val="single" w:color="auto" w:sz="4"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16#</w:t>
            </w:r>
          </w:p>
        </w:tc>
        <w:tc>
          <w:tcPr>
            <w:tcW w:w="142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2020.10.5</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2020.11.7</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2021.6.30</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否</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进度滞后</w:t>
            </w:r>
          </w:p>
        </w:tc>
        <w:tc>
          <w:tcPr>
            <w:tcW w:w="1080" w:type="dxa"/>
            <w:vMerge w:val="continue"/>
            <w:tcBorders>
              <w:top w:val="nil"/>
              <w:left w:val="single" w:color="auto" w:sz="8" w:space="0"/>
              <w:bottom w:val="single" w:color="000000" w:sz="8" w:space="0"/>
              <w:right w:val="single" w:color="auto" w:sz="8" w:space="0"/>
            </w:tcBorders>
            <w:vAlign w:val="center"/>
          </w:tcPr>
          <w:p>
            <w:pPr>
              <w:rPr>
                <w:rFonts w:ascii="宋体" w:hAnsi="宋体" w:cs="宋体"/>
                <w:b/>
                <w:bCs/>
                <w:color w:val="000000"/>
                <w:sz w:val="18"/>
                <w:szCs w:val="18"/>
              </w:rPr>
            </w:pPr>
          </w:p>
        </w:tc>
      </w:tr>
      <w:tr>
        <w:trPr>
          <w:trHeight w:val="430" w:hRule="atLeast"/>
        </w:trPr>
        <w:tc>
          <w:tcPr>
            <w:tcW w:w="7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w:t>
            </w:r>
          </w:p>
        </w:tc>
        <w:tc>
          <w:tcPr>
            <w:tcW w:w="134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17#</w:t>
            </w:r>
          </w:p>
        </w:tc>
        <w:tc>
          <w:tcPr>
            <w:tcW w:w="1426" w:type="dxa"/>
            <w:tcBorders>
              <w:top w:val="nil"/>
              <w:left w:val="single" w:color="auto" w:sz="4"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2020.10.5</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2020.11.7</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2021.6.30</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否</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进度正常</w:t>
            </w:r>
          </w:p>
        </w:tc>
        <w:tc>
          <w:tcPr>
            <w:tcW w:w="1080" w:type="dxa"/>
            <w:vMerge w:val="continue"/>
            <w:tcBorders>
              <w:top w:val="nil"/>
              <w:left w:val="single" w:color="auto" w:sz="8" w:space="0"/>
              <w:bottom w:val="single" w:color="000000" w:sz="8" w:space="0"/>
              <w:right w:val="single" w:color="auto" w:sz="8" w:space="0"/>
            </w:tcBorders>
            <w:vAlign w:val="center"/>
          </w:tcPr>
          <w:p>
            <w:pPr>
              <w:rPr>
                <w:rFonts w:ascii="宋体" w:hAnsi="宋体" w:cs="宋体"/>
                <w:b/>
                <w:bCs/>
                <w:color w:val="000000"/>
                <w:sz w:val="18"/>
                <w:szCs w:val="18"/>
              </w:rPr>
            </w:pPr>
          </w:p>
        </w:tc>
      </w:tr>
      <w:tr>
        <w:trPr>
          <w:trHeight w:val="430" w:hRule="atLeast"/>
        </w:trPr>
        <w:tc>
          <w:tcPr>
            <w:tcW w:w="7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134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18#</w:t>
            </w:r>
          </w:p>
        </w:tc>
        <w:tc>
          <w:tcPr>
            <w:tcW w:w="1426" w:type="dxa"/>
            <w:tcBorders>
              <w:top w:val="nil"/>
              <w:left w:val="single" w:color="auto" w:sz="4"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2020.10.5</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2020.11.7</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2021.6.30</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否</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进度正常</w:t>
            </w:r>
          </w:p>
        </w:tc>
        <w:tc>
          <w:tcPr>
            <w:tcW w:w="1080" w:type="dxa"/>
            <w:vMerge w:val="continue"/>
            <w:tcBorders>
              <w:top w:val="nil"/>
              <w:left w:val="single" w:color="auto" w:sz="8" w:space="0"/>
              <w:bottom w:val="single" w:color="000000" w:sz="8" w:space="0"/>
              <w:right w:val="single" w:color="auto" w:sz="8" w:space="0"/>
            </w:tcBorders>
            <w:vAlign w:val="center"/>
          </w:tcPr>
          <w:p>
            <w:pPr>
              <w:rPr>
                <w:rFonts w:ascii="宋体" w:hAnsi="宋体" w:cs="宋体"/>
                <w:b/>
                <w:bCs/>
                <w:color w:val="000000"/>
                <w:sz w:val="18"/>
                <w:szCs w:val="18"/>
              </w:rPr>
            </w:pPr>
          </w:p>
        </w:tc>
      </w:tr>
      <w:tr>
        <w:trPr>
          <w:trHeight w:val="430" w:hRule="atLeast"/>
        </w:trPr>
        <w:tc>
          <w:tcPr>
            <w:tcW w:w="725" w:type="dxa"/>
            <w:tcBorders>
              <w:top w:val="single" w:color="auto" w:sz="4" w:space="0"/>
              <w:left w:val="single" w:color="auto" w:sz="8" w:space="0"/>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5</w:t>
            </w:r>
          </w:p>
        </w:tc>
        <w:tc>
          <w:tcPr>
            <w:tcW w:w="1341" w:type="dxa"/>
            <w:tcBorders>
              <w:top w:val="single" w:color="auto" w:sz="4" w:space="0"/>
              <w:left w:val="nil"/>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19#</w:t>
            </w:r>
          </w:p>
        </w:tc>
        <w:tc>
          <w:tcPr>
            <w:tcW w:w="142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2020.10.5</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2020.11.7</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2021.6.30</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否</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进度正常</w:t>
            </w:r>
          </w:p>
        </w:tc>
        <w:tc>
          <w:tcPr>
            <w:tcW w:w="1080" w:type="dxa"/>
            <w:vMerge w:val="continue"/>
            <w:tcBorders>
              <w:top w:val="nil"/>
              <w:left w:val="single" w:color="auto" w:sz="8" w:space="0"/>
              <w:bottom w:val="single" w:color="000000" w:sz="8" w:space="0"/>
              <w:right w:val="single" w:color="auto" w:sz="8" w:space="0"/>
            </w:tcBorders>
            <w:vAlign w:val="center"/>
          </w:tcPr>
          <w:p>
            <w:pPr>
              <w:rPr>
                <w:rFonts w:ascii="宋体" w:hAnsi="宋体" w:cs="宋体"/>
                <w:b/>
                <w:bCs/>
                <w:color w:val="000000"/>
                <w:sz w:val="18"/>
                <w:szCs w:val="18"/>
              </w:rPr>
            </w:pPr>
          </w:p>
        </w:tc>
      </w:tr>
      <w:tr>
        <w:trPr>
          <w:trHeight w:val="430" w:hRule="atLeast"/>
        </w:trPr>
        <w:tc>
          <w:tcPr>
            <w:tcW w:w="725" w:type="dxa"/>
            <w:tcBorders>
              <w:top w:val="single" w:color="auto" w:sz="8" w:space="0"/>
              <w:left w:val="single" w:color="auto" w:sz="8" w:space="0"/>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w:t>
            </w:r>
          </w:p>
        </w:tc>
        <w:tc>
          <w:tcPr>
            <w:tcW w:w="1341" w:type="dxa"/>
            <w:tcBorders>
              <w:top w:val="single" w:color="auto" w:sz="8" w:space="0"/>
              <w:left w:val="nil"/>
              <w:bottom w:val="nil"/>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w:t>
            </w:r>
          </w:p>
        </w:tc>
        <w:tc>
          <w:tcPr>
            <w:tcW w:w="142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2020.10.5</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2020.11.7</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2021.6.30</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否</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进度正常</w:t>
            </w:r>
          </w:p>
        </w:tc>
        <w:tc>
          <w:tcPr>
            <w:tcW w:w="1080" w:type="dxa"/>
            <w:vMerge w:val="continue"/>
            <w:tcBorders>
              <w:top w:val="nil"/>
              <w:left w:val="single" w:color="auto" w:sz="8" w:space="0"/>
              <w:bottom w:val="single" w:color="000000" w:sz="8" w:space="0"/>
              <w:right w:val="single" w:color="auto" w:sz="8" w:space="0"/>
            </w:tcBorders>
            <w:vAlign w:val="center"/>
          </w:tcPr>
          <w:p>
            <w:pPr>
              <w:rPr>
                <w:rFonts w:ascii="宋体" w:hAnsi="宋体" w:cs="宋体"/>
                <w:b/>
                <w:bCs/>
                <w:color w:val="000000"/>
                <w:sz w:val="18"/>
                <w:szCs w:val="18"/>
              </w:rPr>
            </w:pPr>
          </w:p>
        </w:tc>
      </w:tr>
      <w:tr>
        <w:trPr>
          <w:trHeight w:val="430" w:hRule="atLeast"/>
        </w:trPr>
        <w:tc>
          <w:tcPr>
            <w:tcW w:w="725"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w:t>
            </w:r>
          </w:p>
        </w:tc>
        <w:tc>
          <w:tcPr>
            <w:tcW w:w="1341"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21#</w:t>
            </w:r>
          </w:p>
        </w:tc>
        <w:tc>
          <w:tcPr>
            <w:tcW w:w="142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2020.10.5</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2020.11.7</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2021.6.30</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否</w:t>
            </w:r>
          </w:p>
        </w:tc>
        <w:tc>
          <w:tcPr>
            <w:tcW w:w="10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进度正常</w:t>
            </w:r>
          </w:p>
        </w:tc>
        <w:tc>
          <w:tcPr>
            <w:tcW w:w="1080" w:type="dxa"/>
            <w:vMerge w:val="continue"/>
            <w:tcBorders>
              <w:top w:val="nil"/>
              <w:left w:val="single" w:color="auto" w:sz="8" w:space="0"/>
              <w:bottom w:val="single" w:color="000000" w:sz="8" w:space="0"/>
              <w:right w:val="single" w:color="auto" w:sz="8" w:space="0"/>
            </w:tcBorders>
            <w:vAlign w:val="center"/>
          </w:tcPr>
          <w:p>
            <w:pPr>
              <w:rPr>
                <w:rFonts w:ascii="宋体" w:hAnsi="宋体" w:cs="宋体"/>
                <w:b/>
                <w:bCs/>
                <w:color w:val="000000"/>
                <w:sz w:val="18"/>
                <w:szCs w:val="18"/>
              </w:rPr>
            </w:pPr>
          </w:p>
        </w:tc>
      </w:tr>
    </w:tbl>
    <w:p>
      <w:pPr>
        <w:pStyle w:val="2"/>
        <w:ind w:firstLine="180"/>
      </w:pPr>
      <w:r>
        <w:rPr>
          <w:rFonts w:hint="eastAsia" w:asciiTheme="minorEastAsia" w:hAnsiTheme="minorEastAsia" w:eastAsiaTheme="minorEastAsia" w:cstheme="minorEastAsia"/>
          <w:kern w:val="0"/>
          <w:sz w:val="18"/>
          <w:szCs w:val="18"/>
          <w:lang w:bidi="ar"/>
        </w:rPr>
        <w:t>注：</w:t>
      </w:r>
      <w:r>
        <w:rPr>
          <w:rFonts w:hint="eastAsia" w:asciiTheme="minorEastAsia" w:hAnsiTheme="minorEastAsia" w:eastAsiaTheme="minorEastAsia" w:cstheme="minorEastAsia"/>
          <w:kern w:val="0"/>
          <w:sz w:val="18"/>
          <w:szCs w:val="18"/>
          <w:lang w:eastAsia="zh-Hans" w:bidi="ar"/>
        </w:rPr>
        <w:t>该预计开盘时间为企业在未取得预售许可证的情况下的内定时间。</w:t>
      </w:r>
    </w:p>
    <w:p>
      <w:pPr>
        <w:spacing w:line="480" w:lineRule="auto"/>
        <w:ind w:firstLine="420" w:firstLineChars="200"/>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（1）存在的问题、原因及潜在风险。</w:t>
      </w:r>
    </w:p>
    <w:p>
      <w:pPr>
        <w:spacing w:line="480" w:lineRule="auto"/>
        <w:ind w:firstLine="420" w:firstLineChars="200"/>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 存在的问题</w:t>
      </w:r>
    </w:p>
    <w:p>
      <w:pPr>
        <w:spacing w:line="480" w:lineRule="auto"/>
        <w:ind w:firstLine="420" w:firstLineChars="200"/>
        <w:rPr>
          <w:rFonts w:asciiTheme="minorEastAsia" w:hAnsiTheme="minorEastAsia" w:eastAsiaTheme="minorEastAsia" w:cstheme="minorEastAsia"/>
          <w:bCs/>
          <w:sz w:val="21"/>
          <w:szCs w:val="21"/>
        </w:rPr>
      </w:pPr>
      <w:bookmarkStart w:id="5" w:name="_Hlk61365657"/>
      <w:r>
        <w:rPr>
          <w:rFonts w:hint="eastAsia" w:asciiTheme="minorEastAsia" w:hAnsiTheme="minorEastAsia" w:eastAsiaTheme="minorEastAsia" w:cstheme="minorEastAsia"/>
          <w:bCs/>
          <w:sz w:val="21"/>
          <w:szCs w:val="21"/>
        </w:rPr>
        <w:t>2</w:t>
      </w:r>
      <w:r>
        <w:rPr>
          <w:rFonts w:asciiTheme="minorEastAsia" w:hAnsiTheme="minorEastAsia" w:eastAsiaTheme="minorEastAsia" w:cstheme="minorEastAsia"/>
          <w:bCs/>
          <w:sz w:val="21"/>
          <w:szCs w:val="21"/>
        </w:rPr>
        <w:t>021</w:t>
      </w:r>
      <w:r>
        <w:rPr>
          <w:rFonts w:hint="eastAsia" w:asciiTheme="minorEastAsia" w:hAnsiTheme="minorEastAsia" w:eastAsiaTheme="minorEastAsia" w:cstheme="minorEastAsia"/>
          <w:bCs/>
          <w:sz w:val="21"/>
          <w:szCs w:val="21"/>
        </w:rPr>
        <w:t>年2月1</w:t>
      </w:r>
      <w:r>
        <w:rPr>
          <w:rFonts w:asciiTheme="minorEastAsia" w:hAnsiTheme="minorEastAsia" w:eastAsiaTheme="minorEastAsia" w:cstheme="minorEastAsia"/>
          <w:bCs/>
          <w:sz w:val="21"/>
          <w:szCs w:val="21"/>
        </w:rPr>
        <w:t>0</w:t>
      </w:r>
      <w:r>
        <w:rPr>
          <w:rFonts w:hint="eastAsia" w:asciiTheme="minorEastAsia" w:hAnsiTheme="minorEastAsia" w:eastAsiaTheme="minorEastAsia" w:cstheme="minorEastAsia"/>
          <w:bCs/>
          <w:sz w:val="21"/>
          <w:szCs w:val="21"/>
        </w:rPr>
        <w:t>日为首开区预计开盘时间，但是商品房预售许可证暂未办理成功</w:t>
      </w:r>
      <w:bookmarkEnd w:id="5"/>
      <w:r>
        <w:rPr>
          <w:rFonts w:hint="eastAsia" w:asciiTheme="minorEastAsia" w:hAnsiTheme="minorEastAsia" w:eastAsiaTheme="minorEastAsia" w:cstheme="minorEastAsia"/>
          <w:bCs/>
          <w:sz w:val="21"/>
          <w:szCs w:val="21"/>
        </w:rPr>
        <w:t>。</w:t>
      </w:r>
    </w:p>
    <w:p>
      <w:pPr>
        <w:spacing w:line="480" w:lineRule="auto"/>
        <w:ind w:firstLine="420" w:firstLineChars="200"/>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2）建议措施</w:t>
      </w:r>
    </w:p>
    <w:p>
      <w:pPr>
        <w:pStyle w:val="2"/>
        <w:spacing w:line="480" w:lineRule="auto"/>
        <w:ind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建议项目公司对工期采取动态调整，要求总包单位从人工、材料、机械、施工工艺、方法等方面调整工期，在保证质量、安全的前提下，加快施工进度。</w:t>
      </w:r>
    </w:p>
    <w:p>
      <w:pPr>
        <w:spacing w:line="480" w:lineRule="auto"/>
        <w:ind w:firstLine="420" w:firstLineChars="200"/>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3）后期需关注事项</w:t>
      </w:r>
    </w:p>
    <w:p>
      <w:pPr>
        <w:pStyle w:val="2"/>
        <w:spacing w:line="480" w:lineRule="auto"/>
        <w:ind w:firstLineChars="200"/>
        <w:rPr>
          <w:rFonts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后续关注项目公司实际工程进度。</w:t>
      </w:r>
    </w:p>
    <w:p>
      <w:pPr>
        <w:pStyle w:val="4"/>
        <w:spacing w:line="480" w:lineRule="auto"/>
        <w:rPr>
          <w:rFonts w:asciiTheme="minorEastAsia" w:hAnsiTheme="minorEastAsia" w:eastAsiaTheme="minorEastAsia" w:cstheme="minorEastAsia"/>
          <w:sz w:val="21"/>
          <w:szCs w:val="21"/>
        </w:rPr>
      </w:pPr>
      <w:bookmarkStart w:id="6" w:name="_Toc61551284"/>
      <w:r>
        <w:rPr>
          <w:rFonts w:hint="eastAsia" w:asciiTheme="minorEastAsia" w:hAnsiTheme="minorEastAsia" w:eastAsiaTheme="minorEastAsia" w:cstheme="minorEastAsia"/>
          <w:sz w:val="21"/>
          <w:szCs w:val="21"/>
        </w:rPr>
        <w:t>四、项目成本执行情况</w:t>
      </w:r>
      <w:bookmarkEnd w:id="6"/>
    </w:p>
    <w:p>
      <w:pPr>
        <w:ind w:firstLine="2880" w:firstLineChars="1600"/>
        <w:rPr>
          <w:rFonts w:ascii="宋体" w:hAnsi="宋体" w:cs="宋体"/>
          <w:bCs/>
          <w:sz w:val="18"/>
          <w:szCs w:val="18"/>
        </w:rPr>
      </w:pPr>
      <w:r>
        <w:rPr>
          <w:rFonts w:hint="eastAsia" w:ascii="宋体" w:hAnsi="宋体" w:cs="宋体"/>
          <w:sz w:val="18"/>
          <w:szCs w:val="18"/>
        </w:rPr>
        <w:t>表五：</w:t>
      </w:r>
      <w:r>
        <w:rPr>
          <w:rFonts w:hint="eastAsia" w:ascii="宋体" w:hAnsi="宋体" w:cs="宋体"/>
          <w:bCs/>
          <w:sz w:val="18"/>
          <w:szCs w:val="18"/>
        </w:rPr>
        <w:t>项目成本执行情况</w:t>
      </w:r>
    </w:p>
    <w:tbl>
      <w:tblPr>
        <w:tblStyle w:val="24"/>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076"/>
        <w:gridCol w:w="1143"/>
        <w:gridCol w:w="1121"/>
        <w:gridCol w:w="1055"/>
        <w:gridCol w:w="2735"/>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3" w:hRule="atLeast"/>
          <w:tblHeader/>
          <w:jc w:val="center"/>
        </w:trPr>
        <w:tc>
          <w:tcPr>
            <w:tcW w:w="696"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序号</w:t>
            </w:r>
          </w:p>
        </w:tc>
        <w:tc>
          <w:tcPr>
            <w:tcW w:w="1076"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成本科目</w:t>
            </w:r>
          </w:p>
        </w:tc>
        <w:tc>
          <w:tcPr>
            <w:tcW w:w="1143"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对赌金额</w:t>
            </w:r>
          </w:p>
          <w:p>
            <w:pPr>
              <w:jc w:val="center"/>
              <w:rPr>
                <w:rFonts w:ascii="宋体" w:hAnsi="宋体" w:cs="宋体"/>
                <w:b/>
                <w:bCs/>
                <w:color w:val="000000"/>
                <w:sz w:val="18"/>
                <w:szCs w:val="18"/>
              </w:rPr>
            </w:pPr>
            <w:r>
              <w:rPr>
                <w:rFonts w:hint="eastAsia" w:ascii="宋体" w:hAnsi="宋体" w:cs="宋体"/>
                <w:b/>
                <w:bCs/>
                <w:color w:val="000000"/>
                <w:sz w:val="18"/>
                <w:szCs w:val="18"/>
              </w:rPr>
              <w:t>（万元）</w:t>
            </w:r>
          </w:p>
        </w:tc>
        <w:tc>
          <w:tcPr>
            <w:tcW w:w="1121"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已发生金额</w:t>
            </w:r>
          </w:p>
          <w:p>
            <w:pPr>
              <w:jc w:val="center"/>
              <w:rPr>
                <w:rFonts w:ascii="宋体" w:hAnsi="宋体" w:cs="宋体"/>
                <w:b/>
                <w:bCs/>
                <w:color w:val="000000"/>
                <w:sz w:val="18"/>
                <w:szCs w:val="18"/>
              </w:rPr>
            </w:pPr>
            <w:r>
              <w:rPr>
                <w:rFonts w:hint="eastAsia" w:ascii="宋体" w:hAnsi="宋体" w:cs="宋体"/>
                <w:b/>
                <w:bCs/>
                <w:color w:val="000000"/>
                <w:sz w:val="18"/>
                <w:szCs w:val="18"/>
              </w:rPr>
              <w:t>（万元）</w:t>
            </w:r>
          </w:p>
        </w:tc>
        <w:tc>
          <w:tcPr>
            <w:tcW w:w="1055"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占比</w:t>
            </w:r>
          </w:p>
          <w:p>
            <w:pPr>
              <w:jc w:val="center"/>
              <w:rPr>
                <w:rFonts w:ascii="宋体" w:hAnsi="宋体" w:cs="宋体"/>
                <w:b/>
                <w:bCs/>
                <w:color w:val="000000"/>
                <w:sz w:val="18"/>
                <w:szCs w:val="18"/>
              </w:rPr>
            </w:pPr>
            <w:r>
              <w:rPr>
                <w:rFonts w:hint="eastAsia" w:ascii="宋体" w:hAnsi="宋体" w:cs="宋体"/>
                <w:b/>
                <w:bCs/>
                <w:color w:val="000000"/>
                <w:sz w:val="18"/>
                <w:szCs w:val="18"/>
              </w:rPr>
              <w:t>100%</w:t>
            </w:r>
          </w:p>
        </w:tc>
        <w:tc>
          <w:tcPr>
            <w:tcW w:w="2735"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评价成本支出的合理性</w:t>
            </w:r>
          </w:p>
        </w:tc>
        <w:tc>
          <w:tcPr>
            <w:tcW w:w="1177"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3" w:hRule="atLeast"/>
          <w:jc w:val="center"/>
        </w:trPr>
        <w:tc>
          <w:tcPr>
            <w:tcW w:w="696"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1076"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土地费</w:t>
            </w:r>
          </w:p>
        </w:tc>
        <w:tc>
          <w:tcPr>
            <w:tcW w:w="1143"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实际取得价格</w:t>
            </w:r>
          </w:p>
        </w:tc>
        <w:tc>
          <w:tcPr>
            <w:tcW w:w="1121" w:type="dxa"/>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33,900.00</w:t>
            </w:r>
          </w:p>
        </w:tc>
        <w:tc>
          <w:tcPr>
            <w:tcW w:w="1055"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c>
          <w:tcPr>
            <w:tcW w:w="2735"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c>
          <w:tcPr>
            <w:tcW w:w="1177"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包含土地出让费、契税及土地款利息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96"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w:t>
            </w:r>
          </w:p>
        </w:tc>
        <w:tc>
          <w:tcPr>
            <w:tcW w:w="1076"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前期工程费</w:t>
            </w:r>
          </w:p>
        </w:tc>
        <w:tc>
          <w:tcPr>
            <w:tcW w:w="1143" w:type="dxa"/>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3,479.00</w:t>
            </w:r>
          </w:p>
        </w:tc>
        <w:tc>
          <w:tcPr>
            <w:tcW w:w="1121" w:type="dxa"/>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90.95</w:t>
            </w:r>
          </w:p>
        </w:tc>
        <w:tc>
          <w:tcPr>
            <w:tcW w:w="1055"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2.61%</w:t>
            </w:r>
          </w:p>
        </w:tc>
        <w:tc>
          <w:tcPr>
            <w:tcW w:w="2735"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本期前期工程费支出31.274718万元，分别为春天里项目景观设计费用；建设工程委托监理合同十月份监理费用，付款资料齐全，审批流程齐全、完整，支出合理。</w:t>
            </w:r>
          </w:p>
        </w:tc>
        <w:tc>
          <w:tcPr>
            <w:tcW w:w="1177"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jc w:val="center"/>
        </w:trPr>
        <w:tc>
          <w:tcPr>
            <w:tcW w:w="696"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w:t>
            </w:r>
          </w:p>
        </w:tc>
        <w:tc>
          <w:tcPr>
            <w:tcW w:w="1076"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建安工程费</w:t>
            </w:r>
          </w:p>
        </w:tc>
        <w:tc>
          <w:tcPr>
            <w:tcW w:w="1143" w:type="dxa"/>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51,864.00</w:t>
            </w:r>
          </w:p>
        </w:tc>
        <w:tc>
          <w:tcPr>
            <w:tcW w:w="1121" w:type="dxa"/>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468.19</w:t>
            </w:r>
          </w:p>
        </w:tc>
        <w:tc>
          <w:tcPr>
            <w:tcW w:w="1055"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0.90%</w:t>
            </w:r>
          </w:p>
        </w:tc>
        <w:tc>
          <w:tcPr>
            <w:tcW w:w="2735"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c>
          <w:tcPr>
            <w:tcW w:w="1177"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jc w:val="center"/>
        </w:trPr>
        <w:tc>
          <w:tcPr>
            <w:tcW w:w="696"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1076"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配套设施费</w:t>
            </w:r>
          </w:p>
        </w:tc>
        <w:tc>
          <w:tcPr>
            <w:tcW w:w="1143" w:type="dxa"/>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738.00</w:t>
            </w:r>
          </w:p>
        </w:tc>
        <w:tc>
          <w:tcPr>
            <w:tcW w:w="1121" w:type="dxa"/>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0</w:t>
            </w:r>
          </w:p>
        </w:tc>
        <w:tc>
          <w:tcPr>
            <w:tcW w:w="1055"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0.00%</w:t>
            </w:r>
          </w:p>
        </w:tc>
        <w:tc>
          <w:tcPr>
            <w:tcW w:w="2735"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c>
          <w:tcPr>
            <w:tcW w:w="1177"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0" w:hRule="atLeast"/>
          <w:jc w:val="center"/>
        </w:trPr>
        <w:tc>
          <w:tcPr>
            <w:tcW w:w="696"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5</w:t>
            </w:r>
          </w:p>
        </w:tc>
        <w:tc>
          <w:tcPr>
            <w:tcW w:w="1076"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开发间</w:t>
            </w:r>
          </w:p>
          <w:p>
            <w:pPr>
              <w:jc w:val="center"/>
              <w:rPr>
                <w:rFonts w:ascii="宋体" w:hAnsi="宋体" w:cs="宋体"/>
                <w:color w:val="000000"/>
                <w:sz w:val="18"/>
                <w:szCs w:val="18"/>
              </w:rPr>
            </w:pPr>
            <w:r>
              <w:rPr>
                <w:rFonts w:hint="eastAsia" w:ascii="宋体" w:hAnsi="宋体" w:cs="宋体"/>
                <w:color w:val="000000"/>
                <w:sz w:val="18"/>
                <w:szCs w:val="18"/>
              </w:rPr>
              <w:t>接费</w:t>
            </w:r>
          </w:p>
        </w:tc>
        <w:tc>
          <w:tcPr>
            <w:tcW w:w="1143" w:type="dxa"/>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w:t>
            </w:r>
            <w:r>
              <w:rPr>
                <w:rFonts w:ascii="宋体" w:hAnsi="宋体" w:cs="宋体"/>
                <w:color w:val="000000"/>
                <w:sz w:val="18"/>
                <w:szCs w:val="18"/>
              </w:rPr>
              <w:t>,</w:t>
            </w:r>
            <w:r>
              <w:rPr>
                <w:rFonts w:hint="eastAsia" w:ascii="宋体" w:hAnsi="宋体" w:cs="宋体"/>
                <w:color w:val="000000"/>
                <w:sz w:val="18"/>
                <w:szCs w:val="18"/>
              </w:rPr>
              <w:t>072</w:t>
            </w:r>
          </w:p>
        </w:tc>
        <w:tc>
          <w:tcPr>
            <w:tcW w:w="1121" w:type="dxa"/>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543.78</w:t>
            </w:r>
          </w:p>
        </w:tc>
        <w:tc>
          <w:tcPr>
            <w:tcW w:w="1055"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17.70%</w:t>
            </w:r>
          </w:p>
        </w:tc>
        <w:tc>
          <w:tcPr>
            <w:tcW w:w="2735"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本期开发间接费支出172.567828万元，春天里项目售楼部、样板间、看房通道、业主食堂室内精装修费用；展示区室外排水工程施工费用，付款资料齐全，审批流程齐全、完整，支出合理。</w:t>
            </w:r>
          </w:p>
        </w:tc>
        <w:tc>
          <w:tcPr>
            <w:tcW w:w="1177" w:type="dxa"/>
            <w:shd w:val="clear" w:color="auto" w:fill="auto"/>
            <w:vAlign w:val="center"/>
          </w:tcPr>
          <w:p>
            <w:pPr>
              <w:jc w:val="center"/>
              <w:rPr>
                <w:rFonts w:ascii="宋体" w:hAnsi="宋体" w:cs="宋体"/>
                <w:color w:val="000000"/>
              </w:rPr>
            </w:pPr>
            <w:r>
              <w:rPr>
                <w:rFonts w:hint="eastAsia" w:ascii="宋体" w:hAnsi="宋体"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0" w:hRule="atLeast"/>
          <w:jc w:val="center"/>
        </w:trPr>
        <w:tc>
          <w:tcPr>
            <w:tcW w:w="696"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w:t>
            </w:r>
          </w:p>
        </w:tc>
        <w:tc>
          <w:tcPr>
            <w:tcW w:w="1076"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管理费</w:t>
            </w:r>
          </w:p>
        </w:tc>
        <w:tc>
          <w:tcPr>
            <w:tcW w:w="1143" w:type="dxa"/>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3,212.00</w:t>
            </w:r>
          </w:p>
        </w:tc>
        <w:tc>
          <w:tcPr>
            <w:tcW w:w="1121" w:type="dxa"/>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10.36</w:t>
            </w:r>
          </w:p>
        </w:tc>
        <w:tc>
          <w:tcPr>
            <w:tcW w:w="1055"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0.32%</w:t>
            </w:r>
          </w:p>
        </w:tc>
        <w:tc>
          <w:tcPr>
            <w:tcW w:w="2735"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本月支出0.5563万元，包括办公用品及日常费用等，付款资料齐全，审批流程齐全、完整，支出合理。</w:t>
            </w:r>
          </w:p>
        </w:tc>
        <w:tc>
          <w:tcPr>
            <w:tcW w:w="1177" w:type="dxa"/>
            <w:shd w:val="clear" w:color="auto" w:fill="auto"/>
            <w:vAlign w:val="center"/>
          </w:tcPr>
          <w:p>
            <w:pPr>
              <w:jc w:val="center"/>
              <w:rPr>
                <w:rFonts w:ascii="宋体" w:hAnsi="宋体" w:cs="宋体"/>
                <w:color w:val="000000"/>
              </w:rPr>
            </w:pPr>
            <w:r>
              <w:rPr>
                <w:rFonts w:hint="eastAsia" w:ascii="宋体" w:hAnsi="宋体"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696"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w:t>
            </w:r>
          </w:p>
        </w:tc>
        <w:tc>
          <w:tcPr>
            <w:tcW w:w="1076"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营销费</w:t>
            </w:r>
          </w:p>
        </w:tc>
        <w:tc>
          <w:tcPr>
            <w:tcW w:w="1143" w:type="dxa"/>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4</w:t>
            </w:r>
            <w:r>
              <w:rPr>
                <w:rFonts w:ascii="宋体" w:hAnsi="宋体" w:cs="宋体"/>
                <w:color w:val="000000"/>
                <w:sz w:val="18"/>
                <w:szCs w:val="18"/>
              </w:rPr>
              <w:t>,</w:t>
            </w:r>
            <w:r>
              <w:rPr>
                <w:rFonts w:hint="eastAsia" w:ascii="宋体" w:hAnsi="宋体" w:cs="宋体"/>
                <w:color w:val="000000"/>
                <w:sz w:val="18"/>
                <w:szCs w:val="18"/>
              </w:rPr>
              <w:t>785</w:t>
            </w:r>
          </w:p>
        </w:tc>
        <w:tc>
          <w:tcPr>
            <w:tcW w:w="1121" w:type="dxa"/>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0</w:t>
            </w:r>
          </w:p>
        </w:tc>
        <w:tc>
          <w:tcPr>
            <w:tcW w:w="1055"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0.00%</w:t>
            </w:r>
          </w:p>
        </w:tc>
        <w:tc>
          <w:tcPr>
            <w:tcW w:w="2735"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c>
          <w:tcPr>
            <w:tcW w:w="1177" w:type="dxa"/>
            <w:shd w:val="clear" w:color="auto" w:fill="auto"/>
            <w:vAlign w:val="center"/>
          </w:tcPr>
          <w:p>
            <w:pPr>
              <w:jc w:val="center"/>
              <w:rPr>
                <w:rFonts w:ascii="宋体" w:hAnsi="宋体" w:cs="宋体"/>
                <w:color w:val="000000"/>
              </w:rPr>
            </w:pPr>
            <w:r>
              <w:rPr>
                <w:rFonts w:hint="eastAsia" w:ascii="宋体" w:hAnsi="宋体"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jc w:val="center"/>
        </w:trPr>
        <w:tc>
          <w:tcPr>
            <w:tcW w:w="696"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8</w:t>
            </w:r>
          </w:p>
        </w:tc>
        <w:tc>
          <w:tcPr>
            <w:tcW w:w="1076"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财务费</w:t>
            </w:r>
          </w:p>
        </w:tc>
        <w:tc>
          <w:tcPr>
            <w:tcW w:w="1143" w:type="dxa"/>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r>
              <w:rPr>
                <w:rFonts w:ascii="宋体" w:hAnsi="宋体" w:cs="宋体"/>
                <w:color w:val="000000"/>
                <w:sz w:val="18"/>
                <w:szCs w:val="18"/>
              </w:rPr>
              <w:t>,</w:t>
            </w:r>
            <w:r>
              <w:rPr>
                <w:rFonts w:hint="eastAsia" w:ascii="宋体" w:hAnsi="宋体" w:cs="宋体"/>
                <w:color w:val="000000"/>
                <w:sz w:val="18"/>
                <w:szCs w:val="18"/>
              </w:rPr>
              <w:t>040</w:t>
            </w:r>
          </w:p>
        </w:tc>
        <w:tc>
          <w:tcPr>
            <w:tcW w:w="1121" w:type="dxa"/>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2.46</w:t>
            </w:r>
          </w:p>
        </w:tc>
        <w:tc>
          <w:tcPr>
            <w:tcW w:w="1055"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0.05%</w:t>
            </w:r>
          </w:p>
        </w:tc>
        <w:tc>
          <w:tcPr>
            <w:tcW w:w="2735"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本月支出0.0436万元，为银行手续费，为银行方直接扣除，支出合理。</w:t>
            </w:r>
          </w:p>
        </w:tc>
        <w:tc>
          <w:tcPr>
            <w:tcW w:w="1177"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jc w:val="center"/>
        </w:trPr>
        <w:tc>
          <w:tcPr>
            <w:tcW w:w="696"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c>
          <w:tcPr>
            <w:tcW w:w="1076"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合计</w:t>
            </w:r>
          </w:p>
        </w:tc>
        <w:tc>
          <w:tcPr>
            <w:tcW w:w="1143"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72,190.00</w:t>
            </w:r>
          </w:p>
        </w:tc>
        <w:tc>
          <w:tcPr>
            <w:tcW w:w="1121" w:type="dxa"/>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35,015.74</w:t>
            </w:r>
          </w:p>
        </w:tc>
        <w:tc>
          <w:tcPr>
            <w:tcW w:w="1055"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c>
          <w:tcPr>
            <w:tcW w:w="2735"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c>
          <w:tcPr>
            <w:tcW w:w="1177"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bl>
    <w:p>
      <w:pPr>
        <w:pStyle w:val="2"/>
        <w:ind w:firstLine="210"/>
      </w:pPr>
    </w:p>
    <w:p>
      <w:pPr>
        <w:spacing w:line="480" w:lineRule="auto"/>
        <w:ind w:firstLine="420" w:firstLineChars="200"/>
        <w:rPr>
          <w:rFonts w:ascii="宋体" w:hAnsi="宋体" w:cs="宋体"/>
          <w:bCs/>
          <w:sz w:val="21"/>
          <w:szCs w:val="21"/>
        </w:rPr>
      </w:pPr>
      <w:r>
        <w:rPr>
          <w:rFonts w:hint="eastAsia" w:ascii="宋体" w:hAnsi="宋体" w:cs="宋体"/>
          <w:bCs/>
          <w:sz w:val="21"/>
          <w:szCs w:val="21"/>
        </w:rPr>
        <w:t>（1）存在的问题、原因及潜在风险。</w:t>
      </w:r>
    </w:p>
    <w:p>
      <w:pPr>
        <w:spacing w:line="480" w:lineRule="auto"/>
        <w:ind w:firstLine="420" w:firstLineChars="200"/>
        <w:rPr>
          <w:rFonts w:ascii="宋体" w:hAnsi="宋体" w:cs="宋体"/>
          <w:sz w:val="21"/>
          <w:szCs w:val="21"/>
          <w:lang w:bidi="ar"/>
        </w:rPr>
      </w:pPr>
      <w:r>
        <w:rPr>
          <w:rFonts w:hint="eastAsia" w:ascii="宋体" w:hAnsi="宋体" w:cs="宋体"/>
          <w:sz w:val="21"/>
          <w:szCs w:val="21"/>
          <w:lang w:bidi="ar"/>
        </w:rPr>
        <w:t>1）存在的问题</w:t>
      </w:r>
    </w:p>
    <w:p>
      <w:pPr>
        <w:spacing w:line="480" w:lineRule="auto"/>
        <w:ind w:firstLine="420" w:firstLineChars="200"/>
        <w:rPr>
          <w:rFonts w:ascii="宋体" w:hAnsi="宋体" w:cs="宋体"/>
          <w:sz w:val="21"/>
          <w:szCs w:val="21"/>
          <w:lang w:eastAsia="zh-Hans" w:bidi="ar"/>
        </w:rPr>
      </w:pPr>
      <w:r>
        <w:rPr>
          <w:rFonts w:hint="eastAsia" w:ascii="宋体" w:hAnsi="宋体" w:cs="宋体"/>
          <w:sz w:val="21"/>
          <w:szCs w:val="21"/>
          <w:lang w:eastAsia="zh-Hans" w:bidi="ar"/>
        </w:rPr>
        <w:t>截至本期期末，春天里项目处于初始阶段，所有费用发生占比都不高，暂时无法看出是否存在超支的可能。</w:t>
      </w:r>
    </w:p>
    <w:p>
      <w:pPr>
        <w:spacing w:line="480" w:lineRule="auto"/>
        <w:ind w:firstLine="420" w:firstLineChars="200"/>
        <w:rPr>
          <w:rFonts w:ascii="宋体" w:hAnsi="宋体" w:cs="宋体"/>
          <w:sz w:val="21"/>
          <w:szCs w:val="21"/>
          <w:lang w:bidi="ar"/>
        </w:rPr>
      </w:pPr>
      <w:r>
        <w:rPr>
          <w:rFonts w:hint="eastAsia" w:ascii="宋体" w:hAnsi="宋体" w:cs="宋体"/>
          <w:sz w:val="21"/>
          <w:szCs w:val="21"/>
          <w:lang w:bidi="ar"/>
        </w:rPr>
        <w:t>2）建议措施</w:t>
      </w:r>
    </w:p>
    <w:p>
      <w:pPr>
        <w:spacing w:line="480" w:lineRule="auto"/>
        <w:ind w:firstLine="420" w:firstLineChars="200"/>
        <w:rPr>
          <w:rFonts w:ascii="宋体" w:hAnsi="宋体" w:cs="宋体"/>
          <w:sz w:val="21"/>
          <w:szCs w:val="21"/>
          <w:lang w:eastAsia="zh-Hans" w:bidi="ar"/>
        </w:rPr>
      </w:pPr>
      <w:r>
        <w:rPr>
          <w:rFonts w:hint="eastAsia" w:ascii="宋体" w:hAnsi="宋体" w:cs="宋体"/>
          <w:sz w:val="21"/>
          <w:szCs w:val="21"/>
          <w:lang w:eastAsia="zh-Hans" w:bidi="ar"/>
        </w:rPr>
        <w:t>无。</w:t>
      </w:r>
    </w:p>
    <w:p>
      <w:pPr>
        <w:spacing w:line="480" w:lineRule="auto"/>
        <w:ind w:firstLine="420" w:firstLineChars="200"/>
        <w:rPr>
          <w:rFonts w:ascii="宋体" w:hAnsi="宋体" w:cs="宋体"/>
          <w:sz w:val="21"/>
          <w:szCs w:val="21"/>
          <w:lang w:bidi="ar"/>
        </w:rPr>
      </w:pPr>
      <w:r>
        <w:rPr>
          <w:rFonts w:hint="eastAsia" w:ascii="宋体" w:hAnsi="宋体" w:cs="宋体"/>
          <w:sz w:val="21"/>
          <w:szCs w:val="21"/>
          <w:lang w:bidi="ar"/>
        </w:rPr>
        <w:t>3）后期需关注事项</w:t>
      </w:r>
    </w:p>
    <w:p>
      <w:pPr>
        <w:spacing w:line="480" w:lineRule="auto"/>
        <w:ind w:firstLine="420" w:firstLineChars="200"/>
        <w:rPr>
          <w:rFonts w:ascii="宋体" w:hAnsi="宋体" w:cs="宋体"/>
          <w:sz w:val="21"/>
          <w:szCs w:val="21"/>
          <w:lang w:eastAsia="zh-Hans" w:bidi="ar"/>
        </w:rPr>
      </w:pPr>
      <w:r>
        <w:rPr>
          <w:rFonts w:hint="eastAsia" w:ascii="宋体" w:hAnsi="宋体" w:cs="宋体"/>
          <w:sz w:val="21"/>
          <w:szCs w:val="21"/>
          <w:lang w:eastAsia="zh-Hans" w:bidi="ar"/>
        </w:rPr>
        <w:t>需关注后期项目公司各类费用支出及后续合同签订等情况。</w:t>
      </w:r>
    </w:p>
    <w:p>
      <w:pPr>
        <w:pStyle w:val="4"/>
        <w:spacing w:line="480" w:lineRule="auto"/>
        <w:rPr>
          <w:rFonts w:ascii="宋体" w:hAnsi="宋体" w:cs="宋体"/>
          <w:sz w:val="18"/>
          <w:szCs w:val="18"/>
        </w:rPr>
      </w:pPr>
      <w:bookmarkStart w:id="7" w:name="_Toc61551285"/>
      <w:r>
        <w:rPr>
          <w:rFonts w:hint="eastAsia" w:ascii="宋体" w:hAnsi="宋体" w:eastAsia="宋体" w:cs="宋体"/>
          <w:sz w:val="21"/>
          <w:szCs w:val="21"/>
        </w:rPr>
        <w:t>五、项目销售情况统计</w:t>
      </w:r>
      <w:bookmarkEnd w:id="7"/>
    </w:p>
    <w:p>
      <w:pPr>
        <w:jc w:val="center"/>
        <w:rPr>
          <w:rFonts w:ascii="宋体" w:hAnsi="宋体" w:cs="宋体"/>
          <w:sz w:val="18"/>
          <w:szCs w:val="18"/>
        </w:rPr>
      </w:pPr>
      <w:r>
        <w:rPr>
          <w:rFonts w:hint="eastAsia" w:ascii="宋体" w:hAnsi="宋体" w:cs="宋体"/>
          <w:sz w:val="18"/>
          <w:szCs w:val="18"/>
        </w:rPr>
        <w:t>表六：</w:t>
      </w:r>
      <w:r>
        <w:rPr>
          <w:rFonts w:hint="eastAsia" w:ascii="宋体" w:hAnsi="宋体" w:cs="宋体"/>
          <w:bCs/>
          <w:sz w:val="18"/>
          <w:szCs w:val="18"/>
        </w:rPr>
        <w:t>项目销售情况</w:t>
      </w:r>
      <w:r>
        <w:rPr>
          <w:rFonts w:ascii="宋体" w:hAnsi="宋体" w:cs="宋体"/>
          <w:bCs/>
          <w:sz w:val="18"/>
          <w:szCs w:val="18"/>
        </w:rPr>
        <w:t>（首开</w:t>
      </w:r>
      <w:r>
        <w:rPr>
          <w:rFonts w:hint="eastAsia" w:ascii="宋体" w:hAnsi="宋体" w:cs="宋体"/>
          <w:bCs/>
          <w:sz w:val="18"/>
          <w:szCs w:val="18"/>
        </w:rPr>
        <w:t>区无证预售</w:t>
      </w:r>
      <w:r>
        <w:rPr>
          <w:rFonts w:ascii="宋体" w:hAnsi="宋体" w:cs="宋体"/>
          <w:bCs/>
          <w:sz w:val="18"/>
          <w:szCs w:val="18"/>
        </w:rPr>
        <w:t>）</w:t>
      </w:r>
    </w:p>
    <w:tbl>
      <w:tblPr>
        <w:tblStyle w:val="24"/>
        <w:tblW w:w="9759" w:type="dxa"/>
        <w:jc w:val="center"/>
        <w:tblLayout w:type="fixed"/>
        <w:tblCellMar>
          <w:top w:w="0" w:type="dxa"/>
          <w:left w:w="108" w:type="dxa"/>
          <w:bottom w:w="0" w:type="dxa"/>
          <w:right w:w="108" w:type="dxa"/>
        </w:tblCellMar>
      </w:tblPr>
      <w:tblGrid>
        <w:gridCol w:w="1105"/>
        <w:gridCol w:w="1216"/>
        <w:gridCol w:w="2039"/>
        <w:gridCol w:w="1719"/>
        <w:gridCol w:w="1840"/>
        <w:gridCol w:w="1840"/>
      </w:tblGrid>
      <w:tr>
        <w:trPr>
          <w:trHeight w:val="480" w:hRule="atLeast"/>
          <w:jc w:val="center"/>
        </w:trPr>
        <w:tc>
          <w:tcPr>
            <w:tcW w:w="110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b/>
                <w:bCs/>
                <w:color w:val="000000"/>
                <w:sz w:val="18"/>
                <w:szCs w:val="18"/>
              </w:rPr>
            </w:pPr>
            <w:r>
              <w:rPr>
                <w:rFonts w:hint="eastAsia" w:ascii="宋体" w:hAnsi="宋体" w:cs="宋体"/>
                <w:b/>
                <w:bCs/>
                <w:color w:val="000000"/>
                <w:sz w:val="18"/>
                <w:szCs w:val="18"/>
              </w:rPr>
              <w:t>业态</w:t>
            </w:r>
          </w:p>
        </w:tc>
        <w:tc>
          <w:tcPr>
            <w:tcW w:w="1216"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b/>
                <w:bCs/>
                <w:color w:val="000000"/>
                <w:sz w:val="18"/>
                <w:szCs w:val="18"/>
              </w:rPr>
            </w:pPr>
            <w:r>
              <w:rPr>
                <w:rFonts w:hint="eastAsia" w:ascii="宋体" w:hAnsi="宋体" w:cs="宋体"/>
                <w:b/>
                <w:bCs/>
                <w:color w:val="000000"/>
                <w:sz w:val="18"/>
                <w:szCs w:val="18"/>
              </w:rPr>
              <w:t>认筹套数</w:t>
            </w:r>
          </w:p>
        </w:tc>
        <w:tc>
          <w:tcPr>
            <w:tcW w:w="2039"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宋体" w:hAnsi="宋体" w:cs="宋体"/>
                <w:b/>
                <w:bCs/>
                <w:color w:val="000000"/>
                <w:sz w:val="18"/>
                <w:szCs w:val="18"/>
              </w:rPr>
            </w:pPr>
            <w:r>
              <w:rPr>
                <w:rFonts w:hint="eastAsia" w:ascii="宋体" w:hAnsi="宋体" w:cs="宋体"/>
                <w:b/>
                <w:bCs/>
                <w:color w:val="000000"/>
                <w:sz w:val="18"/>
                <w:szCs w:val="18"/>
              </w:rPr>
              <w:t>认筹平均单价（元/㎡）</w:t>
            </w:r>
          </w:p>
        </w:tc>
        <w:tc>
          <w:tcPr>
            <w:tcW w:w="1719"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b/>
                <w:bCs/>
                <w:color w:val="000000"/>
                <w:sz w:val="18"/>
                <w:szCs w:val="18"/>
              </w:rPr>
            </w:pPr>
            <w:r>
              <w:rPr>
                <w:rFonts w:hint="eastAsia" w:ascii="宋体" w:hAnsi="宋体" w:cs="宋体"/>
                <w:b/>
                <w:bCs/>
                <w:color w:val="000000"/>
                <w:sz w:val="18"/>
                <w:szCs w:val="18"/>
              </w:rPr>
              <w:t>认筹面积（㎡）</w:t>
            </w:r>
          </w:p>
        </w:tc>
        <w:tc>
          <w:tcPr>
            <w:tcW w:w="184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b/>
                <w:bCs/>
                <w:color w:val="000000"/>
                <w:sz w:val="18"/>
                <w:szCs w:val="18"/>
              </w:rPr>
            </w:pPr>
            <w:r>
              <w:rPr>
                <w:rFonts w:hint="eastAsia" w:ascii="宋体" w:hAnsi="宋体" w:cs="宋体"/>
                <w:b/>
                <w:bCs/>
                <w:color w:val="000000"/>
                <w:sz w:val="18"/>
                <w:szCs w:val="18"/>
              </w:rPr>
              <w:t>成交总价（元）</w:t>
            </w:r>
          </w:p>
        </w:tc>
        <w:tc>
          <w:tcPr>
            <w:tcW w:w="184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b/>
                <w:bCs/>
                <w:color w:val="000000"/>
                <w:sz w:val="18"/>
                <w:szCs w:val="18"/>
              </w:rPr>
            </w:pPr>
            <w:r>
              <w:rPr>
                <w:rFonts w:hint="eastAsia" w:ascii="宋体" w:hAnsi="宋体" w:cs="宋体"/>
                <w:b/>
                <w:bCs/>
                <w:color w:val="000000"/>
                <w:sz w:val="18"/>
                <w:szCs w:val="18"/>
              </w:rPr>
              <w:t>已收房款（元）</w:t>
            </w:r>
          </w:p>
        </w:tc>
      </w:tr>
      <w:tr>
        <w:trPr>
          <w:trHeight w:val="280" w:hRule="atLeast"/>
          <w:jc w:val="center"/>
        </w:trPr>
        <w:tc>
          <w:tcPr>
            <w:tcW w:w="1105" w:type="dxa"/>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hint="eastAsia" w:ascii="宋体" w:hAnsi="宋体" w:cs="宋体"/>
                <w:color w:val="000000"/>
                <w:sz w:val="18"/>
                <w:szCs w:val="18"/>
              </w:rPr>
              <w:t>高层T2</w:t>
            </w:r>
          </w:p>
        </w:tc>
        <w:tc>
          <w:tcPr>
            <w:tcW w:w="121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ascii="宋体" w:hAnsi="宋体" w:cs="宋体"/>
                <w:color w:val="000000"/>
                <w:sz w:val="18"/>
                <w:szCs w:val="18"/>
              </w:rPr>
              <w:t>38</w:t>
            </w:r>
          </w:p>
        </w:tc>
        <w:tc>
          <w:tcPr>
            <w:tcW w:w="2039"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18"/>
                <w:szCs w:val="18"/>
              </w:rPr>
            </w:pPr>
            <w:r>
              <w:rPr>
                <w:rFonts w:hint="eastAsia" w:ascii="宋体" w:hAnsi="宋体" w:cs="宋体"/>
                <w:sz w:val="18"/>
                <w:szCs w:val="18"/>
              </w:rPr>
              <w:t>9,7</w:t>
            </w:r>
            <w:r>
              <w:rPr>
                <w:rFonts w:ascii="宋体" w:hAnsi="宋体" w:cs="宋体"/>
                <w:sz w:val="18"/>
                <w:szCs w:val="18"/>
              </w:rPr>
              <w:t>78</w:t>
            </w:r>
            <w:r>
              <w:rPr>
                <w:rFonts w:hint="eastAsia" w:ascii="宋体" w:hAnsi="宋体" w:cs="宋体"/>
                <w:sz w:val="18"/>
                <w:szCs w:val="18"/>
              </w:rPr>
              <w:t>.</w:t>
            </w:r>
            <w:r>
              <w:rPr>
                <w:rFonts w:ascii="宋体" w:hAnsi="宋体" w:cs="宋体"/>
                <w:sz w:val="18"/>
                <w:szCs w:val="18"/>
              </w:rPr>
              <w:t>48</w:t>
            </w:r>
            <w:r>
              <w:rPr>
                <w:rFonts w:hint="eastAsia" w:ascii="宋体" w:hAnsi="宋体" w:cs="宋体"/>
                <w:sz w:val="18"/>
                <w:szCs w:val="18"/>
              </w:rPr>
              <w:t xml:space="preserve"> </w:t>
            </w:r>
          </w:p>
        </w:tc>
        <w:tc>
          <w:tcPr>
            <w:tcW w:w="1719"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ascii="宋体" w:hAnsi="宋体" w:cs="宋体"/>
                <w:color w:val="000000"/>
                <w:sz w:val="18"/>
                <w:szCs w:val="18"/>
              </w:rPr>
              <w:t>5</w:t>
            </w:r>
            <w:r>
              <w:rPr>
                <w:rFonts w:hint="eastAsia" w:ascii="宋体" w:hAnsi="宋体" w:cs="宋体"/>
                <w:color w:val="000000"/>
                <w:sz w:val="18"/>
                <w:szCs w:val="18"/>
              </w:rPr>
              <w:t>,</w:t>
            </w:r>
            <w:r>
              <w:rPr>
                <w:rFonts w:ascii="宋体" w:hAnsi="宋体" w:cs="宋体"/>
                <w:color w:val="000000"/>
                <w:sz w:val="18"/>
                <w:szCs w:val="18"/>
              </w:rPr>
              <w:t>306.99</w:t>
            </w:r>
            <w:r>
              <w:rPr>
                <w:rFonts w:hint="eastAsia" w:ascii="宋体" w:hAnsi="宋体" w:cs="宋体"/>
                <w:color w:val="000000"/>
                <w:sz w:val="18"/>
                <w:szCs w:val="18"/>
              </w:rPr>
              <w:t xml:space="preserve"> </w:t>
            </w:r>
          </w:p>
        </w:tc>
        <w:tc>
          <w:tcPr>
            <w:tcW w:w="184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ascii="宋体" w:hAnsi="宋体" w:cs="宋体"/>
                <w:color w:val="000000"/>
                <w:sz w:val="18"/>
                <w:szCs w:val="18"/>
              </w:rPr>
              <w:t>51</w:t>
            </w:r>
            <w:r>
              <w:rPr>
                <w:rFonts w:hint="eastAsia" w:ascii="宋体" w:hAnsi="宋体" w:cs="宋体"/>
                <w:color w:val="000000"/>
                <w:sz w:val="18"/>
                <w:szCs w:val="18"/>
              </w:rPr>
              <w:t>,</w:t>
            </w:r>
            <w:r>
              <w:rPr>
                <w:rFonts w:ascii="宋体" w:hAnsi="宋体" w:cs="宋体"/>
                <w:color w:val="000000"/>
                <w:sz w:val="18"/>
                <w:szCs w:val="18"/>
              </w:rPr>
              <w:t>894</w:t>
            </w:r>
            <w:r>
              <w:rPr>
                <w:rFonts w:hint="eastAsia" w:ascii="宋体" w:hAnsi="宋体" w:cs="宋体"/>
                <w:color w:val="000000"/>
                <w:sz w:val="18"/>
                <w:szCs w:val="18"/>
              </w:rPr>
              <w:t>,</w:t>
            </w:r>
            <w:r>
              <w:rPr>
                <w:rFonts w:ascii="宋体" w:hAnsi="宋体" w:cs="宋体"/>
                <w:color w:val="000000"/>
                <w:sz w:val="18"/>
                <w:szCs w:val="18"/>
              </w:rPr>
              <w:t>288</w:t>
            </w:r>
            <w:r>
              <w:rPr>
                <w:rFonts w:hint="eastAsia" w:ascii="宋体" w:hAnsi="宋体" w:cs="宋体"/>
                <w:color w:val="000000"/>
                <w:sz w:val="18"/>
                <w:szCs w:val="18"/>
              </w:rPr>
              <w:t xml:space="preserve">.00 </w:t>
            </w:r>
          </w:p>
        </w:tc>
        <w:tc>
          <w:tcPr>
            <w:tcW w:w="184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hint="eastAsia" w:ascii="宋体" w:hAnsi="宋体" w:cs="宋体"/>
                <w:color w:val="000000"/>
                <w:sz w:val="18"/>
                <w:szCs w:val="18"/>
              </w:rPr>
              <w:t>1</w:t>
            </w:r>
            <w:r>
              <w:rPr>
                <w:rFonts w:ascii="宋体" w:hAnsi="宋体" w:cs="宋体"/>
                <w:color w:val="000000"/>
                <w:sz w:val="18"/>
                <w:szCs w:val="18"/>
              </w:rPr>
              <w:t>8</w:t>
            </w:r>
            <w:r>
              <w:rPr>
                <w:rFonts w:hint="eastAsia" w:ascii="宋体" w:hAnsi="宋体" w:cs="宋体"/>
                <w:color w:val="000000"/>
                <w:sz w:val="18"/>
                <w:szCs w:val="18"/>
              </w:rPr>
              <w:t>,</w:t>
            </w:r>
            <w:r>
              <w:rPr>
                <w:rFonts w:ascii="宋体" w:hAnsi="宋体" w:cs="宋体"/>
                <w:color w:val="000000"/>
                <w:sz w:val="18"/>
                <w:szCs w:val="18"/>
              </w:rPr>
              <w:t>753</w:t>
            </w:r>
            <w:r>
              <w:rPr>
                <w:rFonts w:hint="eastAsia" w:ascii="宋体" w:hAnsi="宋体" w:cs="宋体"/>
                <w:color w:val="000000"/>
                <w:sz w:val="18"/>
                <w:szCs w:val="18"/>
              </w:rPr>
              <w:t>,</w:t>
            </w:r>
            <w:r>
              <w:rPr>
                <w:rFonts w:ascii="宋体" w:hAnsi="宋体" w:cs="宋体"/>
                <w:color w:val="000000"/>
                <w:sz w:val="18"/>
                <w:szCs w:val="18"/>
              </w:rPr>
              <w:t>825</w:t>
            </w:r>
            <w:r>
              <w:rPr>
                <w:rFonts w:hint="eastAsia" w:ascii="宋体" w:hAnsi="宋体" w:cs="宋体"/>
                <w:color w:val="000000"/>
                <w:sz w:val="18"/>
                <w:szCs w:val="18"/>
              </w:rPr>
              <w:t xml:space="preserve">.00 </w:t>
            </w:r>
          </w:p>
        </w:tc>
      </w:tr>
      <w:tr>
        <w:trPr>
          <w:trHeight w:val="280" w:hRule="atLeast"/>
          <w:jc w:val="center"/>
        </w:trPr>
        <w:tc>
          <w:tcPr>
            <w:tcW w:w="1105" w:type="dxa"/>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hint="eastAsia" w:ascii="宋体" w:hAnsi="宋体" w:cs="宋体"/>
                <w:color w:val="000000"/>
                <w:sz w:val="18"/>
                <w:szCs w:val="18"/>
              </w:rPr>
              <w:t>高层T4</w:t>
            </w:r>
          </w:p>
        </w:tc>
        <w:tc>
          <w:tcPr>
            <w:tcW w:w="121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ascii="宋体" w:hAnsi="宋体" w:cs="宋体"/>
                <w:color w:val="000000"/>
                <w:sz w:val="18"/>
                <w:szCs w:val="18"/>
              </w:rPr>
              <w:t>204</w:t>
            </w:r>
          </w:p>
        </w:tc>
        <w:tc>
          <w:tcPr>
            <w:tcW w:w="2039"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18"/>
                <w:szCs w:val="18"/>
              </w:rPr>
            </w:pPr>
            <w:r>
              <w:rPr>
                <w:rFonts w:hint="eastAsia" w:ascii="宋体" w:hAnsi="宋体" w:cs="宋体"/>
                <w:sz w:val="18"/>
                <w:szCs w:val="18"/>
              </w:rPr>
              <w:t>8,</w:t>
            </w:r>
            <w:r>
              <w:rPr>
                <w:rFonts w:ascii="宋体" w:hAnsi="宋体" w:cs="宋体"/>
                <w:sz w:val="18"/>
                <w:szCs w:val="18"/>
              </w:rPr>
              <w:t>574</w:t>
            </w:r>
            <w:r>
              <w:rPr>
                <w:rFonts w:hint="eastAsia" w:ascii="宋体" w:hAnsi="宋体" w:cs="宋体"/>
                <w:sz w:val="18"/>
                <w:szCs w:val="18"/>
              </w:rPr>
              <w:t>.</w:t>
            </w:r>
            <w:r>
              <w:rPr>
                <w:rFonts w:ascii="宋体" w:hAnsi="宋体" w:cs="宋体"/>
                <w:sz w:val="18"/>
                <w:szCs w:val="18"/>
              </w:rPr>
              <w:t>88</w:t>
            </w:r>
            <w:r>
              <w:rPr>
                <w:rFonts w:hint="eastAsia" w:ascii="宋体" w:hAnsi="宋体" w:cs="宋体"/>
                <w:sz w:val="18"/>
                <w:szCs w:val="18"/>
              </w:rPr>
              <w:t xml:space="preserve"> </w:t>
            </w:r>
          </w:p>
        </w:tc>
        <w:tc>
          <w:tcPr>
            <w:tcW w:w="1719"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hint="eastAsia" w:ascii="宋体" w:hAnsi="宋体" w:cs="宋体"/>
                <w:color w:val="000000"/>
                <w:sz w:val="18"/>
                <w:szCs w:val="18"/>
              </w:rPr>
              <w:t>2</w:t>
            </w:r>
            <w:r>
              <w:rPr>
                <w:rFonts w:ascii="宋体" w:hAnsi="宋体" w:cs="宋体"/>
                <w:color w:val="000000"/>
                <w:sz w:val="18"/>
                <w:szCs w:val="18"/>
              </w:rPr>
              <w:t>3</w:t>
            </w:r>
            <w:r>
              <w:rPr>
                <w:rFonts w:hint="eastAsia" w:ascii="宋体" w:hAnsi="宋体" w:cs="宋体"/>
                <w:color w:val="000000"/>
                <w:sz w:val="18"/>
                <w:szCs w:val="18"/>
              </w:rPr>
              <w:t>,</w:t>
            </w:r>
            <w:r>
              <w:rPr>
                <w:rFonts w:ascii="宋体" w:hAnsi="宋体" w:cs="宋体"/>
                <w:color w:val="000000"/>
                <w:sz w:val="18"/>
                <w:szCs w:val="18"/>
              </w:rPr>
              <w:t>289</w:t>
            </w:r>
            <w:r>
              <w:rPr>
                <w:rFonts w:hint="eastAsia" w:ascii="宋体" w:hAnsi="宋体" w:cs="宋体"/>
                <w:color w:val="000000"/>
                <w:sz w:val="18"/>
                <w:szCs w:val="18"/>
              </w:rPr>
              <w:t>.</w:t>
            </w:r>
            <w:r>
              <w:rPr>
                <w:rFonts w:ascii="宋体" w:hAnsi="宋体" w:cs="宋体"/>
                <w:color w:val="000000"/>
                <w:sz w:val="18"/>
                <w:szCs w:val="18"/>
              </w:rPr>
              <w:t>08</w:t>
            </w:r>
            <w:r>
              <w:rPr>
                <w:rFonts w:hint="eastAsia" w:ascii="宋体" w:hAnsi="宋体" w:cs="宋体"/>
                <w:color w:val="000000"/>
                <w:sz w:val="18"/>
                <w:szCs w:val="18"/>
              </w:rPr>
              <w:t xml:space="preserve"> </w:t>
            </w:r>
          </w:p>
        </w:tc>
        <w:tc>
          <w:tcPr>
            <w:tcW w:w="184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ascii="宋体" w:hAnsi="宋体" w:cs="宋体"/>
                <w:color w:val="000000"/>
                <w:sz w:val="18"/>
                <w:szCs w:val="18"/>
              </w:rPr>
              <w:t>109</w:t>
            </w:r>
            <w:r>
              <w:rPr>
                <w:rFonts w:hint="eastAsia" w:ascii="宋体" w:hAnsi="宋体" w:cs="宋体"/>
                <w:color w:val="000000"/>
                <w:sz w:val="18"/>
                <w:szCs w:val="18"/>
              </w:rPr>
              <w:t>,</w:t>
            </w:r>
            <w:r>
              <w:rPr>
                <w:rFonts w:ascii="宋体" w:hAnsi="宋体" w:cs="宋体"/>
                <w:color w:val="000000"/>
                <w:sz w:val="18"/>
                <w:szCs w:val="18"/>
              </w:rPr>
              <w:t>701</w:t>
            </w:r>
            <w:r>
              <w:rPr>
                <w:rFonts w:hint="eastAsia" w:ascii="宋体" w:hAnsi="宋体" w:cs="宋体"/>
                <w:color w:val="000000"/>
                <w:sz w:val="18"/>
                <w:szCs w:val="18"/>
              </w:rPr>
              <w:t>,</w:t>
            </w:r>
            <w:r>
              <w:rPr>
                <w:rFonts w:ascii="宋体" w:hAnsi="宋体" w:cs="宋体"/>
                <w:color w:val="000000"/>
                <w:sz w:val="18"/>
                <w:szCs w:val="18"/>
              </w:rPr>
              <w:t>107</w:t>
            </w:r>
            <w:r>
              <w:rPr>
                <w:rFonts w:hint="eastAsia" w:ascii="宋体" w:hAnsi="宋体" w:cs="宋体"/>
                <w:color w:val="000000"/>
                <w:sz w:val="18"/>
                <w:szCs w:val="18"/>
              </w:rPr>
              <w:t xml:space="preserve">.00 </w:t>
            </w:r>
          </w:p>
        </w:tc>
        <w:tc>
          <w:tcPr>
            <w:tcW w:w="184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hint="eastAsia" w:ascii="宋体" w:hAnsi="宋体" w:cs="宋体"/>
                <w:color w:val="000000"/>
                <w:sz w:val="18"/>
                <w:szCs w:val="18"/>
              </w:rPr>
              <w:t>7</w:t>
            </w:r>
            <w:r>
              <w:rPr>
                <w:rFonts w:ascii="宋体" w:hAnsi="宋体" w:cs="宋体"/>
                <w:color w:val="000000"/>
                <w:sz w:val="18"/>
                <w:szCs w:val="18"/>
              </w:rPr>
              <w:t>0</w:t>
            </w:r>
            <w:r>
              <w:rPr>
                <w:rFonts w:hint="eastAsia" w:ascii="宋体" w:hAnsi="宋体" w:cs="宋体"/>
                <w:color w:val="000000"/>
                <w:sz w:val="18"/>
                <w:szCs w:val="18"/>
              </w:rPr>
              <w:t>,</w:t>
            </w:r>
            <w:r>
              <w:rPr>
                <w:rFonts w:ascii="宋体" w:hAnsi="宋体" w:cs="宋体"/>
                <w:color w:val="000000"/>
                <w:sz w:val="18"/>
                <w:szCs w:val="18"/>
              </w:rPr>
              <w:t>8</w:t>
            </w:r>
            <w:r>
              <w:rPr>
                <w:rFonts w:hint="eastAsia" w:ascii="宋体" w:hAnsi="宋体" w:cs="宋体"/>
                <w:color w:val="000000"/>
                <w:sz w:val="18"/>
                <w:szCs w:val="18"/>
              </w:rPr>
              <w:t>47,</w:t>
            </w:r>
            <w:r>
              <w:rPr>
                <w:rFonts w:ascii="宋体" w:hAnsi="宋体" w:cs="宋体"/>
                <w:color w:val="000000"/>
                <w:sz w:val="18"/>
                <w:szCs w:val="18"/>
              </w:rPr>
              <w:t>709</w:t>
            </w:r>
            <w:r>
              <w:rPr>
                <w:rFonts w:hint="eastAsia" w:ascii="宋体" w:hAnsi="宋体" w:cs="宋体"/>
                <w:color w:val="000000"/>
                <w:sz w:val="18"/>
                <w:szCs w:val="18"/>
              </w:rPr>
              <w:t xml:space="preserve">.00 </w:t>
            </w:r>
          </w:p>
        </w:tc>
      </w:tr>
      <w:tr>
        <w:trPr>
          <w:trHeight w:val="280" w:hRule="atLeast"/>
          <w:jc w:val="center"/>
        </w:trPr>
        <w:tc>
          <w:tcPr>
            <w:tcW w:w="1105" w:type="dxa"/>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hint="eastAsia" w:ascii="宋体" w:hAnsi="宋体" w:cs="宋体"/>
                <w:color w:val="000000"/>
                <w:sz w:val="18"/>
                <w:szCs w:val="18"/>
              </w:rPr>
              <w:t>商铺</w:t>
            </w:r>
          </w:p>
        </w:tc>
        <w:tc>
          <w:tcPr>
            <w:tcW w:w="121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hint="eastAsia" w:ascii="宋体" w:hAnsi="宋体" w:cs="宋体"/>
                <w:color w:val="000000"/>
                <w:sz w:val="18"/>
                <w:szCs w:val="18"/>
              </w:rPr>
              <w:t>8</w:t>
            </w:r>
          </w:p>
        </w:tc>
        <w:tc>
          <w:tcPr>
            <w:tcW w:w="2039"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18"/>
                <w:szCs w:val="18"/>
              </w:rPr>
            </w:pPr>
            <w:r>
              <w:rPr>
                <w:rFonts w:hint="eastAsia" w:ascii="宋体" w:hAnsi="宋体" w:cs="宋体"/>
                <w:sz w:val="18"/>
                <w:szCs w:val="18"/>
              </w:rPr>
              <w:t xml:space="preserve">14,644.80 </w:t>
            </w:r>
          </w:p>
        </w:tc>
        <w:tc>
          <w:tcPr>
            <w:tcW w:w="1719"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hint="eastAsia" w:ascii="宋体" w:hAnsi="宋体" w:cs="宋体"/>
                <w:color w:val="000000"/>
                <w:sz w:val="18"/>
                <w:szCs w:val="18"/>
              </w:rPr>
              <w:t xml:space="preserve">326.40 </w:t>
            </w:r>
          </w:p>
        </w:tc>
        <w:tc>
          <w:tcPr>
            <w:tcW w:w="184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hint="eastAsia" w:ascii="宋体" w:hAnsi="宋体" w:cs="宋体"/>
                <w:color w:val="000000"/>
                <w:sz w:val="18"/>
                <w:szCs w:val="18"/>
              </w:rPr>
              <w:t xml:space="preserve">4,780,062.00 </w:t>
            </w:r>
          </w:p>
        </w:tc>
        <w:tc>
          <w:tcPr>
            <w:tcW w:w="184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hint="eastAsia" w:ascii="宋体" w:hAnsi="宋体" w:cs="宋体"/>
                <w:color w:val="000000"/>
                <w:sz w:val="18"/>
                <w:szCs w:val="18"/>
              </w:rPr>
              <w:t xml:space="preserve">1,187,217.00 </w:t>
            </w:r>
          </w:p>
        </w:tc>
      </w:tr>
      <w:tr>
        <w:trPr>
          <w:trHeight w:val="280" w:hRule="atLeast"/>
          <w:jc w:val="center"/>
        </w:trPr>
        <w:tc>
          <w:tcPr>
            <w:tcW w:w="1105" w:type="dxa"/>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hint="eastAsia" w:ascii="宋体" w:hAnsi="宋体" w:cs="宋体"/>
                <w:color w:val="000000"/>
                <w:sz w:val="18"/>
                <w:szCs w:val="18"/>
              </w:rPr>
              <w:t>车位</w:t>
            </w:r>
          </w:p>
        </w:tc>
        <w:tc>
          <w:tcPr>
            <w:tcW w:w="121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hint="eastAsia" w:ascii="宋体" w:hAnsi="宋体" w:cs="宋体"/>
                <w:color w:val="000000"/>
                <w:sz w:val="18"/>
                <w:szCs w:val="18"/>
              </w:rPr>
              <w:t>2</w:t>
            </w:r>
            <w:r>
              <w:rPr>
                <w:rFonts w:ascii="宋体" w:hAnsi="宋体" w:cs="宋体"/>
                <w:color w:val="000000"/>
                <w:sz w:val="18"/>
                <w:szCs w:val="18"/>
              </w:rPr>
              <w:t>45</w:t>
            </w:r>
          </w:p>
        </w:tc>
        <w:tc>
          <w:tcPr>
            <w:tcW w:w="2039"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18"/>
                <w:szCs w:val="18"/>
              </w:rPr>
            </w:pPr>
            <w:r>
              <w:rPr>
                <w:rFonts w:hint="eastAsia" w:ascii="宋体" w:hAnsi="宋体" w:cs="宋体"/>
                <w:sz w:val="18"/>
                <w:szCs w:val="18"/>
              </w:rPr>
              <w:t>119,</w:t>
            </w:r>
            <w:r>
              <w:rPr>
                <w:rFonts w:ascii="宋体" w:hAnsi="宋体" w:cs="宋体"/>
                <w:sz w:val="18"/>
                <w:szCs w:val="18"/>
              </w:rPr>
              <w:t>476</w:t>
            </w:r>
            <w:r>
              <w:rPr>
                <w:rFonts w:hint="eastAsia" w:ascii="宋体" w:hAnsi="宋体" w:cs="宋体"/>
                <w:sz w:val="18"/>
                <w:szCs w:val="18"/>
              </w:rPr>
              <w:t>.</w:t>
            </w:r>
            <w:r>
              <w:rPr>
                <w:rFonts w:ascii="宋体" w:hAnsi="宋体" w:cs="宋体"/>
                <w:sz w:val="18"/>
                <w:szCs w:val="18"/>
              </w:rPr>
              <w:t>32</w:t>
            </w:r>
            <w:r>
              <w:rPr>
                <w:rFonts w:hint="eastAsia" w:ascii="宋体" w:hAnsi="宋体" w:cs="宋体"/>
                <w:sz w:val="18"/>
                <w:szCs w:val="18"/>
              </w:rPr>
              <w:t xml:space="preserve">元/个 </w:t>
            </w:r>
          </w:p>
        </w:tc>
        <w:tc>
          <w:tcPr>
            <w:tcW w:w="1719"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hint="eastAsia" w:ascii="宋体" w:hAnsi="宋体" w:cs="宋体"/>
                <w:color w:val="000000"/>
                <w:sz w:val="18"/>
                <w:szCs w:val="18"/>
              </w:rPr>
              <w:t>-</w:t>
            </w:r>
          </w:p>
        </w:tc>
        <w:tc>
          <w:tcPr>
            <w:tcW w:w="184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ascii="宋体" w:hAnsi="宋体" w:cs="宋体"/>
                <w:color w:val="000000"/>
                <w:sz w:val="18"/>
                <w:szCs w:val="18"/>
              </w:rPr>
              <w:t>29</w:t>
            </w:r>
            <w:r>
              <w:rPr>
                <w:rFonts w:hint="eastAsia" w:ascii="宋体" w:hAnsi="宋体" w:cs="宋体"/>
                <w:color w:val="000000"/>
                <w:sz w:val="18"/>
                <w:szCs w:val="18"/>
              </w:rPr>
              <w:t>,</w:t>
            </w:r>
            <w:r>
              <w:rPr>
                <w:rFonts w:ascii="宋体" w:hAnsi="宋体" w:cs="宋体"/>
                <w:color w:val="000000"/>
                <w:sz w:val="18"/>
                <w:szCs w:val="18"/>
              </w:rPr>
              <w:t>271</w:t>
            </w:r>
            <w:r>
              <w:rPr>
                <w:rFonts w:hint="eastAsia" w:ascii="宋体" w:hAnsi="宋体" w:cs="宋体"/>
                <w:color w:val="000000"/>
                <w:sz w:val="18"/>
                <w:szCs w:val="18"/>
              </w:rPr>
              <w:t>,</w:t>
            </w:r>
            <w:r>
              <w:rPr>
                <w:rFonts w:ascii="宋体" w:hAnsi="宋体" w:cs="宋体"/>
                <w:color w:val="000000"/>
                <w:sz w:val="18"/>
                <w:szCs w:val="18"/>
              </w:rPr>
              <w:t>7</w:t>
            </w:r>
            <w:r>
              <w:rPr>
                <w:rFonts w:hint="eastAsia" w:ascii="宋体" w:hAnsi="宋体" w:cs="宋体"/>
                <w:color w:val="000000"/>
                <w:sz w:val="18"/>
                <w:szCs w:val="18"/>
              </w:rPr>
              <w:t xml:space="preserve">00.00 </w:t>
            </w:r>
          </w:p>
        </w:tc>
        <w:tc>
          <w:tcPr>
            <w:tcW w:w="184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hint="eastAsia" w:ascii="宋体" w:hAnsi="宋体" w:cs="宋体"/>
                <w:color w:val="000000"/>
                <w:sz w:val="18"/>
                <w:szCs w:val="18"/>
              </w:rPr>
              <w:t>13,</w:t>
            </w:r>
            <w:r>
              <w:rPr>
                <w:rFonts w:ascii="宋体" w:hAnsi="宋体" w:cs="宋体"/>
                <w:color w:val="000000"/>
                <w:sz w:val="18"/>
                <w:szCs w:val="18"/>
              </w:rPr>
              <w:t>384</w:t>
            </w:r>
            <w:r>
              <w:rPr>
                <w:rFonts w:hint="eastAsia" w:ascii="宋体" w:hAnsi="宋体" w:cs="宋体"/>
                <w:color w:val="000000"/>
                <w:sz w:val="18"/>
                <w:szCs w:val="18"/>
              </w:rPr>
              <w:t>,</w:t>
            </w:r>
            <w:r>
              <w:rPr>
                <w:rFonts w:ascii="宋体" w:hAnsi="宋体" w:cs="宋体"/>
                <w:color w:val="000000"/>
                <w:sz w:val="18"/>
                <w:szCs w:val="18"/>
              </w:rPr>
              <w:t>6</w:t>
            </w:r>
            <w:r>
              <w:rPr>
                <w:rFonts w:hint="eastAsia" w:ascii="宋体" w:hAnsi="宋体" w:cs="宋体"/>
                <w:color w:val="000000"/>
                <w:sz w:val="18"/>
                <w:szCs w:val="18"/>
              </w:rPr>
              <w:t xml:space="preserve">00.00 </w:t>
            </w:r>
          </w:p>
        </w:tc>
      </w:tr>
      <w:tr>
        <w:trPr>
          <w:trHeight w:val="280" w:hRule="atLeast"/>
          <w:jc w:val="center"/>
        </w:trPr>
        <w:tc>
          <w:tcPr>
            <w:tcW w:w="1105" w:type="dxa"/>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hint="eastAsia" w:ascii="宋体" w:hAnsi="宋体" w:cs="宋体"/>
                <w:color w:val="000000"/>
                <w:sz w:val="18"/>
                <w:szCs w:val="18"/>
              </w:rPr>
              <w:t>合计</w:t>
            </w:r>
          </w:p>
        </w:tc>
        <w:tc>
          <w:tcPr>
            <w:tcW w:w="121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ascii="宋体" w:hAnsi="宋体" w:cs="宋体"/>
                <w:color w:val="000000"/>
                <w:sz w:val="18"/>
                <w:szCs w:val="18"/>
              </w:rPr>
              <w:t>495</w:t>
            </w:r>
          </w:p>
        </w:tc>
        <w:tc>
          <w:tcPr>
            <w:tcW w:w="2039"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hint="eastAsia" w:ascii="宋体" w:hAnsi="宋体" w:cs="宋体"/>
                <w:color w:val="000000"/>
                <w:sz w:val="18"/>
                <w:szCs w:val="18"/>
              </w:rPr>
              <w:t>-</w:t>
            </w:r>
          </w:p>
        </w:tc>
        <w:tc>
          <w:tcPr>
            <w:tcW w:w="1719"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ascii="宋体" w:hAnsi="宋体" w:cs="宋体"/>
                <w:color w:val="000000"/>
                <w:sz w:val="18"/>
                <w:szCs w:val="18"/>
              </w:rPr>
              <w:t>28,922.47</w:t>
            </w:r>
          </w:p>
        </w:tc>
        <w:tc>
          <w:tcPr>
            <w:tcW w:w="184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ascii="宋体" w:hAnsi="宋体" w:cs="宋体"/>
                <w:color w:val="000000"/>
                <w:sz w:val="18"/>
                <w:szCs w:val="18"/>
              </w:rPr>
              <w:t>195,647,157.00</w:t>
            </w:r>
          </w:p>
        </w:tc>
        <w:tc>
          <w:tcPr>
            <w:tcW w:w="184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color w:val="000000"/>
                <w:sz w:val="18"/>
                <w:szCs w:val="18"/>
              </w:rPr>
            </w:pPr>
            <w:r>
              <w:rPr>
                <w:rFonts w:ascii="宋体" w:hAnsi="宋体" w:cs="宋体"/>
                <w:color w:val="000000"/>
                <w:sz w:val="18"/>
                <w:szCs w:val="18"/>
              </w:rPr>
              <w:t>104,173,351.00</w:t>
            </w:r>
            <w:r>
              <w:rPr>
                <w:rFonts w:hint="eastAsia" w:ascii="宋体" w:hAnsi="宋体" w:cs="宋体"/>
                <w:color w:val="000000"/>
                <w:sz w:val="18"/>
                <w:szCs w:val="18"/>
              </w:rPr>
              <w:t xml:space="preserve"> </w:t>
            </w:r>
          </w:p>
        </w:tc>
      </w:tr>
    </w:tbl>
    <w:p>
      <w:pPr>
        <w:pStyle w:val="2"/>
        <w:spacing w:after="0" w:line="480" w:lineRule="auto"/>
        <w:ind w:firstLine="360" w:firstLineChars="200"/>
        <w:rPr>
          <w:rFonts w:asciiTheme="minorEastAsia" w:hAnsiTheme="minorEastAsia" w:eastAsiaTheme="minorEastAsia" w:cstheme="minorEastAsia"/>
          <w:kern w:val="0"/>
          <w:sz w:val="18"/>
          <w:szCs w:val="18"/>
          <w:lang w:eastAsia="zh-Hans" w:bidi="ar"/>
        </w:rPr>
      </w:pPr>
      <w:r>
        <w:rPr>
          <w:rFonts w:hint="eastAsia" w:asciiTheme="minorEastAsia" w:hAnsiTheme="minorEastAsia" w:eastAsiaTheme="minorEastAsia" w:cstheme="minorEastAsia"/>
          <w:kern w:val="0"/>
          <w:sz w:val="18"/>
          <w:szCs w:val="18"/>
          <w:lang w:bidi="ar"/>
        </w:rPr>
        <w:t>注：</w:t>
      </w:r>
      <w:r>
        <w:rPr>
          <w:rFonts w:hint="eastAsia" w:asciiTheme="minorEastAsia" w:hAnsiTheme="minorEastAsia" w:eastAsiaTheme="minorEastAsia" w:cstheme="minorEastAsia"/>
          <w:kern w:val="0"/>
          <w:sz w:val="18"/>
          <w:szCs w:val="18"/>
          <w:lang w:eastAsia="zh-Hans" w:bidi="ar"/>
        </w:rPr>
        <w:t>①所有</w:t>
      </w:r>
      <w:r>
        <w:rPr>
          <w:rFonts w:hint="eastAsia" w:asciiTheme="minorEastAsia" w:hAnsiTheme="minorEastAsia" w:eastAsiaTheme="minorEastAsia" w:cstheme="minorEastAsia"/>
          <w:kern w:val="0"/>
          <w:sz w:val="18"/>
          <w:szCs w:val="18"/>
          <w:lang w:bidi="ar"/>
        </w:rPr>
        <w:t>楼栋暂未取得商品房预售许可证，故本表以认筹情况统计相关；</w:t>
      </w:r>
      <w:r>
        <w:rPr>
          <w:rFonts w:hint="eastAsia" w:asciiTheme="minorEastAsia" w:hAnsiTheme="minorEastAsia" w:eastAsiaTheme="minorEastAsia" w:cstheme="minorEastAsia"/>
          <w:kern w:val="0"/>
          <w:sz w:val="18"/>
          <w:szCs w:val="18"/>
          <w:lang w:eastAsia="zh-Hans" w:bidi="ar"/>
        </w:rPr>
        <w:t>②</w:t>
      </w:r>
      <w:bookmarkStart w:id="8" w:name="_Hlk61442377"/>
      <w:r>
        <w:rPr>
          <w:rFonts w:hint="eastAsia" w:asciiTheme="minorEastAsia" w:hAnsiTheme="minorEastAsia" w:eastAsiaTheme="minorEastAsia" w:cstheme="minorEastAsia"/>
          <w:kern w:val="0"/>
          <w:sz w:val="18"/>
          <w:szCs w:val="18"/>
          <w:lang w:eastAsia="zh-Hans" w:bidi="ar"/>
        </w:rPr>
        <w:t>截至本期期末，春天里项目新增住宅认筹</w:t>
      </w:r>
      <w:r>
        <w:rPr>
          <w:rFonts w:asciiTheme="minorEastAsia" w:hAnsiTheme="minorEastAsia" w:eastAsiaTheme="minorEastAsia" w:cstheme="minorEastAsia"/>
          <w:kern w:val="0"/>
          <w:sz w:val="18"/>
          <w:szCs w:val="18"/>
          <w:lang w:eastAsia="zh-Hans" w:bidi="ar"/>
        </w:rPr>
        <w:t>36</w:t>
      </w:r>
      <w:r>
        <w:rPr>
          <w:rFonts w:hint="eastAsia" w:asciiTheme="minorEastAsia" w:hAnsiTheme="minorEastAsia" w:eastAsiaTheme="minorEastAsia" w:cstheme="minorEastAsia"/>
          <w:kern w:val="0"/>
          <w:sz w:val="18"/>
          <w:szCs w:val="18"/>
          <w:lang w:eastAsia="zh-Hans" w:bidi="ar"/>
        </w:rPr>
        <w:t>户，车位新增认筹</w:t>
      </w:r>
      <w:r>
        <w:rPr>
          <w:rFonts w:asciiTheme="minorEastAsia" w:hAnsiTheme="minorEastAsia" w:eastAsiaTheme="minorEastAsia" w:cstheme="minorEastAsia"/>
          <w:kern w:val="0"/>
          <w:sz w:val="18"/>
          <w:szCs w:val="18"/>
          <w:lang w:eastAsia="zh-Hans" w:bidi="ar"/>
        </w:rPr>
        <w:t>36</w:t>
      </w:r>
      <w:r>
        <w:rPr>
          <w:rFonts w:hint="eastAsia" w:asciiTheme="minorEastAsia" w:hAnsiTheme="minorEastAsia" w:eastAsiaTheme="minorEastAsia" w:cstheme="minorEastAsia"/>
          <w:kern w:val="0"/>
          <w:sz w:val="18"/>
          <w:szCs w:val="18"/>
          <w:lang w:eastAsia="zh-Hans" w:bidi="ar"/>
        </w:rPr>
        <w:t>个，商铺新增认筹</w:t>
      </w:r>
      <w:r>
        <w:rPr>
          <w:rFonts w:hint="eastAsia" w:asciiTheme="minorEastAsia" w:hAnsiTheme="minorEastAsia" w:eastAsiaTheme="minorEastAsia" w:cstheme="minorEastAsia"/>
          <w:kern w:val="0"/>
          <w:sz w:val="18"/>
          <w:szCs w:val="18"/>
          <w:lang w:bidi="ar"/>
        </w:rPr>
        <w:t>0个</w:t>
      </w:r>
      <w:r>
        <w:rPr>
          <w:rFonts w:hint="eastAsia" w:asciiTheme="minorEastAsia" w:hAnsiTheme="minorEastAsia" w:eastAsiaTheme="minorEastAsia" w:cstheme="minorEastAsia"/>
          <w:kern w:val="0"/>
          <w:sz w:val="18"/>
          <w:szCs w:val="18"/>
          <w:lang w:eastAsia="zh-Hans" w:bidi="ar"/>
        </w:rPr>
        <w:t>；现有住宅累计认筹客户2</w:t>
      </w:r>
      <w:r>
        <w:rPr>
          <w:rFonts w:asciiTheme="minorEastAsia" w:hAnsiTheme="minorEastAsia" w:eastAsiaTheme="minorEastAsia" w:cstheme="minorEastAsia"/>
          <w:kern w:val="0"/>
          <w:sz w:val="18"/>
          <w:szCs w:val="18"/>
          <w:lang w:eastAsia="zh-Hans" w:bidi="ar"/>
        </w:rPr>
        <w:t>42</w:t>
      </w:r>
      <w:r>
        <w:rPr>
          <w:rFonts w:hint="eastAsia" w:asciiTheme="minorEastAsia" w:hAnsiTheme="minorEastAsia" w:eastAsiaTheme="minorEastAsia" w:cstheme="minorEastAsia"/>
          <w:kern w:val="0"/>
          <w:sz w:val="18"/>
          <w:szCs w:val="18"/>
          <w:lang w:eastAsia="zh-Hans" w:bidi="ar"/>
        </w:rPr>
        <w:t>户，车位累计认筹</w:t>
      </w:r>
      <w:r>
        <w:rPr>
          <w:rFonts w:hint="eastAsia" w:asciiTheme="minorEastAsia" w:hAnsiTheme="minorEastAsia" w:eastAsiaTheme="minorEastAsia" w:cstheme="minorEastAsia"/>
          <w:kern w:val="0"/>
          <w:sz w:val="18"/>
          <w:szCs w:val="18"/>
          <w:lang w:bidi="ar"/>
        </w:rPr>
        <w:t>2</w:t>
      </w:r>
      <w:r>
        <w:rPr>
          <w:rFonts w:asciiTheme="minorEastAsia" w:hAnsiTheme="minorEastAsia" w:eastAsiaTheme="minorEastAsia" w:cstheme="minorEastAsia"/>
          <w:kern w:val="0"/>
          <w:sz w:val="18"/>
          <w:szCs w:val="18"/>
          <w:lang w:bidi="ar"/>
        </w:rPr>
        <w:t>45</w:t>
      </w:r>
      <w:r>
        <w:rPr>
          <w:rFonts w:hint="eastAsia" w:asciiTheme="minorEastAsia" w:hAnsiTheme="minorEastAsia" w:eastAsiaTheme="minorEastAsia" w:cstheme="minorEastAsia"/>
          <w:kern w:val="0"/>
          <w:sz w:val="18"/>
          <w:szCs w:val="18"/>
          <w:lang w:eastAsia="zh-Hans" w:bidi="ar"/>
        </w:rPr>
        <w:t>个，商铺累计认筹8个；住宅认筹、车位认筹及商铺认筹累计回款</w:t>
      </w:r>
      <w:r>
        <w:rPr>
          <w:rFonts w:asciiTheme="minorEastAsia" w:hAnsiTheme="minorEastAsia" w:eastAsiaTheme="minorEastAsia" w:cstheme="minorEastAsia"/>
          <w:kern w:val="0"/>
          <w:sz w:val="18"/>
          <w:szCs w:val="18"/>
          <w:lang w:eastAsia="zh-Hans" w:bidi="ar"/>
        </w:rPr>
        <w:t>10,417.3351</w:t>
      </w:r>
      <w:r>
        <w:rPr>
          <w:rFonts w:hint="eastAsia" w:asciiTheme="minorEastAsia" w:hAnsiTheme="minorEastAsia" w:eastAsiaTheme="minorEastAsia" w:cstheme="minorEastAsia"/>
          <w:kern w:val="0"/>
          <w:sz w:val="18"/>
          <w:szCs w:val="18"/>
          <w:lang w:eastAsia="zh-Hans" w:bidi="ar"/>
        </w:rPr>
        <w:t>万元；③经与工程员工了解，实际销售时，如果同时购买商品房及车位，可享受房款+</w:t>
      </w:r>
      <w:r>
        <w:rPr>
          <w:rFonts w:asciiTheme="minorEastAsia" w:hAnsiTheme="minorEastAsia" w:eastAsiaTheme="minorEastAsia" w:cstheme="minorEastAsia"/>
          <w:kern w:val="0"/>
          <w:sz w:val="18"/>
          <w:szCs w:val="18"/>
          <w:lang w:eastAsia="zh-Hans" w:bidi="ar"/>
        </w:rPr>
        <w:t>5</w:t>
      </w:r>
      <w:r>
        <w:rPr>
          <w:rFonts w:hint="eastAsia" w:asciiTheme="minorEastAsia" w:hAnsiTheme="minorEastAsia" w:eastAsiaTheme="minorEastAsia" w:cstheme="minorEastAsia"/>
          <w:kern w:val="0"/>
          <w:sz w:val="18"/>
          <w:szCs w:val="18"/>
          <w:lang w:eastAsia="zh-Hans" w:bidi="ar"/>
        </w:rPr>
        <w:t>万元即可购买商品房及车位的优惠，因此车位实际销售价格可能会低于现有定价，也远低于对赌价</w:t>
      </w:r>
      <w:r>
        <w:rPr>
          <w:rFonts w:hint="eastAsia" w:asciiTheme="minorEastAsia" w:hAnsiTheme="minorEastAsia" w:eastAsiaTheme="minorEastAsia" w:cstheme="minorEastAsia"/>
          <w:kern w:val="0"/>
          <w:sz w:val="18"/>
          <w:szCs w:val="18"/>
          <w:lang w:bidi="ar"/>
        </w:rPr>
        <w:t>8万/个</w:t>
      </w:r>
      <w:r>
        <w:rPr>
          <w:rFonts w:hint="eastAsia" w:asciiTheme="minorEastAsia" w:hAnsiTheme="minorEastAsia" w:eastAsiaTheme="minorEastAsia" w:cstheme="minorEastAsia"/>
          <w:kern w:val="0"/>
          <w:sz w:val="18"/>
          <w:szCs w:val="18"/>
          <w:lang w:eastAsia="zh-Hans" w:bidi="ar"/>
        </w:rPr>
        <w:t>。</w:t>
      </w:r>
      <w:bookmarkEnd w:id="8"/>
    </w:p>
    <w:p>
      <w:pPr>
        <w:spacing w:line="480" w:lineRule="auto"/>
        <w:ind w:firstLine="420" w:firstLineChars="200"/>
        <w:rPr>
          <w:rFonts w:ascii="宋体" w:hAnsi="宋体" w:cs="宋体"/>
          <w:bCs/>
          <w:sz w:val="21"/>
          <w:szCs w:val="21"/>
        </w:rPr>
      </w:pPr>
      <w:r>
        <w:rPr>
          <w:rFonts w:hint="eastAsia" w:ascii="宋体" w:hAnsi="宋体" w:cs="宋体"/>
          <w:bCs/>
          <w:sz w:val="21"/>
          <w:szCs w:val="21"/>
        </w:rPr>
        <w:t>（1）存在的问题、原因及潜在风险。</w:t>
      </w:r>
    </w:p>
    <w:p>
      <w:pPr>
        <w:spacing w:line="480" w:lineRule="auto"/>
        <w:ind w:firstLine="420" w:firstLineChars="200"/>
        <w:rPr>
          <w:rFonts w:ascii="宋体" w:hAnsi="宋体" w:cs="宋体"/>
          <w:bCs/>
          <w:sz w:val="21"/>
          <w:szCs w:val="21"/>
        </w:rPr>
      </w:pPr>
      <w:r>
        <w:rPr>
          <w:rFonts w:hint="eastAsia" w:ascii="宋体" w:hAnsi="宋体" w:cs="宋体"/>
          <w:bCs/>
          <w:sz w:val="21"/>
          <w:szCs w:val="21"/>
        </w:rPr>
        <w:t>2021年2月10日为首开区预计开盘时间，但是商品房预售许可证暂未办理成功属于无证预售，</w:t>
      </w:r>
      <w:r>
        <w:rPr>
          <w:rFonts w:hint="eastAsia" w:ascii="宋体" w:hAnsi="宋体" w:cs="Arial"/>
          <w:sz w:val="21"/>
          <w:szCs w:val="21"/>
        </w:rPr>
        <w:t>存在因</w:t>
      </w:r>
      <w:r>
        <w:rPr>
          <w:rFonts w:hint="eastAsia" w:ascii="宋体" w:hAnsi="宋体" w:cs="Arial"/>
          <w:sz w:val="21"/>
          <w:szCs w:val="21"/>
          <w:lang w:eastAsia="zh-Hans"/>
        </w:rPr>
        <w:t>无证销售的</w:t>
      </w:r>
      <w:r>
        <w:rPr>
          <w:rFonts w:hint="eastAsia" w:ascii="宋体" w:hAnsi="宋体" w:cs="Arial"/>
          <w:sz w:val="21"/>
          <w:szCs w:val="21"/>
        </w:rPr>
        <w:t>违规操作而被处罚的</w:t>
      </w:r>
      <w:r>
        <w:rPr>
          <w:rFonts w:hint="eastAsia" w:ascii="宋体" w:hAnsi="宋体" w:cs="Arial"/>
          <w:sz w:val="21"/>
          <w:szCs w:val="21"/>
          <w:lang w:eastAsia="zh-Hans"/>
        </w:rPr>
        <w:t>风</w:t>
      </w:r>
      <w:r>
        <w:rPr>
          <w:rFonts w:hint="eastAsia" w:ascii="宋体" w:hAnsi="宋体" w:cs="Arial"/>
          <w:sz w:val="21"/>
          <w:szCs w:val="21"/>
        </w:rPr>
        <w:t>险</w:t>
      </w:r>
      <w:r>
        <w:rPr>
          <w:rFonts w:hint="eastAsia" w:ascii="宋体" w:hAnsi="宋体" w:cs="宋体"/>
          <w:bCs/>
          <w:sz w:val="21"/>
          <w:szCs w:val="21"/>
        </w:rPr>
        <w:t>。</w:t>
      </w:r>
    </w:p>
    <w:p>
      <w:pPr>
        <w:spacing w:line="480" w:lineRule="auto"/>
        <w:ind w:firstLine="420" w:firstLineChars="200"/>
        <w:rPr>
          <w:rFonts w:ascii="宋体" w:hAnsi="宋体" w:cs="宋体"/>
          <w:bCs/>
          <w:sz w:val="21"/>
          <w:szCs w:val="21"/>
        </w:rPr>
      </w:pPr>
      <w:r>
        <w:rPr>
          <w:rFonts w:hint="eastAsia" w:ascii="宋体" w:hAnsi="宋体" w:cs="宋体"/>
          <w:bCs/>
          <w:sz w:val="21"/>
          <w:szCs w:val="21"/>
        </w:rPr>
        <w:t>（2）建议措施及后期需关注事项。</w:t>
      </w:r>
    </w:p>
    <w:p>
      <w:pPr>
        <w:spacing w:line="480" w:lineRule="auto"/>
        <w:ind w:firstLine="420" w:firstLineChars="200"/>
        <w:rPr>
          <w:rFonts w:ascii="宋体" w:hAnsi="宋体" w:cs="Arial"/>
          <w:sz w:val="21"/>
          <w:szCs w:val="21"/>
          <w:lang w:eastAsia="zh-Hans"/>
        </w:rPr>
      </w:pPr>
      <w:r>
        <w:rPr>
          <w:rFonts w:hint="eastAsia" w:ascii="宋体" w:hAnsi="宋体" w:cs="Arial"/>
          <w:sz w:val="21"/>
          <w:szCs w:val="21"/>
          <w:lang w:eastAsia="zh-Hans"/>
        </w:rPr>
        <w:t>无证销售的应对措施：①做好取证工作的资料准备工作；②加快已销售楼栋的工程进度，达到预售许可证所需的形象进度；③提前筹划公关工作，避免产生罚款。</w:t>
      </w:r>
    </w:p>
    <w:p>
      <w:pPr>
        <w:pStyle w:val="4"/>
        <w:spacing w:line="480" w:lineRule="auto"/>
        <w:rPr>
          <w:rFonts w:ascii="宋体" w:hAnsi="宋体" w:eastAsia="宋体" w:cs="宋体"/>
          <w:sz w:val="21"/>
          <w:szCs w:val="21"/>
        </w:rPr>
      </w:pPr>
      <w:bookmarkStart w:id="9" w:name="_Toc61551286"/>
      <w:r>
        <w:rPr>
          <w:rFonts w:hint="eastAsia" w:ascii="宋体" w:hAnsi="宋体" w:eastAsia="宋体" w:cs="宋体"/>
          <w:sz w:val="21"/>
          <w:szCs w:val="21"/>
        </w:rPr>
        <w:t>六、项目银行账户情况</w:t>
      </w:r>
      <w:bookmarkEnd w:id="9"/>
    </w:p>
    <w:p>
      <w:pPr>
        <w:spacing w:line="480" w:lineRule="auto"/>
        <w:ind w:firstLine="420" w:firstLineChars="200"/>
        <w:rPr>
          <w:rFonts w:ascii="宋体" w:hAnsi="宋体" w:cs="宋体"/>
          <w:bCs/>
          <w:sz w:val="18"/>
          <w:szCs w:val="18"/>
        </w:rPr>
      </w:pPr>
      <w:r>
        <w:rPr>
          <w:rFonts w:hint="eastAsia" w:ascii="宋体" w:hAnsi="宋体" w:cs="宋体"/>
          <w:bCs/>
          <w:color w:val="000000" w:themeColor="text1"/>
          <w:sz w:val="21"/>
          <w:szCs w:val="21"/>
          <w14:textFill>
            <w14:solidFill>
              <w14:schemeClr w14:val="tx1"/>
            </w14:solidFill>
          </w14:textFill>
        </w:rPr>
        <w:t>截至</w:t>
      </w:r>
      <w:r>
        <w:rPr>
          <w:rFonts w:ascii="宋体" w:hAnsi="宋体" w:cs="宋体"/>
          <w:bCs/>
          <w:color w:val="000000" w:themeColor="text1"/>
          <w:sz w:val="21"/>
          <w:szCs w:val="21"/>
          <w14:textFill>
            <w14:solidFill>
              <w14:schemeClr w14:val="tx1"/>
            </w14:solidFill>
          </w14:textFill>
        </w:rPr>
        <w:t>12</w:t>
      </w:r>
      <w:r>
        <w:rPr>
          <w:rFonts w:hint="eastAsia" w:ascii="宋体" w:hAnsi="宋体" w:cs="宋体"/>
          <w:bCs/>
          <w:color w:val="000000" w:themeColor="text1"/>
          <w:sz w:val="21"/>
          <w:szCs w:val="21"/>
          <w14:textFill>
            <w14:solidFill>
              <w14:schemeClr w14:val="tx1"/>
            </w14:solidFill>
          </w14:textFill>
        </w:rPr>
        <w:t>月31日</w:t>
      </w:r>
      <w:r>
        <w:rPr>
          <w:rFonts w:hint="eastAsia" w:ascii="宋体" w:hAnsi="宋体" w:cs="宋体"/>
          <w:bCs/>
          <w:sz w:val="21"/>
          <w:szCs w:val="21"/>
        </w:rPr>
        <w:t>,项目公司各账户余额共计：</w:t>
      </w:r>
      <w:r>
        <w:rPr>
          <w:rFonts w:ascii="宋体" w:hAnsi="宋体" w:cs="宋体"/>
          <w:bCs/>
          <w:sz w:val="21"/>
          <w:szCs w:val="21"/>
        </w:rPr>
        <w:t>55,367,855.14</w:t>
      </w:r>
      <w:r>
        <w:rPr>
          <w:rFonts w:hint="eastAsia" w:ascii="宋体" w:hAnsi="宋体" w:cs="宋体"/>
          <w:bCs/>
          <w:sz w:val="21"/>
          <w:szCs w:val="21"/>
        </w:rPr>
        <w:t>元，（其中广西速晟账户余额：</w:t>
      </w:r>
      <w:r>
        <w:rPr>
          <w:rFonts w:ascii="宋体" w:hAnsi="宋体" w:cs="宋体"/>
          <w:bCs/>
          <w:sz w:val="21"/>
          <w:szCs w:val="21"/>
        </w:rPr>
        <w:t>406</w:t>
      </w:r>
      <w:r>
        <w:rPr>
          <w:rFonts w:hint="eastAsia" w:ascii="宋体" w:hAnsi="宋体" w:cs="宋体"/>
          <w:bCs/>
          <w:sz w:val="21"/>
          <w:szCs w:val="21"/>
        </w:rPr>
        <w:t>,</w:t>
      </w:r>
      <w:r>
        <w:rPr>
          <w:rFonts w:ascii="宋体" w:hAnsi="宋体" w:cs="宋体"/>
          <w:bCs/>
          <w:sz w:val="21"/>
          <w:szCs w:val="21"/>
        </w:rPr>
        <w:t>803.67</w:t>
      </w:r>
      <w:r>
        <w:rPr>
          <w:rFonts w:hint="eastAsia" w:ascii="宋体" w:hAnsi="宋体" w:cs="宋体"/>
          <w:bCs/>
          <w:sz w:val="21"/>
          <w:szCs w:val="21"/>
        </w:rPr>
        <w:t>元，南宁峰宴账户余额：</w:t>
      </w:r>
      <w:r>
        <w:rPr>
          <w:rFonts w:ascii="宋体" w:hAnsi="宋体" w:cs="宋体"/>
          <w:bCs/>
          <w:sz w:val="21"/>
          <w:szCs w:val="21"/>
        </w:rPr>
        <w:t>23,792.35</w:t>
      </w:r>
      <w:r>
        <w:rPr>
          <w:rFonts w:hint="eastAsia" w:ascii="宋体" w:hAnsi="宋体" w:cs="宋体"/>
          <w:bCs/>
          <w:sz w:val="21"/>
          <w:szCs w:val="21"/>
        </w:rPr>
        <w:t>元，桂林弘彰账户余额：</w:t>
      </w:r>
      <w:r>
        <w:rPr>
          <w:rFonts w:ascii="宋体" w:hAnsi="宋体" w:cs="宋体"/>
          <w:bCs/>
          <w:sz w:val="21"/>
          <w:szCs w:val="21"/>
        </w:rPr>
        <w:t>48</w:t>
      </w:r>
      <w:r>
        <w:rPr>
          <w:rFonts w:hint="eastAsia" w:ascii="宋体" w:hAnsi="宋体" w:cs="宋体"/>
          <w:bCs/>
          <w:sz w:val="21"/>
          <w:szCs w:val="21"/>
        </w:rPr>
        <w:t>,</w:t>
      </w:r>
      <w:r>
        <w:rPr>
          <w:rFonts w:ascii="宋体" w:hAnsi="宋体" w:cs="宋体"/>
          <w:bCs/>
          <w:sz w:val="21"/>
          <w:szCs w:val="21"/>
        </w:rPr>
        <w:t>945,789.9</w:t>
      </w:r>
      <w:r>
        <w:rPr>
          <w:rFonts w:hint="eastAsia" w:ascii="宋体" w:hAnsi="宋体" w:cs="宋体"/>
          <w:bCs/>
          <w:sz w:val="21"/>
          <w:szCs w:val="21"/>
        </w:rPr>
        <w:t>元，桂林威祺建行账户余额：5,</w:t>
      </w:r>
      <w:r>
        <w:rPr>
          <w:rFonts w:ascii="宋体" w:hAnsi="宋体" w:cs="宋体"/>
          <w:bCs/>
          <w:sz w:val="21"/>
          <w:szCs w:val="21"/>
        </w:rPr>
        <w:t>991</w:t>
      </w:r>
      <w:r>
        <w:rPr>
          <w:rFonts w:hint="eastAsia" w:ascii="宋体" w:hAnsi="宋体" w:cs="宋体"/>
          <w:bCs/>
          <w:sz w:val="21"/>
          <w:szCs w:val="21"/>
        </w:rPr>
        <w:t>,</w:t>
      </w:r>
      <w:r>
        <w:rPr>
          <w:rFonts w:ascii="宋体" w:hAnsi="宋体" w:cs="宋体"/>
          <w:bCs/>
          <w:sz w:val="21"/>
          <w:szCs w:val="21"/>
        </w:rPr>
        <w:t>469.22</w:t>
      </w:r>
      <w:r>
        <w:rPr>
          <w:rFonts w:hint="eastAsia" w:ascii="宋体" w:hAnsi="宋体" w:cs="宋体"/>
          <w:bCs/>
          <w:sz w:val="21"/>
          <w:szCs w:val="21"/>
        </w:rPr>
        <w:t>元）</w:t>
      </w:r>
      <w:r>
        <w:rPr>
          <w:rFonts w:hint="eastAsia" w:ascii="宋体" w:hAnsi="宋体" w:cs="宋体"/>
          <w:bCs/>
          <w:sz w:val="21"/>
          <w:szCs w:val="21"/>
          <w:lang w:eastAsia="zh-Hans"/>
        </w:rPr>
        <w:t>。</w:t>
      </w:r>
      <w:r>
        <w:rPr>
          <w:rFonts w:hint="eastAsia" w:ascii="宋体" w:hAnsi="宋体" w:cs="宋体"/>
          <w:bCs/>
          <w:sz w:val="21"/>
          <w:szCs w:val="21"/>
        </w:rPr>
        <w:t>各账户信息如下</w:t>
      </w:r>
      <w:r>
        <w:rPr>
          <w:rFonts w:ascii="宋体" w:hAnsi="宋体" w:cs="宋体"/>
          <w:bCs/>
          <w:sz w:val="21"/>
          <w:szCs w:val="21"/>
        </w:rPr>
        <w:t>:</w:t>
      </w:r>
    </w:p>
    <w:p>
      <w:pPr>
        <w:ind w:firstLine="3060" w:firstLineChars="1700"/>
        <w:rPr>
          <w:rFonts w:ascii="宋体" w:hAnsi="宋体" w:cs="宋体"/>
          <w:bCs/>
          <w:sz w:val="18"/>
          <w:szCs w:val="18"/>
        </w:rPr>
      </w:pPr>
      <w:r>
        <w:rPr>
          <w:rFonts w:hint="eastAsia" w:ascii="宋体" w:hAnsi="宋体" w:cs="宋体"/>
          <w:sz w:val="18"/>
          <w:szCs w:val="18"/>
        </w:rPr>
        <w:t>表七：</w:t>
      </w:r>
      <w:r>
        <w:rPr>
          <w:rFonts w:hint="eastAsia" w:ascii="宋体" w:hAnsi="宋体" w:cs="宋体"/>
          <w:bCs/>
          <w:sz w:val="18"/>
          <w:szCs w:val="18"/>
        </w:rPr>
        <w:t>银行账户基本情况</w:t>
      </w:r>
    </w:p>
    <w:tbl>
      <w:tblPr>
        <w:tblStyle w:val="24"/>
        <w:tblW w:w="9299" w:type="dxa"/>
        <w:jc w:val="center"/>
        <w:tblLayout w:type="autofit"/>
        <w:tblCellMar>
          <w:top w:w="0" w:type="dxa"/>
          <w:left w:w="108" w:type="dxa"/>
          <w:bottom w:w="0" w:type="dxa"/>
          <w:right w:w="108" w:type="dxa"/>
        </w:tblCellMar>
      </w:tblPr>
      <w:tblGrid>
        <w:gridCol w:w="822"/>
        <w:gridCol w:w="1165"/>
        <w:gridCol w:w="1165"/>
        <w:gridCol w:w="2756"/>
        <w:gridCol w:w="931"/>
        <w:gridCol w:w="1420"/>
        <w:gridCol w:w="1040"/>
      </w:tblGrid>
      <w:tr>
        <w:trPr>
          <w:trHeight w:val="816" w:hRule="atLeast"/>
          <w:tblHeader/>
          <w:jc w:val="center"/>
        </w:trPr>
        <w:tc>
          <w:tcPr>
            <w:tcW w:w="822" w:type="dxa"/>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序号</w:t>
            </w:r>
          </w:p>
        </w:tc>
        <w:tc>
          <w:tcPr>
            <w:tcW w:w="1165" w:type="dxa"/>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公司名称</w:t>
            </w:r>
          </w:p>
        </w:tc>
        <w:tc>
          <w:tcPr>
            <w:tcW w:w="1165" w:type="dxa"/>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银行名称</w:t>
            </w:r>
          </w:p>
        </w:tc>
        <w:tc>
          <w:tcPr>
            <w:tcW w:w="2756" w:type="dxa"/>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账号</w:t>
            </w:r>
          </w:p>
        </w:tc>
        <w:tc>
          <w:tcPr>
            <w:tcW w:w="931" w:type="dxa"/>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账户性质</w:t>
            </w:r>
          </w:p>
        </w:tc>
        <w:tc>
          <w:tcPr>
            <w:tcW w:w="1420"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本期余额</w:t>
            </w:r>
          </w:p>
          <w:p>
            <w:pPr>
              <w:jc w:val="center"/>
              <w:rPr>
                <w:rFonts w:ascii="宋体" w:hAnsi="宋体" w:cs="宋体"/>
                <w:b/>
                <w:bCs/>
                <w:color w:val="000000"/>
                <w:sz w:val="18"/>
                <w:szCs w:val="18"/>
              </w:rPr>
            </w:pPr>
            <w:r>
              <w:rPr>
                <w:rFonts w:hint="eastAsia" w:ascii="宋体" w:hAnsi="宋体" w:cs="宋体"/>
                <w:b/>
                <w:bCs/>
                <w:color w:val="000000"/>
                <w:sz w:val="18"/>
                <w:szCs w:val="18"/>
              </w:rPr>
              <w:t>（元）</w:t>
            </w:r>
          </w:p>
        </w:tc>
        <w:tc>
          <w:tcPr>
            <w:tcW w:w="1040" w:type="dxa"/>
            <w:tcBorders>
              <w:top w:val="single" w:color="auto" w:sz="8" w:space="0"/>
              <w:left w:val="single" w:color="auto" w:sz="8" w:space="0"/>
              <w:bottom w:val="single" w:color="000000" w:sz="8" w:space="0"/>
              <w:right w:val="single" w:color="auto" w:sz="8" w:space="0"/>
            </w:tcBorders>
            <w:shd w:val="clear" w:color="auto" w:fill="auto"/>
            <w:noWrap/>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备注</w:t>
            </w:r>
          </w:p>
        </w:tc>
      </w:tr>
      <w:tr>
        <w:trPr>
          <w:trHeight w:val="490" w:hRule="atLeast"/>
          <w:jc w:val="center"/>
        </w:trPr>
        <w:tc>
          <w:tcPr>
            <w:tcW w:w="822" w:type="dxa"/>
            <w:tcBorders>
              <w:top w:val="nil"/>
              <w:left w:val="single" w:color="auto" w:sz="8" w:space="0"/>
              <w:bottom w:val="single" w:color="auto" w:sz="8" w:space="0"/>
              <w:right w:val="nil"/>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1165"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广西速晟</w:t>
            </w:r>
          </w:p>
        </w:tc>
        <w:tc>
          <w:tcPr>
            <w:tcW w:w="1165"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民生银行</w:t>
            </w:r>
          </w:p>
        </w:tc>
        <w:tc>
          <w:tcPr>
            <w:tcW w:w="27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6325 4124 6</w:t>
            </w:r>
          </w:p>
        </w:tc>
        <w:tc>
          <w:tcPr>
            <w:tcW w:w="93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基本户</w:t>
            </w:r>
          </w:p>
        </w:tc>
        <w:tc>
          <w:tcPr>
            <w:tcW w:w="1420"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406,803.67</w:t>
            </w:r>
          </w:p>
        </w:tc>
        <w:tc>
          <w:tcPr>
            <w:tcW w:w="1040"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　</w:t>
            </w:r>
          </w:p>
        </w:tc>
      </w:tr>
      <w:tr>
        <w:trPr>
          <w:trHeight w:val="533"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w:t>
            </w:r>
          </w:p>
        </w:tc>
        <w:tc>
          <w:tcPr>
            <w:tcW w:w="1165"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南宁峰宴</w:t>
            </w:r>
          </w:p>
        </w:tc>
        <w:tc>
          <w:tcPr>
            <w:tcW w:w="1165"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广西农信社</w:t>
            </w:r>
          </w:p>
        </w:tc>
        <w:tc>
          <w:tcPr>
            <w:tcW w:w="27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1800 1201 0102 0256 22</w:t>
            </w:r>
          </w:p>
        </w:tc>
        <w:tc>
          <w:tcPr>
            <w:tcW w:w="93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基本户</w:t>
            </w:r>
          </w:p>
        </w:tc>
        <w:tc>
          <w:tcPr>
            <w:tcW w:w="1420"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23,792.35</w:t>
            </w:r>
          </w:p>
        </w:tc>
        <w:tc>
          <w:tcPr>
            <w:tcW w:w="1040"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　</w:t>
            </w:r>
          </w:p>
        </w:tc>
      </w:tr>
      <w:tr>
        <w:trPr>
          <w:trHeight w:val="51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w:t>
            </w:r>
          </w:p>
        </w:tc>
        <w:tc>
          <w:tcPr>
            <w:tcW w:w="1165"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桂林弘彰</w:t>
            </w:r>
          </w:p>
        </w:tc>
        <w:tc>
          <w:tcPr>
            <w:tcW w:w="1165"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交通银行</w:t>
            </w:r>
          </w:p>
        </w:tc>
        <w:tc>
          <w:tcPr>
            <w:tcW w:w="27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4538 0100 0018 0101 4938 3</w:t>
            </w:r>
          </w:p>
        </w:tc>
        <w:tc>
          <w:tcPr>
            <w:tcW w:w="93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基本户</w:t>
            </w:r>
          </w:p>
        </w:tc>
        <w:tc>
          <w:tcPr>
            <w:tcW w:w="1420"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48,945,789.90</w:t>
            </w:r>
          </w:p>
        </w:tc>
        <w:tc>
          <w:tcPr>
            <w:tcW w:w="1040"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　</w:t>
            </w:r>
          </w:p>
        </w:tc>
      </w:tr>
      <w:tr>
        <w:trPr>
          <w:trHeight w:val="445"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1165"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桂林威祺</w:t>
            </w:r>
          </w:p>
        </w:tc>
        <w:tc>
          <w:tcPr>
            <w:tcW w:w="1165"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建设银行</w:t>
            </w:r>
          </w:p>
        </w:tc>
        <w:tc>
          <w:tcPr>
            <w:tcW w:w="27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4505 0163 5101 0000 0964</w:t>
            </w:r>
          </w:p>
        </w:tc>
        <w:tc>
          <w:tcPr>
            <w:tcW w:w="93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基本户</w:t>
            </w:r>
          </w:p>
        </w:tc>
        <w:tc>
          <w:tcPr>
            <w:tcW w:w="1420"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5,991,469.22</w:t>
            </w:r>
          </w:p>
        </w:tc>
        <w:tc>
          <w:tcPr>
            <w:tcW w:w="1040"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s="宋体"/>
                <w:color w:val="000000"/>
                <w:sz w:val="18"/>
                <w:szCs w:val="18"/>
              </w:rPr>
            </w:pPr>
            <w:r>
              <w:rPr>
                <w:rFonts w:hint="eastAsia" w:ascii="等线" w:hAnsi="等线" w:eastAsia="等线" w:cs="宋体"/>
                <w:color w:val="000000"/>
                <w:sz w:val="18"/>
                <w:szCs w:val="18"/>
              </w:rPr>
              <w:t>　</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5</w:t>
            </w:r>
          </w:p>
        </w:tc>
        <w:tc>
          <w:tcPr>
            <w:tcW w:w="1165"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1165"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工商银行</w:t>
            </w:r>
          </w:p>
        </w:tc>
        <w:tc>
          <w:tcPr>
            <w:tcW w:w="27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2103 2001 1930 0034 555</w:t>
            </w:r>
          </w:p>
        </w:tc>
        <w:tc>
          <w:tcPr>
            <w:tcW w:w="93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一般户</w:t>
            </w:r>
          </w:p>
        </w:tc>
        <w:tc>
          <w:tcPr>
            <w:tcW w:w="1420"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0</w:t>
            </w:r>
          </w:p>
        </w:tc>
        <w:tc>
          <w:tcPr>
            <w:tcW w:w="1040"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s="宋体"/>
                <w:color w:val="000000"/>
                <w:sz w:val="18"/>
                <w:szCs w:val="18"/>
              </w:rPr>
            </w:pPr>
            <w:r>
              <w:rPr>
                <w:rFonts w:hint="eastAsia" w:ascii="等线" w:hAnsi="等线" w:eastAsia="等线" w:cs="宋体"/>
                <w:color w:val="000000"/>
                <w:sz w:val="18"/>
                <w:szCs w:val="18"/>
              </w:rPr>
              <w:t>　</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w:t>
            </w:r>
          </w:p>
        </w:tc>
        <w:tc>
          <w:tcPr>
            <w:tcW w:w="1165"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1165"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交通银行</w:t>
            </w:r>
          </w:p>
        </w:tc>
        <w:tc>
          <w:tcPr>
            <w:tcW w:w="27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4530 6080 1013 0001 5985 3</w:t>
            </w:r>
          </w:p>
        </w:tc>
        <w:tc>
          <w:tcPr>
            <w:tcW w:w="93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一般户</w:t>
            </w:r>
          </w:p>
        </w:tc>
        <w:tc>
          <w:tcPr>
            <w:tcW w:w="1420"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0</w:t>
            </w:r>
          </w:p>
        </w:tc>
        <w:tc>
          <w:tcPr>
            <w:tcW w:w="1040"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s="宋体"/>
                <w:color w:val="000000"/>
                <w:sz w:val="18"/>
                <w:szCs w:val="18"/>
              </w:rPr>
            </w:pPr>
            <w:r>
              <w:rPr>
                <w:rFonts w:hint="eastAsia" w:ascii="等线" w:hAnsi="等线" w:eastAsia="等线" w:cs="宋体"/>
                <w:color w:val="000000"/>
                <w:sz w:val="18"/>
                <w:szCs w:val="18"/>
              </w:rPr>
              <w:t>　</w:t>
            </w:r>
          </w:p>
        </w:tc>
      </w:tr>
      <w:tr>
        <w:trPr>
          <w:trHeight w:val="49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w:t>
            </w:r>
          </w:p>
        </w:tc>
        <w:tc>
          <w:tcPr>
            <w:tcW w:w="1165"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1165"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民生银行</w:t>
            </w:r>
          </w:p>
        </w:tc>
        <w:tc>
          <w:tcPr>
            <w:tcW w:w="27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6324 3534 8</w:t>
            </w:r>
          </w:p>
        </w:tc>
        <w:tc>
          <w:tcPr>
            <w:tcW w:w="93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一般户</w:t>
            </w:r>
          </w:p>
        </w:tc>
        <w:tc>
          <w:tcPr>
            <w:tcW w:w="1420"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0</w:t>
            </w:r>
          </w:p>
        </w:tc>
        <w:tc>
          <w:tcPr>
            <w:tcW w:w="1040"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s="宋体"/>
                <w:color w:val="000000"/>
                <w:sz w:val="18"/>
                <w:szCs w:val="18"/>
              </w:rPr>
            </w:pPr>
            <w:r>
              <w:rPr>
                <w:rFonts w:hint="eastAsia" w:ascii="等线" w:hAnsi="等线" w:eastAsia="等线" w:cs="宋体"/>
                <w:color w:val="000000"/>
                <w:sz w:val="18"/>
                <w:szCs w:val="18"/>
              </w:rPr>
              <w:t>　</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8</w:t>
            </w:r>
          </w:p>
        </w:tc>
        <w:tc>
          <w:tcPr>
            <w:tcW w:w="1165"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1165"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农业银行</w:t>
            </w:r>
          </w:p>
        </w:tc>
        <w:tc>
          <w:tcPr>
            <w:tcW w:w="27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2020 9601 0400 1436 1</w:t>
            </w:r>
          </w:p>
        </w:tc>
        <w:tc>
          <w:tcPr>
            <w:tcW w:w="93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一般户</w:t>
            </w:r>
          </w:p>
        </w:tc>
        <w:tc>
          <w:tcPr>
            <w:tcW w:w="1420"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0</w:t>
            </w:r>
          </w:p>
        </w:tc>
        <w:tc>
          <w:tcPr>
            <w:tcW w:w="1040"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s="宋体"/>
                <w:color w:val="000000"/>
                <w:sz w:val="18"/>
                <w:szCs w:val="18"/>
              </w:rPr>
            </w:pPr>
            <w:r>
              <w:rPr>
                <w:rFonts w:hint="eastAsia" w:ascii="等线" w:hAnsi="等线" w:eastAsia="等线" w:cs="宋体"/>
                <w:color w:val="000000"/>
                <w:sz w:val="18"/>
                <w:szCs w:val="18"/>
              </w:rPr>
              <w:t>　</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9</w:t>
            </w:r>
          </w:p>
        </w:tc>
        <w:tc>
          <w:tcPr>
            <w:tcW w:w="1165"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1165"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桂林银行</w:t>
            </w:r>
          </w:p>
        </w:tc>
        <w:tc>
          <w:tcPr>
            <w:tcW w:w="27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6600 0001 3369 8000 10</w:t>
            </w:r>
          </w:p>
        </w:tc>
        <w:tc>
          <w:tcPr>
            <w:tcW w:w="93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一般户</w:t>
            </w:r>
          </w:p>
        </w:tc>
        <w:tc>
          <w:tcPr>
            <w:tcW w:w="1420"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0</w:t>
            </w:r>
          </w:p>
        </w:tc>
        <w:tc>
          <w:tcPr>
            <w:tcW w:w="1040"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s="宋体"/>
                <w:color w:val="000000"/>
                <w:sz w:val="18"/>
                <w:szCs w:val="18"/>
              </w:rPr>
            </w:pPr>
            <w:r>
              <w:rPr>
                <w:rFonts w:hint="eastAsia" w:ascii="等线" w:hAnsi="等线" w:eastAsia="等线" w:cs="宋体"/>
                <w:color w:val="000000"/>
                <w:sz w:val="18"/>
                <w:szCs w:val="18"/>
              </w:rPr>
              <w:t>　</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10</w:t>
            </w:r>
          </w:p>
        </w:tc>
        <w:tc>
          <w:tcPr>
            <w:tcW w:w="1165"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1165"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兴业银行</w:t>
            </w:r>
          </w:p>
        </w:tc>
        <w:tc>
          <w:tcPr>
            <w:tcW w:w="27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5550 1010 0100 2032 13</w:t>
            </w:r>
          </w:p>
        </w:tc>
        <w:tc>
          <w:tcPr>
            <w:tcW w:w="93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一般户</w:t>
            </w:r>
          </w:p>
        </w:tc>
        <w:tc>
          <w:tcPr>
            <w:tcW w:w="1420"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0</w:t>
            </w:r>
          </w:p>
        </w:tc>
        <w:tc>
          <w:tcPr>
            <w:tcW w:w="1040"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s="宋体"/>
                <w:color w:val="000000"/>
                <w:sz w:val="18"/>
                <w:szCs w:val="18"/>
              </w:rPr>
            </w:pPr>
            <w:r>
              <w:rPr>
                <w:rFonts w:hint="eastAsia" w:ascii="等线" w:hAnsi="等线" w:eastAsia="等线" w:cs="宋体"/>
                <w:color w:val="000000"/>
                <w:sz w:val="18"/>
                <w:szCs w:val="18"/>
              </w:rPr>
              <w:t>　</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11</w:t>
            </w:r>
          </w:p>
        </w:tc>
        <w:tc>
          <w:tcPr>
            <w:tcW w:w="1165"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1165"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光大银行</w:t>
            </w:r>
          </w:p>
        </w:tc>
        <w:tc>
          <w:tcPr>
            <w:tcW w:w="27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5031 0188 0001 8946 3</w:t>
            </w:r>
          </w:p>
        </w:tc>
        <w:tc>
          <w:tcPr>
            <w:tcW w:w="93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一般户</w:t>
            </w:r>
          </w:p>
        </w:tc>
        <w:tc>
          <w:tcPr>
            <w:tcW w:w="1420"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0</w:t>
            </w:r>
          </w:p>
        </w:tc>
        <w:tc>
          <w:tcPr>
            <w:tcW w:w="1040"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s="宋体"/>
                <w:color w:val="000000"/>
                <w:sz w:val="18"/>
                <w:szCs w:val="18"/>
              </w:rPr>
            </w:pPr>
            <w:r>
              <w:rPr>
                <w:rFonts w:hint="eastAsia" w:ascii="等线" w:hAnsi="等线" w:eastAsia="等线" w:cs="宋体"/>
                <w:color w:val="000000"/>
                <w:sz w:val="18"/>
                <w:szCs w:val="18"/>
              </w:rPr>
              <w:t>　</w:t>
            </w:r>
          </w:p>
        </w:tc>
      </w:tr>
      <w:tr>
        <w:trPr>
          <w:trHeight w:val="49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12</w:t>
            </w:r>
          </w:p>
        </w:tc>
        <w:tc>
          <w:tcPr>
            <w:tcW w:w="1165"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1165"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中国银行</w:t>
            </w:r>
          </w:p>
        </w:tc>
        <w:tc>
          <w:tcPr>
            <w:tcW w:w="27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6119 8020 8076</w:t>
            </w:r>
          </w:p>
        </w:tc>
        <w:tc>
          <w:tcPr>
            <w:tcW w:w="93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一般户</w:t>
            </w:r>
          </w:p>
        </w:tc>
        <w:tc>
          <w:tcPr>
            <w:tcW w:w="1420"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0</w:t>
            </w:r>
          </w:p>
        </w:tc>
        <w:tc>
          <w:tcPr>
            <w:tcW w:w="1040"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s="宋体"/>
                <w:color w:val="000000"/>
                <w:sz w:val="18"/>
                <w:szCs w:val="18"/>
              </w:rPr>
            </w:pPr>
            <w:r>
              <w:rPr>
                <w:rFonts w:hint="eastAsia" w:ascii="等线" w:hAnsi="等线" w:eastAsia="等线" w:cs="宋体"/>
                <w:color w:val="000000"/>
                <w:sz w:val="18"/>
                <w:szCs w:val="18"/>
              </w:rPr>
              <w:t>　</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13</w:t>
            </w:r>
          </w:p>
        </w:tc>
        <w:tc>
          <w:tcPr>
            <w:tcW w:w="1165"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1165"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浦发银行</w:t>
            </w:r>
          </w:p>
        </w:tc>
        <w:tc>
          <w:tcPr>
            <w:tcW w:w="27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4102 0078 8018 0000 0432</w:t>
            </w:r>
          </w:p>
        </w:tc>
        <w:tc>
          <w:tcPr>
            <w:tcW w:w="93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一般户</w:t>
            </w:r>
          </w:p>
        </w:tc>
        <w:tc>
          <w:tcPr>
            <w:tcW w:w="1420"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0</w:t>
            </w:r>
          </w:p>
        </w:tc>
        <w:tc>
          <w:tcPr>
            <w:tcW w:w="1040"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s="宋体"/>
                <w:color w:val="000000"/>
                <w:sz w:val="18"/>
                <w:szCs w:val="18"/>
              </w:rPr>
            </w:pPr>
            <w:r>
              <w:rPr>
                <w:rFonts w:hint="eastAsia" w:ascii="等线" w:hAnsi="等线" w:eastAsia="等线" w:cs="宋体"/>
                <w:color w:val="000000"/>
                <w:sz w:val="18"/>
                <w:szCs w:val="18"/>
              </w:rPr>
              <w:t>　</w:t>
            </w:r>
          </w:p>
        </w:tc>
      </w:tr>
    </w:tbl>
    <w:p>
      <w:pPr>
        <w:spacing w:line="480" w:lineRule="auto"/>
        <w:ind w:firstLine="360" w:firstLineChars="200"/>
      </w:pPr>
      <w:r>
        <w:rPr>
          <w:rFonts w:hint="eastAsia" w:asciiTheme="minorEastAsia" w:hAnsiTheme="minorEastAsia" w:eastAsiaTheme="minorEastAsia" w:cstheme="minorEastAsia"/>
          <w:bCs/>
          <w:sz w:val="18"/>
          <w:szCs w:val="18"/>
        </w:rPr>
        <w:t>注：桂林弘彰账户为收取认筹金账户。</w:t>
      </w:r>
    </w:p>
    <w:p>
      <w:pPr>
        <w:pStyle w:val="4"/>
        <w:spacing w:line="480" w:lineRule="auto"/>
        <w:rPr>
          <w:rFonts w:ascii="宋体" w:hAnsi="宋体" w:eastAsia="宋体" w:cs="宋体"/>
          <w:sz w:val="21"/>
          <w:szCs w:val="21"/>
        </w:rPr>
      </w:pPr>
      <w:bookmarkStart w:id="10" w:name="_Toc61551287"/>
      <w:r>
        <w:rPr>
          <w:rFonts w:hint="eastAsia" w:ascii="宋体" w:hAnsi="宋体" w:eastAsia="宋体" w:cs="宋体"/>
          <w:sz w:val="21"/>
          <w:szCs w:val="21"/>
        </w:rPr>
        <w:t>七、银行账户支出情况</w:t>
      </w:r>
      <w:bookmarkEnd w:id="10"/>
    </w:p>
    <w:p>
      <w:pPr>
        <w:spacing w:line="480" w:lineRule="auto"/>
        <w:jc w:val="center"/>
        <w:rPr>
          <w:rFonts w:ascii="宋体" w:hAnsi="宋体" w:cs="宋体"/>
          <w:bCs/>
          <w:sz w:val="18"/>
          <w:szCs w:val="18"/>
        </w:rPr>
      </w:pPr>
      <w:r>
        <w:rPr>
          <w:rFonts w:hint="eastAsia" w:ascii="宋体" w:hAnsi="宋体" w:cs="宋体"/>
          <w:bCs/>
          <w:sz w:val="18"/>
          <w:szCs w:val="18"/>
        </w:rPr>
        <w:t>表八：银行账户用款情况</w:t>
      </w:r>
    </w:p>
    <w:tbl>
      <w:tblPr>
        <w:tblStyle w:val="24"/>
        <w:tblW w:w="9297" w:type="dxa"/>
        <w:jc w:val="center"/>
        <w:tblLayout w:type="autofit"/>
        <w:tblCellMar>
          <w:top w:w="0" w:type="dxa"/>
          <w:left w:w="108" w:type="dxa"/>
          <w:bottom w:w="0" w:type="dxa"/>
          <w:right w:w="108" w:type="dxa"/>
        </w:tblCellMar>
      </w:tblPr>
      <w:tblGrid>
        <w:gridCol w:w="822"/>
        <w:gridCol w:w="1209"/>
        <w:gridCol w:w="1341"/>
        <w:gridCol w:w="1296"/>
        <w:gridCol w:w="1363"/>
        <w:gridCol w:w="1121"/>
        <w:gridCol w:w="989"/>
        <w:gridCol w:w="1156"/>
      </w:tblGrid>
      <w:tr>
        <w:trPr>
          <w:trHeight w:val="490" w:hRule="atLeast"/>
          <w:tblHeader/>
          <w:jc w:val="center"/>
        </w:trPr>
        <w:tc>
          <w:tcPr>
            <w:tcW w:w="82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序号</w:t>
            </w:r>
          </w:p>
        </w:tc>
        <w:tc>
          <w:tcPr>
            <w:tcW w:w="1209"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账户名称</w:t>
            </w:r>
          </w:p>
        </w:tc>
        <w:tc>
          <w:tcPr>
            <w:tcW w:w="1341"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费用名称</w:t>
            </w:r>
          </w:p>
        </w:tc>
        <w:tc>
          <w:tcPr>
            <w:tcW w:w="1296"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对方账户信息</w:t>
            </w:r>
          </w:p>
        </w:tc>
        <w:tc>
          <w:tcPr>
            <w:tcW w:w="1363"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支出金额（元）</w:t>
            </w:r>
          </w:p>
        </w:tc>
        <w:tc>
          <w:tcPr>
            <w:tcW w:w="1121"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支出时间</w:t>
            </w:r>
          </w:p>
        </w:tc>
        <w:tc>
          <w:tcPr>
            <w:tcW w:w="989"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支出方式</w:t>
            </w:r>
          </w:p>
        </w:tc>
        <w:tc>
          <w:tcPr>
            <w:tcW w:w="1156"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审批单号</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甘坤荣</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资金计划外一般事项003</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秦政</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资金计划外一般事项003</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唐鸿莺</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资金计划外一般事项003</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唐梓馨</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资金计划外一般事项003</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黄天赐</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资金计划外一般事项003</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刘花弟</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资金计划外一般事项003</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牟广瑜</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黄同璋</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2,000.00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唐重华</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郑桂珍</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244,955.00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李汝强</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祝平辉</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唐进松</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李萍</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曹艳</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黎运星</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蒋倩</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蒋微芳</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刘嗣清</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2,000.00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罗瑞琴</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潘丽明</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石春霞</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文亚辉</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吴红芳</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张云涛</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50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侯东升</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51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52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唐琳</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53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54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刘云</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资金计划外一般事项003</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55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56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秦明鸿</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资金计划外一般事项003</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57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58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彭高瑶</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资金计划外一般事项003</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59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申俊毅</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资金计划外一般事项003</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陈柏贤</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资金计划外一般事项003</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应坚刚</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资金计划外一般事项003</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赵菲</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资金计划外一般事项003</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桂美林</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资金计划外一般事项003</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龙安莉</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梁艳碧</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毕燕君</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于秀文</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唐彬杰</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曹慕军</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80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81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周华</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82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83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张知识</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84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85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文化</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86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87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周政杰</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2,000.00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88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89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陈华</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90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91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潘洁</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92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93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叶大丰</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94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95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蒋小宇</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2,000.00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96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97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唐云秀</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98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99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申桂芝</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100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101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何强</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102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103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汇款1</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陈建辉</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104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105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汇款2</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黄新生</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106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107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汇款3</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蒋桂英</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2,000.00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108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109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汇款4</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蒋雅荣</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110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111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汇款5</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李陈</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2,000.00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112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113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汇款6</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李贱贵</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114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115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汇款7</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熊言柏</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116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117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汇款8</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周婷</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2,000.00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118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119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汇款9</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张云</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120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121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汇款10</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郁海艳</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122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123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汇款11</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廖玲</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124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125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汇款12</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黄杰</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126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127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汇款13</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邓丽娟</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128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129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130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汇款22</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陈葵</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131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132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汇款23</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唐金芳</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133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134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汇款24</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李红星</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135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136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汇款25</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吴兰凤</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2,000.00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137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138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汇款26</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郑惜春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139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140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汇款27</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王霞</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141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142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汇款28</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唐润秀</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143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144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汇款29</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陈桂兰</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145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146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谢润妹</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147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148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蒋修忠</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149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150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陆红艳</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151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152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胡飞明</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153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154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周婷</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155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顾哲</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资金计划外一般事项004</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156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157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李德能</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158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159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刘晟</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160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161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房林珍</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2,000.00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162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163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谢丽丹</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2,000.00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164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165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罗林飞</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166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167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蒋玉平</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168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169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秦明</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170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171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何凤玲</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2,000.00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172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173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卿晓晴</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174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175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陈文功</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176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177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唐伟男</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178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179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彭民湘</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180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181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宾有元</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182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183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唐柳成</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184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陈俞志</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185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186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187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黄荣兰</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188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189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谢忠玉</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2,000.00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190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191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192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193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陈秋凤</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20,000.00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194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195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汇款42</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邓毅麟</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资金计划外一般事项012</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196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197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汇款43</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唐名芳</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资金计划外一般事项012</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198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199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汇款45</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黄媛</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资金计划外一般事项012</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汇款46</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胡汤云</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资金计划外一般事项012</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汇款47</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周建军</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资金计划外一般事项012</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汇款44</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石凯峰</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894,930.00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资金计划外一般事项012</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胡攀勇</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155,800.00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资金计划外一般事项012</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刘铁兰</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210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翁小荣</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211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212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唐亚萍</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213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214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何文静</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215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216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易红波</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217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218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刘军</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219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220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赵玉珍</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资金计划外一般事项008</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221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222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文克莲</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223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224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张燕</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225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226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文冬艳</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227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228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宾娟</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229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230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汇款51</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苏小芳</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231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232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汇款52</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何星品</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233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234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汇款53</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陈勇刚</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235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236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汇款54</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陈勇刚</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237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238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239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汇款56</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申淑玉</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240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241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汇款57</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陈仲辉</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242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代收小额支付业务手续费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243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汇款58</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谢燕凤</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244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245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汇款59</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谢芳</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246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247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代收大额支付业务手续费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200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248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邱丽珲</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资金计划外一般事项012</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249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250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易小龙</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2,000.00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资金计划外一般事项012</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251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252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刘冬艳</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资金计划外一般事项012</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253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254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卢玲</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资金计划外一般事项012</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255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256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张磊</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资金计划外一般事项012</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257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258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王玲</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资金计划外一般事项012</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259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260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蒋惠玲</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资金计划外一般事项012</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261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262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蒋惠玲</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20,000.00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资金计划外一般事项012</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263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264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李俊</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资金计划外一般事项012</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265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266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陈霖锋</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12,000.00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267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268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肖美玲</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资金计划外一般事项010</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269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270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唐莉</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资金计划外一般事项015</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271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272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时慧华</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资金计划外一般事项015</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273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274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周粟琪</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资金计划外一般事项015</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275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276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秦雯</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资金计划外一般事项015</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277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278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吕军</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资金计划外一般事项015</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279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280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朱娟</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资金计划外一般事项015</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281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282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陈芳</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资金计划外一般事项015</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283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284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退款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秦振国</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资金计划外一般事项015</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285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企业网银同城他行手续费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单位国内汇款手续费收入</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286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威祺建行0964</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采购扫描仪</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广西南宁骏阳科技有限公司</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2,580.00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资金计划外一般事项003</w:t>
            </w:r>
          </w:p>
        </w:tc>
      </w:tr>
      <w:tr>
        <w:trPr>
          <w:trHeight w:val="97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287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威祺建行0964</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春天里工程款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贵州佳馨美悦建筑装饰工程有限公司</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1,662,192.28</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资金计划外一般事项007</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288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威祺建行0964</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春天里景观设计费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深圳市麦垦景观规划设计有限公司</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187,672.68</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资金计划外一般事项007</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289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威祺建行0964</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春天里监理费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桂林华泰工程监理有限公司</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124,870.90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资金计划外一般事项007</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290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威祺建行0964</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春天里智能</w:t>
            </w:r>
            <w:r>
              <w:rPr>
                <w:rFonts w:ascii="Arial" w:hAnsi="Arial" w:cs="Arial"/>
                <w:color w:val="000000"/>
                <w:sz w:val="18"/>
                <w:szCs w:val="18"/>
              </w:rPr>
              <w:t>POS</w:t>
            </w:r>
            <w:r>
              <w:rPr>
                <w:rFonts w:hint="eastAsia" w:ascii="宋体" w:hAnsi="宋体" w:cs="宋体"/>
                <w:color w:val="000000"/>
                <w:sz w:val="18"/>
                <w:szCs w:val="18"/>
              </w:rPr>
              <w:t>机款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深圳市云居信息技术有限公司</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1,200.00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资金计划外一般事项005</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291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威祺建行0964</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快递费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石丽婷</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145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资金计划外一般事项005</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292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威祺建行0964</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春天里制作费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桂林市天翼装璜部</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765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2020/12/29</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资金计划外一般事项005</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293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威祺建行0964</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春天里工程款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桂林高宇建设工程有限公司</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63,486.00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2020/12/29</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资金计划外一般事项011</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294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威祺建行0964</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建行一次性扣上月付款手续费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建行一次性扣上月付款手续费</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2021/1/4</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自动扣款</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295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威祺建行0964</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建行一次性扣上月付款手续费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建行一次性扣上月付款手续费</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6</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2021/1/4</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自动扣款</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296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威祺建行0964</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建行一次性扣上月付款手续费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建行一次性扣上月付款手续费</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15</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2021/1/4</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自动扣款</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297</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威祺建行0964</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建行一次性扣上月付款手续费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建行一次性扣上月付款手续费</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53.24</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2021/1/4</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自动扣款</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298</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速晟民生1246</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转账到南宁峰宴付款手续费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转账到南宁峰宴付款手续费</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160.4</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2020/12/29</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自动扣款</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299</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速晟民生1246</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转账到南宁峰宴付款手续费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转账到南宁峰宴付款手续费</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16.4</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自动扣款</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300</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速晟民生1246</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办公费报销</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韦青婷</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1,018.00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资金计划外一般事项005</w:t>
            </w:r>
          </w:p>
        </w:tc>
      </w:tr>
      <w:tr>
        <w:trPr>
          <w:trHeight w:val="49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301</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速晟民生1246</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办公费报销手续费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办公费报销手续费</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4.4</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自动扣款</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302</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速晟民生1246</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转账到南宁峰宴付款手续费</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转账到南宁峰宴付款手续费</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160.4</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自动扣款</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303</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峰宴农信社5622</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归还股东借款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桂林彰泰实业集团有限公司</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1,000,000.00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资金计划外一般事项第2-001</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304</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峰宴农信社5622</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归还股东借款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桂林彰泰实业集团有限公司</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32,090,000.00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2020/12/30</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资金计划外一般事项第2-001</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305</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峰宴农信社5622</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归还股东借款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桂林彰泰实业集团有限公司</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54,000,000.00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资金计划外一般事项第2-002</w:t>
            </w:r>
          </w:p>
        </w:tc>
      </w:tr>
      <w:tr>
        <w:trPr>
          <w:trHeight w:val="730" w:hRule="atLeast"/>
          <w:jc w:val="center"/>
        </w:trPr>
        <w:tc>
          <w:tcPr>
            <w:tcW w:w="822"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306</w:t>
            </w:r>
          </w:p>
        </w:tc>
        <w:tc>
          <w:tcPr>
            <w:tcW w:w="120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峰宴农信社5622</w:t>
            </w:r>
          </w:p>
        </w:tc>
        <w:tc>
          <w:tcPr>
            <w:tcW w:w="134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归还股东借款</w:t>
            </w:r>
          </w:p>
        </w:tc>
        <w:tc>
          <w:tcPr>
            <w:tcW w:w="129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桂林彰泰实业集团有限公司</w:t>
            </w:r>
          </w:p>
        </w:tc>
        <w:tc>
          <w:tcPr>
            <w:tcW w:w="1363"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18,370,000.00</w:t>
            </w:r>
          </w:p>
        </w:tc>
        <w:tc>
          <w:tcPr>
            <w:tcW w:w="1121"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989"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网银转账</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资金计划外一般事项第2-003</w:t>
            </w:r>
          </w:p>
        </w:tc>
      </w:tr>
    </w:tbl>
    <w:p>
      <w:pPr>
        <w:pStyle w:val="2"/>
        <w:ind w:firstLine="210"/>
      </w:pPr>
    </w:p>
    <w:p>
      <w:pPr>
        <w:pStyle w:val="4"/>
        <w:spacing w:line="480" w:lineRule="auto"/>
        <w:rPr>
          <w:rFonts w:ascii="宋体" w:hAnsi="宋体" w:eastAsia="宋体" w:cs="宋体"/>
          <w:sz w:val="21"/>
          <w:szCs w:val="21"/>
        </w:rPr>
      </w:pPr>
      <w:bookmarkStart w:id="11" w:name="_Toc61551288"/>
      <w:r>
        <w:rPr>
          <w:rFonts w:hint="eastAsia" w:ascii="宋体" w:hAnsi="宋体" w:eastAsia="宋体" w:cs="宋体"/>
          <w:sz w:val="21"/>
          <w:szCs w:val="21"/>
        </w:rPr>
        <w:t>八、项目周边竞品情况</w:t>
      </w:r>
      <w:bookmarkEnd w:id="11"/>
    </w:p>
    <w:p>
      <w:pPr>
        <w:spacing w:line="360" w:lineRule="auto"/>
        <w:ind w:firstLine="3060" w:firstLineChars="1700"/>
        <w:rPr>
          <w:rFonts w:ascii="宋体" w:hAnsi="宋体" w:cs="宋体"/>
          <w:bCs/>
          <w:sz w:val="18"/>
          <w:szCs w:val="18"/>
        </w:rPr>
      </w:pPr>
      <w:r>
        <w:rPr>
          <w:rFonts w:hint="eastAsia" w:ascii="宋体" w:hAnsi="宋体" w:cs="宋体"/>
          <w:sz w:val="18"/>
          <w:szCs w:val="18"/>
        </w:rPr>
        <w:t>表九：</w:t>
      </w:r>
      <w:r>
        <w:rPr>
          <w:rFonts w:hint="eastAsia" w:ascii="宋体" w:hAnsi="宋体" w:cs="宋体"/>
          <w:bCs/>
          <w:sz w:val="18"/>
          <w:szCs w:val="18"/>
        </w:rPr>
        <w:t>项目周边竞品情况</w:t>
      </w:r>
    </w:p>
    <w:tbl>
      <w:tblPr>
        <w:tblStyle w:val="24"/>
        <w:tblW w:w="9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121"/>
        <w:gridCol w:w="1033"/>
        <w:gridCol w:w="1450"/>
        <w:gridCol w:w="1481"/>
        <w:gridCol w:w="1027"/>
        <w:gridCol w:w="1010"/>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58" w:hRule="atLeast"/>
          <w:jc w:val="center"/>
        </w:trPr>
        <w:tc>
          <w:tcPr>
            <w:tcW w:w="727"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序号</w:t>
            </w:r>
          </w:p>
        </w:tc>
        <w:tc>
          <w:tcPr>
            <w:tcW w:w="1121"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名称</w:t>
            </w:r>
          </w:p>
        </w:tc>
        <w:tc>
          <w:tcPr>
            <w:tcW w:w="1033"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业态</w:t>
            </w:r>
          </w:p>
        </w:tc>
        <w:tc>
          <w:tcPr>
            <w:tcW w:w="1450"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是否为</w:t>
            </w:r>
          </w:p>
          <w:p>
            <w:pPr>
              <w:jc w:val="center"/>
              <w:rPr>
                <w:rFonts w:ascii="宋体" w:hAnsi="宋体" w:cs="宋体"/>
                <w:b/>
                <w:bCs/>
                <w:color w:val="000000"/>
                <w:sz w:val="18"/>
                <w:szCs w:val="18"/>
              </w:rPr>
            </w:pPr>
            <w:r>
              <w:rPr>
                <w:rFonts w:hint="eastAsia" w:ascii="宋体" w:hAnsi="宋体" w:cs="宋体"/>
                <w:b/>
                <w:bCs/>
                <w:color w:val="000000"/>
                <w:sz w:val="18"/>
                <w:szCs w:val="18"/>
              </w:rPr>
              <w:t>直接竞品</w:t>
            </w:r>
          </w:p>
        </w:tc>
        <w:tc>
          <w:tcPr>
            <w:tcW w:w="1481"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已推出房源</w:t>
            </w:r>
          </w:p>
          <w:p>
            <w:pPr>
              <w:jc w:val="center"/>
              <w:rPr>
                <w:rFonts w:ascii="宋体" w:hAnsi="宋体" w:cs="宋体"/>
                <w:b/>
                <w:bCs/>
                <w:color w:val="000000"/>
                <w:sz w:val="18"/>
                <w:szCs w:val="18"/>
              </w:rPr>
            </w:pPr>
            <w:r>
              <w:rPr>
                <w:rFonts w:hint="eastAsia" w:ascii="宋体" w:hAnsi="宋体" w:cs="宋体"/>
                <w:b/>
                <w:bCs/>
                <w:color w:val="000000"/>
                <w:sz w:val="18"/>
                <w:szCs w:val="18"/>
              </w:rPr>
              <w:t>（套）</w:t>
            </w:r>
          </w:p>
        </w:tc>
        <w:tc>
          <w:tcPr>
            <w:tcW w:w="1027"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已售房源</w:t>
            </w:r>
          </w:p>
          <w:p>
            <w:pPr>
              <w:jc w:val="center"/>
              <w:rPr>
                <w:rFonts w:ascii="宋体" w:hAnsi="宋体" w:cs="宋体"/>
                <w:b/>
                <w:bCs/>
                <w:color w:val="000000"/>
                <w:sz w:val="18"/>
                <w:szCs w:val="18"/>
              </w:rPr>
            </w:pPr>
            <w:r>
              <w:rPr>
                <w:rFonts w:hint="eastAsia" w:ascii="宋体" w:hAnsi="宋体" w:cs="宋体"/>
                <w:b/>
                <w:bCs/>
                <w:color w:val="000000"/>
                <w:sz w:val="18"/>
                <w:szCs w:val="18"/>
              </w:rPr>
              <w:t>（套）</w:t>
            </w:r>
          </w:p>
        </w:tc>
        <w:tc>
          <w:tcPr>
            <w:tcW w:w="1010"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lang w:eastAsia="zh-Hans"/>
              </w:rPr>
              <w:t>本期去化套数</w:t>
            </w:r>
          </w:p>
        </w:tc>
        <w:tc>
          <w:tcPr>
            <w:tcW w:w="1216"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销售单价</w:t>
            </w:r>
          </w:p>
          <w:p>
            <w:pPr>
              <w:jc w:val="center"/>
              <w:rPr>
                <w:rFonts w:ascii="宋体" w:hAnsi="宋体" w:cs="宋体"/>
                <w:b/>
                <w:bCs/>
                <w:color w:val="000000"/>
                <w:sz w:val="18"/>
                <w:szCs w:val="18"/>
              </w:rPr>
            </w:pPr>
            <w:r>
              <w:rPr>
                <w:rFonts w:hint="eastAsia" w:ascii="宋体" w:hAnsi="宋体" w:cs="宋体"/>
                <w:b/>
                <w:bCs/>
                <w:color w:val="000000"/>
                <w:sz w:val="18"/>
                <w:szCs w:val="18"/>
              </w:rPr>
              <w:t>（元/平米）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8" w:hRule="atLeast"/>
          <w:jc w:val="center"/>
        </w:trPr>
        <w:tc>
          <w:tcPr>
            <w:tcW w:w="727" w:type="dxa"/>
            <w:vMerge w:val="restart"/>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1121" w:type="dxa"/>
            <w:vMerge w:val="restart"/>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兴进漓江锦府</w:t>
            </w:r>
          </w:p>
        </w:tc>
        <w:tc>
          <w:tcPr>
            <w:tcW w:w="1033"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小高层</w:t>
            </w:r>
          </w:p>
        </w:tc>
        <w:tc>
          <w:tcPr>
            <w:tcW w:w="1450" w:type="dxa"/>
            <w:shd w:val="clear" w:color="auto" w:fill="auto"/>
            <w:vAlign w:val="center"/>
          </w:tcPr>
          <w:p>
            <w:pPr>
              <w:jc w:val="center"/>
              <w:rPr>
                <w:rFonts w:ascii="宋体" w:hAnsi="宋体" w:cs="宋体"/>
                <w:color w:val="000000"/>
                <w:sz w:val="18"/>
                <w:szCs w:val="18"/>
                <w:lang w:eastAsia="zh-Hans"/>
              </w:rPr>
            </w:pPr>
            <w:r>
              <w:rPr>
                <w:rFonts w:hint="eastAsia" w:ascii="宋体" w:hAnsi="宋体" w:cs="宋体"/>
                <w:color w:val="000000"/>
                <w:sz w:val="18"/>
                <w:szCs w:val="18"/>
                <w:lang w:eastAsia="zh-Hans"/>
              </w:rPr>
              <w:t>是</w:t>
            </w:r>
          </w:p>
        </w:tc>
        <w:tc>
          <w:tcPr>
            <w:tcW w:w="1481"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2319</w:t>
            </w:r>
          </w:p>
        </w:tc>
        <w:tc>
          <w:tcPr>
            <w:tcW w:w="1027"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2291</w:t>
            </w:r>
          </w:p>
        </w:tc>
        <w:tc>
          <w:tcPr>
            <w:tcW w:w="1010"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11</w:t>
            </w:r>
          </w:p>
        </w:tc>
        <w:tc>
          <w:tcPr>
            <w:tcW w:w="1216"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9" w:hRule="atLeast"/>
          <w:jc w:val="center"/>
        </w:trPr>
        <w:tc>
          <w:tcPr>
            <w:tcW w:w="727" w:type="dxa"/>
            <w:vMerge w:val="continue"/>
            <w:vAlign w:val="center"/>
          </w:tcPr>
          <w:p>
            <w:pPr>
              <w:rPr>
                <w:rFonts w:ascii="宋体" w:hAnsi="宋体" w:cs="宋体"/>
                <w:color w:val="000000"/>
                <w:sz w:val="18"/>
                <w:szCs w:val="18"/>
              </w:rPr>
            </w:pPr>
          </w:p>
        </w:tc>
        <w:tc>
          <w:tcPr>
            <w:tcW w:w="1121" w:type="dxa"/>
            <w:vMerge w:val="continue"/>
            <w:vAlign w:val="center"/>
          </w:tcPr>
          <w:p>
            <w:pPr>
              <w:rPr>
                <w:rFonts w:ascii="宋体" w:hAnsi="宋体" w:cs="宋体"/>
                <w:color w:val="000000"/>
                <w:sz w:val="18"/>
                <w:szCs w:val="18"/>
              </w:rPr>
            </w:pPr>
          </w:p>
        </w:tc>
        <w:tc>
          <w:tcPr>
            <w:tcW w:w="1033"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商铺</w:t>
            </w:r>
          </w:p>
        </w:tc>
        <w:tc>
          <w:tcPr>
            <w:tcW w:w="1450" w:type="dxa"/>
            <w:shd w:val="clear" w:color="auto" w:fill="auto"/>
            <w:vAlign w:val="center"/>
          </w:tcPr>
          <w:p>
            <w:pPr>
              <w:jc w:val="center"/>
              <w:rPr>
                <w:rFonts w:ascii="宋体" w:hAnsi="宋体" w:cs="宋体"/>
                <w:color w:val="000000"/>
                <w:sz w:val="18"/>
                <w:szCs w:val="18"/>
                <w:lang w:eastAsia="zh-Hans"/>
              </w:rPr>
            </w:pPr>
            <w:r>
              <w:rPr>
                <w:rFonts w:hint="eastAsia" w:ascii="宋体" w:hAnsi="宋体" w:cs="宋体"/>
                <w:color w:val="000000"/>
                <w:sz w:val="18"/>
                <w:szCs w:val="18"/>
                <w:lang w:eastAsia="zh-Hans"/>
              </w:rPr>
              <w:t>是</w:t>
            </w:r>
          </w:p>
        </w:tc>
        <w:tc>
          <w:tcPr>
            <w:tcW w:w="1481"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120</w:t>
            </w:r>
          </w:p>
        </w:tc>
        <w:tc>
          <w:tcPr>
            <w:tcW w:w="1027"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67</w:t>
            </w:r>
          </w:p>
        </w:tc>
        <w:tc>
          <w:tcPr>
            <w:tcW w:w="1010"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8</w:t>
            </w:r>
          </w:p>
        </w:tc>
        <w:tc>
          <w:tcPr>
            <w:tcW w:w="1216"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12000-17000</w:t>
            </w:r>
          </w:p>
        </w:tc>
      </w:tr>
    </w:tbl>
    <w:p>
      <w:pPr>
        <w:pStyle w:val="2"/>
        <w:ind w:firstLine="210"/>
      </w:pPr>
    </w:p>
    <w:p>
      <w:pPr>
        <w:pStyle w:val="4"/>
        <w:spacing w:line="480" w:lineRule="auto"/>
        <w:rPr>
          <w:rFonts w:ascii="宋体" w:hAnsi="宋体" w:eastAsia="宋体" w:cs="宋体"/>
          <w:sz w:val="21"/>
          <w:szCs w:val="21"/>
        </w:rPr>
      </w:pPr>
      <w:bookmarkStart w:id="12" w:name="_Toc75459142"/>
      <w:bookmarkStart w:id="13" w:name="_Toc61551289"/>
      <w:r>
        <w:rPr>
          <w:rFonts w:hint="eastAsia" w:ascii="宋体" w:hAnsi="宋体" w:eastAsia="宋体" w:cs="宋体"/>
          <w:sz w:val="21"/>
          <w:szCs w:val="21"/>
        </w:rPr>
        <w:t>九、区域市场情况分析</w:t>
      </w:r>
      <w:bookmarkEnd w:id="12"/>
      <w:bookmarkEnd w:id="13"/>
    </w:p>
    <w:p>
      <w:pPr>
        <w:pStyle w:val="2"/>
        <w:spacing w:after="0" w:line="480" w:lineRule="auto"/>
        <w:ind w:firstLine="420" w:firstLineChars="200"/>
        <w:rPr>
          <w:rFonts w:ascii="宋体" w:hAnsi="宋体" w:cs="宋体"/>
          <w:b/>
          <w:kern w:val="0"/>
          <w:szCs w:val="21"/>
          <w:lang w:bidi="ar"/>
        </w:rPr>
      </w:pPr>
      <w:r>
        <w:rPr>
          <w:rFonts w:hint="eastAsia" w:ascii="宋体" w:hAnsi="宋体" w:cs="宋体"/>
          <w:b/>
          <w:kern w:val="0"/>
          <w:szCs w:val="21"/>
          <w:lang w:bidi="ar"/>
        </w:rPr>
        <w:t>1.客群情况分析</w:t>
      </w:r>
    </w:p>
    <w:p>
      <w:pPr>
        <w:pStyle w:val="2"/>
        <w:spacing w:after="0" w:line="480" w:lineRule="auto"/>
        <w:ind w:firstLineChars="200"/>
        <w:rPr>
          <w:rFonts w:ascii="宋体" w:hAnsi="宋体" w:cs="宋体"/>
          <w:bCs/>
          <w:kern w:val="0"/>
          <w:szCs w:val="21"/>
        </w:rPr>
      </w:pPr>
      <w:r>
        <w:rPr>
          <w:rFonts w:hint="eastAsia" w:ascii="宋体" w:hAnsi="宋体" w:cs="宋体"/>
          <w:bCs/>
          <w:kern w:val="0"/>
          <w:szCs w:val="21"/>
        </w:rPr>
        <w:t>项目地处叠彩区域，吸收到医院、老师、铁路等企事业单位客户较多，本月到访客户居住区域占比最高的是叠彩区，到访33组，占比41%；其次是八里街和七星区，到访各15组，各占比18%，秀峰区7组，占比9%，县区到访客户中全州县和兴安县到访各3组，各占比4%，灌阳和灵川到访各1组，占比各1%，广西区外到访3组，占比4%。</w:t>
      </w:r>
    </w:p>
    <w:p>
      <w:pPr>
        <w:pStyle w:val="2"/>
        <w:spacing w:after="0" w:line="480" w:lineRule="auto"/>
        <w:ind w:firstLine="420" w:firstLineChars="200"/>
        <w:rPr>
          <w:rFonts w:ascii="宋体" w:hAnsi="宋体" w:cs="宋体"/>
          <w:b/>
          <w:kern w:val="0"/>
          <w:szCs w:val="21"/>
          <w:lang w:bidi="ar"/>
        </w:rPr>
      </w:pPr>
      <w:r>
        <w:rPr>
          <w:rFonts w:hint="eastAsia" w:ascii="宋体" w:hAnsi="宋体" w:cs="宋体"/>
          <w:b/>
          <w:kern w:val="0"/>
          <w:szCs w:val="21"/>
          <w:lang w:bidi="ar"/>
        </w:rPr>
        <w:t>2.政策分析</w:t>
      </w:r>
    </w:p>
    <w:p>
      <w:pPr>
        <w:pStyle w:val="2"/>
        <w:spacing w:after="0" w:line="480" w:lineRule="auto"/>
        <w:ind w:firstLineChars="200"/>
        <w:rPr>
          <w:rFonts w:ascii="宋体" w:hAnsi="宋体" w:cs="宋体"/>
          <w:bCs/>
          <w:kern w:val="0"/>
          <w:szCs w:val="21"/>
        </w:rPr>
      </w:pPr>
      <w:r>
        <w:rPr>
          <w:rFonts w:hint="eastAsia" w:ascii="宋体" w:hAnsi="宋体" w:cs="宋体"/>
          <w:bCs/>
          <w:kern w:val="0"/>
          <w:szCs w:val="21"/>
        </w:rPr>
        <w:t>截至目前，项目所在地桂林</w:t>
      </w:r>
      <w:r>
        <w:rPr>
          <w:rFonts w:hint="eastAsia"/>
        </w:rPr>
        <w:t>购房人（以家庭为单位）在桂林市区（不含雁山区及临桂区）购买第三套及以上新建商品住房的，须取得不动产权属证书满两年后方可转让</w:t>
      </w:r>
      <w:r>
        <w:rPr>
          <w:rFonts w:hint="eastAsia" w:ascii="宋体" w:hAnsi="宋体" w:cs="宋体"/>
          <w:bCs/>
          <w:kern w:val="0"/>
          <w:szCs w:val="21"/>
        </w:rPr>
        <w:t>。</w:t>
      </w:r>
    </w:p>
    <w:p>
      <w:pPr>
        <w:pStyle w:val="2"/>
        <w:spacing w:after="0" w:line="480" w:lineRule="auto"/>
        <w:ind w:firstLine="420" w:firstLineChars="200"/>
        <w:rPr>
          <w:rFonts w:ascii="宋体" w:hAnsi="宋体" w:cs="宋体"/>
          <w:b/>
          <w:kern w:val="0"/>
          <w:szCs w:val="21"/>
          <w:lang w:bidi="ar"/>
        </w:rPr>
      </w:pPr>
      <w:r>
        <w:rPr>
          <w:rFonts w:hint="eastAsia" w:ascii="宋体" w:hAnsi="宋体" w:cs="宋体"/>
          <w:b/>
          <w:kern w:val="0"/>
          <w:szCs w:val="21"/>
          <w:lang w:bidi="ar"/>
        </w:rPr>
        <w:t>3.同业态售房成交量分析</w:t>
      </w:r>
    </w:p>
    <w:p>
      <w:pPr>
        <w:pStyle w:val="2"/>
        <w:spacing w:after="0" w:line="480" w:lineRule="auto"/>
        <w:ind w:firstLineChars="200"/>
        <w:rPr>
          <w:rFonts w:ascii="宋体" w:hAnsi="宋体" w:cs="宋体"/>
          <w:bCs/>
          <w:kern w:val="0"/>
          <w:szCs w:val="21"/>
        </w:rPr>
      </w:pPr>
      <w:r>
        <w:rPr>
          <w:rFonts w:hint="eastAsia" w:ascii="宋体" w:hAnsi="宋体" w:cs="宋体"/>
          <w:bCs/>
          <w:kern w:val="0"/>
          <w:szCs w:val="21"/>
        </w:rPr>
        <w:t>桂林春天里项目距其他同业态房较远，漓江公馆及国奥城已售罄，中海九樾为花园洋房，联发乾景御府距离较远，仅有漓江锦府业态相同且在售，但也进入尾盘阶段，清盘均价8</w:t>
      </w:r>
      <w:r>
        <w:rPr>
          <w:rFonts w:ascii="宋体" w:hAnsi="宋体" w:cs="宋体"/>
          <w:bCs/>
          <w:kern w:val="0"/>
          <w:szCs w:val="21"/>
        </w:rPr>
        <w:t>600</w:t>
      </w:r>
      <w:r>
        <w:rPr>
          <w:rFonts w:hint="eastAsia" w:ascii="宋体" w:hAnsi="宋体" w:cs="宋体"/>
          <w:bCs/>
          <w:kern w:val="0"/>
          <w:szCs w:val="21"/>
        </w:rPr>
        <w:t>元/㎡。</w:t>
      </w:r>
    </w:p>
    <w:p>
      <w:pPr>
        <w:pStyle w:val="2"/>
        <w:spacing w:after="0" w:line="480" w:lineRule="auto"/>
        <w:ind w:firstLine="420" w:firstLineChars="200"/>
        <w:rPr>
          <w:rFonts w:ascii="宋体" w:hAnsi="宋体" w:cs="宋体"/>
          <w:b/>
          <w:kern w:val="0"/>
          <w:szCs w:val="21"/>
          <w:lang w:bidi="ar"/>
        </w:rPr>
      </w:pPr>
      <w:r>
        <w:rPr>
          <w:rFonts w:hint="eastAsia" w:ascii="宋体" w:hAnsi="宋体" w:cs="宋体"/>
          <w:b/>
          <w:kern w:val="0"/>
          <w:szCs w:val="21"/>
          <w:lang w:bidi="ar"/>
        </w:rPr>
        <w:t>4.土地成交量分析</w:t>
      </w:r>
    </w:p>
    <w:p>
      <w:pPr>
        <w:pStyle w:val="2"/>
        <w:spacing w:after="0" w:line="480" w:lineRule="auto"/>
        <w:ind w:firstLineChars="200"/>
        <w:rPr>
          <w:rFonts w:ascii="宋体" w:hAnsi="宋体" w:cs="宋体"/>
          <w:bCs/>
          <w:kern w:val="0"/>
          <w:szCs w:val="21"/>
        </w:rPr>
      </w:pPr>
      <w:r>
        <w:rPr>
          <w:rFonts w:hint="eastAsia" w:ascii="宋体" w:hAnsi="宋体" w:cs="宋体"/>
          <w:bCs/>
          <w:kern w:val="0"/>
          <w:szCs w:val="21"/>
        </w:rPr>
        <w:t>本月</w:t>
      </w:r>
      <w:r>
        <w:rPr>
          <w:rFonts w:hint="eastAsia" w:ascii="宋体" w:hAnsi="宋体" w:cs="宋体"/>
          <w:bCs/>
          <w:kern w:val="0"/>
          <w:szCs w:val="21"/>
          <w:lang w:eastAsia="zh-Hans"/>
        </w:rPr>
        <w:t>项目所在区域</w:t>
      </w:r>
      <w:r>
        <w:rPr>
          <w:rFonts w:hint="eastAsia" w:ascii="宋体" w:hAnsi="宋体" w:cs="宋体"/>
          <w:bCs/>
          <w:kern w:val="0"/>
          <w:szCs w:val="21"/>
        </w:rPr>
        <w:t>暂无土地成交记录。</w:t>
      </w:r>
    </w:p>
    <w:p>
      <w:pPr>
        <w:pStyle w:val="2"/>
        <w:spacing w:after="0" w:line="480" w:lineRule="auto"/>
        <w:ind w:firstLine="420" w:firstLineChars="200"/>
        <w:rPr>
          <w:rFonts w:ascii="宋体" w:hAnsi="宋体" w:cs="宋体"/>
          <w:b/>
          <w:kern w:val="0"/>
          <w:szCs w:val="21"/>
          <w:lang w:bidi="ar"/>
        </w:rPr>
      </w:pPr>
      <w:r>
        <w:rPr>
          <w:rFonts w:hint="eastAsia" w:ascii="宋体" w:hAnsi="宋体" w:cs="宋体"/>
          <w:b/>
          <w:kern w:val="0"/>
          <w:szCs w:val="21"/>
          <w:lang w:bidi="ar"/>
        </w:rPr>
        <w:t>5.其他</w:t>
      </w:r>
    </w:p>
    <w:p>
      <w:pPr>
        <w:pStyle w:val="2"/>
        <w:spacing w:after="0" w:line="480" w:lineRule="auto"/>
        <w:ind w:firstLineChars="200"/>
        <w:rPr>
          <w:rFonts w:ascii="宋体" w:hAnsi="宋体" w:cs="宋体"/>
          <w:bCs/>
          <w:kern w:val="0"/>
          <w:szCs w:val="21"/>
        </w:rPr>
      </w:pPr>
      <w:r>
        <w:rPr>
          <w:rFonts w:hint="eastAsia" w:ascii="宋体" w:hAnsi="宋体" w:cs="宋体"/>
          <w:bCs/>
          <w:kern w:val="0"/>
          <w:szCs w:val="21"/>
        </w:rPr>
        <w:t>暂无</w:t>
      </w:r>
    </w:p>
    <w:p>
      <w:pPr>
        <w:pStyle w:val="4"/>
        <w:spacing w:line="480" w:lineRule="auto"/>
        <w:rPr>
          <w:rFonts w:ascii="宋体" w:hAnsi="宋体" w:eastAsia="宋体" w:cs="宋体"/>
          <w:sz w:val="21"/>
          <w:szCs w:val="21"/>
        </w:rPr>
      </w:pPr>
      <w:bookmarkStart w:id="14" w:name="_Toc61551290"/>
      <w:r>
        <w:rPr>
          <w:rFonts w:ascii="宋体" w:hAnsi="宋体" w:eastAsia="宋体" w:cs="宋体"/>
          <w:sz w:val="21"/>
          <w:szCs w:val="21"/>
        </w:rPr>
        <w:t>十．</w:t>
      </w:r>
      <w:r>
        <w:rPr>
          <w:rFonts w:hint="eastAsia" w:ascii="宋体" w:hAnsi="宋体" w:eastAsia="宋体" w:cs="宋体"/>
          <w:sz w:val="21"/>
          <w:szCs w:val="21"/>
        </w:rPr>
        <w:t>项目公司资金计划执行情况</w:t>
      </w:r>
      <w:bookmarkEnd w:id="14"/>
    </w:p>
    <w:p>
      <w:pPr>
        <w:pStyle w:val="2"/>
        <w:spacing w:after="0" w:line="480" w:lineRule="auto"/>
        <w:ind w:firstLineChars="200"/>
        <w:rPr>
          <w:rFonts w:ascii="宋体" w:hAnsi="宋体" w:cs="宋体"/>
          <w:bCs/>
          <w:kern w:val="0"/>
          <w:szCs w:val="21"/>
        </w:rPr>
      </w:pPr>
      <w:r>
        <w:rPr>
          <w:rFonts w:hint="eastAsia" w:ascii="宋体" w:hAnsi="宋体" w:cs="宋体"/>
          <w:bCs/>
          <w:kern w:val="0"/>
          <w:szCs w:val="21"/>
        </w:rPr>
        <w:t>项目于2</w:t>
      </w:r>
      <w:r>
        <w:rPr>
          <w:rFonts w:ascii="宋体" w:hAnsi="宋体" w:cs="宋体"/>
          <w:bCs/>
          <w:kern w:val="0"/>
          <w:szCs w:val="21"/>
        </w:rPr>
        <w:t>020</w:t>
      </w:r>
      <w:r>
        <w:rPr>
          <w:rFonts w:hint="eastAsia" w:ascii="宋体" w:hAnsi="宋体" w:cs="宋体"/>
          <w:bCs/>
          <w:kern w:val="0"/>
          <w:szCs w:val="21"/>
        </w:rPr>
        <w:t>年1</w:t>
      </w:r>
      <w:r>
        <w:rPr>
          <w:rFonts w:ascii="宋体" w:hAnsi="宋体" w:cs="宋体"/>
          <w:bCs/>
          <w:kern w:val="0"/>
          <w:szCs w:val="21"/>
        </w:rPr>
        <w:t>2</w:t>
      </w:r>
      <w:r>
        <w:rPr>
          <w:rFonts w:hint="eastAsia" w:ascii="宋体" w:hAnsi="宋体" w:cs="宋体"/>
          <w:bCs/>
          <w:kern w:val="0"/>
          <w:szCs w:val="21"/>
        </w:rPr>
        <w:t>月2</w:t>
      </w:r>
      <w:r>
        <w:rPr>
          <w:rFonts w:ascii="宋体" w:hAnsi="宋体" w:cs="宋体"/>
          <w:bCs/>
          <w:kern w:val="0"/>
          <w:szCs w:val="21"/>
        </w:rPr>
        <w:t>1</w:t>
      </w:r>
      <w:r>
        <w:rPr>
          <w:rFonts w:hint="eastAsia" w:ascii="宋体" w:hAnsi="宋体" w:cs="宋体"/>
          <w:bCs/>
          <w:kern w:val="0"/>
          <w:szCs w:val="21"/>
        </w:rPr>
        <w:t>日入场，因此2</w:t>
      </w:r>
      <w:r>
        <w:rPr>
          <w:rFonts w:ascii="宋体" w:hAnsi="宋体" w:cs="宋体"/>
          <w:bCs/>
          <w:kern w:val="0"/>
          <w:szCs w:val="21"/>
        </w:rPr>
        <w:t>020</w:t>
      </w:r>
      <w:r>
        <w:rPr>
          <w:rFonts w:hint="eastAsia" w:ascii="宋体" w:hAnsi="宋体" w:cs="宋体"/>
          <w:bCs/>
          <w:kern w:val="0"/>
          <w:szCs w:val="21"/>
        </w:rPr>
        <w:t>年1</w:t>
      </w:r>
      <w:r>
        <w:rPr>
          <w:rFonts w:ascii="宋体" w:hAnsi="宋体" w:cs="宋体"/>
          <w:bCs/>
          <w:kern w:val="0"/>
          <w:szCs w:val="21"/>
        </w:rPr>
        <w:t>2</w:t>
      </w:r>
      <w:r>
        <w:rPr>
          <w:rFonts w:hint="eastAsia" w:ascii="宋体" w:hAnsi="宋体" w:cs="宋体"/>
          <w:bCs/>
          <w:kern w:val="0"/>
          <w:szCs w:val="21"/>
        </w:rPr>
        <w:t>月份无资金计划。</w:t>
      </w:r>
    </w:p>
    <w:p>
      <w:pPr>
        <w:pStyle w:val="4"/>
        <w:spacing w:line="480" w:lineRule="auto"/>
        <w:rPr>
          <w:rFonts w:ascii="宋体" w:hAnsi="宋体" w:eastAsia="宋体" w:cs="宋体"/>
          <w:sz w:val="21"/>
          <w:szCs w:val="21"/>
        </w:rPr>
      </w:pPr>
      <w:bookmarkStart w:id="15" w:name="_Toc61551291"/>
      <w:r>
        <w:rPr>
          <w:rFonts w:hint="eastAsia" w:ascii="宋体" w:hAnsi="宋体" w:eastAsia="宋体" w:cs="宋体"/>
          <w:sz w:val="21"/>
          <w:szCs w:val="21"/>
        </w:rPr>
        <w:t>十一、项目公司用印情况</w:t>
      </w:r>
      <w:bookmarkEnd w:id="15"/>
    </w:p>
    <w:p>
      <w:pPr>
        <w:jc w:val="center"/>
        <w:rPr>
          <w:rFonts w:ascii="宋体" w:hAnsi="宋体" w:cs="宋体"/>
          <w:sz w:val="18"/>
          <w:szCs w:val="18"/>
        </w:rPr>
      </w:pPr>
      <w:r>
        <w:rPr>
          <w:rFonts w:hint="eastAsia" w:ascii="宋体" w:hAnsi="宋体" w:cs="宋体"/>
          <w:sz w:val="18"/>
          <w:szCs w:val="18"/>
        </w:rPr>
        <w:t>表十：2020年</w:t>
      </w:r>
      <w:r>
        <w:rPr>
          <w:rFonts w:ascii="宋体" w:hAnsi="宋体" w:cs="宋体"/>
          <w:sz w:val="18"/>
          <w:szCs w:val="18"/>
        </w:rPr>
        <w:t>12</w:t>
      </w:r>
      <w:r>
        <w:rPr>
          <w:rFonts w:hint="eastAsia" w:ascii="宋体" w:hAnsi="宋体" w:cs="宋体"/>
          <w:sz w:val="18"/>
          <w:szCs w:val="18"/>
        </w:rPr>
        <w:t>月桂林威祺用印情况</w:t>
      </w:r>
    </w:p>
    <w:tbl>
      <w:tblPr>
        <w:tblStyle w:val="24"/>
        <w:tblW w:w="9358" w:type="dxa"/>
        <w:jc w:val="center"/>
        <w:tblLayout w:type="fixed"/>
        <w:tblCellMar>
          <w:top w:w="0" w:type="dxa"/>
          <w:left w:w="108" w:type="dxa"/>
          <w:bottom w:w="0" w:type="dxa"/>
          <w:right w:w="108" w:type="dxa"/>
        </w:tblCellMar>
      </w:tblPr>
      <w:tblGrid>
        <w:gridCol w:w="1058"/>
        <w:gridCol w:w="857"/>
        <w:gridCol w:w="2023"/>
        <w:gridCol w:w="2760"/>
        <w:gridCol w:w="520"/>
        <w:gridCol w:w="520"/>
        <w:gridCol w:w="767"/>
        <w:gridCol w:w="853"/>
      </w:tblGrid>
      <w:tr>
        <w:trPr>
          <w:trHeight w:val="290" w:hRule="atLeast"/>
          <w:tblHeader/>
          <w:jc w:val="center"/>
        </w:trPr>
        <w:tc>
          <w:tcPr>
            <w:tcW w:w="105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日期</w:t>
            </w:r>
          </w:p>
        </w:tc>
        <w:tc>
          <w:tcPr>
            <w:tcW w:w="857"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印鉴名称</w:t>
            </w:r>
          </w:p>
        </w:tc>
        <w:tc>
          <w:tcPr>
            <w:tcW w:w="2023"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用印事由</w:t>
            </w:r>
          </w:p>
        </w:tc>
        <w:tc>
          <w:tcPr>
            <w:tcW w:w="2760"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用印材料</w:t>
            </w:r>
          </w:p>
        </w:tc>
        <w:tc>
          <w:tcPr>
            <w:tcW w:w="520"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份数</w:t>
            </w:r>
          </w:p>
        </w:tc>
        <w:tc>
          <w:tcPr>
            <w:tcW w:w="520"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章数</w:t>
            </w:r>
          </w:p>
        </w:tc>
        <w:tc>
          <w:tcPr>
            <w:tcW w:w="767"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申请</w:t>
            </w:r>
          </w:p>
          <w:p>
            <w:pPr>
              <w:jc w:val="center"/>
              <w:rPr>
                <w:rFonts w:ascii="宋体" w:hAnsi="宋体" w:cs="宋体"/>
                <w:b/>
                <w:bCs/>
                <w:color w:val="000000"/>
                <w:sz w:val="18"/>
                <w:szCs w:val="18"/>
              </w:rPr>
            </w:pPr>
            <w:r>
              <w:rPr>
                <w:rFonts w:hint="eastAsia" w:ascii="宋体" w:hAnsi="宋体" w:cs="宋体"/>
                <w:b/>
                <w:bCs/>
                <w:color w:val="000000"/>
                <w:sz w:val="18"/>
                <w:szCs w:val="18"/>
              </w:rPr>
              <w:t>部门</w:t>
            </w:r>
          </w:p>
        </w:tc>
        <w:tc>
          <w:tcPr>
            <w:tcW w:w="853"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经办人</w:t>
            </w:r>
          </w:p>
        </w:tc>
      </w:tr>
      <w:tr>
        <w:trPr>
          <w:trHeight w:val="730" w:hRule="atLeast"/>
          <w:jc w:val="center"/>
        </w:trPr>
        <w:tc>
          <w:tcPr>
            <w:tcW w:w="1058"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2020/12/23</w:t>
            </w:r>
            <w:r>
              <w:rPr>
                <w:rFonts w:ascii="宋体" w:hAnsi="宋体" w:cs="宋体"/>
                <w:color w:val="000000"/>
                <w:sz w:val="18"/>
                <w:szCs w:val="18"/>
              </w:rPr>
              <w:t xml:space="preserve"> </w:t>
            </w:r>
          </w:p>
        </w:tc>
        <w:tc>
          <w:tcPr>
            <w:tcW w:w="857"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公章、法人章</w:t>
            </w:r>
          </w:p>
        </w:tc>
        <w:tc>
          <w:tcPr>
            <w:tcW w:w="202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与五矿信托签订财务顾问协议补章</w:t>
            </w:r>
          </w:p>
        </w:tc>
        <w:tc>
          <w:tcPr>
            <w:tcW w:w="276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桂林威祺房地产开发有限公司与五矿财务投资管理有限公司之财务顾问协议</w:t>
            </w:r>
          </w:p>
        </w:tc>
        <w:tc>
          <w:tcPr>
            <w:tcW w:w="52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w:t>
            </w:r>
          </w:p>
        </w:tc>
        <w:tc>
          <w:tcPr>
            <w:tcW w:w="52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767"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w:t>
            </w:r>
          </w:p>
          <w:p>
            <w:pPr>
              <w:jc w:val="center"/>
              <w:rPr>
                <w:rFonts w:ascii="宋体" w:hAnsi="宋体" w:cs="宋体"/>
                <w:color w:val="000000"/>
                <w:sz w:val="18"/>
                <w:szCs w:val="18"/>
              </w:rPr>
            </w:pPr>
            <w:r>
              <w:rPr>
                <w:rFonts w:hint="eastAsia" w:ascii="宋体" w:hAnsi="宋体" w:cs="宋体"/>
                <w:color w:val="000000"/>
                <w:sz w:val="18"/>
                <w:szCs w:val="18"/>
              </w:rPr>
              <w:t>管理</w:t>
            </w:r>
          </w:p>
        </w:tc>
        <w:tc>
          <w:tcPr>
            <w:tcW w:w="85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黎泽慧</w:t>
            </w:r>
          </w:p>
        </w:tc>
      </w:tr>
      <w:tr>
        <w:trPr>
          <w:trHeight w:val="730" w:hRule="atLeast"/>
          <w:jc w:val="center"/>
        </w:trPr>
        <w:tc>
          <w:tcPr>
            <w:tcW w:w="1058" w:type="dxa"/>
            <w:tcBorders>
              <w:top w:val="nil"/>
              <w:left w:val="single" w:color="auto" w:sz="8" w:space="0"/>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2020/12/26</w:t>
            </w:r>
          </w:p>
        </w:tc>
        <w:tc>
          <w:tcPr>
            <w:tcW w:w="857"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公章</w:t>
            </w:r>
          </w:p>
        </w:tc>
        <w:tc>
          <w:tcPr>
            <w:tcW w:w="2023"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春天里项目增值税一般纳税人登记</w:t>
            </w:r>
          </w:p>
        </w:tc>
        <w:tc>
          <w:tcPr>
            <w:tcW w:w="2760"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增值税一般纳税人登记表、营业执照副本复印件各一式一份</w:t>
            </w:r>
          </w:p>
        </w:tc>
        <w:tc>
          <w:tcPr>
            <w:tcW w:w="520"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2</w:t>
            </w:r>
          </w:p>
        </w:tc>
        <w:tc>
          <w:tcPr>
            <w:tcW w:w="52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w:t>
            </w:r>
          </w:p>
        </w:tc>
        <w:tc>
          <w:tcPr>
            <w:tcW w:w="767"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财务</w:t>
            </w:r>
          </w:p>
          <w:p>
            <w:pPr>
              <w:jc w:val="center"/>
              <w:rPr>
                <w:rFonts w:ascii="宋体" w:hAnsi="宋体" w:cs="宋体"/>
                <w:color w:val="000000"/>
                <w:sz w:val="18"/>
                <w:szCs w:val="18"/>
              </w:rPr>
            </w:pPr>
            <w:r>
              <w:rPr>
                <w:rFonts w:hint="eastAsia" w:ascii="宋体" w:hAnsi="宋体" w:cs="宋体"/>
                <w:color w:val="000000"/>
                <w:sz w:val="18"/>
                <w:szCs w:val="18"/>
              </w:rPr>
              <w:t>管理</w:t>
            </w:r>
          </w:p>
        </w:tc>
        <w:tc>
          <w:tcPr>
            <w:tcW w:w="85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潘静</w:t>
            </w:r>
          </w:p>
        </w:tc>
      </w:tr>
      <w:tr>
        <w:trPr>
          <w:trHeight w:val="730" w:hRule="atLeast"/>
          <w:jc w:val="center"/>
        </w:trPr>
        <w:tc>
          <w:tcPr>
            <w:tcW w:w="1058" w:type="dxa"/>
            <w:tcBorders>
              <w:top w:val="nil"/>
              <w:left w:val="single" w:color="auto" w:sz="8" w:space="0"/>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2020/12/26</w:t>
            </w:r>
          </w:p>
        </w:tc>
        <w:tc>
          <w:tcPr>
            <w:tcW w:w="857"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公章</w:t>
            </w:r>
          </w:p>
        </w:tc>
        <w:tc>
          <w:tcPr>
            <w:tcW w:w="2023"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用于办理预测业务</w:t>
            </w:r>
          </w:p>
        </w:tc>
        <w:tc>
          <w:tcPr>
            <w:tcW w:w="2760"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15#、17#、18#楼房屋分层平面图每栋楼各一套，每套五张</w:t>
            </w:r>
          </w:p>
        </w:tc>
        <w:tc>
          <w:tcPr>
            <w:tcW w:w="520"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15</w:t>
            </w:r>
          </w:p>
        </w:tc>
        <w:tc>
          <w:tcPr>
            <w:tcW w:w="52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15</w:t>
            </w:r>
          </w:p>
        </w:tc>
        <w:tc>
          <w:tcPr>
            <w:tcW w:w="767"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前期</w:t>
            </w:r>
          </w:p>
        </w:tc>
        <w:tc>
          <w:tcPr>
            <w:tcW w:w="85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唐丽芳</w:t>
            </w:r>
          </w:p>
        </w:tc>
      </w:tr>
      <w:tr>
        <w:trPr>
          <w:trHeight w:val="730" w:hRule="atLeast"/>
          <w:jc w:val="center"/>
        </w:trPr>
        <w:tc>
          <w:tcPr>
            <w:tcW w:w="1058" w:type="dxa"/>
            <w:tcBorders>
              <w:top w:val="nil"/>
              <w:left w:val="single" w:color="auto" w:sz="8" w:space="0"/>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857"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公章法人章</w:t>
            </w:r>
          </w:p>
        </w:tc>
        <w:tc>
          <w:tcPr>
            <w:tcW w:w="2023"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13#-21#楼办理预售证申请</w:t>
            </w:r>
          </w:p>
        </w:tc>
        <w:tc>
          <w:tcPr>
            <w:tcW w:w="2760"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关于支持彰泰·春天里项目容缺办理13-21#楼预售证的申请一式一份</w:t>
            </w:r>
          </w:p>
        </w:tc>
        <w:tc>
          <w:tcPr>
            <w:tcW w:w="520"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52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767"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前期</w:t>
            </w:r>
          </w:p>
        </w:tc>
        <w:tc>
          <w:tcPr>
            <w:tcW w:w="85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王连花</w:t>
            </w:r>
          </w:p>
        </w:tc>
      </w:tr>
      <w:tr>
        <w:trPr>
          <w:trHeight w:val="727" w:hRule="atLeast"/>
          <w:jc w:val="center"/>
        </w:trPr>
        <w:tc>
          <w:tcPr>
            <w:tcW w:w="1058" w:type="dxa"/>
            <w:tcBorders>
              <w:top w:val="nil"/>
              <w:left w:val="single" w:color="auto" w:sz="8" w:space="0"/>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857"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公章、法人章</w:t>
            </w:r>
          </w:p>
        </w:tc>
        <w:tc>
          <w:tcPr>
            <w:tcW w:w="2023"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春天里一期按揭准入工行、光大、农行</w:t>
            </w:r>
          </w:p>
        </w:tc>
        <w:tc>
          <w:tcPr>
            <w:tcW w:w="2760"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可研报告（一式十份）；光大：股东签字样本、企业征信查询、个人征信查询、股东决议各一式两份；农行：合作申请、公司章程核实书各一式两份，个人征信查询、各一式六份，按揭申请、个人住房申请表各一式一份；工行：个人征信查询、公司章程核实各一式两份，股东决议、合作申请、准入申请、法定代表人证明一式一份；兴业：企业征信查询一式六份</w:t>
            </w:r>
          </w:p>
        </w:tc>
        <w:tc>
          <w:tcPr>
            <w:tcW w:w="520"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41</w:t>
            </w:r>
          </w:p>
        </w:tc>
        <w:tc>
          <w:tcPr>
            <w:tcW w:w="52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62</w:t>
            </w:r>
          </w:p>
        </w:tc>
        <w:tc>
          <w:tcPr>
            <w:tcW w:w="767"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财务</w:t>
            </w:r>
          </w:p>
          <w:p>
            <w:pPr>
              <w:jc w:val="center"/>
              <w:rPr>
                <w:rFonts w:ascii="宋体" w:hAnsi="宋体" w:cs="宋体"/>
                <w:color w:val="000000"/>
                <w:sz w:val="18"/>
                <w:szCs w:val="18"/>
              </w:rPr>
            </w:pPr>
            <w:r>
              <w:rPr>
                <w:rFonts w:hint="eastAsia" w:ascii="宋体" w:hAnsi="宋体" w:cs="宋体"/>
                <w:color w:val="000000"/>
                <w:sz w:val="18"/>
                <w:szCs w:val="18"/>
              </w:rPr>
              <w:t>管理</w:t>
            </w:r>
          </w:p>
        </w:tc>
        <w:tc>
          <w:tcPr>
            <w:tcW w:w="85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罗万玲</w:t>
            </w:r>
          </w:p>
        </w:tc>
      </w:tr>
      <w:tr>
        <w:trPr>
          <w:trHeight w:val="490" w:hRule="atLeast"/>
          <w:jc w:val="center"/>
        </w:trPr>
        <w:tc>
          <w:tcPr>
            <w:tcW w:w="1058" w:type="dxa"/>
            <w:tcBorders>
              <w:top w:val="nil"/>
              <w:left w:val="single" w:color="auto" w:sz="8" w:space="0"/>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2020/12/31</w:t>
            </w:r>
          </w:p>
        </w:tc>
        <w:tc>
          <w:tcPr>
            <w:tcW w:w="857"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公章</w:t>
            </w:r>
          </w:p>
        </w:tc>
        <w:tc>
          <w:tcPr>
            <w:tcW w:w="2023"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春天里项目权籍调查</w:t>
            </w:r>
          </w:p>
        </w:tc>
        <w:tc>
          <w:tcPr>
            <w:tcW w:w="2760"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界址签章表一式一份</w:t>
            </w:r>
          </w:p>
        </w:tc>
        <w:tc>
          <w:tcPr>
            <w:tcW w:w="520"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52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767"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前期</w:t>
            </w:r>
          </w:p>
        </w:tc>
        <w:tc>
          <w:tcPr>
            <w:tcW w:w="853"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唐艳红</w:t>
            </w:r>
          </w:p>
        </w:tc>
      </w:tr>
    </w:tbl>
    <w:p>
      <w:pPr>
        <w:jc w:val="center"/>
        <w:rPr>
          <w:rFonts w:ascii="宋体" w:hAnsi="宋体" w:cs="宋体"/>
          <w:sz w:val="18"/>
          <w:szCs w:val="18"/>
        </w:rPr>
      </w:pPr>
    </w:p>
    <w:p>
      <w:pPr>
        <w:jc w:val="center"/>
      </w:pPr>
      <w:r>
        <w:rPr>
          <w:rFonts w:hint="eastAsia" w:ascii="宋体" w:hAnsi="宋体" w:cs="宋体"/>
          <w:sz w:val="18"/>
          <w:szCs w:val="18"/>
        </w:rPr>
        <w:t>表十一：2020年</w:t>
      </w:r>
      <w:r>
        <w:rPr>
          <w:rFonts w:ascii="宋体" w:hAnsi="宋体" w:cs="宋体"/>
          <w:sz w:val="18"/>
          <w:szCs w:val="18"/>
        </w:rPr>
        <w:t>12</w:t>
      </w:r>
      <w:r>
        <w:rPr>
          <w:rFonts w:hint="eastAsia" w:ascii="宋体" w:hAnsi="宋体" w:cs="宋体"/>
          <w:sz w:val="18"/>
          <w:szCs w:val="18"/>
        </w:rPr>
        <w:t>月桂林弘彰用印情况</w:t>
      </w:r>
    </w:p>
    <w:tbl>
      <w:tblPr>
        <w:tblStyle w:val="24"/>
        <w:tblW w:w="9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880"/>
        <w:gridCol w:w="2420"/>
        <w:gridCol w:w="1860"/>
        <w:gridCol w:w="520"/>
        <w:gridCol w:w="520"/>
        <w:gridCol w:w="1040"/>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jc w:val="center"/>
        </w:trPr>
        <w:tc>
          <w:tcPr>
            <w:tcW w:w="1040"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日期</w:t>
            </w:r>
          </w:p>
        </w:tc>
        <w:tc>
          <w:tcPr>
            <w:tcW w:w="880"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印鉴名称</w:t>
            </w:r>
          </w:p>
        </w:tc>
        <w:tc>
          <w:tcPr>
            <w:tcW w:w="2420"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用印事由</w:t>
            </w:r>
          </w:p>
        </w:tc>
        <w:tc>
          <w:tcPr>
            <w:tcW w:w="1860"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用印材料</w:t>
            </w:r>
          </w:p>
        </w:tc>
        <w:tc>
          <w:tcPr>
            <w:tcW w:w="520"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份数</w:t>
            </w:r>
          </w:p>
        </w:tc>
        <w:tc>
          <w:tcPr>
            <w:tcW w:w="520"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章数</w:t>
            </w:r>
          </w:p>
        </w:tc>
        <w:tc>
          <w:tcPr>
            <w:tcW w:w="1040"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申请部门</w:t>
            </w:r>
          </w:p>
        </w:tc>
        <w:tc>
          <w:tcPr>
            <w:tcW w:w="1040"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0" w:hRule="atLeast"/>
          <w:jc w:val="center"/>
        </w:trPr>
        <w:tc>
          <w:tcPr>
            <w:tcW w:w="1040" w:type="dxa"/>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2020/12/25</w:t>
            </w:r>
          </w:p>
        </w:tc>
        <w:tc>
          <w:tcPr>
            <w:tcW w:w="880" w:type="dxa"/>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公章、法人章</w:t>
            </w:r>
          </w:p>
        </w:tc>
        <w:tc>
          <w:tcPr>
            <w:tcW w:w="2420" w:type="dxa"/>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作为兴安弘彰唯一股东，同意兴安弘彰签订信托资产收益权转让及回购合同</w:t>
            </w:r>
          </w:p>
        </w:tc>
        <w:tc>
          <w:tcPr>
            <w:tcW w:w="1860" w:type="dxa"/>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兴安弘彰房地产开发有限公司股东决定一式四份</w:t>
            </w:r>
          </w:p>
        </w:tc>
        <w:tc>
          <w:tcPr>
            <w:tcW w:w="520" w:type="dxa"/>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520" w:type="dxa"/>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1040"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资金管理</w:t>
            </w:r>
          </w:p>
        </w:tc>
        <w:tc>
          <w:tcPr>
            <w:tcW w:w="1040"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黎泽慧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0" w:hRule="atLeast"/>
          <w:jc w:val="center"/>
        </w:trPr>
        <w:tc>
          <w:tcPr>
            <w:tcW w:w="1040" w:type="dxa"/>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2020/12/28</w:t>
            </w:r>
          </w:p>
        </w:tc>
        <w:tc>
          <w:tcPr>
            <w:tcW w:w="880" w:type="dxa"/>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合同专用章</w:t>
            </w:r>
          </w:p>
        </w:tc>
        <w:tc>
          <w:tcPr>
            <w:tcW w:w="2420" w:type="dxa"/>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与客户签订关于春天里项目的联合购房协议书</w:t>
            </w:r>
          </w:p>
        </w:tc>
        <w:tc>
          <w:tcPr>
            <w:tcW w:w="1860" w:type="dxa"/>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联合购房协议书一式四份</w:t>
            </w:r>
          </w:p>
        </w:tc>
        <w:tc>
          <w:tcPr>
            <w:tcW w:w="520" w:type="dxa"/>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520" w:type="dxa"/>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8</w:t>
            </w:r>
          </w:p>
        </w:tc>
        <w:tc>
          <w:tcPr>
            <w:tcW w:w="1040"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销售管理</w:t>
            </w:r>
          </w:p>
        </w:tc>
        <w:tc>
          <w:tcPr>
            <w:tcW w:w="1040"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韦慧妙</w:t>
            </w:r>
          </w:p>
        </w:tc>
      </w:tr>
    </w:tbl>
    <w:p>
      <w:pPr>
        <w:pStyle w:val="2"/>
        <w:ind w:firstLine="210"/>
      </w:pPr>
    </w:p>
    <w:p>
      <w:pPr>
        <w:pStyle w:val="4"/>
        <w:spacing w:line="480" w:lineRule="auto"/>
        <w:rPr>
          <w:rFonts w:ascii="宋体" w:hAnsi="宋体" w:eastAsia="宋体" w:cs="宋体"/>
          <w:sz w:val="21"/>
          <w:szCs w:val="21"/>
        </w:rPr>
      </w:pPr>
      <w:bookmarkStart w:id="16" w:name="_Toc61551292"/>
      <w:r>
        <w:rPr>
          <w:rFonts w:hint="eastAsia" w:ascii="宋体" w:hAnsi="宋体" w:eastAsia="宋体" w:cs="宋体"/>
          <w:sz w:val="21"/>
          <w:szCs w:val="21"/>
        </w:rPr>
        <w:t>十二</w:t>
      </w:r>
      <w:r>
        <w:rPr>
          <w:rFonts w:ascii="宋体" w:hAnsi="宋体" w:eastAsia="宋体" w:cs="宋体"/>
          <w:sz w:val="21"/>
          <w:szCs w:val="21"/>
        </w:rPr>
        <w:t>．</w:t>
      </w:r>
      <w:r>
        <w:rPr>
          <w:rFonts w:hint="eastAsia" w:ascii="宋体" w:hAnsi="宋体" w:eastAsia="宋体" w:cs="宋体"/>
          <w:sz w:val="21"/>
          <w:szCs w:val="21"/>
        </w:rPr>
        <w:t>项目公司印章证照使用情况</w:t>
      </w:r>
      <w:bookmarkEnd w:id="16"/>
    </w:p>
    <w:p>
      <w:pPr>
        <w:spacing w:line="480" w:lineRule="auto"/>
        <w:rPr>
          <w:rFonts w:ascii="宋体" w:hAnsi="宋体" w:cs="宋体"/>
          <w:bCs/>
          <w:sz w:val="21"/>
          <w:szCs w:val="21"/>
        </w:rPr>
      </w:pPr>
      <w:r>
        <w:rPr>
          <w:rFonts w:hint="eastAsia" w:ascii="宋体" w:hAnsi="宋体" w:cs="宋体"/>
          <w:bCs/>
          <w:sz w:val="21"/>
          <w:szCs w:val="21"/>
        </w:rPr>
        <w:t>本期无印鉴证照外携情况。</w:t>
      </w:r>
    </w:p>
    <w:p>
      <w:pPr>
        <w:pStyle w:val="4"/>
        <w:spacing w:line="480" w:lineRule="auto"/>
        <w:rPr>
          <w:rFonts w:ascii="宋体" w:hAnsi="宋体" w:eastAsia="宋体" w:cs="宋体"/>
          <w:sz w:val="21"/>
          <w:szCs w:val="21"/>
        </w:rPr>
      </w:pPr>
      <w:bookmarkStart w:id="17" w:name="_Toc61551293"/>
      <w:r>
        <w:rPr>
          <w:rFonts w:ascii="宋体" w:hAnsi="宋体" w:eastAsia="宋体" w:cs="宋体"/>
          <w:sz w:val="21"/>
          <w:szCs w:val="21"/>
        </w:rPr>
        <w:t>十三．</w:t>
      </w:r>
      <w:r>
        <w:rPr>
          <w:rFonts w:hint="eastAsia" w:ascii="宋体" w:hAnsi="宋体" w:eastAsia="宋体" w:cs="宋体"/>
          <w:sz w:val="21"/>
          <w:szCs w:val="21"/>
        </w:rPr>
        <w:t>项目公司签约情况</w:t>
      </w:r>
      <w:bookmarkEnd w:id="17"/>
    </w:p>
    <w:p>
      <w:pPr>
        <w:jc w:val="center"/>
        <w:rPr>
          <w:rFonts w:ascii="宋体" w:hAnsi="宋体" w:cs="宋体"/>
          <w:sz w:val="18"/>
          <w:szCs w:val="18"/>
        </w:rPr>
      </w:pPr>
      <w:r>
        <w:rPr>
          <w:rFonts w:hint="eastAsia" w:ascii="宋体" w:hAnsi="宋体" w:cs="宋体"/>
          <w:sz w:val="18"/>
          <w:szCs w:val="18"/>
        </w:rPr>
        <w:t>表十二：2020年</w:t>
      </w:r>
      <w:r>
        <w:rPr>
          <w:rFonts w:ascii="宋体" w:hAnsi="宋体" w:cs="宋体"/>
          <w:sz w:val="18"/>
          <w:szCs w:val="18"/>
        </w:rPr>
        <w:t>12</w:t>
      </w:r>
      <w:r>
        <w:rPr>
          <w:rFonts w:hint="eastAsia" w:ascii="宋体" w:hAnsi="宋体" w:cs="宋体"/>
          <w:sz w:val="18"/>
          <w:szCs w:val="18"/>
        </w:rPr>
        <w:t>月合同签订情况</w:t>
      </w:r>
    </w:p>
    <w:tbl>
      <w:tblPr>
        <w:tblStyle w:val="24"/>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209"/>
        <w:gridCol w:w="1912"/>
        <w:gridCol w:w="2796"/>
        <w:gridCol w:w="1514"/>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0" w:hRule="atLeast"/>
          <w:jc w:val="center"/>
        </w:trPr>
        <w:tc>
          <w:tcPr>
            <w:tcW w:w="815"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序号</w:t>
            </w:r>
          </w:p>
        </w:tc>
        <w:tc>
          <w:tcPr>
            <w:tcW w:w="1209"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签订日期</w:t>
            </w:r>
          </w:p>
        </w:tc>
        <w:tc>
          <w:tcPr>
            <w:tcW w:w="1912"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对方单位</w:t>
            </w:r>
          </w:p>
        </w:tc>
        <w:tc>
          <w:tcPr>
            <w:tcW w:w="2796"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合同名称</w:t>
            </w:r>
          </w:p>
        </w:tc>
        <w:tc>
          <w:tcPr>
            <w:tcW w:w="1514"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合同金额（元）</w:t>
            </w:r>
          </w:p>
        </w:tc>
        <w:tc>
          <w:tcPr>
            <w:tcW w:w="1040" w:type="dxa"/>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签订份数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0" w:hRule="atLeast"/>
          <w:jc w:val="center"/>
        </w:trPr>
        <w:tc>
          <w:tcPr>
            <w:tcW w:w="815"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1209"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2020年12月23日</w:t>
            </w:r>
          </w:p>
        </w:tc>
        <w:tc>
          <w:tcPr>
            <w:tcW w:w="1912"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五矿财富投资管理有限公司</w:t>
            </w:r>
          </w:p>
        </w:tc>
        <w:tc>
          <w:tcPr>
            <w:tcW w:w="2796"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桂林威祺房地产开发有限公司与五矿财务投资管理有限公司之财务顾问协议</w:t>
            </w:r>
          </w:p>
        </w:tc>
        <w:tc>
          <w:tcPr>
            <w:tcW w:w="1514"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750,000.00</w:t>
            </w:r>
          </w:p>
        </w:tc>
        <w:tc>
          <w:tcPr>
            <w:tcW w:w="1040" w:type="dxa"/>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w:t>
            </w:r>
          </w:p>
        </w:tc>
      </w:tr>
    </w:tbl>
    <w:p>
      <w:pPr>
        <w:pStyle w:val="2"/>
        <w:ind w:firstLine="210"/>
      </w:pPr>
    </w:p>
    <w:p>
      <w:pPr>
        <w:pStyle w:val="4"/>
        <w:spacing w:line="480" w:lineRule="auto"/>
        <w:rPr>
          <w:rFonts w:ascii="宋体" w:hAnsi="宋体" w:eastAsia="宋体" w:cs="宋体"/>
          <w:sz w:val="21"/>
          <w:szCs w:val="21"/>
        </w:rPr>
      </w:pPr>
      <w:bookmarkStart w:id="18" w:name="_Toc61551294"/>
      <w:r>
        <w:rPr>
          <w:rFonts w:hint="eastAsia" w:ascii="宋体" w:hAnsi="宋体" w:eastAsia="宋体" w:cs="宋体"/>
          <w:sz w:val="21"/>
          <w:szCs w:val="21"/>
        </w:rPr>
        <w:t>十四、项目整体运行情况分析</w:t>
      </w:r>
      <w:bookmarkEnd w:id="18"/>
    </w:p>
    <w:p>
      <w:pPr>
        <w:pStyle w:val="2"/>
        <w:spacing w:after="0" w:line="480" w:lineRule="auto"/>
        <w:ind w:firstLine="420" w:firstLineChars="200"/>
        <w:rPr>
          <w:rFonts w:ascii="宋体" w:hAnsi="宋体" w:cs="宋体"/>
          <w:b/>
          <w:kern w:val="0"/>
          <w:szCs w:val="21"/>
          <w:lang w:bidi="ar"/>
        </w:rPr>
      </w:pPr>
      <w:r>
        <w:rPr>
          <w:rFonts w:ascii="宋体" w:hAnsi="宋体" w:cs="宋体"/>
          <w:b/>
          <w:kern w:val="0"/>
          <w:szCs w:val="21"/>
          <w:lang w:bidi="ar"/>
        </w:rPr>
        <w:t>1.</w:t>
      </w:r>
      <w:r>
        <w:rPr>
          <w:rFonts w:hint="eastAsia" w:ascii="宋体" w:hAnsi="宋体" w:cs="宋体"/>
          <w:b/>
          <w:kern w:val="0"/>
          <w:szCs w:val="21"/>
          <w:lang w:bidi="ar"/>
        </w:rPr>
        <w:t>项目开发建设情况评价</w:t>
      </w:r>
    </w:p>
    <w:p>
      <w:pPr>
        <w:spacing w:line="480" w:lineRule="auto"/>
        <w:ind w:firstLine="420" w:firstLineChars="200"/>
        <w:rPr>
          <w:rFonts w:ascii="宋体" w:hAnsi="宋体" w:cs="宋体"/>
          <w:bCs/>
          <w:sz w:val="21"/>
          <w:szCs w:val="21"/>
        </w:rPr>
      </w:pPr>
      <w:r>
        <w:rPr>
          <w:rFonts w:hint="eastAsia" w:ascii="宋体" w:hAnsi="宋体" w:cs="宋体"/>
          <w:bCs/>
          <w:sz w:val="21"/>
          <w:szCs w:val="21"/>
        </w:rPr>
        <w:t>桂林春天里项目已取得《建设用地规划许可证》、《建设工程规划许可证》、《建筑工程施工许可证》，暂未取得《不动产权证书》、《商品房预售许可证》，报建工作整体评价：报建进度未到达合作协议约定的考核节点</w:t>
      </w:r>
      <w:r>
        <w:rPr>
          <w:rFonts w:ascii="宋体" w:hAnsi="宋体" w:cs="宋体"/>
          <w:bCs/>
          <w:sz w:val="21"/>
          <w:szCs w:val="21"/>
        </w:rPr>
        <w:t>；</w:t>
      </w:r>
      <w:r>
        <w:rPr>
          <w:rFonts w:hint="eastAsia" w:ascii="宋体" w:hAnsi="宋体" w:cs="宋体"/>
          <w:bCs/>
          <w:sz w:val="21"/>
          <w:szCs w:val="21"/>
        </w:rPr>
        <w:t>本</w:t>
      </w:r>
      <w:r>
        <w:rPr>
          <w:rFonts w:ascii="宋体" w:hAnsi="宋体" w:cs="宋体"/>
          <w:bCs/>
          <w:sz w:val="21"/>
          <w:szCs w:val="21"/>
        </w:rPr>
        <w:t>期期末</w:t>
      </w:r>
      <w:r>
        <w:rPr>
          <w:rFonts w:hint="eastAsia" w:ascii="宋体" w:hAnsi="宋体" w:cs="宋体"/>
          <w:bCs/>
          <w:sz w:val="21"/>
          <w:szCs w:val="21"/>
        </w:rPr>
        <w:t>1</w:t>
      </w:r>
      <w:r>
        <w:rPr>
          <w:rFonts w:ascii="宋体" w:hAnsi="宋体" w:cs="宋体"/>
          <w:bCs/>
          <w:sz w:val="21"/>
          <w:szCs w:val="21"/>
        </w:rPr>
        <w:t>5</w:t>
      </w:r>
      <w:r>
        <w:rPr>
          <w:rFonts w:hint="eastAsia" w:ascii="宋体" w:hAnsi="宋体" w:cs="宋体"/>
          <w:bCs/>
          <w:sz w:val="21"/>
          <w:szCs w:val="21"/>
        </w:rPr>
        <w:t>#楼完成一层梁板模板30%，钢筋绑扎约80%</w:t>
      </w:r>
      <w:r>
        <w:rPr>
          <w:rFonts w:hint="eastAsia" w:ascii="宋体" w:hAnsi="宋体" w:cs="宋体"/>
          <w:bCs/>
          <w:sz w:val="21"/>
          <w:szCs w:val="21"/>
          <w:lang w:eastAsia="zh-Hans"/>
        </w:rPr>
        <w:t>，</w:t>
      </w:r>
      <w:r>
        <w:rPr>
          <w:rFonts w:ascii="宋体" w:hAnsi="宋体" w:cs="宋体"/>
          <w:bCs/>
          <w:sz w:val="21"/>
          <w:szCs w:val="21"/>
        </w:rPr>
        <w:t>16</w:t>
      </w:r>
      <w:r>
        <w:rPr>
          <w:rFonts w:hint="eastAsia" w:ascii="宋体" w:hAnsi="宋体" w:cs="宋体"/>
          <w:bCs/>
          <w:sz w:val="21"/>
          <w:szCs w:val="21"/>
        </w:rPr>
        <w:t>#楼完成底板混凝土浇筑；</w:t>
      </w:r>
      <w:r>
        <w:rPr>
          <w:rFonts w:ascii="宋体" w:hAnsi="宋体" w:cs="宋体"/>
          <w:bCs/>
          <w:sz w:val="21"/>
          <w:szCs w:val="21"/>
        </w:rPr>
        <w:t>17</w:t>
      </w:r>
      <w:r>
        <w:rPr>
          <w:rFonts w:hint="eastAsia" w:ascii="宋体" w:hAnsi="宋体" w:cs="宋体"/>
          <w:bCs/>
          <w:sz w:val="21"/>
          <w:szCs w:val="21"/>
        </w:rPr>
        <w:t>#楼完成地下室墙柱钢筋绑40%</w:t>
      </w:r>
      <w:r>
        <w:rPr>
          <w:rFonts w:hint="eastAsia" w:ascii="宋体" w:hAnsi="宋体" w:cs="宋体"/>
          <w:bCs/>
          <w:sz w:val="21"/>
          <w:szCs w:val="21"/>
          <w:lang w:eastAsia="zh-Hans"/>
        </w:rPr>
        <w:t>，</w:t>
      </w:r>
      <w:r>
        <w:rPr>
          <w:rFonts w:ascii="宋体" w:hAnsi="宋体" w:cs="宋体"/>
          <w:bCs/>
          <w:sz w:val="21"/>
          <w:szCs w:val="21"/>
          <w:lang w:eastAsia="zh-Hans"/>
        </w:rPr>
        <w:t>18</w:t>
      </w:r>
      <w:r>
        <w:rPr>
          <w:rFonts w:hint="eastAsia" w:ascii="宋体" w:hAnsi="宋体" w:cs="宋体"/>
          <w:bCs/>
          <w:sz w:val="21"/>
          <w:szCs w:val="21"/>
          <w:lang w:eastAsia="zh-Hans"/>
        </w:rPr>
        <w:t>#楼完成三层梁板模板铺设、钢筋绑扎、混凝土浇筑，</w:t>
      </w:r>
      <w:r>
        <w:rPr>
          <w:rFonts w:ascii="宋体" w:hAnsi="宋体" w:cs="宋体"/>
          <w:bCs/>
          <w:sz w:val="21"/>
          <w:szCs w:val="21"/>
          <w:lang w:eastAsia="zh-Hans"/>
        </w:rPr>
        <w:t>19</w:t>
      </w:r>
      <w:r>
        <w:rPr>
          <w:rFonts w:hint="eastAsia" w:ascii="宋体" w:hAnsi="宋体" w:cs="宋体"/>
          <w:bCs/>
          <w:sz w:val="21"/>
          <w:szCs w:val="21"/>
          <w:lang w:eastAsia="zh-Hans"/>
        </w:rPr>
        <w:t>#楼完成二层墙柱模板安装，</w:t>
      </w:r>
      <w:r>
        <w:rPr>
          <w:rFonts w:ascii="宋体" w:hAnsi="宋体" w:cs="宋体"/>
          <w:bCs/>
          <w:sz w:val="21"/>
          <w:szCs w:val="21"/>
          <w:lang w:eastAsia="zh-Hans"/>
        </w:rPr>
        <w:t>20</w:t>
      </w:r>
      <w:r>
        <w:rPr>
          <w:rFonts w:hint="eastAsia" w:ascii="宋体" w:hAnsi="宋体" w:cs="宋体"/>
          <w:bCs/>
          <w:sz w:val="21"/>
          <w:szCs w:val="21"/>
          <w:lang w:eastAsia="zh-Hans"/>
        </w:rPr>
        <w:t>#楼完成一层钢筋绑扎完成30%，</w:t>
      </w:r>
      <w:r>
        <w:rPr>
          <w:rFonts w:hint="eastAsia" w:ascii="宋体" w:hAnsi="宋体" w:cs="宋体"/>
          <w:bCs/>
          <w:sz w:val="21"/>
          <w:szCs w:val="21"/>
        </w:rPr>
        <w:t>2</w:t>
      </w:r>
      <w:r>
        <w:rPr>
          <w:rFonts w:ascii="宋体" w:hAnsi="宋体" w:cs="宋体"/>
          <w:bCs/>
          <w:sz w:val="21"/>
          <w:szCs w:val="21"/>
        </w:rPr>
        <w:t>1</w:t>
      </w:r>
      <w:r>
        <w:rPr>
          <w:rFonts w:hint="eastAsia" w:ascii="宋体" w:hAnsi="宋体" w:cs="宋体"/>
          <w:bCs/>
          <w:sz w:val="21"/>
          <w:szCs w:val="21"/>
          <w:lang w:eastAsia="zh-Hans"/>
        </w:rPr>
        <w:t>#楼完成二层梁板砼浇筑、墙柱钢筋绑扎及三层楼板铺设约30%</w:t>
      </w:r>
      <w:r>
        <w:rPr>
          <w:rFonts w:hint="eastAsia" w:ascii="宋体" w:hAnsi="宋体" w:cs="宋体"/>
          <w:bCs/>
          <w:sz w:val="21"/>
          <w:szCs w:val="21"/>
        </w:rPr>
        <w:t>。桂林春天里项目</w:t>
      </w:r>
      <w:r>
        <w:rPr>
          <w:rFonts w:ascii="宋体" w:hAnsi="宋体" w:cs="宋体"/>
          <w:bCs/>
          <w:sz w:val="21"/>
          <w:szCs w:val="21"/>
        </w:rPr>
        <w:t>开发建设</w:t>
      </w:r>
      <w:r>
        <w:rPr>
          <w:rFonts w:hint="eastAsia" w:ascii="宋体" w:hAnsi="宋体" w:cs="宋体"/>
          <w:bCs/>
          <w:sz w:val="21"/>
          <w:szCs w:val="21"/>
        </w:rPr>
        <w:t>工作整体评价：本期春天里项目</w:t>
      </w:r>
      <w:r>
        <w:rPr>
          <w:rFonts w:ascii="宋体" w:hAnsi="宋体" w:cs="宋体"/>
          <w:bCs/>
          <w:sz w:val="21"/>
          <w:szCs w:val="21"/>
        </w:rPr>
        <w:t>施工进展迅速</w:t>
      </w:r>
      <w:r>
        <w:rPr>
          <w:rFonts w:hint="eastAsia" w:ascii="宋体" w:hAnsi="宋体" w:cs="宋体"/>
          <w:bCs/>
          <w:sz w:val="21"/>
          <w:szCs w:val="21"/>
        </w:rPr>
        <w:t>，未到合同约定节点。</w:t>
      </w:r>
    </w:p>
    <w:p>
      <w:pPr>
        <w:pStyle w:val="2"/>
        <w:spacing w:after="0" w:line="480" w:lineRule="auto"/>
        <w:ind w:firstLine="420" w:firstLineChars="200"/>
        <w:rPr>
          <w:rFonts w:ascii="宋体" w:hAnsi="宋体" w:cs="宋体"/>
          <w:b/>
          <w:kern w:val="0"/>
          <w:szCs w:val="21"/>
          <w:lang w:bidi="ar"/>
        </w:rPr>
      </w:pPr>
      <w:r>
        <w:rPr>
          <w:rFonts w:ascii="宋体" w:hAnsi="宋体" w:cs="宋体"/>
          <w:b/>
          <w:kern w:val="0"/>
          <w:szCs w:val="21"/>
          <w:lang w:bidi="ar"/>
        </w:rPr>
        <w:t>2.</w:t>
      </w:r>
      <w:r>
        <w:rPr>
          <w:rFonts w:hint="eastAsia" w:ascii="宋体" w:hAnsi="宋体" w:cs="宋体"/>
          <w:b/>
          <w:kern w:val="0"/>
          <w:szCs w:val="21"/>
          <w:lang w:bidi="ar"/>
        </w:rPr>
        <w:t>项目销售情况评价</w:t>
      </w:r>
    </w:p>
    <w:p>
      <w:pPr>
        <w:spacing w:line="480" w:lineRule="auto"/>
        <w:ind w:firstLine="420" w:firstLineChars="200"/>
        <w:rPr>
          <w:rFonts w:ascii="宋体" w:hAnsi="宋体" w:cs="宋体"/>
          <w:kern w:val="2"/>
          <w:sz w:val="21"/>
          <w:szCs w:val="21"/>
        </w:rPr>
      </w:pPr>
      <w:r>
        <w:rPr>
          <w:rFonts w:hint="eastAsia" w:ascii="宋体" w:hAnsi="宋体" w:cs="宋体"/>
          <w:kern w:val="2"/>
          <w:sz w:val="21"/>
          <w:szCs w:val="21"/>
          <w:lang w:eastAsia="zh-Hans"/>
        </w:rPr>
        <w:t>截至本期期末，春天里项目新增住宅认筹36户，车位新增认筹36个，商铺新增认筹0个；现有住宅累计认筹客户242户，车位累计认筹245个，商铺累计认筹8个；住宅认筹、车位认筹及商铺认筹累计回款10,417.3351万元。</w:t>
      </w:r>
      <w:r>
        <w:rPr>
          <w:rFonts w:hint="eastAsia" w:ascii="宋体" w:hAnsi="宋体" w:cs="宋体"/>
          <w:kern w:val="2"/>
          <w:sz w:val="21"/>
          <w:szCs w:val="21"/>
        </w:rPr>
        <w:t>春天里项目营销工作整体评价：</w:t>
      </w:r>
      <w:r>
        <w:rPr>
          <w:rFonts w:hint="eastAsia" w:ascii="宋体" w:hAnsi="宋体" w:cs="宋体"/>
          <w:kern w:val="2"/>
          <w:sz w:val="21"/>
          <w:szCs w:val="21"/>
          <w:lang w:eastAsia="zh-Hans"/>
        </w:rPr>
        <w:t>项目未取得预售证，卡户皆为认筹，回款为预约登记费，收款账户为桂林弘彰交行账户，且持续有客户因前期交款却无法预订心仪房源而退款，因此无法确认营销状态</w:t>
      </w:r>
      <w:r>
        <w:rPr>
          <w:rFonts w:hint="eastAsia" w:ascii="宋体" w:hAnsi="宋体" w:cs="宋体"/>
          <w:kern w:val="2"/>
          <w:sz w:val="21"/>
          <w:szCs w:val="21"/>
        </w:rPr>
        <w:t>。</w:t>
      </w:r>
    </w:p>
    <w:p>
      <w:pPr>
        <w:pStyle w:val="2"/>
        <w:spacing w:after="0" w:line="480" w:lineRule="auto"/>
        <w:ind w:firstLine="420" w:firstLineChars="200"/>
        <w:rPr>
          <w:rFonts w:ascii="宋体" w:hAnsi="宋体" w:cs="宋体"/>
          <w:b/>
          <w:kern w:val="0"/>
          <w:szCs w:val="21"/>
          <w:lang w:bidi="ar"/>
        </w:rPr>
      </w:pPr>
      <w:r>
        <w:rPr>
          <w:rFonts w:hint="eastAsia" w:ascii="宋体" w:hAnsi="宋体" w:cs="宋体"/>
          <w:b/>
          <w:kern w:val="0"/>
          <w:szCs w:val="21"/>
          <w:lang w:bidi="ar"/>
        </w:rPr>
        <w:t>3.资金（成本）使用评价</w:t>
      </w:r>
    </w:p>
    <w:p>
      <w:pPr>
        <w:pStyle w:val="2"/>
        <w:spacing w:line="480" w:lineRule="auto"/>
        <w:ind w:firstLineChars="200"/>
        <w:rPr>
          <w:rFonts w:ascii="宋体" w:hAnsi="宋体" w:cs="宋体"/>
          <w:szCs w:val="21"/>
        </w:rPr>
      </w:pPr>
      <w:r>
        <w:rPr>
          <w:rFonts w:hint="eastAsia" w:ascii="宋体" w:hAnsi="宋体" w:cs="宋体"/>
          <w:szCs w:val="21"/>
        </w:rPr>
        <w:t>截至本期期末，本期项目公司支出费用为工程款、开发间接费、办公费、财务费用共计</w:t>
      </w:r>
      <w:r>
        <w:rPr>
          <w:rFonts w:ascii="宋体" w:hAnsi="宋体" w:cs="宋体"/>
          <w:szCs w:val="21"/>
        </w:rPr>
        <w:t>204.47077</w:t>
      </w:r>
      <w:r>
        <w:rPr>
          <w:rFonts w:hint="eastAsia" w:ascii="宋体" w:hAnsi="宋体" w:cs="宋体"/>
          <w:szCs w:val="21"/>
        </w:rPr>
        <w:t>万元。本期资金（成本）使用评价：本期春天里项目资金（成本）支出合理</w:t>
      </w:r>
      <w:r>
        <w:rPr>
          <w:rFonts w:hint="eastAsia" w:ascii="宋体" w:hAnsi="宋体" w:cs="宋体"/>
          <w:szCs w:val="21"/>
          <w:lang w:eastAsia="zh-Hans"/>
        </w:rPr>
        <w:t>，各项费用暂不存在超支情况</w:t>
      </w:r>
      <w:r>
        <w:rPr>
          <w:rFonts w:hint="eastAsia" w:ascii="宋体" w:hAnsi="宋体" w:cs="宋体"/>
          <w:szCs w:val="21"/>
        </w:rPr>
        <w:t>。</w:t>
      </w:r>
    </w:p>
    <w:p>
      <w:pPr>
        <w:pStyle w:val="2"/>
        <w:spacing w:after="0" w:line="480" w:lineRule="auto"/>
        <w:ind w:firstLine="420" w:firstLineChars="200"/>
        <w:rPr>
          <w:rFonts w:ascii="宋体" w:hAnsi="宋体" w:cs="宋体"/>
          <w:b/>
          <w:kern w:val="0"/>
          <w:szCs w:val="21"/>
          <w:lang w:bidi="ar"/>
        </w:rPr>
      </w:pPr>
      <w:r>
        <w:rPr>
          <w:rFonts w:hint="eastAsia" w:ascii="宋体" w:hAnsi="宋体" w:cs="宋体"/>
          <w:b/>
          <w:kern w:val="0"/>
          <w:szCs w:val="21"/>
          <w:lang w:bidi="ar"/>
        </w:rPr>
        <w:t>4.操作风险评价（项目公司内部管理）</w:t>
      </w:r>
    </w:p>
    <w:p>
      <w:pPr>
        <w:pStyle w:val="2"/>
        <w:spacing w:after="0" w:line="480" w:lineRule="auto"/>
        <w:ind w:firstLineChars="200"/>
        <w:rPr>
          <w:rFonts w:ascii="宋体" w:hAnsi="宋体" w:cs="宋体"/>
          <w:szCs w:val="21"/>
        </w:rPr>
      </w:pPr>
      <w:r>
        <w:rPr>
          <w:rFonts w:hint="eastAsia" w:ascii="宋体" w:hAnsi="宋体" w:cs="宋体"/>
          <w:szCs w:val="21"/>
        </w:rPr>
        <w:t>截至本期期末，项目公司暂无内部人员操作不当导致资产损失的情况，暂无由于不履行合同或工程建设发生安全、质量事故引发索赔的情况，暂无由于灾难性事件或其他事件导致有形资产损坏或损失的情况，项目公司运作正常，暂无操作风险。</w:t>
      </w:r>
    </w:p>
    <w:p>
      <w:pPr>
        <w:pStyle w:val="2"/>
        <w:spacing w:after="0" w:line="480" w:lineRule="auto"/>
        <w:ind w:firstLine="420" w:firstLineChars="200"/>
        <w:rPr>
          <w:rFonts w:ascii="宋体" w:hAnsi="宋体" w:cs="宋体"/>
          <w:b/>
          <w:kern w:val="0"/>
          <w:szCs w:val="21"/>
          <w:lang w:bidi="ar"/>
        </w:rPr>
      </w:pPr>
      <w:r>
        <w:rPr>
          <w:rFonts w:hint="eastAsia" w:ascii="宋体" w:hAnsi="宋体" w:cs="宋体"/>
          <w:b/>
          <w:kern w:val="0"/>
          <w:szCs w:val="21"/>
          <w:lang w:bidi="ar"/>
        </w:rPr>
        <w:t>5.其他</w:t>
      </w:r>
    </w:p>
    <w:p>
      <w:pPr>
        <w:spacing w:line="480" w:lineRule="auto"/>
        <w:ind w:firstLine="420" w:firstLineChars="200"/>
        <w:rPr>
          <w:rFonts w:ascii="宋体" w:hAnsi="宋体" w:cs="宋体"/>
        </w:rPr>
      </w:pPr>
      <w:r>
        <w:rPr>
          <w:rFonts w:hint="eastAsia" w:ascii="宋体" w:hAnsi="宋体" w:cs="宋体"/>
          <w:kern w:val="2"/>
          <w:sz w:val="21"/>
          <w:szCs w:val="21"/>
        </w:rPr>
        <w:t>暂无</w:t>
      </w:r>
    </w:p>
    <w:p>
      <w:pPr>
        <w:pStyle w:val="4"/>
        <w:spacing w:line="480" w:lineRule="auto"/>
        <w:rPr>
          <w:rFonts w:ascii="宋体" w:hAnsi="宋体" w:eastAsia="宋体" w:cs="宋体"/>
          <w:sz w:val="21"/>
          <w:szCs w:val="21"/>
        </w:rPr>
      </w:pPr>
      <w:bookmarkStart w:id="19" w:name="_Toc61551295"/>
      <w:r>
        <w:rPr>
          <w:rFonts w:hint="eastAsia" w:ascii="宋体" w:hAnsi="宋体" w:eastAsia="宋体" w:cs="宋体"/>
          <w:sz w:val="21"/>
          <w:szCs w:val="21"/>
        </w:rPr>
        <w:t>十五、附件</w:t>
      </w:r>
      <w:bookmarkEnd w:id="19"/>
    </w:p>
    <w:p>
      <w:pPr>
        <w:spacing w:line="480" w:lineRule="auto"/>
        <w:ind w:firstLine="420" w:firstLineChars="200"/>
        <w:rPr>
          <w:rFonts w:ascii="宋体" w:hAnsi="宋体" w:cs="宋体"/>
          <w:kern w:val="2"/>
          <w:sz w:val="21"/>
          <w:szCs w:val="21"/>
        </w:rPr>
      </w:pPr>
      <w:r>
        <w:rPr>
          <w:rFonts w:hint="eastAsia" w:ascii="宋体" w:hAnsi="宋体" w:cs="宋体"/>
          <w:kern w:val="2"/>
          <w:sz w:val="21"/>
          <w:szCs w:val="21"/>
        </w:rPr>
        <w:t>附件一：银行账户流水</w:t>
      </w:r>
    </w:p>
    <w:p>
      <w:pPr>
        <w:spacing w:line="480" w:lineRule="auto"/>
        <w:ind w:firstLine="420" w:firstLineChars="200"/>
        <w:rPr>
          <w:rFonts w:ascii="宋体" w:hAnsi="宋体" w:cs="宋体"/>
          <w:kern w:val="2"/>
          <w:sz w:val="21"/>
          <w:szCs w:val="21"/>
        </w:rPr>
      </w:pPr>
      <w:r>
        <w:rPr>
          <w:rFonts w:hint="eastAsia" w:ascii="宋体" w:hAnsi="宋体" w:cs="宋体"/>
          <w:kern w:val="2"/>
          <w:sz w:val="21"/>
          <w:szCs w:val="21"/>
        </w:rPr>
        <w:t>附件二：合同统计表和合同付款台账</w:t>
      </w:r>
    </w:p>
    <w:p>
      <w:pPr>
        <w:spacing w:line="480" w:lineRule="auto"/>
        <w:ind w:firstLine="420" w:firstLineChars="200"/>
        <w:rPr>
          <w:rFonts w:ascii="宋体" w:hAnsi="宋体" w:cs="宋体"/>
          <w:kern w:val="2"/>
          <w:sz w:val="21"/>
          <w:szCs w:val="21"/>
        </w:rPr>
      </w:pPr>
      <w:r>
        <w:rPr>
          <w:rFonts w:hint="eastAsia" w:ascii="宋体" w:hAnsi="宋体" w:cs="宋体"/>
          <w:kern w:val="2"/>
          <w:sz w:val="21"/>
          <w:szCs w:val="21"/>
        </w:rPr>
        <w:t>附件三：项目销售回款统计表</w:t>
      </w:r>
    </w:p>
    <w:p>
      <w:pPr>
        <w:spacing w:line="480" w:lineRule="auto"/>
        <w:ind w:firstLine="420" w:firstLineChars="200"/>
        <w:rPr>
          <w:rFonts w:ascii="宋体" w:hAnsi="宋体" w:cs="宋体"/>
          <w:kern w:val="2"/>
          <w:sz w:val="21"/>
          <w:szCs w:val="21"/>
        </w:rPr>
      </w:pPr>
      <w:r>
        <w:rPr>
          <w:rFonts w:hint="eastAsia" w:ascii="宋体" w:hAnsi="宋体" w:cs="宋体"/>
          <w:kern w:val="2"/>
          <w:sz w:val="21"/>
          <w:szCs w:val="21"/>
        </w:rPr>
        <w:t>附件四：项目公司下月资金计划</w:t>
      </w:r>
    </w:p>
    <w:p>
      <w:pPr>
        <w:spacing w:line="480" w:lineRule="auto"/>
        <w:ind w:firstLine="420" w:firstLineChars="200"/>
        <w:rPr>
          <w:rFonts w:ascii="宋体" w:hAnsi="宋体" w:cs="宋体"/>
          <w:kern w:val="2"/>
          <w:sz w:val="21"/>
          <w:szCs w:val="21"/>
        </w:rPr>
      </w:pPr>
      <w:r>
        <w:rPr>
          <w:rFonts w:hint="eastAsia" w:ascii="宋体" w:hAnsi="宋体" w:cs="宋体"/>
          <w:kern w:val="2"/>
          <w:sz w:val="21"/>
          <w:szCs w:val="21"/>
        </w:rPr>
        <w:t>附件五：项目形象进度表及照片</w:t>
      </w:r>
    </w:p>
    <w:p>
      <w:pPr>
        <w:spacing w:line="480" w:lineRule="auto"/>
        <w:ind w:firstLine="420" w:firstLineChars="200"/>
        <w:rPr>
          <w:rFonts w:ascii="宋体" w:hAnsi="宋体" w:cs="宋体"/>
          <w:kern w:val="2"/>
          <w:sz w:val="21"/>
          <w:szCs w:val="21"/>
        </w:rPr>
      </w:pPr>
      <w:r>
        <w:rPr>
          <w:rFonts w:hint="eastAsia" w:ascii="宋体" w:hAnsi="宋体" w:cs="宋体"/>
          <w:kern w:val="2"/>
          <w:sz w:val="21"/>
          <w:szCs w:val="21"/>
        </w:rPr>
        <w:t>附件六：项目公司月度财务报表（资产负债表、利润表、现金流量表）</w:t>
      </w:r>
    </w:p>
    <w:p>
      <w:pPr>
        <w:pStyle w:val="2"/>
        <w:ind w:firstLine="0" w:firstLineChars="0"/>
        <w:rPr>
          <w:rFonts w:ascii="宋体" w:hAnsi="宋体" w:cs="宋体"/>
          <w:b/>
          <w:kern w:val="0"/>
          <w:sz w:val="18"/>
          <w:szCs w:val="18"/>
        </w:rPr>
      </w:pPr>
    </w:p>
    <w:p>
      <w:pPr>
        <w:pStyle w:val="2"/>
        <w:ind w:firstLine="0" w:firstLineChars="0"/>
        <w:rPr>
          <w:rFonts w:ascii="宋体" w:hAnsi="宋体" w:cs="宋体"/>
          <w:b/>
          <w:kern w:val="0"/>
          <w:sz w:val="18"/>
          <w:szCs w:val="18"/>
        </w:rPr>
      </w:pPr>
    </w:p>
    <w:p>
      <w:pPr>
        <w:pStyle w:val="2"/>
        <w:ind w:firstLine="0" w:firstLineChars="0"/>
        <w:rPr>
          <w:rFonts w:ascii="宋体" w:hAnsi="宋体" w:cs="宋体"/>
          <w:b/>
          <w:kern w:val="0"/>
          <w:sz w:val="18"/>
          <w:szCs w:val="18"/>
        </w:rPr>
      </w:pPr>
    </w:p>
    <w:p>
      <w:pPr>
        <w:pStyle w:val="2"/>
        <w:ind w:firstLine="0" w:firstLineChars="0"/>
        <w:rPr>
          <w:rFonts w:ascii="宋体" w:hAnsi="宋体" w:cs="宋体"/>
          <w:b/>
          <w:kern w:val="0"/>
          <w:sz w:val="18"/>
          <w:szCs w:val="18"/>
        </w:rPr>
      </w:pPr>
    </w:p>
    <w:p>
      <w:pPr>
        <w:pStyle w:val="2"/>
        <w:ind w:firstLine="0" w:firstLineChars="0"/>
        <w:rPr>
          <w:rFonts w:ascii="宋体" w:hAnsi="宋体" w:cs="宋体"/>
          <w:b/>
          <w:kern w:val="0"/>
          <w:sz w:val="18"/>
          <w:szCs w:val="18"/>
        </w:rPr>
      </w:pPr>
    </w:p>
    <w:p>
      <w:pPr>
        <w:pStyle w:val="2"/>
        <w:ind w:firstLine="0" w:firstLineChars="0"/>
        <w:rPr>
          <w:rFonts w:ascii="宋体" w:hAnsi="宋体" w:cs="宋体"/>
          <w:b/>
          <w:kern w:val="0"/>
          <w:sz w:val="18"/>
          <w:szCs w:val="18"/>
        </w:rPr>
      </w:pPr>
    </w:p>
    <w:p>
      <w:pPr>
        <w:pStyle w:val="2"/>
        <w:ind w:firstLine="0" w:firstLineChars="0"/>
        <w:rPr>
          <w:rFonts w:ascii="宋体" w:hAnsi="宋体" w:cs="宋体"/>
          <w:b/>
          <w:kern w:val="0"/>
          <w:sz w:val="18"/>
          <w:szCs w:val="18"/>
        </w:rPr>
      </w:pPr>
    </w:p>
    <w:p>
      <w:pPr>
        <w:rPr>
          <w:rFonts w:ascii="宋体" w:hAnsi="宋体" w:cs="宋体"/>
          <w:sz w:val="21"/>
          <w:szCs w:val="21"/>
        </w:rPr>
      </w:pPr>
      <w:r>
        <w:rPr>
          <w:rFonts w:hint="eastAsia" w:ascii="宋体" w:hAnsi="宋体" w:cs="宋体"/>
          <w:sz w:val="21"/>
          <w:szCs w:val="21"/>
        </w:rPr>
        <w:br w:type="page"/>
      </w:r>
    </w:p>
    <w:p>
      <w:pPr>
        <w:pStyle w:val="4"/>
        <w:spacing w:line="480" w:lineRule="auto"/>
        <w:rPr>
          <w:rFonts w:ascii="宋体" w:hAnsi="宋体" w:eastAsia="宋体" w:cs="宋体"/>
          <w:sz w:val="21"/>
          <w:szCs w:val="21"/>
        </w:rPr>
      </w:pPr>
      <w:bookmarkStart w:id="20" w:name="_Toc61551296"/>
      <w:r>
        <w:rPr>
          <w:rFonts w:hint="eastAsia" w:ascii="宋体" w:hAnsi="宋体" w:eastAsia="宋体" w:cs="宋体"/>
          <w:sz w:val="21"/>
          <w:szCs w:val="21"/>
        </w:rPr>
        <w:t>附件一:银行流水</w:t>
      </w:r>
      <w:bookmarkEnd w:id="20"/>
    </w:p>
    <w:p>
      <w:pPr>
        <w:pStyle w:val="2"/>
        <w:ind w:firstLine="0" w:firstLineChars="0"/>
        <w:jc w:val="center"/>
        <w:rPr>
          <w:rFonts w:ascii="宋体" w:hAnsi="宋体" w:cs="宋体"/>
          <w:sz w:val="18"/>
          <w:szCs w:val="18"/>
        </w:rPr>
      </w:pPr>
      <w:r>
        <w:rPr>
          <w:rFonts w:hint="eastAsia" w:ascii="宋体" w:hAnsi="宋体" w:cs="宋体"/>
          <w:sz w:val="18"/>
          <w:szCs w:val="18"/>
        </w:rPr>
        <w:t>速晟民生1</w:t>
      </w:r>
      <w:r>
        <w:rPr>
          <w:rFonts w:ascii="宋体" w:hAnsi="宋体" w:cs="宋体"/>
          <w:sz w:val="18"/>
          <w:szCs w:val="18"/>
        </w:rPr>
        <w:t>246</w:t>
      </w:r>
      <w:r>
        <w:rPr>
          <w:rFonts w:hint="eastAsia" w:ascii="宋体" w:hAnsi="宋体" w:cs="宋体"/>
          <w:sz w:val="18"/>
          <w:szCs w:val="18"/>
        </w:rPr>
        <w:t>账户</w:t>
      </w:r>
    </w:p>
    <w:p>
      <w:pPr>
        <w:pStyle w:val="2"/>
        <w:ind w:firstLine="0" w:firstLineChars="0"/>
        <w:rPr>
          <w:rFonts w:ascii="宋体" w:hAnsi="宋体" w:cs="宋体"/>
          <w:sz w:val="18"/>
          <w:szCs w:val="18"/>
        </w:rPr>
      </w:pPr>
      <w:r>
        <w:rPr>
          <w:rFonts w:hint="eastAsia" w:ascii="宋体" w:hAnsi="宋体" w:cs="宋体"/>
        </w:rPr>
        <w:drawing>
          <wp:inline distT="0" distB="0" distL="0" distR="0">
            <wp:extent cx="5278120" cy="24847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120" cy="2484755"/>
                    </a:xfrm>
                    <a:prstGeom prst="rect">
                      <a:avLst/>
                    </a:prstGeom>
                  </pic:spPr>
                </pic:pic>
              </a:graphicData>
            </a:graphic>
          </wp:inline>
        </w:drawing>
      </w:r>
      <w:r>
        <w:rPr>
          <w:rFonts w:hint="eastAsia" w:ascii="宋体" w:hAnsi="宋体" w:cs="宋体"/>
        </w:rPr>
        <w:drawing>
          <wp:inline distT="0" distB="0" distL="0" distR="0">
            <wp:extent cx="5278120" cy="194373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1943735"/>
                    </a:xfrm>
                    <a:prstGeom prst="rect">
                      <a:avLst/>
                    </a:prstGeom>
                  </pic:spPr>
                </pic:pic>
              </a:graphicData>
            </a:graphic>
          </wp:inline>
        </w:drawing>
      </w:r>
      <w:r>
        <w:rPr>
          <w:rFonts w:hint="eastAsia" w:ascii="宋体" w:hAnsi="宋体" w:cs="宋体"/>
        </w:rPr>
        <w:t xml:space="preserve">    </w:t>
      </w:r>
    </w:p>
    <w:p>
      <w:pPr>
        <w:pStyle w:val="2"/>
        <w:ind w:firstLine="0" w:firstLineChars="0"/>
        <w:jc w:val="center"/>
        <w:rPr>
          <w:rFonts w:ascii="宋体" w:hAnsi="宋体" w:cs="宋体"/>
          <w:sz w:val="18"/>
          <w:szCs w:val="18"/>
        </w:rPr>
      </w:pPr>
      <w:r>
        <w:rPr>
          <w:rFonts w:hint="eastAsia" w:ascii="宋体" w:hAnsi="宋体" w:cs="宋体"/>
          <w:sz w:val="18"/>
          <w:szCs w:val="18"/>
        </w:rPr>
        <w:t>峰宴农信社</w:t>
      </w:r>
      <w:r>
        <w:rPr>
          <w:rFonts w:ascii="宋体" w:hAnsi="宋体" w:cs="宋体"/>
          <w:sz w:val="18"/>
          <w:szCs w:val="18"/>
        </w:rPr>
        <w:t>5622</w:t>
      </w:r>
      <w:r>
        <w:rPr>
          <w:rFonts w:hint="eastAsia" w:ascii="宋体" w:hAnsi="宋体" w:cs="宋体"/>
          <w:sz w:val="18"/>
          <w:szCs w:val="18"/>
        </w:rPr>
        <w:t>账户</w:t>
      </w:r>
    </w:p>
    <w:p>
      <w:pPr>
        <w:pStyle w:val="2"/>
        <w:ind w:firstLine="0" w:firstLineChars="0"/>
        <w:jc w:val="center"/>
        <w:rPr>
          <w:rFonts w:ascii="宋体" w:hAnsi="宋体" w:cs="宋体"/>
          <w:sz w:val="18"/>
          <w:szCs w:val="18"/>
        </w:rPr>
      </w:pPr>
      <w:r>
        <w:rPr>
          <w:rFonts w:hint="eastAsia" w:ascii="宋体" w:hAnsi="宋体" w:cs="宋体"/>
          <w:sz w:val="18"/>
          <w:szCs w:val="18"/>
        </w:rPr>
        <w:drawing>
          <wp:inline distT="0" distB="0" distL="0" distR="0">
            <wp:extent cx="5372735" cy="2721610"/>
            <wp:effectExtent l="0" t="0" r="12065" b="215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372735" cy="2727702"/>
                    </a:xfrm>
                    <a:prstGeom prst="rect">
                      <a:avLst/>
                    </a:prstGeom>
                  </pic:spPr>
                </pic:pic>
              </a:graphicData>
            </a:graphic>
          </wp:inline>
        </w:drawing>
      </w:r>
      <w:r>
        <w:rPr>
          <w:rFonts w:hint="eastAsia" w:ascii="宋体" w:hAnsi="宋体" w:cs="宋体"/>
          <w:sz w:val="18"/>
          <w:szCs w:val="18"/>
        </w:rPr>
        <w:drawing>
          <wp:inline distT="0" distB="0" distL="0" distR="0">
            <wp:extent cx="5319395" cy="3583940"/>
            <wp:effectExtent l="0" t="0" r="14605" b="2286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319395" cy="3583940"/>
                    </a:xfrm>
                    <a:prstGeom prst="rect">
                      <a:avLst/>
                    </a:prstGeom>
                  </pic:spPr>
                </pic:pic>
              </a:graphicData>
            </a:graphic>
          </wp:inline>
        </w:drawing>
      </w:r>
      <w:r>
        <w:rPr>
          <w:rFonts w:hint="eastAsia" w:ascii="宋体" w:hAnsi="宋体" w:cs="宋体"/>
          <w:sz w:val="18"/>
          <w:szCs w:val="18"/>
        </w:rPr>
        <w:drawing>
          <wp:inline distT="0" distB="0" distL="0" distR="0">
            <wp:extent cx="5278120" cy="3255645"/>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8120" cy="3255645"/>
                    </a:xfrm>
                    <a:prstGeom prst="rect">
                      <a:avLst/>
                    </a:prstGeom>
                  </pic:spPr>
                </pic:pic>
              </a:graphicData>
            </a:graphic>
          </wp:inline>
        </w:drawing>
      </w:r>
      <w:r>
        <w:rPr>
          <w:rFonts w:hint="eastAsia" w:ascii="宋体" w:hAnsi="宋体" w:cs="宋体"/>
          <w:sz w:val="18"/>
          <w:szCs w:val="18"/>
        </w:rPr>
        <w:drawing>
          <wp:inline distT="0" distB="0" distL="0" distR="0">
            <wp:extent cx="5278120" cy="173926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8120" cy="1739265"/>
                    </a:xfrm>
                    <a:prstGeom prst="rect">
                      <a:avLst/>
                    </a:prstGeom>
                  </pic:spPr>
                </pic:pic>
              </a:graphicData>
            </a:graphic>
          </wp:inline>
        </w:drawing>
      </w:r>
    </w:p>
    <w:p>
      <w:pPr>
        <w:pStyle w:val="2"/>
        <w:ind w:firstLine="0" w:firstLineChars="0"/>
        <w:jc w:val="center"/>
        <w:rPr>
          <w:rFonts w:ascii="宋体" w:hAnsi="宋体" w:cs="宋体"/>
        </w:rPr>
        <w:sectPr>
          <w:headerReference r:id="rId3" w:type="default"/>
          <w:footerReference r:id="rId4" w:type="default"/>
          <w:pgSz w:w="11906" w:h="16838"/>
          <w:pgMar w:top="1440" w:right="1797" w:bottom="1440" w:left="1797" w:header="851" w:footer="992" w:gutter="0"/>
          <w:pgNumType w:start="0"/>
          <w:cols w:space="425" w:num="1"/>
          <w:titlePg/>
          <w:docGrid w:type="lines" w:linePitch="326" w:charSpace="0"/>
        </w:sectPr>
      </w:pPr>
    </w:p>
    <w:p>
      <w:pPr>
        <w:pStyle w:val="2"/>
        <w:ind w:firstLine="0" w:firstLineChars="0"/>
        <w:jc w:val="center"/>
        <w:rPr>
          <w:rFonts w:ascii="宋体" w:hAnsi="宋体" w:cs="宋体"/>
          <w:sz w:val="18"/>
          <w:szCs w:val="18"/>
        </w:rPr>
      </w:pPr>
      <w:r>
        <w:rPr>
          <w:rFonts w:hint="eastAsia" w:ascii="宋体" w:hAnsi="宋体" w:cs="宋体"/>
        </w:rPr>
        <w:t xml:space="preserve">  </w:t>
      </w:r>
      <w:r>
        <w:rPr>
          <w:rFonts w:hint="eastAsia" w:ascii="宋体" w:hAnsi="宋体" w:cs="宋体"/>
          <w:sz w:val="18"/>
          <w:szCs w:val="18"/>
        </w:rPr>
        <w:t>弘彰交行</w:t>
      </w:r>
      <w:r>
        <w:rPr>
          <w:rFonts w:ascii="宋体" w:hAnsi="宋体" w:cs="宋体"/>
          <w:sz w:val="18"/>
          <w:szCs w:val="18"/>
        </w:rPr>
        <w:t>9383</w:t>
      </w:r>
      <w:r>
        <w:rPr>
          <w:rFonts w:hint="eastAsia" w:ascii="宋体" w:hAnsi="宋体" w:cs="宋体"/>
          <w:sz w:val="18"/>
          <w:szCs w:val="18"/>
        </w:rPr>
        <w:t>账户</w:t>
      </w:r>
    </w:p>
    <w:p>
      <w:pPr>
        <w:pStyle w:val="2"/>
        <w:ind w:left="-480" w:leftChars="-200" w:firstLine="0" w:firstLineChars="0"/>
        <w:rPr>
          <w:rFonts w:ascii="宋体" w:hAnsi="宋体" w:cs="宋体"/>
        </w:rPr>
        <w:sectPr>
          <w:footerReference r:id="rId6" w:type="first"/>
          <w:footerReference r:id="rId5" w:type="default"/>
          <w:pgSz w:w="16838" w:h="11906" w:orient="landscape"/>
          <w:pgMar w:top="1797" w:right="1440" w:bottom="1797" w:left="1440" w:header="851" w:footer="992" w:gutter="0"/>
          <w:pgNumType w:start="42"/>
          <w:cols w:space="0" w:num="1"/>
          <w:titlePg/>
          <w:docGrid w:type="lines" w:linePitch="332" w:charSpace="0"/>
        </w:sectPr>
      </w:pPr>
      <w:r>
        <w:rPr>
          <w:rFonts w:hint="eastAsia" w:ascii="宋体" w:hAnsi="宋体" w:cs="宋体"/>
        </w:rPr>
        <w:drawing>
          <wp:inline distT="0" distB="0" distL="0" distR="0">
            <wp:extent cx="9450705" cy="4803140"/>
            <wp:effectExtent l="0" t="0" r="23495" b="2286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5">
                      <a:extLst>
                        <a:ext uri="{28A0092B-C50C-407E-A947-70E740481C1C}">
                          <a14:useLocalDpi xmlns:a14="http://schemas.microsoft.com/office/drawing/2010/main" val="0"/>
                        </a:ext>
                      </a:extLst>
                    </a:blip>
                    <a:srcRect t="2679"/>
                    <a:stretch>
                      <a:fillRect/>
                    </a:stretch>
                  </pic:blipFill>
                  <pic:spPr>
                    <a:xfrm>
                      <a:off x="0" y="0"/>
                      <a:ext cx="9450705" cy="4803140"/>
                    </a:xfrm>
                    <a:prstGeom prst="rect">
                      <a:avLst/>
                    </a:prstGeom>
                  </pic:spPr>
                </pic:pic>
              </a:graphicData>
            </a:graphic>
          </wp:inline>
        </w:drawing>
      </w:r>
    </w:p>
    <w:p>
      <w:pPr>
        <w:pStyle w:val="2"/>
        <w:ind w:left="-480" w:leftChars="-200" w:firstLine="0" w:firstLineChars="0"/>
        <w:jc w:val="center"/>
        <w:rPr>
          <w:rFonts w:ascii="宋体" w:hAnsi="宋体" w:cs="宋体"/>
          <w:sz w:val="18"/>
          <w:szCs w:val="18"/>
        </w:rPr>
      </w:pPr>
      <w:r>
        <w:rPr>
          <w:rFonts w:hint="eastAsia" w:ascii="宋体" w:hAnsi="宋体" w:cs="宋体"/>
        </w:rPr>
        <w:drawing>
          <wp:inline distT="0" distB="0" distL="0" distR="0">
            <wp:extent cx="9429750" cy="5074920"/>
            <wp:effectExtent l="0" t="0" r="19050" b="508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460928" cy="5074920"/>
                    </a:xfrm>
                    <a:prstGeom prst="rect">
                      <a:avLst/>
                    </a:prstGeom>
                  </pic:spPr>
                </pic:pic>
              </a:graphicData>
            </a:graphic>
          </wp:inline>
        </w:drawing>
      </w:r>
      <w:r>
        <w:rPr>
          <w:rFonts w:hint="eastAsia" w:ascii="宋体" w:hAnsi="宋体" w:cs="宋体"/>
        </w:rPr>
        <w:drawing>
          <wp:inline distT="0" distB="0" distL="0" distR="0">
            <wp:extent cx="9440545" cy="5473700"/>
            <wp:effectExtent l="0" t="0" r="8255" b="1270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440545" cy="5473700"/>
                    </a:xfrm>
                    <a:prstGeom prst="rect">
                      <a:avLst/>
                    </a:prstGeom>
                  </pic:spPr>
                </pic:pic>
              </a:graphicData>
            </a:graphic>
          </wp:inline>
        </w:drawing>
      </w:r>
      <w:r>
        <w:rPr>
          <w:rFonts w:hint="eastAsia" w:ascii="宋体" w:hAnsi="宋体" w:cs="宋体"/>
        </w:rPr>
        <w:drawing>
          <wp:inline distT="0" distB="0" distL="0" distR="0">
            <wp:extent cx="9257665" cy="5497195"/>
            <wp:effectExtent l="0" t="0" r="13335" b="146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257665" cy="5497195"/>
                    </a:xfrm>
                    <a:prstGeom prst="rect">
                      <a:avLst/>
                    </a:prstGeom>
                  </pic:spPr>
                </pic:pic>
              </a:graphicData>
            </a:graphic>
          </wp:inline>
        </w:drawing>
      </w:r>
      <w:r>
        <w:rPr>
          <w:rFonts w:hint="eastAsia" w:ascii="宋体" w:hAnsi="宋体" w:cs="宋体"/>
        </w:rPr>
        <w:drawing>
          <wp:inline distT="0" distB="0" distL="0" distR="0">
            <wp:extent cx="9434195" cy="5081905"/>
            <wp:effectExtent l="0" t="0" r="14605" b="2349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434195" cy="5084765"/>
                    </a:xfrm>
                    <a:prstGeom prst="rect">
                      <a:avLst/>
                    </a:prstGeom>
                  </pic:spPr>
                </pic:pic>
              </a:graphicData>
            </a:graphic>
          </wp:inline>
        </w:drawing>
      </w:r>
      <w:r>
        <w:rPr>
          <w:rFonts w:hint="eastAsia" w:ascii="宋体" w:hAnsi="宋体" w:cs="宋体"/>
        </w:rPr>
        <w:drawing>
          <wp:inline distT="0" distB="0" distL="0" distR="0">
            <wp:extent cx="9446895" cy="5143500"/>
            <wp:effectExtent l="0" t="0" r="1905" b="1270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446895" cy="5143500"/>
                    </a:xfrm>
                    <a:prstGeom prst="rect">
                      <a:avLst/>
                    </a:prstGeom>
                  </pic:spPr>
                </pic:pic>
              </a:graphicData>
            </a:graphic>
          </wp:inline>
        </w:drawing>
      </w:r>
      <w:r>
        <w:rPr>
          <w:rFonts w:hint="eastAsia" w:ascii="宋体" w:hAnsi="宋体" w:cs="宋体"/>
        </w:rPr>
        <w:drawing>
          <wp:inline distT="0" distB="0" distL="0" distR="0">
            <wp:extent cx="9353550" cy="5189855"/>
            <wp:effectExtent l="0" t="0" r="19050" b="1714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9353550" cy="5191997"/>
                    </a:xfrm>
                    <a:prstGeom prst="rect">
                      <a:avLst/>
                    </a:prstGeom>
                  </pic:spPr>
                </pic:pic>
              </a:graphicData>
            </a:graphic>
          </wp:inline>
        </w:drawing>
      </w:r>
      <w:r>
        <w:rPr>
          <w:rFonts w:hint="eastAsia" w:ascii="宋体" w:hAnsi="宋体" w:cs="宋体"/>
        </w:rPr>
        <w:drawing>
          <wp:inline distT="0" distB="0" distL="0" distR="0">
            <wp:extent cx="9525000" cy="5139690"/>
            <wp:effectExtent l="0" t="0" r="0" b="165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525000" cy="5139690"/>
                    </a:xfrm>
                    <a:prstGeom prst="rect">
                      <a:avLst/>
                    </a:prstGeom>
                  </pic:spPr>
                </pic:pic>
              </a:graphicData>
            </a:graphic>
          </wp:inline>
        </w:drawing>
      </w:r>
      <w:r>
        <w:rPr>
          <w:rFonts w:hint="eastAsia" w:ascii="宋体" w:hAnsi="宋体" w:cs="宋体"/>
        </w:rPr>
        <w:drawing>
          <wp:inline distT="0" distB="0" distL="0" distR="0">
            <wp:extent cx="9446895" cy="5297805"/>
            <wp:effectExtent l="0" t="0" r="1905" b="1079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446895" cy="5311321"/>
                    </a:xfrm>
                    <a:prstGeom prst="rect">
                      <a:avLst/>
                    </a:prstGeom>
                  </pic:spPr>
                </pic:pic>
              </a:graphicData>
            </a:graphic>
          </wp:inline>
        </w:drawing>
      </w:r>
      <w:r>
        <w:rPr>
          <w:rFonts w:hint="eastAsia" w:ascii="宋体" w:hAnsi="宋体" w:cs="宋体"/>
        </w:rPr>
        <w:drawing>
          <wp:inline distT="0" distB="0" distL="0" distR="0">
            <wp:extent cx="9458960" cy="5163185"/>
            <wp:effectExtent l="0" t="0" r="15240" b="1841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458960" cy="5174169"/>
                    </a:xfrm>
                    <a:prstGeom prst="rect">
                      <a:avLst/>
                    </a:prstGeom>
                  </pic:spPr>
                </pic:pic>
              </a:graphicData>
            </a:graphic>
          </wp:inline>
        </w:drawing>
      </w:r>
      <w:r>
        <w:rPr>
          <w:rFonts w:hint="eastAsia" w:ascii="宋体" w:hAnsi="宋体" w:cs="宋体"/>
        </w:rPr>
        <w:drawing>
          <wp:inline distT="0" distB="0" distL="0" distR="0">
            <wp:extent cx="9471025" cy="5250180"/>
            <wp:effectExtent l="0" t="0" r="3175" b="762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9471025" cy="5250180"/>
                    </a:xfrm>
                    <a:prstGeom prst="rect">
                      <a:avLst/>
                    </a:prstGeom>
                  </pic:spPr>
                </pic:pic>
              </a:graphicData>
            </a:graphic>
          </wp:inline>
        </w:drawing>
      </w:r>
      <w:r>
        <w:rPr>
          <w:rFonts w:hint="eastAsia" w:ascii="宋体" w:hAnsi="宋体" w:cs="宋体"/>
        </w:rPr>
        <w:drawing>
          <wp:inline distT="0" distB="0" distL="0" distR="0">
            <wp:extent cx="9347835" cy="5344795"/>
            <wp:effectExtent l="0" t="0" r="24765" b="1460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9347835" cy="5344795"/>
                    </a:xfrm>
                    <a:prstGeom prst="rect">
                      <a:avLst/>
                    </a:prstGeom>
                  </pic:spPr>
                </pic:pic>
              </a:graphicData>
            </a:graphic>
          </wp:inline>
        </w:drawing>
      </w:r>
      <w:r>
        <w:rPr>
          <w:rFonts w:hint="eastAsia" w:ascii="宋体" w:hAnsi="宋体" w:cs="宋体"/>
        </w:rPr>
        <w:drawing>
          <wp:inline distT="0" distB="0" distL="0" distR="0">
            <wp:extent cx="9498965" cy="5517515"/>
            <wp:effectExtent l="0" t="0" r="635" b="1968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9498965" cy="5532964"/>
                    </a:xfrm>
                    <a:prstGeom prst="rect">
                      <a:avLst/>
                    </a:prstGeom>
                  </pic:spPr>
                </pic:pic>
              </a:graphicData>
            </a:graphic>
          </wp:inline>
        </w:drawing>
      </w:r>
      <w:r>
        <w:rPr>
          <w:rFonts w:hint="eastAsia" w:ascii="宋体" w:hAnsi="宋体" w:cs="宋体"/>
        </w:rPr>
        <w:drawing>
          <wp:inline distT="0" distB="0" distL="0" distR="0">
            <wp:extent cx="9669780" cy="5236845"/>
            <wp:effectExtent l="0" t="0" r="7620" b="2095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9669780" cy="5236845"/>
                    </a:xfrm>
                    <a:prstGeom prst="rect">
                      <a:avLst/>
                    </a:prstGeom>
                  </pic:spPr>
                </pic:pic>
              </a:graphicData>
            </a:graphic>
          </wp:inline>
        </w:drawing>
      </w:r>
    </w:p>
    <w:p>
      <w:pPr>
        <w:pStyle w:val="2"/>
        <w:ind w:firstLine="0" w:firstLineChars="0"/>
        <w:jc w:val="center"/>
        <w:rPr>
          <w:rFonts w:ascii="宋体" w:hAnsi="宋体" w:cs="宋体"/>
          <w:sz w:val="18"/>
          <w:szCs w:val="18"/>
        </w:rPr>
      </w:pPr>
      <w:r>
        <w:rPr>
          <w:rFonts w:hint="eastAsia" w:ascii="宋体" w:hAnsi="宋体" w:cs="宋体"/>
          <w:sz w:val="18"/>
          <w:szCs w:val="18"/>
        </w:rPr>
        <w:t>威祺建行</w:t>
      </w:r>
      <w:r>
        <w:rPr>
          <w:rFonts w:hint="eastAsia" w:ascii="宋体" w:hAnsi="宋体" w:cs="宋体"/>
          <w:bCs/>
          <w:sz w:val="18"/>
          <w:szCs w:val="18"/>
          <w:lang w:bidi="ar"/>
        </w:rPr>
        <w:t>0</w:t>
      </w:r>
      <w:r>
        <w:rPr>
          <w:rFonts w:ascii="宋体" w:hAnsi="宋体" w:cs="宋体"/>
          <w:bCs/>
          <w:sz w:val="18"/>
          <w:szCs w:val="18"/>
          <w:lang w:bidi="ar"/>
        </w:rPr>
        <w:t>964</w:t>
      </w:r>
      <w:r>
        <w:rPr>
          <w:rFonts w:hint="eastAsia" w:ascii="宋体" w:hAnsi="宋体" w:cs="宋体"/>
          <w:sz w:val="18"/>
          <w:szCs w:val="18"/>
        </w:rPr>
        <w:t>账户</w:t>
      </w:r>
    </w:p>
    <w:p>
      <w:pPr>
        <w:pStyle w:val="2"/>
        <w:ind w:left="-720" w:leftChars="-300" w:firstLine="0" w:firstLineChars="0"/>
        <w:jc w:val="center"/>
        <w:rPr>
          <w:rFonts w:ascii="宋体" w:hAnsi="宋体" w:cs="宋体"/>
        </w:rPr>
        <w:sectPr>
          <w:pgSz w:w="16838" w:h="11906" w:orient="landscape"/>
          <w:pgMar w:top="1797" w:right="1440" w:bottom="1797" w:left="1440" w:header="851" w:footer="992" w:gutter="0"/>
          <w:cols w:space="0" w:num="1"/>
          <w:titlePg/>
          <w:docGrid w:type="lines" w:linePitch="332" w:charSpace="0"/>
        </w:sectPr>
      </w:pPr>
      <w:r>
        <w:rPr>
          <w:rFonts w:hint="eastAsia" w:ascii="宋体" w:hAnsi="宋体" w:cs="宋体"/>
        </w:rPr>
        <w:drawing>
          <wp:inline distT="0" distB="0" distL="0" distR="0">
            <wp:extent cx="9714230" cy="4890135"/>
            <wp:effectExtent l="0" t="0" r="13970" b="1206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9714230" cy="4890135"/>
                    </a:xfrm>
                    <a:prstGeom prst="rect">
                      <a:avLst/>
                    </a:prstGeom>
                  </pic:spPr>
                </pic:pic>
              </a:graphicData>
            </a:graphic>
          </wp:inline>
        </w:drawing>
      </w:r>
    </w:p>
    <w:p>
      <w:pPr>
        <w:pStyle w:val="2"/>
        <w:ind w:firstLine="0" w:firstLineChars="0"/>
        <w:jc w:val="center"/>
      </w:pPr>
      <w:r>
        <w:rPr>
          <w:rFonts w:hint="eastAsia" w:ascii="宋体" w:hAnsi="宋体" w:cs="宋体"/>
        </w:rPr>
        <w:t xml:space="preserve"> </w:t>
      </w:r>
      <w:r>
        <w:rPr>
          <w:rFonts w:hint="eastAsia" w:ascii="宋体" w:hAnsi="宋体" w:cs="宋体"/>
          <w:sz w:val="18"/>
          <w:szCs w:val="18"/>
        </w:rPr>
        <w:t>威祺工行</w:t>
      </w:r>
      <w:r>
        <w:rPr>
          <w:rFonts w:ascii="宋体" w:hAnsi="宋体" w:cs="宋体"/>
          <w:sz w:val="18"/>
          <w:szCs w:val="18"/>
        </w:rPr>
        <w:t>4555</w:t>
      </w:r>
      <w:r>
        <w:rPr>
          <w:rFonts w:hint="eastAsia" w:ascii="宋体" w:hAnsi="宋体" w:cs="宋体"/>
          <w:sz w:val="18"/>
          <w:szCs w:val="18"/>
        </w:rPr>
        <w:t>账</w:t>
      </w:r>
      <w:r>
        <w:rPr>
          <w:rFonts w:hint="eastAsia"/>
        </w:rPr>
        <w:t>户</w:t>
      </w:r>
    </w:p>
    <w:p>
      <w:pPr>
        <w:pStyle w:val="2"/>
        <w:ind w:left="-600" w:leftChars="-250" w:firstLine="0" w:firstLineChars="0"/>
        <w:jc w:val="center"/>
        <w:rPr>
          <w:rFonts w:ascii="宋体" w:hAnsi="宋体" w:cs="宋体"/>
        </w:rPr>
      </w:pPr>
      <w:r>
        <w:rPr>
          <w:rFonts w:hint="eastAsia" w:ascii="宋体" w:hAnsi="宋体" w:cs="宋体"/>
        </w:rPr>
        <w:drawing>
          <wp:inline distT="0" distB="0" distL="0" distR="0">
            <wp:extent cx="6198870" cy="2517775"/>
            <wp:effectExtent l="0" t="0" r="24130" b="222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198870" cy="2517775"/>
                    </a:xfrm>
                    <a:prstGeom prst="rect">
                      <a:avLst/>
                    </a:prstGeom>
                  </pic:spPr>
                </pic:pic>
              </a:graphicData>
            </a:graphic>
          </wp:inline>
        </w:drawing>
      </w:r>
      <w:r>
        <w:rPr>
          <w:rFonts w:hint="eastAsia" w:ascii="宋体" w:hAnsi="宋体" w:cs="宋体"/>
        </w:rPr>
        <w:t xml:space="preserve"> </w:t>
      </w:r>
    </w:p>
    <w:p>
      <w:pPr>
        <w:pStyle w:val="2"/>
        <w:ind w:firstLine="0" w:firstLineChars="0"/>
        <w:jc w:val="center"/>
        <w:rPr>
          <w:rFonts w:ascii="宋体" w:hAnsi="宋体" w:cs="宋体"/>
        </w:rPr>
      </w:pPr>
      <w:r>
        <w:rPr>
          <w:rFonts w:hint="eastAsia" w:ascii="宋体" w:hAnsi="宋体" w:cs="宋体"/>
          <w:sz w:val="18"/>
          <w:szCs w:val="18"/>
        </w:rPr>
        <w:t>威祺交行9</w:t>
      </w:r>
      <w:r>
        <w:rPr>
          <w:rFonts w:ascii="宋体" w:hAnsi="宋体" w:cs="宋体"/>
          <w:sz w:val="18"/>
          <w:szCs w:val="18"/>
        </w:rPr>
        <w:t>853</w:t>
      </w:r>
      <w:r>
        <w:rPr>
          <w:rFonts w:hint="eastAsia" w:ascii="宋体" w:hAnsi="宋体" w:cs="宋体"/>
          <w:sz w:val="18"/>
          <w:szCs w:val="18"/>
        </w:rPr>
        <w:t>账户</w:t>
      </w:r>
    </w:p>
    <w:p>
      <w:pPr>
        <w:pStyle w:val="2"/>
        <w:ind w:left="-600" w:leftChars="-250" w:firstLine="0" w:firstLineChars="0"/>
        <w:rPr>
          <w:rFonts w:ascii="宋体" w:hAnsi="宋体" w:cs="宋体"/>
          <w:b/>
          <w:bCs/>
          <w:kern w:val="0"/>
          <w:sz w:val="18"/>
          <w:szCs w:val="18"/>
        </w:rPr>
      </w:pPr>
      <w:r>
        <w:rPr>
          <w:rFonts w:ascii="宋体" w:hAnsi="宋体" w:cs="宋体"/>
          <w:b/>
          <w:bCs/>
          <w:kern w:val="0"/>
          <w:sz w:val="18"/>
          <w:szCs w:val="18"/>
        </w:rPr>
        <w:drawing>
          <wp:inline distT="0" distB="0" distL="0" distR="0">
            <wp:extent cx="6226175" cy="2601595"/>
            <wp:effectExtent l="0" t="0" r="22225" b="1460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226175" cy="2601595"/>
                    </a:xfrm>
                    <a:prstGeom prst="rect">
                      <a:avLst/>
                    </a:prstGeom>
                  </pic:spPr>
                </pic:pic>
              </a:graphicData>
            </a:graphic>
          </wp:inline>
        </w:drawing>
      </w:r>
    </w:p>
    <w:p>
      <w:pPr>
        <w:pStyle w:val="2"/>
        <w:ind w:firstLine="0" w:firstLineChars="0"/>
        <w:jc w:val="center"/>
        <w:rPr>
          <w:rFonts w:ascii="宋体" w:hAnsi="宋体" w:cs="宋体"/>
          <w:sz w:val="18"/>
          <w:szCs w:val="18"/>
        </w:rPr>
      </w:pPr>
      <w:r>
        <w:rPr>
          <w:rFonts w:hint="eastAsia" w:ascii="宋体" w:hAnsi="宋体" w:cs="宋体"/>
          <w:sz w:val="18"/>
          <w:szCs w:val="18"/>
        </w:rPr>
        <w:t>威祺民生5</w:t>
      </w:r>
      <w:r>
        <w:rPr>
          <w:rFonts w:ascii="宋体" w:hAnsi="宋体" w:cs="宋体"/>
          <w:sz w:val="18"/>
          <w:szCs w:val="18"/>
        </w:rPr>
        <w:t>348</w:t>
      </w:r>
      <w:r>
        <w:rPr>
          <w:rFonts w:hint="eastAsia" w:ascii="宋体" w:hAnsi="宋体" w:cs="宋体"/>
          <w:sz w:val="18"/>
          <w:szCs w:val="18"/>
        </w:rPr>
        <w:t>账户</w:t>
      </w:r>
    </w:p>
    <w:p>
      <w:pPr>
        <w:pStyle w:val="2"/>
        <w:ind w:left="-600" w:leftChars="-250" w:firstLine="0" w:firstLineChars="0"/>
        <w:jc w:val="center"/>
        <w:rPr>
          <w:rFonts w:ascii="宋体" w:hAnsi="宋体" w:cs="宋体"/>
          <w:sz w:val="18"/>
          <w:szCs w:val="18"/>
        </w:rPr>
      </w:pPr>
      <w:r>
        <w:rPr>
          <w:rFonts w:hint="eastAsia" w:ascii="宋体" w:hAnsi="宋体" w:cs="宋体"/>
          <w:sz w:val="18"/>
          <w:szCs w:val="18"/>
        </w:rPr>
        <w:drawing>
          <wp:inline distT="0" distB="0" distL="0" distR="0">
            <wp:extent cx="6240780" cy="2205990"/>
            <wp:effectExtent l="0" t="0" r="7620" b="381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40780" cy="2205990"/>
                    </a:xfrm>
                    <a:prstGeom prst="rect">
                      <a:avLst/>
                    </a:prstGeom>
                  </pic:spPr>
                </pic:pic>
              </a:graphicData>
            </a:graphic>
          </wp:inline>
        </w:drawing>
      </w:r>
    </w:p>
    <w:p>
      <w:pPr>
        <w:pStyle w:val="2"/>
        <w:ind w:firstLine="0" w:firstLineChars="0"/>
        <w:jc w:val="center"/>
        <w:rPr>
          <w:rFonts w:ascii="宋体" w:hAnsi="宋体" w:cs="宋体"/>
          <w:sz w:val="18"/>
          <w:szCs w:val="18"/>
        </w:rPr>
      </w:pPr>
      <w:r>
        <w:rPr>
          <w:rFonts w:hint="eastAsia" w:ascii="宋体" w:hAnsi="宋体" w:cs="宋体"/>
          <w:sz w:val="18"/>
          <w:szCs w:val="18"/>
        </w:rPr>
        <w:t>威祺农行</w:t>
      </w:r>
      <w:r>
        <w:rPr>
          <w:rFonts w:ascii="宋体" w:hAnsi="宋体" w:cs="宋体"/>
          <w:sz w:val="18"/>
          <w:szCs w:val="18"/>
        </w:rPr>
        <w:t>4361</w:t>
      </w:r>
      <w:r>
        <w:rPr>
          <w:rFonts w:hint="eastAsia" w:ascii="宋体" w:hAnsi="宋体" w:cs="宋体"/>
          <w:sz w:val="18"/>
          <w:szCs w:val="18"/>
        </w:rPr>
        <w:t>账户</w:t>
      </w:r>
    </w:p>
    <w:p>
      <w:pPr>
        <w:pStyle w:val="2"/>
        <w:ind w:left="-600" w:leftChars="-250" w:firstLine="0" w:firstLineChars="0"/>
        <w:jc w:val="center"/>
        <w:rPr>
          <w:rFonts w:ascii="宋体" w:hAnsi="宋体" w:cs="宋体"/>
          <w:sz w:val="18"/>
          <w:szCs w:val="18"/>
        </w:rPr>
      </w:pPr>
      <w:r>
        <w:rPr>
          <w:rFonts w:hint="eastAsia" w:ascii="宋体" w:hAnsi="宋体" w:cs="宋体"/>
          <w:sz w:val="18"/>
          <w:szCs w:val="18"/>
        </w:rPr>
        <w:drawing>
          <wp:inline distT="0" distB="0" distL="0" distR="0">
            <wp:extent cx="5751830" cy="1558925"/>
            <wp:effectExtent l="0" t="0" r="13970" b="1587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1830" cy="1558925"/>
                    </a:xfrm>
                    <a:prstGeom prst="rect">
                      <a:avLst/>
                    </a:prstGeom>
                  </pic:spPr>
                </pic:pic>
              </a:graphicData>
            </a:graphic>
          </wp:inline>
        </w:drawing>
      </w:r>
    </w:p>
    <w:p>
      <w:pPr>
        <w:pStyle w:val="2"/>
        <w:ind w:firstLine="0" w:firstLineChars="0"/>
        <w:jc w:val="center"/>
        <w:rPr>
          <w:rFonts w:ascii="宋体" w:hAnsi="宋体" w:cs="宋体"/>
          <w:sz w:val="18"/>
          <w:szCs w:val="18"/>
        </w:rPr>
      </w:pPr>
    </w:p>
    <w:p>
      <w:pPr>
        <w:pStyle w:val="2"/>
        <w:ind w:firstLine="0" w:firstLineChars="0"/>
        <w:jc w:val="center"/>
        <w:rPr>
          <w:rFonts w:ascii="宋体" w:hAnsi="宋体" w:cs="宋体"/>
          <w:sz w:val="18"/>
          <w:szCs w:val="18"/>
        </w:rPr>
      </w:pPr>
      <w:r>
        <w:rPr>
          <w:rFonts w:hint="eastAsia" w:ascii="宋体" w:hAnsi="宋体" w:cs="宋体"/>
          <w:sz w:val="18"/>
          <w:szCs w:val="18"/>
        </w:rPr>
        <w:t>威祺桂林银行</w:t>
      </w:r>
      <w:r>
        <w:rPr>
          <w:rFonts w:ascii="宋体" w:hAnsi="宋体" w:cs="宋体"/>
          <w:sz w:val="18"/>
          <w:szCs w:val="18"/>
        </w:rPr>
        <w:t>0010</w:t>
      </w:r>
      <w:r>
        <w:rPr>
          <w:rFonts w:hint="eastAsia" w:ascii="宋体" w:hAnsi="宋体" w:cs="宋体"/>
          <w:sz w:val="18"/>
          <w:szCs w:val="18"/>
        </w:rPr>
        <w:t>账户</w:t>
      </w:r>
    </w:p>
    <w:p>
      <w:pPr>
        <w:pStyle w:val="2"/>
        <w:ind w:left="-720" w:leftChars="-300" w:firstLine="0" w:firstLineChars="0"/>
        <w:jc w:val="center"/>
        <w:rPr>
          <w:rFonts w:ascii="宋体" w:hAnsi="宋体" w:cs="宋体"/>
          <w:sz w:val="18"/>
          <w:szCs w:val="18"/>
        </w:rPr>
      </w:pPr>
      <w:r>
        <w:rPr>
          <w:rFonts w:hint="eastAsia" w:ascii="宋体" w:hAnsi="宋体" w:cs="宋体"/>
          <w:sz w:val="18"/>
          <w:szCs w:val="18"/>
        </w:rPr>
        <w:drawing>
          <wp:inline distT="0" distB="0" distL="0" distR="0">
            <wp:extent cx="5877560" cy="3068320"/>
            <wp:effectExtent l="0" t="0" r="15240" b="508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877560" cy="3068320"/>
                    </a:xfrm>
                    <a:prstGeom prst="rect">
                      <a:avLst/>
                    </a:prstGeom>
                  </pic:spPr>
                </pic:pic>
              </a:graphicData>
            </a:graphic>
          </wp:inline>
        </w:drawing>
      </w:r>
    </w:p>
    <w:p>
      <w:pPr>
        <w:pStyle w:val="2"/>
        <w:ind w:firstLine="0" w:firstLineChars="0"/>
        <w:jc w:val="center"/>
        <w:rPr>
          <w:rFonts w:ascii="宋体" w:hAnsi="宋体" w:cs="宋体"/>
          <w:sz w:val="18"/>
          <w:szCs w:val="18"/>
        </w:rPr>
      </w:pPr>
      <w:r>
        <w:rPr>
          <w:rFonts w:hint="eastAsia" w:ascii="宋体" w:hAnsi="宋体" w:cs="宋体"/>
          <w:sz w:val="18"/>
          <w:szCs w:val="18"/>
        </w:rPr>
        <w:t>威祺兴业银行</w:t>
      </w:r>
      <w:r>
        <w:rPr>
          <w:rFonts w:ascii="宋体" w:hAnsi="宋体" w:cs="宋体"/>
          <w:sz w:val="18"/>
          <w:szCs w:val="18"/>
        </w:rPr>
        <w:t>3213</w:t>
      </w:r>
      <w:r>
        <w:rPr>
          <w:rFonts w:hint="eastAsia" w:ascii="宋体" w:hAnsi="宋体" w:cs="宋体"/>
          <w:sz w:val="18"/>
          <w:szCs w:val="18"/>
        </w:rPr>
        <w:t>账户</w:t>
      </w:r>
    </w:p>
    <w:p>
      <w:pPr>
        <w:pStyle w:val="2"/>
        <w:ind w:left="-600" w:leftChars="-250" w:firstLine="0" w:firstLineChars="0"/>
        <w:jc w:val="center"/>
        <w:rPr>
          <w:rFonts w:ascii="宋体" w:hAnsi="宋体" w:cs="宋体"/>
          <w:sz w:val="18"/>
          <w:szCs w:val="18"/>
        </w:rPr>
      </w:pPr>
      <w:r>
        <w:rPr>
          <w:rFonts w:hint="eastAsia" w:ascii="宋体" w:hAnsi="宋体" w:cs="宋体"/>
          <w:sz w:val="18"/>
          <w:szCs w:val="18"/>
        </w:rPr>
        <w:drawing>
          <wp:inline distT="0" distB="0" distL="0" distR="0">
            <wp:extent cx="5751195" cy="2644140"/>
            <wp:effectExtent l="0" t="0" r="14605" b="2286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1195" cy="2644140"/>
                    </a:xfrm>
                    <a:prstGeom prst="rect">
                      <a:avLst/>
                    </a:prstGeom>
                  </pic:spPr>
                </pic:pic>
              </a:graphicData>
            </a:graphic>
          </wp:inline>
        </w:drawing>
      </w:r>
    </w:p>
    <w:p>
      <w:pPr>
        <w:pStyle w:val="2"/>
        <w:ind w:firstLine="0" w:firstLineChars="0"/>
        <w:jc w:val="center"/>
        <w:rPr>
          <w:rFonts w:ascii="宋体" w:hAnsi="宋体" w:cs="宋体"/>
          <w:sz w:val="18"/>
          <w:szCs w:val="18"/>
        </w:rPr>
      </w:pPr>
      <w:r>
        <w:rPr>
          <w:rFonts w:hint="eastAsia" w:ascii="宋体" w:hAnsi="宋体" w:cs="宋体"/>
          <w:sz w:val="18"/>
          <w:szCs w:val="18"/>
        </w:rPr>
        <w:t>威祺光大</w:t>
      </w:r>
      <w:r>
        <w:rPr>
          <w:rFonts w:ascii="宋体" w:hAnsi="宋体" w:cs="宋体"/>
          <w:sz w:val="18"/>
          <w:szCs w:val="18"/>
        </w:rPr>
        <w:t>9463</w:t>
      </w:r>
      <w:r>
        <w:rPr>
          <w:rFonts w:hint="eastAsia" w:ascii="宋体" w:hAnsi="宋体" w:cs="宋体"/>
          <w:sz w:val="18"/>
          <w:szCs w:val="18"/>
        </w:rPr>
        <w:t>账户</w:t>
      </w:r>
    </w:p>
    <w:p>
      <w:pPr>
        <w:pStyle w:val="2"/>
        <w:ind w:left="-720" w:leftChars="-300" w:firstLine="0" w:firstLineChars="0"/>
        <w:jc w:val="center"/>
        <w:rPr>
          <w:rFonts w:ascii="宋体" w:hAnsi="宋体" w:cs="宋体"/>
          <w:sz w:val="18"/>
          <w:szCs w:val="18"/>
        </w:rPr>
      </w:pPr>
      <w:r>
        <w:rPr>
          <w:rFonts w:hint="eastAsia" w:ascii="宋体" w:hAnsi="宋体" w:cs="宋体"/>
          <w:sz w:val="18"/>
          <w:szCs w:val="18"/>
        </w:rPr>
        <w:drawing>
          <wp:inline distT="0" distB="0" distL="0" distR="0">
            <wp:extent cx="6114415" cy="2274570"/>
            <wp:effectExtent l="0" t="0" r="6985" b="1143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6114415" cy="2274570"/>
                    </a:xfrm>
                    <a:prstGeom prst="rect">
                      <a:avLst/>
                    </a:prstGeom>
                  </pic:spPr>
                </pic:pic>
              </a:graphicData>
            </a:graphic>
          </wp:inline>
        </w:drawing>
      </w:r>
    </w:p>
    <w:p>
      <w:pPr>
        <w:pStyle w:val="2"/>
        <w:ind w:firstLine="0" w:firstLineChars="0"/>
        <w:jc w:val="center"/>
        <w:rPr>
          <w:rFonts w:ascii="宋体" w:hAnsi="宋体" w:cs="宋体"/>
          <w:sz w:val="18"/>
          <w:szCs w:val="18"/>
        </w:rPr>
      </w:pPr>
      <w:r>
        <w:rPr>
          <w:rFonts w:hint="eastAsia" w:ascii="宋体" w:hAnsi="宋体" w:cs="宋体"/>
          <w:sz w:val="18"/>
          <w:szCs w:val="18"/>
        </w:rPr>
        <w:t>威祺中行</w:t>
      </w:r>
      <w:r>
        <w:rPr>
          <w:rFonts w:ascii="宋体" w:hAnsi="宋体" w:cs="宋体"/>
          <w:sz w:val="18"/>
          <w:szCs w:val="18"/>
        </w:rPr>
        <w:t>8076</w:t>
      </w:r>
      <w:r>
        <w:rPr>
          <w:rFonts w:hint="eastAsia" w:ascii="宋体" w:hAnsi="宋体" w:cs="宋体"/>
          <w:sz w:val="18"/>
          <w:szCs w:val="18"/>
        </w:rPr>
        <w:t>账户</w:t>
      </w:r>
    </w:p>
    <w:p>
      <w:pPr>
        <w:pStyle w:val="2"/>
        <w:ind w:left="-720" w:leftChars="-300" w:firstLine="0" w:firstLineChars="0"/>
        <w:jc w:val="center"/>
        <w:rPr>
          <w:rFonts w:ascii="宋体" w:hAnsi="宋体" w:cs="宋体"/>
          <w:sz w:val="18"/>
          <w:szCs w:val="18"/>
        </w:rPr>
      </w:pPr>
      <w:r>
        <w:rPr>
          <w:rFonts w:hint="eastAsia" w:ascii="宋体" w:hAnsi="宋体" w:cs="宋体"/>
          <w:sz w:val="18"/>
          <w:szCs w:val="18"/>
        </w:rPr>
        <w:drawing>
          <wp:inline distT="0" distB="0" distL="0" distR="0">
            <wp:extent cx="6072505" cy="2315210"/>
            <wp:effectExtent l="0" t="0" r="23495" b="2159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72505" cy="2315210"/>
                    </a:xfrm>
                    <a:prstGeom prst="rect">
                      <a:avLst/>
                    </a:prstGeom>
                  </pic:spPr>
                </pic:pic>
              </a:graphicData>
            </a:graphic>
          </wp:inline>
        </w:drawing>
      </w:r>
    </w:p>
    <w:p>
      <w:pPr>
        <w:pStyle w:val="2"/>
        <w:ind w:firstLine="0" w:firstLineChars="0"/>
        <w:jc w:val="center"/>
        <w:rPr>
          <w:rFonts w:ascii="宋体" w:hAnsi="宋体" w:cs="宋体"/>
          <w:sz w:val="18"/>
          <w:szCs w:val="18"/>
        </w:rPr>
      </w:pPr>
      <w:r>
        <w:rPr>
          <w:rFonts w:hint="eastAsia" w:ascii="宋体" w:hAnsi="宋体" w:cs="宋体"/>
          <w:sz w:val="18"/>
          <w:szCs w:val="18"/>
        </w:rPr>
        <w:t>威祺浦发</w:t>
      </w:r>
      <w:r>
        <w:rPr>
          <w:rFonts w:ascii="宋体" w:hAnsi="宋体" w:cs="宋体"/>
          <w:sz w:val="18"/>
          <w:szCs w:val="18"/>
        </w:rPr>
        <w:t>0432</w:t>
      </w:r>
      <w:r>
        <w:rPr>
          <w:rFonts w:hint="eastAsia" w:ascii="宋体" w:hAnsi="宋体" w:cs="宋体"/>
          <w:sz w:val="18"/>
          <w:szCs w:val="18"/>
        </w:rPr>
        <w:t>账户</w:t>
      </w:r>
    </w:p>
    <w:p>
      <w:pPr>
        <w:pStyle w:val="2"/>
        <w:ind w:left="-720" w:leftChars="-300" w:firstLine="0" w:firstLineChars="0"/>
        <w:jc w:val="center"/>
        <w:rPr>
          <w:rFonts w:ascii="宋体" w:hAnsi="宋体" w:cs="宋体"/>
          <w:szCs w:val="21"/>
        </w:rPr>
      </w:pPr>
      <w:r>
        <w:rPr>
          <w:rFonts w:hint="eastAsia" w:ascii="宋体" w:hAnsi="宋体" w:cs="宋体"/>
          <w:sz w:val="18"/>
          <w:szCs w:val="18"/>
        </w:rPr>
        <w:drawing>
          <wp:inline distT="0" distB="0" distL="0" distR="0">
            <wp:extent cx="6057900" cy="2710180"/>
            <wp:effectExtent l="0" t="0" r="12700" b="762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57900" cy="2710180"/>
                    </a:xfrm>
                    <a:prstGeom prst="rect">
                      <a:avLst/>
                    </a:prstGeom>
                  </pic:spPr>
                </pic:pic>
              </a:graphicData>
            </a:graphic>
          </wp:inline>
        </w:drawing>
      </w:r>
    </w:p>
    <w:p>
      <w:pPr>
        <w:pStyle w:val="4"/>
        <w:spacing w:line="480" w:lineRule="auto"/>
        <w:rPr>
          <w:rFonts w:ascii="宋体" w:hAnsi="宋体" w:eastAsia="宋体" w:cs="宋体"/>
          <w:sz w:val="21"/>
          <w:szCs w:val="21"/>
        </w:rPr>
      </w:pPr>
      <w:bookmarkStart w:id="21" w:name="_Toc61551297"/>
      <w:r>
        <w:rPr>
          <w:rFonts w:hint="eastAsia" w:ascii="宋体" w:hAnsi="宋体" w:eastAsia="宋体" w:cs="宋体"/>
          <w:sz w:val="21"/>
          <w:szCs w:val="21"/>
        </w:rPr>
        <w:t>附件二：合同统计表及付款台账</w:t>
      </w:r>
      <w:bookmarkEnd w:id="21"/>
    </w:p>
    <w:p>
      <w:pPr>
        <w:pStyle w:val="2"/>
        <w:ind w:firstLine="180"/>
        <w:jc w:val="center"/>
        <w:rPr>
          <w:rFonts w:ascii="宋体" w:hAnsi="宋体" w:cs="宋体"/>
          <w:b/>
          <w:bCs/>
          <w:kern w:val="0"/>
          <w:sz w:val="18"/>
          <w:szCs w:val="18"/>
        </w:rPr>
      </w:pPr>
      <w:r>
        <w:rPr>
          <w:rFonts w:ascii="宋体" w:hAnsi="宋体" w:cs="宋体"/>
          <w:sz w:val="18"/>
          <w:szCs w:val="18"/>
        </w:rPr>
        <w:t>表十三</w:t>
      </w:r>
      <w:r>
        <w:rPr>
          <w:rFonts w:hint="eastAsia" w:ascii="宋体" w:hAnsi="宋体" w:cs="宋体"/>
          <w:sz w:val="18"/>
          <w:szCs w:val="18"/>
        </w:rPr>
        <w:t>：</w:t>
      </w:r>
      <w:r>
        <w:rPr>
          <w:rFonts w:hint="eastAsia" w:ascii="宋体" w:hAnsi="宋体" w:cs="宋体"/>
          <w:sz w:val="18"/>
          <w:szCs w:val="18"/>
          <w:lang w:eastAsia="zh-Hans"/>
        </w:rPr>
        <w:t>本期合同付款台账</w:t>
      </w:r>
    </w:p>
    <w:tbl>
      <w:tblPr>
        <w:tblStyle w:val="24"/>
        <w:tblW w:w="9500" w:type="dxa"/>
        <w:jc w:val="center"/>
        <w:tblLayout w:type="autofit"/>
        <w:tblCellMar>
          <w:top w:w="0" w:type="dxa"/>
          <w:left w:w="108" w:type="dxa"/>
          <w:bottom w:w="0" w:type="dxa"/>
          <w:right w:w="108" w:type="dxa"/>
        </w:tblCellMar>
      </w:tblPr>
      <w:tblGrid>
        <w:gridCol w:w="1029"/>
        <w:gridCol w:w="1370"/>
        <w:gridCol w:w="1418"/>
        <w:gridCol w:w="1030"/>
        <w:gridCol w:w="1267"/>
        <w:gridCol w:w="1319"/>
        <w:gridCol w:w="1037"/>
        <w:gridCol w:w="1030"/>
      </w:tblGrid>
      <w:tr>
        <w:trPr>
          <w:trHeight w:val="730" w:hRule="atLeast"/>
          <w:jc w:val="center"/>
        </w:trPr>
        <w:tc>
          <w:tcPr>
            <w:tcW w:w="1040"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序号</w:t>
            </w:r>
          </w:p>
        </w:tc>
        <w:tc>
          <w:tcPr>
            <w:tcW w:w="1380"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合同名称</w:t>
            </w:r>
          </w:p>
        </w:tc>
        <w:tc>
          <w:tcPr>
            <w:tcW w:w="1420"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合同金额（元）</w:t>
            </w:r>
          </w:p>
        </w:tc>
        <w:tc>
          <w:tcPr>
            <w:tcW w:w="1040"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收款单位</w:t>
            </w:r>
          </w:p>
        </w:tc>
        <w:tc>
          <w:tcPr>
            <w:tcW w:w="1220"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本期付款金额（元）</w:t>
            </w:r>
          </w:p>
        </w:tc>
        <w:tc>
          <w:tcPr>
            <w:tcW w:w="1320"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含本期累计已付款金额（元）</w:t>
            </w:r>
          </w:p>
        </w:tc>
        <w:tc>
          <w:tcPr>
            <w:tcW w:w="1040"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累计已付款比例</w:t>
            </w:r>
          </w:p>
        </w:tc>
        <w:tc>
          <w:tcPr>
            <w:tcW w:w="1040"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备注</w:t>
            </w:r>
          </w:p>
        </w:tc>
      </w:tr>
      <w:tr>
        <w:trPr>
          <w:trHeight w:val="730" w:hRule="atLeast"/>
          <w:jc w:val="center"/>
        </w:trPr>
        <w:tc>
          <w:tcPr>
            <w:tcW w:w="1040"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13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彰泰·春天里项目景观工程设计合同</w:t>
            </w:r>
          </w:p>
        </w:tc>
        <w:tc>
          <w:tcPr>
            <w:tcW w:w="1420" w:type="dxa"/>
            <w:tcBorders>
              <w:top w:val="nil"/>
              <w:left w:val="nil"/>
              <w:bottom w:val="single" w:color="auto" w:sz="8" w:space="0"/>
              <w:right w:val="single" w:color="auto" w:sz="8" w:space="0"/>
            </w:tcBorders>
            <w:shd w:val="clear" w:color="auto" w:fill="auto"/>
            <w:vAlign w:val="center"/>
          </w:tcPr>
          <w:p>
            <w:pPr>
              <w:jc w:val="right"/>
              <w:rPr>
                <w:rFonts w:ascii="Arial" w:hAnsi="Arial" w:eastAsia="等线" w:cs="Arial"/>
                <w:color w:val="000000"/>
                <w:sz w:val="18"/>
                <w:szCs w:val="18"/>
              </w:rPr>
            </w:pPr>
            <w:r>
              <w:rPr>
                <w:rFonts w:ascii="Arial" w:hAnsi="Arial" w:eastAsia="等线" w:cs="Arial"/>
                <w:color w:val="000000"/>
                <w:sz w:val="18"/>
                <w:szCs w:val="18"/>
              </w:rPr>
              <w:t>1,251,151.20</w:t>
            </w:r>
          </w:p>
        </w:tc>
        <w:tc>
          <w:tcPr>
            <w:tcW w:w="104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深圳市麦垦景观规划设计有限公司</w:t>
            </w:r>
          </w:p>
        </w:tc>
        <w:tc>
          <w:tcPr>
            <w:tcW w:w="1220" w:type="dxa"/>
            <w:tcBorders>
              <w:top w:val="nil"/>
              <w:left w:val="nil"/>
              <w:bottom w:val="single" w:color="auto" w:sz="8" w:space="0"/>
              <w:right w:val="single" w:color="auto" w:sz="8" w:space="0"/>
            </w:tcBorders>
            <w:shd w:val="clear" w:color="auto" w:fill="auto"/>
            <w:vAlign w:val="center"/>
          </w:tcPr>
          <w:p>
            <w:pPr>
              <w:jc w:val="right"/>
              <w:rPr>
                <w:rFonts w:ascii="Arial" w:hAnsi="Arial" w:eastAsia="等线" w:cs="Arial"/>
                <w:color w:val="000000"/>
                <w:sz w:val="18"/>
                <w:szCs w:val="18"/>
              </w:rPr>
            </w:pPr>
            <w:r>
              <w:rPr>
                <w:rFonts w:ascii="Arial" w:hAnsi="Arial" w:eastAsia="等线" w:cs="Arial"/>
                <w:color w:val="000000"/>
                <w:sz w:val="18"/>
                <w:szCs w:val="18"/>
              </w:rPr>
              <w:t>187,672.68</w:t>
            </w:r>
          </w:p>
        </w:tc>
        <w:tc>
          <w:tcPr>
            <w:tcW w:w="1320" w:type="dxa"/>
            <w:tcBorders>
              <w:top w:val="nil"/>
              <w:left w:val="nil"/>
              <w:bottom w:val="single" w:color="auto" w:sz="8" w:space="0"/>
              <w:right w:val="single" w:color="auto" w:sz="8" w:space="0"/>
            </w:tcBorders>
            <w:shd w:val="clear" w:color="auto" w:fill="auto"/>
            <w:vAlign w:val="center"/>
          </w:tcPr>
          <w:p>
            <w:pPr>
              <w:jc w:val="right"/>
              <w:rPr>
                <w:rFonts w:ascii="Arial" w:hAnsi="Arial" w:eastAsia="等线" w:cs="Arial"/>
                <w:color w:val="000000"/>
                <w:sz w:val="18"/>
                <w:szCs w:val="18"/>
              </w:rPr>
            </w:pPr>
            <w:r>
              <w:rPr>
                <w:rFonts w:ascii="Arial" w:hAnsi="Arial" w:eastAsia="等线" w:cs="Arial"/>
                <w:color w:val="000000"/>
                <w:sz w:val="18"/>
                <w:szCs w:val="18"/>
              </w:rPr>
              <w:t>187,672.68</w:t>
            </w:r>
          </w:p>
        </w:tc>
        <w:tc>
          <w:tcPr>
            <w:tcW w:w="1040" w:type="dxa"/>
            <w:tcBorders>
              <w:top w:val="nil"/>
              <w:left w:val="nil"/>
              <w:bottom w:val="single" w:color="auto" w:sz="8" w:space="0"/>
              <w:right w:val="single" w:color="auto" w:sz="8" w:space="0"/>
            </w:tcBorders>
            <w:shd w:val="clear" w:color="auto" w:fill="auto"/>
            <w:vAlign w:val="center"/>
          </w:tcPr>
          <w:p>
            <w:pPr>
              <w:jc w:val="center"/>
              <w:rPr>
                <w:rFonts w:ascii="Arial" w:hAnsi="Arial" w:eastAsia="等线" w:cs="Arial"/>
                <w:color w:val="000000"/>
                <w:sz w:val="18"/>
                <w:szCs w:val="18"/>
              </w:rPr>
            </w:pPr>
            <w:r>
              <w:rPr>
                <w:rFonts w:ascii="Arial" w:hAnsi="Arial" w:eastAsia="等线" w:cs="Arial"/>
                <w:color w:val="000000"/>
                <w:sz w:val="18"/>
                <w:szCs w:val="18"/>
              </w:rPr>
              <w:t>15.00%</w:t>
            </w:r>
          </w:p>
        </w:tc>
        <w:tc>
          <w:tcPr>
            <w:tcW w:w="1040" w:type="dxa"/>
            <w:tcBorders>
              <w:top w:val="nil"/>
              <w:left w:val="nil"/>
              <w:bottom w:val="single" w:color="auto" w:sz="8" w:space="0"/>
              <w:right w:val="single" w:color="auto" w:sz="8" w:space="0"/>
            </w:tcBorders>
            <w:shd w:val="clear" w:color="auto" w:fill="auto"/>
            <w:vAlign w:val="center"/>
          </w:tcPr>
          <w:p>
            <w:pPr>
              <w:jc w:val="center"/>
              <w:rPr>
                <w:rFonts w:eastAsia="等线"/>
                <w:color w:val="000000"/>
              </w:rPr>
            </w:pPr>
            <w:r>
              <w:rPr>
                <w:rFonts w:eastAsia="等线"/>
                <w:color w:val="000000"/>
              </w:rPr>
              <w:t>　</w:t>
            </w:r>
          </w:p>
        </w:tc>
      </w:tr>
      <w:tr>
        <w:trPr>
          <w:trHeight w:val="730" w:hRule="atLeast"/>
          <w:jc w:val="center"/>
        </w:trPr>
        <w:tc>
          <w:tcPr>
            <w:tcW w:w="1040"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w:t>
            </w:r>
          </w:p>
        </w:tc>
        <w:tc>
          <w:tcPr>
            <w:tcW w:w="13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桂林春天里项目展示区室外排水工程施工合同</w:t>
            </w:r>
          </w:p>
        </w:tc>
        <w:tc>
          <w:tcPr>
            <w:tcW w:w="1420" w:type="dxa"/>
            <w:tcBorders>
              <w:top w:val="nil"/>
              <w:left w:val="nil"/>
              <w:bottom w:val="single" w:color="auto" w:sz="8" w:space="0"/>
              <w:right w:val="single" w:color="auto" w:sz="8" w:space="0"/>
            </w:tcBorders>
            <w:shd w:val="clear" w:color="auto" w:fill="auto"/>
            <w:vAlign w:val="center"/>
          </w:tcPr>
          <w:p>
            <w:pPr>
              <w:jc w:val="right"/>
              <w:rPr>
                <w:rFonts w:ascii="Arial" w:hAnsi="Arial" w:eastAsia="等线" w:cs="Arial"/>
                <w:color w:val="000000"/>
                <w:sz w:val="18"/>
                <w:szCs w:val="18"/>
              </w:rPr>
            </w:pPr>
            <w:r>
              <w:rPr>
                <w:rFonts w:ascii="Arial" w:hAnsi="Arial" w:eastAsia="等线" w:cs="Arial"/>
                <w:color w:val="000000"/>
                <w:sz w:val="18"/>
                <w:szCs w:val="18"/>
              </w:rPr>
              <w:t>213,020.42</w:t>
            </w:r>
          </w:p>
        </w:tc>
        <w:tc>
          <w:tcPr>
            <w:tcW w:w="104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桂林高宇建设工程有限公司</w:t>
            </w:r>
          </w:p>
        </w:tc>
        <w:tc>
          <w:tcPr>
            <w:tcW w:w="1220" w:type="dxa"/>
            <w:tcBorders>
              <w:top w:val="nil"/>
              <w:left w:val="nil"/>
              <w:bottom w:val="single" w:color="auto" w:sz="8" w:space="0"/>
              <w:right w:val="single" w:color="auto" w:sz="8" w:space="0"/>
            </w:tcBorders>
            <w:shd w:val="clear" w:color="auto" w:fill="auto"/>
            <w:vAlign w:val="center"/>
          </w:tcPr>
          <w:p>
            <w:pPr>
              <w:jc w:val="right"/>
              <w:rPr>
                <w:rFonts w:ascii="Arial" w:hAnsi="Arial" w:eastAsia="等线" w:cs="Arial"/>
                <w:color w:val="000000"/>
                <w:sz w:val="18"/>
                <w:szCs w:val="18"/>
              </w:rPr>
            </w:pPr>
            <w:r>
              <w:rPr>
                <w:rFonts w:ascii="Arial" w:hAnsi="Arial" w:eastAsia="等线" w:cs="Arial"/>
                <w:color w:val="000000"/>
                <w:sz w:val="18"/>
                <w:szCs w:val="18"/>
              </w:rPr>
              <w:t>63,486.00</w:t>
            </w:r>
          </w:p>
        </w:tc>
        <w:tc>
          <w:tcPr>
            <w:tcW w:w="1320" w:type="dxa"/>
            <w:tcBorders>
              <w:top w:val="nil"/>
              <w:left w:val="nil"/>
              <w:bottom w:val="single" w:color="auto" w:sz="8" w:space="0"/>
              <w:right w:val="single" w:color="auto" w:sz="8" w:space="0"/>
            </w:tcBorders>
            <w:shd w:val="clear" w:color="auto" w:fill="auto"/>
            <w:vAlign w:val="center"/>
          </w:tcPr>
          <w:p>
            <w:pPr>
              <w:jc w:val="right"/>
              <w:rPr>
                <w:rFonts w:ascii="Arial" w:hAnsi="Arial" w:eastAsia="等线" w:cs="Arial"/>
                <w:color w:val="000000"/>
                <w:sz w:val="18"/>
                <w:szCs w:val="18"/>
              </w:rPr>
            </w:pPr>
            <w:r>
              <w:rPr>
                <w:rFonts w:ascii="Arial" w:hAnsi="Arial" w:eastAsia="等线" w:cs="Arial"/>
                <w:color w:val="000000"/>
                <w:sz w:val="18"/>
                <w:szCs w:val="18"/>
              </w:rPr>
              <w:t>126,972.00</w:t>
            </w:r>
          </w:p>
        </w:tc>
        <w:tc>
          <w:tcPr>
            <w:tcW w:w="1040" w:type="dxa"/>
            <w:tcBorders>
              <w:top w:val="nil"/>
              <w:left w:val="nil"/>
              <w:bottom w:val="single" w:color="auto" w:sz="8" w:space="0"/>
              <w:right w:val="single" w:color="auto" w:sz="8" w:space="0"/>
            </w:tcBorders>
            <w:shd w:val="clear" w:color="auto" w:fill="auto"/>
            <w:vAlign w:val="center"/>
          </w:tcPr>
          <w:p>
            <w:pPr>
              <w:jc w:val="center"/>
              <w:rPr>
                <w:rFonts w:ascii="Arial" w:hAnsi="Arial" w:eastAsia="等线" w:cs="Arial"/>
                <w:color w:val="000000"/>
                <w:sz w:val="18"/>
                <w:szCs w:val="18"/>
              </w:rPr>
            </w:pPr>
            <w:r>
              <w:rPr>
                <w:rFonts w:ascii="Arial" w:hAnsi="Arial" w:eastAsia="等线" w:cs="Arial"/>
                <w:color w:val="000000"/>
                <w:sz w:val="18"/>
                <w:szCs w:val="18"/>
              </w:rPr>
              <w:t>59.61%</w:t>
            </w:r>
          </w:p>
        </w:tc>
        <w:tc>
          <w:tcPr>
            <w:tcW w:w="104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　</w:t>
            </w:r>
          </w:p>
        </w:tc>
      </w:tr>
      <w:tr>
        <w:trPr>
          <w:trHeight w:val="1210" w:hRule="atLeast"/>
          <w:jc w:val="center"/>
        </w:trPr>
        <w:tc>
          <w:tcPr>
            <w:tcW w:w="1040"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w:t>
            </w:r>
          </w:p>
        </w:tc>
        <w:tc>
          <w:tcPr>
            <w:tcW w:w="13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桂林春天里售楼部、样板间、看房通道、业主食堂室内精装修工程合同</w:t>
            </w:r>
          </w:p>
        </w:tc>
        <w:tc>
          <w:tcPr>
            <w:tcW w:w="1420" w:type="dxa"/>
            <w:tcBorders>
              <w:top w:val="nil"/>
              <w:left w:val="nil"/>
              <w:bottom w:val="single" w:color="auto" w:sz="8" w:space="0"/>
              <w:right w:val="single" w:color="auto" w:sz="8" w:space="0"/>
            </w:tcBorders>
            <w:shd w:val="clear" w:color="auto" w:fill="auto"/>
            <w:vAlign w:val="center"/>
          </w:tcPr>
          <w:p>
            <w:pPr>
              <w:jc w:val="right"/>
              <w:rPr>
                <w:rFonts w:ascii="Arial" w:hAnsi="Arial" w:eastAsia="等线" w:cs="Arial"/>
                <w:color w:val="000000"/>
                <w:sz w:val="18"/>
                <w:szCs w:val="18"/>
              </w:rPr>
            </w:pPr>
            <w:r>
              <w:rPr>
                <w:rFonts w:ascii="Arial" w:hAnsi="Arial" w:eastAsia="等线" w:cs="Arial"/>
                <w:color w:val="000000"/>
                <w:sz w:val="18"/>
                <w:szCs w:val="18"/>
              </w:rPr>
              <w:t>2,077,740.35</w:t>
            </w:r>
          </w:p>
        </w:tc>
        <w:tc>
          <w:tcPr>
            <w:tcW w:w="104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贵州佳馨美悦建筑装饰工程有限公司</w:t>
            </w:r>
          </w:p>
        </w:tc>
        <w:tc>
          <w:tcPr>
            <w:tcW w:w="1220" w:type="dxa"/>
            <w:tcBorders>
              <w:top w:val="nil"/>
              <w:left w:val="nil"/>
              <w:bottom w:val="single" w:color="auto" w:sz="8" w:space="0"/>
              <w:right w:val="single" w:color="auto" w:sz="8" w:space="0"/>
            </w:tcBorders>
            <w:shd w:val="clear" w:color="auto" w:fill="auto"/>
            <w:vAlign w:val="center"/>
          </w:tcPr>
          <w:p>
            <w:pPr>
              <w:jc w:val="right"/>
              <w:rPr>
                <w:rFonts w:ascii="Arial" w:hAnsi="Arial" w:eastAsia="等线" w:cs="Arial"/>
                <w:color w:val="000000"/>
                <w:sz w:val="18"/>
                <w:szCs w:val="18"/>
              </w:rPr>
            </w:pPr>
            <w:r>
              <w:rPr>
                <w:rFonts w:ascii="Arial" w:hAnsi="Arial" w:eastAsia="等线" w:cs="Arial"/>
                <w:color w:val="000000"/>
                <w:sz w:val="18"/>
                <w:szCs w:val="18"/>
              </w:rPr>
              <w:t>1,662,192.28</w:t>
            </w:r>
          </w:p>
        </w:tc>
        <w:tc>
          <w:tcPr>
            <w:tcW w:w="1320" w:type="dxa"/>
            <w:tcBorders>
              <w:top w:val="nil"/>
              <w:left w:val="nil"/>
              <w:bottom w:val="single" w:color="auto" w:sz="8" w:space="0"/>
              <w:right w:val="single" w:color="auto" w:sz="8" w:space="0"/>
            </w:tcBorders>
            <w:shd w:val="clear" w:color="auto" w:fill="auto"/>
            <w:vAlign w:val="center"/>
          </w:tcPr>
          <w:p>
            <w:pPr>
              <w:jc w:val="right"/>
              <w:rPr>
                <w:rFonts w:ascii="Arial" w:hAnsi="Arial" w:eastAsia="等线" w:cs="Arial"/>
                <w:color w:val="000000"/>
                <w:sz w:val="18"/>
                <w:szCs w:val="18"/>
              </w:rPr>
            </w:pPr>
            <w:r>
              <w:rPr>
                <w:rFonts w:ascii="Arial" w:hAnsi="Arial" w:eastAsia="等线" w:cs="Arial"/>
                <w:color w:val="000000"/>
                <w:sz w:val="18"/>
                <w:szCs w:val="18"/>
              </w:rPr>
              <w:t>1,662,192.28</w:t>
            </w:r>
          </w:p>
        </w:tc>
        <w:tc>
          <w:tcPr>
            <w:tcW w:w="1040" w:type="dxa"/>
            <w:tcBorders>
              <w:top w:val="nil"/>
              <w:left w:val="nil"/>
              <w:bottom w:val="single" w:color="auto" w:sz="8" w:space="0"/>
              <w:right w:val="single" w:color="auto" w:sz="8" w:space="0"/>
            </w:tcBorders>
            <w:shd w:val="clear" w:color="auto" w:fill="auto"/>
            <w:vAlign w:val="center"/>
          </w:tcPr>
          <w:p>
            <w:pPr>
              <w:jc w:val="center"/>
              <w:rPr>
                <w:rFonts w:ascii="Arial" w:hAnsi="Arial" w:eastAsia="等线" w:cs="Arial"/>
                <w:color w:val="000000"/>
                <w:sz w:val="18"/>
                <w:szCs w:val="18"/>
              </w:rPr>
            </w:pPr>
            <w:r>
              <w:rPr>
                <w:rFonts w:ascii="Arial" w:hAnsi="Arial" w:eastAsia="等线" w:cs="Arial"/>
                <w:color w:val="000000"/>
                <w:sz w:val="18"/>
                <w:szCs w:val="18"/>
              </w:rPr>
              <w:t>80.00%</w:t>
            </w:r>
          </w:p>
        </w:tc>
        <w:tc>
          <w:tcPr>
            <w:tcW w:w="104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　</w:t>
            </w:r>
          </w:p>
        </w:tc>
      </w:tr>
      <w:tr>
        <w:trPr>
          <w:trHeight w:val="730" w:hRule="atLeast"/>
          <w:jc w:val="center"/>
        </w:trPr>
        <w:tc>
          <w:tcPr>
            <w:tcW w:w="1040" w:type="dxa"/>
            <w:tcBorders>
              <w:top w:val="nil"/>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138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建设工程委托监理合同</w:t>
            </w:r>
          </w:p>
        </w:tc>
        <w:tc>
          <w:tcPr>
            <w:tcW w:w="1420" w:type="dxa"/>
            <w:tcBorders>
              <w:top w:val="nil"/>
              <w:left w:val="nil"/>
              <w:bottom w:val="single" w:color="auto" w:sz="8" w:space="0"/>
              <w:right w:val="single" w:color="auto" w:sz="8" w:space="0"/>
            </w:tcBorders>
            <w:shd w:val="clear" w:color="auto" w:fill="auto"/>
            <w:vAlign w:val="center"/>
          </w:tcPr>
          <w:p>
            <w:pPr>
              <w:jc w:val="right"/>
              <w:rPr>
                <w:rFonts w:ascii="Arial" w:hAnsi="Arial" w:eastAsia="等线" w:cs="Arial"/>
                <w:color w:val="000000"/>
                <w:sz w:val="18"/>
                <w:szCs w:val="18"/>
              </w:rPr>
            </w:pPr>
            <w:r>
              <w:rPr>
                <w:rFonts w:ascii="Arial" w:hAnsi="Arial" w:eastAsia="等线" w:cs="Arial"/>
                <w:color w:val="000000"/>
                <w:sz w:val="18"/>
                <w:szCs w:val="18"/>
              </w:rPr>
              <w:t>3,746,127.04</w:t>
            </w:r>
          </w:p>
        </w:tc>
        <w:tc>
          <w:tcPr>
            <w:tcW w:w="104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桂林华泰工程监理有限公司</w:t>
            </w:r>
          </w:p>
        </w:tc>
        <w:tc>
          <w:tcPr>
            <w:tcW w:w="1220" w:type="dxa"/>
            <w:tcBorders>
              <w:top w:val="nil"/>
              <w:left w:val="nil"/>
              <w:bottom w:val="single" w:color="auto" w:sz="8" w:space="0"/>
              <w:right w:val="single" w:color="auto" w:sz="8" w:space="0"/>
            </w:tcBorders>
            <w:shd w:val="clear" w:color="auto" w:fill="auto"/>
            <w:vAlign w:val="center"/>
          </w:tcPr>
          <w:p>
            <w:pPr>
              <w:jc w:val="right"/>
              <w:rPr>
                <w:rFonts w:ascii="Arial" w:hAnsi="Arial" w:eastAsia="等线" w:cs="Arial"/>
                <w:color w:val="000000"/>
                <w:sz w:val="18"/>
                <w:szCs w:val="18"/>
              </w:rPr>
            </w:pPr>
            <w:r>
              <w:rPr>
                <w:rFonts w:ascii="Arial" w:hAnsi="Arial" w:eastAsia="等线" w:cs="Arial"/>
                <w:color w:val="000000"/>
                <w:sz w:val="18"/>
                <w:szCs w:val="18"/>
              </w:rPr>
              <w:t>124,870.90</w:t>
            </w:r>
          </w:p>
        </w:tc>
        <w:tc>
          <w:tcPr>
            <w:tcW w:w="1320" w:type="dxa"/>
            <w:tcBorders>
              <w:top w:val="nil"/>
              <w:left w:val="nil"/>
              <w:bottom w:val="single" w:color="auto" w:sz="8" w:space="0"/>
              <w:right w:val="single" w:color="auto" w:sz="8" w:space="0"/>
            </w:tcBorders>
            <w:shd w:val="clear" w:color="auto" w:fill="auto"/>
            <w:vAlign w:val="center"/>
          </w:tcPr>
          <w:p>
            <w:pPr>
              <w:jc w:val="right"/>
              <w:rPr>
                <w:rFonts w:ascii="Arial" w:hAnsi="Arial" w:eastAsia="等线" w:cs="Arial"/>
                <w:color w:val="000000"/>
                <w:sz w:val="18"/>
                <w:szCs w:val="18"/>
              </w:rPr>
            </w:pPr>
            <w:r>
              <w:rPr>
                <w:rFonts w:ascii="Arial" w:hAnsi="Arial" w:eastAsia="等线" w:cs="Arial"/>
                <w:color w:val="000000"/>
                <w:sz w:val="18"/>
                <w:szCs w:val="18"/>
              </w:rPr>
              <w:t>124,870.90</w:t>
            </w:r>
          </w:p>
        </w:tc>
        <w:tc>
          <w:tcPr>
            <w:tcW w:w="1040" w:type="dxa"/>
            <w:tcBorders>
              <w:top w:val="nil"/>
              <w:left w:val="nil"/>
              <w:bottom w:val="single" w:color="auto" w:sz="8" w:space="0"/>
              <w:right w:val="single" w:color="auto" w:sz="8" w:space="0"/>
            </w:tcBorders>
            <w:shd w:val="clear" w:color="auto" w:fill="auto"/>
            <w:vAlign w:val="center"/>
          </w:tcPr>
          <w:p>
            <w:pPr>
              <w:jc w:val="center"/>
              <w:rPr>
                <w:rFonts w:ascii="Arial" w:hAnsi="Arial" w:eastAsia="等线" w:cs="Arial"/>
                <w:color w:val="000000"/>
                <w:sz w:val="18"/>
                <w:szCs w:val="18"/>
              </w:rPr>
            </w:pPr>
            <w:r>
              <w:rPr>
                <w:rFonts w:ascii="Arial" w:hAnsi="Arial" w:eastAsia="等线" w:cs="Arial"/>
                <w:color w:val="000000"/>
                <w:sz w:val="18"/>
                <w:szCs w:val="18"/>
              </w:rPr>
              <w:t>3.33%</w:t>
            </w:r>
          </w:p>
        </w:tc>
        <w:tc>
          <w:tcPr>
            <w:tcW w:w="1040" w:type="dxa"/>
            <w:tcBorders>
              <w:top w:val="nil"/>
              <w:left w:val="nil"/>
              <w:bottom w:val="single" w:color="auto" w:sz="8" w:space="0"/>
              <w:right w:val="single" w:color="auto"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　</w:t>
            </w:r>
          </w:p>
        </w:tc>
      </w:tr>
    </w:tbl>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rPr>
          <w:rFonts w:ascii="宋体" w:hAnsi="宋体" w:cs="宋体"/>
          <w:sz w:val="21"/>
          <w:szCs w:val="21"/>
        </w:rPr>
      </w:pPr>
      <w:r>
        <w:rPr>
          <w:rFonts w:hint="eastAsia" w:ascii="宋体" w:hAnsi="宋体" w:cs="宋体"/>
          <w:sz w:val="21"/>
          <w:szCs w:val="21"/>
        </w:rPr>
        <w:br w:type="page"/>
      </w:r>
    </w:p>
    <w:p>
      <w:pPr>
        <w:pStyle w:val="4"/>
        <w:spacing w:line="480" w:lineRule="auto"/>
        <w:rPr>
          <w:rFonts w:ascii="宋体" w:hAnsi="宋体" w:eastAsia="宋体" w:cs="宋体"/>
          <w:sz w:val="21"/>
          <w:szCs w:val="21"/>
        </w:rPr>
      </w:pPr>
      <w:bookmarkStart w:id="22" w:name="_Toc61551298"/>
      <w:r>
        <w:rPr>
          <w:rFonts w:hint="eastAsia" w:ascii="宋体" w:hAnsi="宋体" w:eastAsia="宋体" w:cs="宋体"/>
          <w:sz w:val="21"/>
          <w:szCs w:val="21"/>
        </w:rPr>
        <w:t>附件三：项目回款情况</w:t>
      </w:r>
      <w:bookmarkEnd w:id="22"/>
    </w:p>
    <w:p>
      <w:pPr>
        <w:pStyle w:val="2"/>
        <w:ind w:firstLine="180"/>
        <w:jc w:val="center"/>
        <w:rPr>
          <w:rFonts w:ascii="宋体" w:hAnsi="宋体" w:cs="宋体"/>
          <w:sz w:val="18"/>
          <w:szCs w:val="18"/>
        </w:rPr>
      </w:pPr>
      <w:r>
        <w:rPr>
          <w:rFonts w:ascii="宋体" w:hAnsi="宋体" w:cs="宋体"/>
          <w:sz w:val="18"/>
          <w:szCs w:val="18"/>
        </w:rPr>
        <w:t>表十</w:t>
      </w:r>
      <w:r>
        <w:rPr>
          <w:rFonts w:hint="eastAsia" w:ascii="宋体" w:hAnsi="宋体" w:cs="宋体"/>
          <w:sz w:val="18"/>
          <w:szCs w:val="18"/>
          <w:lang w:eastAsia="zh-Hans"/>
        </w:rPr>
        <w:t>四</w:t>
      </w:r>
      <w:r>
        <w:rPr>
          <w:rFonts w:hint="eastAsia" w:ascii="宋体" w:hAnsi="宋体" w:cs="宋体"/>
          <w:sz w:val="18"/>
          <w:szCs w:val="18"/>
        </w:rPr>
        <w:t>：银行入账情况明细表</w:t>
      </w:r>
    </w:p>
    <w:tbl>
      <w:tblPr>
        <w:tblStyle w:val="24"/>
        <w:tblW w:w="9297" w:type="dxa"/>
        <w:jc w:val="center"/>
        <w:tblLayout w:type="autofit"/>
        <w:tblCellMar>
          <w:top w:w="0" w:type="dxa"/>
          <w:left w:w="108" w:type="dxa"/>
          <w:bottom w:w="0" w:type="dxa"/>
          <w:right w:w="108" w:type="dxa"/>
        </w:tblCellMar>
      </w:tblPr>
      <w:tblGrid>
        <w:gridCol w:w="645"/>
        <w:gridCol w:w="1692"/>
        <w:gridCol w:w="945"/>
        <w:gridCol w:w="3333"/>
        <w:gridCol w:w="1275"/>
        <w:gridCol w:w="1407"/>
      </w:tblGrid>
      <w:tr>
        <w:trPr>
          <w:trHeight w:val="290" w:hRule="atLeast"/>
          <w:tblHeader/>
          <w:jc w:val="center"/>
        </w:trPr>
        <w:tc>
          <w:tcPr>
            <w:tcW w:w="645" w:type="dxa"/>
            <w:tcBorders>
              <w:top w:val="single" w:color="auto" w:sz="8" w:space="0"/>
              <w:left w:val="single" w:color="auto" w:sz="8" w:space="0"/>
              <w:bottom w:val="single" w:color="auto" w:sz="8" w:space="0"/>
              <w:right w:val="single" w:color="auto" w:sz="8" w:space="0"/>
            </w:tcBorders>
            <w:shd w:val="clear" w:color="000000" w:fill="FFFFFF"/>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序号</w:t>
            </w:r>
          </w:p>
        </w:tc>
        <w:tc>
          <w:tcPr>
            <w:tcW w:w="1692" w:type="dxa"/>
            <w:tcBorders>
              <w:top w:val="single" w:color="auto" w:sz="8" w:space="0"/>
              <w:left w:val="nil"/>
              <w:bottom w:val="single" w:color="auto" w:sz="8" w:space="0"/>
              <w:right w:val="single" w:color="auto" w:sz="8" w:space="0"/>
            </w:tcBorders>
            <w:shd w:val="clear" w:color="000000" w:fill="FFFFFF"/>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日期</w:t>
            </w:r>
          </w:p>
        </w:tc>
        <w:tc>
          <w:tcPr>
            <w:tcW w:w="945" w:type="dxa"/>
            <w:tcBorders>
              <w:top w:val="single" w:color="auto" w:sz="8" w:space="0"/>
              <w:left w:val="nil"/>
              <w:bottom w:val="single" w:color="auto" w:sz="8" w:space="0"/>
              <w:right w:val="single" w:color="auto" w:sz="8" w:space="0"/>
            </w:tcBorders>
            <w:shd w:val="clear" w:color="000000" w:fill="FFFFFF"/>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款项类型</w:t>
            </w:r>
          </w:p>
        </w:tc>
        <w:tc>
          <w:tcPr>
            <w:tcW w:w="3333" w:type="dxa"/>
            <w:tcBorders>
              <w:top w:val="single" w:color="auto" w:sz="8" w:space="0"/>
              <w:left w:val="nil"/>
              <w:bottom w:val="single" w:color="auto" w:sz="8" w:space="0"/>
              <w:right w:val="single" w:color="auto" w:sz="8" w:space="0"/>
            </w:tcBorders>
            <w:shd w:val="clear" w:color="000000" w:fill="FFFFFF"/>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款项来源</w:t>
            </w:r>
          </w:p>
        </w:tc>
        <w:tc>
          <w:tcPr>
            <w:tcW w:w="1275" w:type="dxa"/>
            <w:tcBorders>
              <w:top w:val="single" w:color="auto" w:sz="8" w:space="0"/>
              <w:left w:val="nil"/>
              <w:bottom w:val="single" w:color="auto" w:sz="8" w:space="0"/>
              <w:right w:val="single" w:color="auto" w:sz="8" w:space="0"/>
            </w:tcBorders>
            <w:shd w:val="clear" w:color="000000" w:fill="FFFFFF"/>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金额（元）</w:t>
            </w:r>
          </w:p>
        </w:tc>
        <w:tc>
          <w:tcPr>
            <w:tcW w:w="1407" w:type="dxa"/>
            <w:tcBorders>
              <w:top w:val="single" w:color="auto" w:sz="8" w:space="0"/>
              <w:left w:val="nil"/>
              <w:bottom w:val="single" w:color="auto" w:sz="8" w:space="0"/>
              <w:right w:val="single" w:color="auto" w:sz="8" w:space="0"/>
            </w:tcBorders>
            <w:shd w:val="clear" w:color="000000" w:fill="FFFFFF"/>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收款行</w:t>
            </w:r>
          </w:p>
        </w:tc>
      </w:tr>
      <w:tr>
        <w:trPr>
          <w:trHeight w:val="290" w:hRule="atLeast"/>
          <w:jc w:val="center"/>
        </w:trPr>
        <w:tc>
          <w:tcPr>
            <w:tcW w:w="645" w:type="dxa"/>
            <w:tcBorders>
              <w:top w:val="nil"/>
              <w:left w:val="single" w:color="auto" w:sz="8" w:space="0"/>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1692"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2020年12月21日</w:t>
            </w:r>
          </w:p>
        </w:tc>
        <w:tc>
          <w:tcPr>
            <w:tcW w:w="945"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销售款</w:t>
            </w:r>
          </w:p>
        </w:tc>
        <w:tc>
          <w:tcPr>
            <w:tcW w:w="3333"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利息入账</w:t>
            </w:r>
          </w:p>
        </w:tc>
        <w:tc>
          <w:tcPr>
            <w:tcW w:w="1275" w:type="dxa"/>
            <w:tcBorders>
              <w:top w:val="nil"/>
              <w:left w:val="nil"/>
              <w:bottom w:val="single" w:color="auto" w:sz="8" w:space="0"/>
              <w:right w:val="single" w:color="auto" w:sz="8" w:space="0"/>
            </w:tcBorders>
            <w:shd w:val="clear" w:color="000000" w:fill="FFFFFF"/>
            <w:vAlign w:val="center"/>
          </w:tcPr>
          <w:p>
            <w:pPr>
              <w:jc w:val="right"/>
              <w:rPr>
                <w:rFonts w:ascii="宋体" w:hAnsi="宋体" w:cs="宋体"/>
                <w:color w:val="000000"/>
                <w:sz w:val="18"/>
                <w:szCs w:val="18"/>
              </w:rPr>
            </w:pPr>
            <w:r>
              <w:rPr>
                <w:rFonts w:hint="eastAsia" w:ascii="宋体" w:hAnsi="宋体" w:cs="宋体"/>
                <w:color w:val="000000"/>
                <w:sz w:val="18"/>
                <w:szCs w:val="18"/>
              </w:rPr>
              <w:t>21,720.43</w:t>
            </w:r>
          </w:p>
        </w:tc>
        <w:tc>
          <w:tcPr>
            <w:tcW w:w="1407"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r>
      <w:tr>
        <w:trPr>
          <w:trHeight w:val="490" w:hRule="atLeast"/>
          <w:jc w:val="center"/>
        </w:trPr>
        <w:tc>
          <w:tcPr>
            <w:tcW w:w="645" w:type="dxa"/>
            <w:tcBorders>
              <w:top w:val="nil"/>
              <w:left w:val="single" w:color="auto" w:sz="8" w:space="0"/>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2</w:t>
            </w:r>
          </w:p>
        </w:tc>
        <w:tc>
          <w:tcPr>
            <w:tcW w:w="1692"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2020年12月21日</w:t>
            </w:r>
          </w:p>
        </w:tc>
        <w:tc>
          <w:tcPr>
            <w:tcW w:w="945"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销售款</w:t>
            </w:r>
          </w:p>
        </w:tc>
        <w:tc>
          <w:tcPr>
            <w:tcW w:w="3333"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春天里预约登记费POS机当天一笔入账</w:t>
            </w:r>
          </w:p>
        </w:tc>
        <w:tc>
          <w:tcPr>
            <w:tcW w:w="1275" w:type="dxa"/>
            <w:tcBorders>
              <w:top w:val="nil"/>
              <w:left w:val="nil"/>
              <w:bottom w:val="single" w:color="auto" w:sz="8" w:space="0"/>
              <w:right w:val="single" w:color="auto" w:sz="8" w:space="0"/>
            </w:tcBorders>
            <w:shd w:val="clear" w:color="000000" w:fill="FFFFFF"/>
            <w:vAlign w:val="center"/>
          </w:tcPr>
          <w:p>
            <w:pPr>
              <w:jc w:val="right"/>
              <w:rPr>
                <w:rFonts w:ascii="宋体" w:hAnsi="宋体" w:cs="宋体"/>
                <w:color w:val="000000"/>
                <w:sz w:val="18"/>
                <w:szCs w:val="18"/>
              </w:rPr>
            </w:pPr>
            <w:r>
              <w:rPr>
                <w:rFonts w:hint="eastAsia" w:ascii="宋体" w:hAnsi="宋体" w:cs="宋体"/>
                <w:color w:val="000000"/>
                <w:sz w:val="18"/>
                <w:szCs w:val="18"/>
              </w:rPr>
              <w:t>2,263,937.00</w:t>
            </w:r>
          </w:p>
        </w:tc>
        <w:tc>
          <w:tcPr>
            <w:tcW w:w="1407"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r>
      <w:tr>
        <w:trPr>
          <w:trHeight w:val="490" w:hRule="atLeast"/>
          <w:jc w:val="center"/>
        </w:trPr>
        <w:tc>
          <w:tcPr>
            <w:tcW w:w="645" w:type="dxa"/>
            <w:tcBorders>
              <w:top w:val="nil"/>
              <w:left w:val="single" w:color="auto" w:sz="8" w:space="0"/>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3</w:t>
            </w:r>
          </w:p>
        </w:tc>
        <w:tc>
          <w:tcPr>
            <w:tcW w:w="1692"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2020年12月22日</w:t>
            </w:r>
          </w:p>
        </w:tc>
        <w:tc>
          <w:tcPr>
            <w:tcW w:w="945"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销售款</w:t>
            </w:r>
          </w:p>
        </w:tc>
        <w:tc>
          <w:tcPr>
            <w:tcW w:w="3333"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春天里预约登记费POS机当天一笔入账</w:t>
            </w:r>
          </w:p>
        </w:tc>
        <w:tc>
          <w:tcPr>
            <w:tcW w:w="1275" w:type="dxa"/>
            <w:tcBorders>
              <w:top w:val="nil"/>
              <w:left w:val="nil"/>
              <w:bottom w:val="single" w:color="auto" w:sz="8" w:space="0"/>
              <w:right w:val="single" w:color="auto" w:sz="8" w:space="0"/>
            </w:tcBorders>
            <w:shd w:val="clear" w:color="000000" w:fill="FFFFFF"/>
            <w:vAlign w:val="center"/>
          </w:tcPr>
          <w:p>
            <w:pPr>
              <w:jc w:val="right"/>
              <w:rPr>
                <w:rFonts w:ascii="宋体" w:hAnsi="宋体" w:cs="宋体"/>
                <w:color w:val="000000"/>
                <w:sz w:val="18"/>
                <w:szCs w:val="18"/>
              </w:rPr>
            </w:pPr>
            <w:r>
              <w:rPr>
                <w:rFonts w:hint="eastAsia" w:ascii="宋体" w:hAnsi="宋体" w:cs="宋体"/>
                <w:color w:val="000000"/>
                <w:sz w:val="18"/>
                <w:szCs w:val="18"/>
              </w:rPr>
              <w:t>511,200.00</w:t>
            </w:r>
          </w:p>
        </w:tc>
        <w:tc>
          <w:tcPr>
            <w:tcW w:w="1407"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r>
      <w:tr>
        <w:trPr>
          <w:trHeight w:val="490" w:hRule="atLeast"/>
          <w:jc w:val="center"/>
        </w:trPr>
        <w:tc>
          <w:tcPr>
            <w:tcW w:w="645" w:type="dxa"/>
            <w:tcBorders>
              <w:top w:val="nil"/>
              <w:left w:val="single" w:color="auto" w:sz="8" w:space="0"/>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1692"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2020年12月23日</w:t>
            </w:r>
          </w:p>
        </w:tc>
        <w:tc>
          <w:tcPr>
            <w:tcW w:w="945"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销售款</w:t>
            </w:r>
          </w:p>
        </w:tc>
        <w:tc>
          <w:tcPr>
            <w:tcW w:w="3333"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春天里预约登记费POS机当天一笔入账</w:t>
            </w:r>
          </w:p>
        </w:tc>
        <w:tc>
          <w:tcPr>
            <w:tcW w:w="1275" w:type="dxa"/>
            <w:tcBorders>
              <w:top w:val="nil"/>
              <w:left w:val="nil"/>
              <w:bottom w:val="single" w:color="auto" w:sz="8" w:space="0"/>
              <w:right w:val="single" w:color="auto" w:sz="8" w:space="0"/>
            </w:tcBorders>
            <w:shd w:val="clear" w:color="000000" w:fill="FFFFFF"/>
            <w:vAlign w:val="center"/>
          </w:tcPr>
          <w:p>
            <w:pPr>
              <w:jc w:val="right"/>
              <w:rPr>
                <w:rFonts w:ascii="宋体" w:hAnsi="宋体" w:cs="宋体"/>
                <w:color w:val="000000"/>
                <w:sz w:val="18"/>
                <w:szCs w:val="18"/>
              </w:rPr>
            </w:pPr>
            <w:r>
              <w:rPr>
                <w:rFonts w:hint="eastAsia" w:ascii="宋体" w:hAnsi="宋体" w:cs="宋体"/>
                <w:color w:val="000000"/>
                <w:sz w:val="18"/>
                <w:szCs w:val="18"/>
              </w:rPr>
              <w:t>619,948.00</w:t>
            </w:r>
          </w:p>
        </w:tc>
        <w:tc>
          <w:tcPr>
            <w:tcW w:w="1407"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r>
      <w:tr>
        <w:trPr>
          <w:trHeight w:val="490" w:hRule="atLeast"/>
          <w:jc w:val="center"/>
        </w:trPr>
        <w:tc>
          <w:tcPr>
            <w:tcW w:w="645" w:type="dxa"/>
            <w:tcBorders>
              <w:top w:val="nil"/>
              <w:left w:val="single" w:color="auto" w:sz="8" w:space="0"/>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5</w:t>
            </w:r>
          </w:p>
        </w:tc>
        <w:tc>
          <w:tcPr>
            <w:tcW w:w="1692"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2020年12月23日</w:t>
            </w:r>
          </w:p>
        </w:tc>
        <w:tc>
          <w:tcPr>
            <w:tcW w:w="945"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销售款</w:t>
            </w:r>
          </w:p>
        </w:tc>
        <w:tc>
          <w:tcPr>
            <w:tcW w:w="3333"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春天里预约登记费POS机当天一笔入账</w:t>
            </w:r>
          </w:p>
        </w:tc>
        <w:tc>
          <w:tcPr>
            <w:tcW w:w="1275" w:type="dxa"/>
            <w:tcBorders>
              <w:top w:val="nil"/>
              <w:left w:val="nil"/>
              <w:bottom w:val="single" w:color="auto" w:sz="8" w:space="0"/>
              <w:right w:val="single" w:color="auto" w:sz="8" w:space="0"/>
            </w:tcBorders>
            <w:shd w:val="clear" w:color="000000" w:fill="FFFFFF"/>
            <w:vAlign w:val="center"/>
          </w:tcPr>
          <w:p>
            <w:pPr>
              <w:jc w:val="right"/>
              <w:rPr>
                <w:rFonts w:ascii="宋体" w:hAnsi="宋体" w:cs="宋体"/>
                <w:color w:val="000000"/>
                <w:sz w:val="18"/>
                <w:szCs w:val="18"/>
              </w:rPr>
            </w:pPr>
            <w:r>
              <w:rPr>
                <w:rFonts w:hint="eastAsia" w:ascii="宋体" w:hAnsi="宋体" w:cs="宋体"/>
                <w:color w:val="000000"/>
                <w:sz w:val="18"/>
                <w:szCs w:val="18"/>
              </w:rPr>
              <w:t>256,200.00</w:t>
            </w:r>
          </w:p>
        </w:tc>
        <w:tc>
          <w:tcPr>
            <w:tcW w:w="1407"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r>
      <w:tr>
        <w:trPr>
          <w:trHeight w:val="290" w:hRule="atLeast"/>
          <w:jc w:val="center"/>
        </w:trPr>
        <w:tc>
          <w:tcPr>
            <w:tcW w:w="645" w:type="dxa"/>
            <w:tcBorders>
              <w:top w:val="nil"/>
              <w:left w:val="single" w:color="auto" w:sz="8" w:space="0"/>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6</w:t>
            </w:r>
          </w:p>
        </w:tc>
        <w:tc>
          <w:tcPr>
            <w:tcW w:w="1692"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2020年12月24日</w:t>
            </w:r>
          </w:p>
        </w:tc>
        <w:tc>
          <w:tcPr>
            <w:tcW w:w="945"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销售款</w:t>
            </w:r>
          </w:p>
        </w:tc>
        <w:tc>
          <w:tcPr>
            <w:tcW w:w="3333"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春天里房百分之三十款</w:t>
            </w:r>
          </w:p>
        </w:tc>
        <w:tc>
          <w:tcPr>
            <w:tcW w:w="1275" w:type="dxa"/>
            <w:tcBorders>
              <w:top w:val="nil"/>
              <w:left w:val="nil"/>
              <w:bottom w:val="single" w:color="auto" w:sz="8" w:space="0"/>
              <w:right w:val="single" w:color="auto" w:sz="8" w:space="0"/>
            </w:tcBorders>
            <w:shd w:val="clear" w:color="000000" w:fill="FFFFFF"/>
            <w:vAlign w:val="center"/>
          </w:tcPr>
          <w:p>
            <w:pPr>
              <w:jc w:val="right"/>
              <w:rPr>
                <w:rFonts w:ascii="宋体" w:hAnsi="宋体" w:cs="宋体"/>
                <w:color w:val="000000"/>
                <w:sz w:val="18"/>
                <w:szCs w:val="18"/>
              </w:rPr>
            </w:pPr>
            <w:r>
              <w:rPr>
                <w:rFonts w:hint="eastAsia" w:ascii="宋体" w:hAnsi="宋体" w:cs="宋体"/>
                <w:color w:val="000000"/>
                <w:sz w:val="18"/>
                <w:szCs w:val="18"/>
              </w:rPr>
              <w:t>226,552.00</w:t>
            </w:r>
          </w:p>
        </w:tc>
        <w:tc>
          <w:tcPr>
            <w:tcW w:w="1407"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r>
      <w:tr>
        <w:trPr>
          <w:trHeight w:val="490" w:hRule="atLeast"/>
          <w:jc w:val="center"/>
        </w:trPr>
        <w:tc>
          <w:tcPr>
            <w:tcW w:w="645" w:type="dxa"/>
            <w:tcBorders>
              <w:top w:val="nil"/>
              <w:left w:val="single" w:color="auto" w:sz="8" w:space="0"/>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7</w:t>
            </w:r>
          </w:p>
        </w:tc>
        <w:tc>
          <w:tcPr>
            <w:tcW w:w="1692"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2020年12月25日</w:t>
            </w:r>
          </w:p>
        </w:tc>
        <w:tc>
          <w:tcPr>
            <w:tcW w:w="945"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销售款</w:t>
            </w:r>
          </w:p>
        </w:tc>
        <w:tc>
          <w:tcPr>
            <w:tcW w:w="3333"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春天里预约登记费POS机当天一笔入账</w:t>
            </w:r>
          </w:p>
        </w:tc>
        <w:tc>
          <w:tcPr>
            <w:tcW w:w="1275" w:type="dxa"/>
            <w:tcBorders>
              <w:top w:val="nil"/>
              <w:left w:val="nil"/>
              <w:bottom w:val="single" w:color="auto" w:sz="8" w:space="0"/>
              <w:right w:val="single" w:color="auto" w:sz="8" w:space="0"/>
            </w:tcBorders>
            <w:shd w:val="clear" w:color="000000" w:fill="FFFFFF"/>
            <w:vAlign w:val="center"/>
          </w:tcPr>
          <w:p>
            <w:pPr>
              <w:jc w:val="right"/>
              <w:rPr>
                <w:rFonts w:ascii="宋体" w:hAnsi="宋体" w:cs="宋体"/>
                <w:color w:val="000000"/>
                <w:sz w:val="18"/>
                <w:szCs w:val="18"/>
              </w:rPr>
            </w:pPr>
            <w:r>
              <w:rPr>
                <w:rFonts w:hint="eastAsia" w:ascii="宋体" w:hAnsi="宋体" w:cs="宋体"/>
                <w:color w:val="000000"/>
                <w:sz w:val="18"/>
                <w:szCs w:val="18"/>
              </w:rPr>
              <w:t>271,700.00</w:t>
            </w:r>
          </w:p>
        </w:tc>
        <w:tc>
          <w:tcPr>
            <w:tcW w:w="1407"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r>
      <w:tr>
        <w:trPr>
          <w:trHeight w:val="490" w:hRule="atLeast"/>
          <w:jc w:val="center"/>
        </w:trPr>
        <w:tc>
          <w:tcPr>
            <w:tcW w:w="645" w:type="dxa"/>
            <w:tcBorders>
              <w:top w:val="nil"/>
              <w:left w:val="single" w:color="auto" w:sz="8" w:space="0"/>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8</w:t>
            </w:r>
          </w:p>
        </w:tc>
        <w:tc>
          <w:tcPr>
            <w:tcW w:w="1692"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2020年12月28日</w:t>
            </w:r>
          </w:p>
        </w:tc>
        <w:tc>
          <w:tcPr>
            <w:tcW w:w="945"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销售款</w:t>
            </w:r>
          </w:p>
        </w:tc>
        <w:tc>
          <w:tcPr>
            <w:tcW w:w="3333"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春天里预约登记费POS机当天一笔入账</w:t>
            </w:r>
          </w:p>
        </w:tc>
        <w:tc>
          <w:tcPr>
            <w:tcW w:w="1275" w:type="dxa"/>
            <w:tcBorders>
              <w:top w:val="nil"/>
              <w:left w:val="nil"/>
              <w:bottom w:val="single" w:color="auto" w:sz="8" w:space="0"/>
              <w:right w:val="single" w:color="auto" w:sz="8" w:space="0"/>
            </w:tcBorders>
            <w:shd w:val="clear" w:color="000000" w:fill="FFFFFF"/>
            <w:vAlign w:val="center"/>
          </w:tcPr>
          <w:p>
            <w:pPr>
              <w:jc w:val="right"/>
              <w:rPr>
                <w:rFonts w:ascii="宋体" w:hAnsi="宋体" w:cs="宋体"/>
                <w:color w:val="000000"/>
                <w:sz w:val="18"/>
                <w:szCs w:val="18"/>
              </w:rPr>
            </w:pPr>
            <w:r>
              <w:rPr>
                <w:rFonts w:hint="eastAsia" w:ascii="宋体" w:hAnsi="宋体" w:cs="宋体"/>
                <w:color w:val="000000"/>
                <w:sz w:val="18"/>
                <w:szCs w:val="18"/>
              </w:rPr>
              <w:t>296,061.00</w:t>
            </w:r>
          </w:p>
        </w:tc>
        <w:tc>
          <w:tcPr>
            <w:tcW w:w="1407"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r>
      <w:tr>
        <w:trPr>
          <w:trHeight w:val="490" w:hRule="atLeast"/>
          <w:jc w:val="center"/>
        </w:trPr>
        <w:tc>
          <w:tcPr>
            <w:tcW w:w="645" w:type="dxa"/>
            <w:tcBorders>
              <w:top w:val="nil"/>
              <w:left w:val="single" w:color="auto" w:sz="8" w:space="0"/>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9</w:t>
            </w:r>
          </w:p>
        </w:tc>
        <w:tc>
          <w:tcPr>
            <w:tcW w:w="1692"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2020年12月29日</w:t>
            </w:r>
          </w:p>
        </w:tc>
        <w:tc>
          <w:tcPr>
            <w:tcW w:w="945"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销售款</w:t>
            </w:r>
          </w:p>
        </w:tc>
        <w:tc>
          <w:tcPr>
            <w:tcW w:w="3333"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春天里预约登记费POS机当天一笔入账</w:t>
            </w:r>
          </w:p>
        </w:tc>
        <w:tc>
          <w:tcPr>
            <w:tcW w:w="1275" w:type="dxa"/>
            <w:tcBorders>
              <w:top w:val="nil"/>
              <w:left w:val="nil"/>
              <w:bottom w:val="single" w:color="auto" w:sz="8" w:space="0"/>
              <w:right w:val="single" w:color="auto" w:sz="8" w:space="0"/>
            </w:tcBorders>
            <w:shd w:val="clear" w:color="000000" w:fill="FFFFFF"/>
            <w:vAlign w:val="center"/>
          </w:tcPr>
          <w:p>
            <w:pPr>
              <w:jc w:val="right"/>
              <w:rPr>
                <w:rFonts w:ascii="宋体" w:hAnsi="宋体" w:cs="宋体"/>
                <w:color w:val="000000"/>
                <w:sz w:val="18"/>
                <w:szCs w:val="18"/>
              </w:rPr>
            </w:pPr>
            <w:r>
              <w:rPr>
                <w:rFonts w:hint="eastAsia" w:ascii="宋体" w:hAnsi="宋体" w:cs="宋体"/>
                <w:color w:val="000000"/>
                <w:sz w:val="18"/>
                <w:szCs w:val="18"/>
              </w:rPr>
              <w:t>353,759.00</w:t>
            </w:r>
          </w:p>
        </w:tc>
        <w:tc>
          <w:tcPr>
            <w:tcW w:w="1407"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r>
      <w:tr>
        <w:trPr>
          <w:trHeight w:val="290" w:hRule="atLeast"/>
          <w:jc w:val="center"/>
        </w:trPr>
        <w:tc>
          <w:tcPr>
            <w:tcW w:w="645" w:type="dxa"/>
            <w:tcBorders>
              <w:top w:val="nil"/>
              <w:left w:val="single" w:color="auto" w:sz="8" w:space="0"/>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10</w:t>
            </w:r>
          </w:p>
        </w:tc>
        <w:tc>
          <w:tcPr>
            <w:tcW w:w="1692"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2020年12月29日</w:t>
            </w:r>
          </w:p>
        </w:tc>
        <w:tc>
          <w:tcPr>
            <w:tcW w:w="945"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往来款</w:t>
            </w:r>
          </w:p>
        </w:tc>
        <w:tc>
          <w:tcPr>
            <w:tcW w:w="3333"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往来款</w:t>
            </w:r>
          </w:p>
        </w:tc>
        <w:tc>
          <w:tcPr>
            <w:tcW w:w="1275" w:type="dxa"/>
            <w:tcBorders>
              <w:top w:val="nil"/>
              <w:left w:val="nil"/>
              <w:bottom w:val="single" w:color="auto" w:sz="8" w:space="0"/>
              <w:right w:val="single" w:color="auto" w:sz="8" w:space="0"/>
            </w:tcBorders>
            <w:shd w:val="clear" w:color="000000" w:fill="FFFFFF"/>
            <w:vAlign w:val="center"/>
          </w:tcPr>
          <w:p>
            <w:pPr>
              <w:jc w:val="right"/>
              <w:rPr>
                <w:rFonts w:ascii="宋体" w:hAnsi="宋体" w:cs="宋体"/>
                <w:color w:val="000000"/>
                <w:sz w:val="18"/>
                <w:szCs w:val="18"/>
              </w:rPr>
            </w:pPr>
            <w:r>
              <w:rPr>
                <w:rFonts w:hint="eastAsia" w:ascii="宋体" w:hAnsi="宋体" w:cs="宋体"/>
                <w:color w:val="000000"/>
                <w:sz w:val="18"/>
                <w:szCs w:val="18"/>
              </w:rPr>
              <w:t>96,000,000.00</w:t>
            </w:r>
          </w:p>
        </w:tc>
        <w:tc>
          <w:tcPr>
            <w:tcW w:w="1407"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r>
      <w:tr>
        <w:trPr>
          <w:trHeight w:val="490" w:hRule="atLeast"/>
          <w:jc w:val="center"/>
        </w:trPr>
        <w:tc>
          <w:tcPr>
            <w:tcW w:w="645" w:type="dxa"/>
            <w:tcBorders>
              <w:top w:val="nil"/>
              <w:left w:val="single" w:color="auto" w:sz="8" w:space="0"/>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11</w:t>
            </w:r>
          </w:p>
        </w:tc>
        <w:tc>
          <w:tcPr>
            <w:tcW w:w="1692"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2020年12月30日</w:t>
            </w:r>
          </w:p>
        </w:tc>
        <w:tc>
          <w:tcPr>
            <w:tcW w:w="945"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销售款</w:t>
            </w:r>
          </w:p>
        </w:tc>
        <w:tc>
          <w:tcPr>
            <w:tcW w:w="3333"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春天里预约登记费POS机当天一笔入账</w:t>
            </w:r>
          </w:p>
        </w:tc>
        <w:tc>
          <w:tcPr>
            <w:tcW w:w="1275" w:type="dxa"/>
            <w:tcBorders>
              <w:top w:val="nil"/>
              <w:left w:val="nil"/>
              <w:bottom w:val="single" w:color="auto" w:sz="8" w:space="0"/>
              <w:right w:val="single" w:color="auto" w:sz="8" w:space="0"/>
            </w:tcBorders>
            <w:shd w:val="clear" w:color="000000" w:fill="FFFFFF"/>
            <w:vAlign w:val="center"/>
          </w:tcPr>
          <w:p>
            <w:pPr>
              <w:jc w:val="right"/>
              <w:rPr>
                <w:rFonts w:ascii="宋体" w:hAnsi="宋体" w:cs="宋体"/>
                <w:color w:val="000000"/>
                <w:sz w:val="18"/>
                <w:szCs w:val="18"/>
              </w:rPr>
            </w:pPr>
            <w:r>
              <w:rPr>
                <w:rFonts w:hint="eastAsia" w:ascii="宋体" w:hAnsi="宋体" w:cs="宋体"/>
                <w:color w:val="000000"/>
                <w:sz w:val="18"/>
                <w:szCs w:val="18"/>
              </w:rPr>
              <w:t>176,970.00</w:t>
            </w:r>
          </w:p>
        </w:tc>
        <w:tc>
          <w:tcPr>
            <w:tcW w:w="1407"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r>
      <w:tr>
        <w:trPr>
          <w:trHeight w:val="490" w:hRule="atLeast"/>
          <w:jc w:val="center"/>
        </w:trPr>
        <w:tc>
          <w:tcPr>
            <w:tcW w:w="645" w:type="dxa"/>
            <w:tcBorders>
              <w:top w:val="nil"/>
              <w:left w:val="single" w:color="auto" w:sz="8" w:space="0"/>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12</w:t>
            </w:r>
          </w:p>
        </w:tc>
        <w:tc>
          <w:tcPr>
            <w:tcW w:w="1692"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2020年12月31日</w:t>
            </w:r>
          </w:p>
        </w:tc>
        <w:tc>
          <w:tcPr>
            <w:tcW w:w="945"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销售款</w:t>
            </w:r>
          </w:p>
        </w:tc>
        <w:tc>
          <w:tcPr>
            <w:tcW w:w="3333"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春天里预约登记费POS机当天一笔入账</w:t>
            </w:r>
          </w:p>
        </w:tc>
        <w:tc>
          <w:tcPr>
            <w:tcW w:w="1275" w:type="dxa"/>
            <w:tcBorders>
              <w:top w:val="nil"/>
              <w:left w:val="nil"/>
              <w:bottom w:val="single" w:color="auto" w:sz="8" w:space="0"/>
              <w:right w:val="single" w:color="auto" w:sz="8" w:space="0"/>
            </w:tcBorders>
            <w:shd w:val="clear" w:color="000000" w:fill="FFFFFF"/>
            <w:vAlign w:val="center"/>
          </w:tcPr>
          <w:p>
            <w:pPr>
              <w:jc w:val="right"/>
              <w:rPr>
                <w:rFonts w:ascii="宋体" w:hAnsi="宋体" w:cs="宋体"/>
                <w:color w:val="000000"/>
                <w:sz w:val="18"/>
                <w:szCs w:val="18"/>
              </w:rPr>
            </w:pPr>
            <w:r>
              <w:rPr>
                <w:rFonts w:hint="eastAsia" w:ascii="宋体" w:hAnsi="宋体" w:cs="宋体"/>
                <w:color w:val="000000"/>
                <w:sz w:val="18"/>
                <w:szCs w:val="18"/>
              </w:rPr>
              <w:t>500,085.00</w:t>
            </w:r>
          </w:p>
        </w:tc>
        <w:tc>
          <w:tcPr>
            <w:tcW w:w="1407"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r>
      <w:tr>
        <w:trPr>
          <w:trHeight w:val="290" w:hRule="atLeast"/>
          <w:jc w:val="center"/>
        </w:trPr>
        <w:tc>
          <w:tcPr>
            <w:tcW w:w="645" w:type="dxa"/>
            <w:tcBorders>
              <w:top w:val="nil"/>
              <w:left w:val="single" w:color="auto" w:sz="8" w:space="0"/>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13</w:t>
            </w:r>
          </w:p>
        </w:tc>
        <w:tc>
          <w:tcPr>
            <w:tcW w:w="1692"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2020年12月31日</w:t>
            </w:r>
          </w:p>
        </w:tc>
        <w:tc>
          <w:tcPr>
            <w:tcW w:w="945"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按揭放款</w:t>
            </w:r>
          </w:p>
        </w:tc>
        <w:tc>
          <w:tcPr>
            <w:tcW w:w="3333"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预约登记费-吴钰妮</w:t>
            </w:r>
          </w:p>
        </w:tc>
        <w:tc>
          <w:tcPr>
            <w:tcW w:w="1275" w:type="dxa"/>
            <w:tcBorders>
              <w:top w:val="nil"/>
              <w:left w:val="nil"/>
              <w:bottom w:val="single" w:color="auto" w:sz="8" w:space="0"/>
              <w:right w:val="single" w:color="auto" w:sz="8" w:space="0"/>
            </w:tcBorders>
            <w:shd w:val="clear" w:color="000000" w:fill="FFFFFF"/>
            <w:vAlign w:val="center"/>
          </w:tcPr>
          <w:p>
            <w:pPr>
              <w:jc w:val="right"/>
              <w:rPr>
                <w:rFonts w:ascii="宋体" w:hAnsi="宋体" w:cs="宋体"/>
                <w:color w:val="000000"/>
                <w:sz w:val="18"/>
                <w:szCs w:val="18"/>
              </w:rPr>
            </w:pPr>
            <w:r>
              <w:rPr>
                <w:rFonts w:hint="eastAsia" w:ascii="宋体" w:hAnsi="宋体" w:cs="宋体"/>
                <w:color w:val="000000"/>
                <w:sz w:val="18"/>
                <w:szCs w:val="18"/>
              </w:rPr>
              <w:t>32,595.00</w:t>
            </w:r>
          </w:p>
        </w:tc>
        <w:tc>
          <w:tcPr>
            <w:tcW w:w="1407" w:type="dxa"/>
            <w:tcBorders>
              <w:top w:val="nil"/>
              <w:left w:val="nil"/>
              <w:bottom w:val="single" w:color="auto" w:sz="8" w:space="0"/>
              <w:right w:val="single" w:color="auto"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弘彰交行9383</w:t>
            </w:r>
          </w:p>
        </w:tc>
      </w:tr>
    </w:tbl>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4"/>
        <w:spacing w:line="480" w:lineRule="auto"/>
        <w:rPr>
          <w:rFonts w:ascii="宋体" w:hAnsi="宋体" w:eastAsia="宋体" w:cs="宋体"/>
          <w:sz w:val="21"/>
          <w:szCs w:val="21"/>
        </w:rPr>
      </w:pPr>
      <w:r>
        <w:rPr>
          <w:rFonts w:hint="eastAsia" w:ascii="宋体" w:hAnsi="宋体" w:eastAsia="宋体" w:cs="宋体"/>
          <w:sz w:val="21"/>
          <w:szCs w:val="21"/>
        </w:rPr>
        <w:br w:type="page"/>
      </w:r>
    </w:p>
    <w:p>
      <w:pPr>
        <w:pStyle w:val="4"/>
        <w:spacing w:line="480" w:lineRule="auto"/>
        <w:rPr>
          <w:rFonts w:ascii="宋体" w:hAnsi="宋体" w:eastAsia="宋体" w:cs="宋体"/>
          <w:sz w:val="21"/>
          <w:szCs w:val="21"/>
        </w:rPr>
      </w:pPr>
      <w:bookmarkStart w:id="23" w:name="_Toc61551299"/>
      <w:r>
        <w:rPr>
          <w:rFonts w:hint="eastAsia" w:ascii="宋体" w:hAnsi="宋体" w:eastAsia="宋体" w:cs="宋体"/>
          <w:sz w:val="21"/>
          <w:szCs w:val="21"/>
        </w:rPr>
        <w:t>附件四：下月（202</w:t>
      </w:r>
      <w:r>
        <w:rPr>
          <w:rFonts w:ascii="宋体" w:hAnsi="宋体" w:eastAsia="宋体" w:cs="宋体"/>
          <w:sz w:val="21"/>
          <w:szCs w:val="21"/>
        </w:rPr>
        <w:t>1</w:t>
      </w:r>
      <w:r>
        <w:rPr>
          <w:rFonts w:hint="eastAsia" w:ascii="宋体" w:hAnsi="宋体" w:eastAsia="宋体" w:cs="宋体"/>
          <w:sz w:val="21"/>
          <w:szCs w:val="21"/>
        </w:rPr>
        <w:t>年</w:t>
      </w:r>
      <w:r>
        <w:rPr>
          <w:rFonts w:ascii="宋体" w:hAnsi="宋体" w:eastAsia="宋体" w:cs="宋体"/>
          <w:sz w:val="21"/>
          <w:szCs w:val="21"/>
        </w:rPr>
        <w:t>1</w:t>
      </w:r>
      <w:r>
        <w:rPr>
          <w:rFonts w:hint="eastAsia" w:ascii="宋体" w:hAnsi="宋体" w:eastAsia="宋体" w:cs="宋体"/>
          <w:sz w:val="21"/>
          <w:szCs w:val="21"/>
        </w:rPr>
        <w:t>月）资金计划</w:t>
      </w:r>
      <w:bookmarkEnd w:id="23"/>
    </w:p>
    <w:p>
      <w:pPr>
        <w:spacing w:line="480" w:lineRule="auto"/>
        <w:jc w:val="center"/>
        <w:rPr>
          <w:sz w:val="18"/>
          <w:szCs w:val="18"/>
        </w:rPr>
      </w:pPr>
      <w:r>
        <w:rPr>
          <w:rFonts w:ascii="宋体" w:hAnsi="宋体" w:cs="宋体"/>
          <w:sz w:val="18"/>
          <w:szCs w:val="18"/>
        </w:rPr>
        <w:t>表十五：下月资金计划</w:t>
      </w:r>
    </w:p>
    <w:tbl>
      <w:tblPr>
        <w:tblStyle w:val="24"/>
        <w:tblW w:w="8500" w:type="dxa"/>
        <w:jc w:val="center"/>
        <w:tblLayout w:type="autofit"/>
        <w:tblCellMar>
          <w:top w:w="0" w:type="dxa"/>
          <w:left w:w="108" w:type="dxa"/>
          <w:bottom w:w="0" w:type="dxa"/>
          <w:right w:w="108" w:type="dxa"/>
        </w:tblCellMar>
      </w:tblPr>
      <w:tblGrid>
        <w:gridCol w:w="1060"/>
        <w:gridCol w:w="2480"/>
        <w:gridCol w:w="2480"/>
        <w:gridCol w:w="2480"/>
      </w:tblGrid>
      <w:tr>
        <w:trPr>
          <w:trHeight w:val="400" w:hRule="atLeast"/>
          <w:jc w:val="center"/>
        </w:trPr>
        <w:tc>
          <w:tcPr>
            <w:tcW w:w="106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序号</w:t>
            </w:r>
          </w:p>
        </w:tc>
        <w:tc>
          <w:tcPr>
            <w:tcW w:w="2480" w:type="dxa"/>
            <w:tcBorders>
              <w:top w:val="single" w:color="auto" w:sz="8" w:space="0"/>
              <w:left w:val="nil"/>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地块</w:t>
            </w:r>
          </w:p>
        </w:tc>
        <w:tc>
          <w:tcPr>
            <w:tcW w:w="2480" w:type="dxa"/>
            <w:tcBorders>
              <w:top w:val="single" w:color="auto" w:sz="8" w:space="0"/>
              <w:left w:val="nil"/>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项目名称</w:t>
            </w:r>
          </w:p>
        </w:tc>
        <w:tc>
          <w:tcPr>
            <w:tcW w:w="2480" w:type="dxa"/>
            <w:tcBorders>
              <w:top w:val="single" w:color="auto" w:sz="8" w:space="0"/>
              <w:left w:val="nil"/>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金额（</w:t>
            </w:r>
            <w:r>
              <w:rPr>
                <w:rFonts w:hint="eastAsia" w:ascii="宋体" w:hAnsi="宋体" w:cs="宋体"/>
                <w:color w:val="000000"/>
                <w:sz w:val="18"/>
                <w:szCs w:val="18"/>
                <w:lang w:eastAsia="zh-Hans"/>
              </w:rPr>
              <w:t>万</w:t>
            </w:r>
            <w:r>
              <w:rPr>
                <w:rFonts w:hint="eastAsia" w:ascii="宋体" w:hAnsi="宋体" w:cs="宋体"/>
                <w:color w:val="000000"/>
                <w:sz w:val="18"/>
                <w:szCs w:val="18"/>
              </w:rPr>
              <w:t>元）</w:t>
            </w:r>
          </w:p>
        </w:tc>
      </w:tr>
      <w:tr>
        <w:trPr>
          <w:trHeight w:val="400" w:hRule="atLeast"/>
          <w:jc w:val="center"/>
        </w:trPr>
        <w:tc>
          <w:tcPr>
            <w:tcW w:w="1060"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2480" w:type="dxa"/>
            <w:vMerge w:val="restart"/>
            <w:tcBorders>
              <w:top w:val="nil"/>
              <w:left w:val="single" w:color="auto" w:sz="8" w:space="0"/>
              <w:bottom w:val="single" w:color="000000"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春天里</w:t>
            </w:r>
          </w:p>
        </w:tc>
        <w:tc>
          <w:tcPr>
            <w:tcW w:w="2480"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工程费用</w:t>
            </w:r>
          </w:p>
        </w:tc>
        <w:tc>
          <w:tcPr>
            <w:tcW w:w="2480"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743.034982</w:t>
            </w:r>
          </w:p>
        </w:tc>
      </w:tr>
      <w:tr>
        <w:trPr>
          <w:trHeight w:val="400" w:hRule="atLeast"/>
          <w:jc w:val="center"/>
        </w:trPr>
        <w:tc>
          <w:tcPr>
            <w:tcW w:w="1060"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2</w:t>
            </w:r>
          </w:p>
        </w:tc>
        <w:tc>
          <w:tcPr>
            <w:tcW w:w="2480"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2480"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开发费用</w:t>
            </w:r>
          </w:p>
        </w:tc>
        <w:tc>
          <w:tcPr>
            <w:tcW w:w="2480"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36,687.71</w:t>
            </w:r>
          </w:p>
        </w:tc>
      </w:tr>
      <w:tr>
        <w:trPr>
          <w:trHeight w:val="400" w:hRule="atLeast"/>
          <w:jc w:val="center"/>
        </w:trPr>
        <w:tc>
          <w:tcPr>
            <w:tcW w:w="1060"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3</w:t>
            </w:r>
          </w:p>
        </w:tc>
        <w:tc>
          <w:tcPr>
            <w:tcW w:w="2480"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2480"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营销费用</w:t>
            </w:r>
          </w:p>
        </w:tc>
        <w:tc>
          <w:tcPr>
            <w:tcW w:w="2480"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0.00</w:t>
            </w:r>
          </w:p>
        </w:tc>
      </w:tr>
      <w:tr>
        <w:trPr>
          <w:trHeight w:val="400" w:hRule="atLeast"/>
          <w:jc w:val="center"/>
        </w:trPr>
        <w:tc>
          <w:tcPr>
            <w:tcW w:w="1060"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2480"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2480"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管理费用</w:t>
            </w:r>
          </w:p>
        </w:tc>
        <w:tc>
          <w:tcPr>
            <w:tcW w:w="2480"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0.40</w:t>
            </w:r>
          </w:p>
        </w:tc>
      </w:tr>
      <w:tr>
        <w:trPr>
          <w:trHeight w:val="400" w:hRule="atLeast"/>
          <w:jc w:val="center"/>
        </w:trPr>
        <w:tc>
          <w:tcPr>
            <w:tcW w:w="1060"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5</w:t>
            </w:r>
          </w:p>
        </w:tc>
        <w:tc>
          <w:tcPr>
            <w:tcW w:w="2480"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2480"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财务费用</w:t>
            </w:r>
          </w:p>
        </w:tc>
        <w:tc>
          <w:tcPr>
            <w:tcW w:w="2480"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5.197673</w:t>
            </w:r>
          </w:p>
        </w:tc>
      </w:tr>
      <w:tr>
        <w:trPr>
          <w:trHeight w:val="400" w:hRule="atLeast"/>
          <w:jc w:val="center"/>
        </w:trPr>
        <w:tc>
          <w:tcPr>
            <w:tcW w:w="1060"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6</w:t>
            </w:r>
          </w:p>
        </w:tc>
        <w:tc>
          <w:tcPr>
            <w:tcW w:w="2480"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2480"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不可预见性费用</w:t>
            </w:r>
          </w:p>
        </w:tc>
        <w:tc>
          <w:tcPr>
            <w:tcW w:w="2480"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0.00</w:t>
            </w:r>
          </w:p>
        </w:tc>
      </w:tr>
      <w:tr>
        <w:trPr>
          <w:trHeight w:val="400" w:hRule="atLeast"/>
          <w:jc w:val="center"/>
        </w:trPr>
        <w:tc>
          <w:tcPr>
            <w:tcW w:w="1060"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7</w:t>
            </w:r>
          </w:p>
        </w:tc>
        <w:tc>
          <w:tcPr>
            <w:tcW w:w="2480" w:type="dxa"/>
            <w:vMerge w:val="continue"/>
            <w:tcBorders>
              <w:top w:val="nil"/>
              <w:left w:val="single" w:color="auto" w:sz="8" w:space="0"/>
              <w:bottom w:val="single" w:color="000000" w:sz="8" w:space="0"/>
              <w:right w:val="single" w:color="auto" w:sz="8" w:space="0"/>
            </w:tcBorders>
            <w:vAlign w:val="center"/>
          </w:tcPr>
          <w:p>
            <w:pPr>
              <w:rPr>
                <w:rFonts w:ascii="宋体" w:hAnsi="宋体" w:cs="宋体"/>
                <w:color w:val="000000"/>
                <w:sz w:val="18"/>
                <w:szCs w:val="18"/>
              </w:rPr>
            </w:pPr>
          </w:p>
        </w:tc>
        <w:tc>
          <w:tcPr>
            <w:tcW w:w="2480"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成本支出外退筹、退房</w:t>
            </w:r>
          </w:p>
        </w:tc>
        <w:tc>
          <w:tcPr>
            <w:tcW w:w="2480" w:type="dxa"/>
            <w:tcBorders>
              <w:top w:val="nil"/>
              <w:left w:val="nil"/>
              <w:bottom w:val="single" w:color="auto" w:sz="8" w:space="0"/>
              <w:right w:val="single" w:color="auto" w:sz="8" w:space="0"/>
            </w:tcBorders>
            <w:shd w:val="clear" w:color="auto" w:fill="auto"/>
            <w:vAlign w:val="center"/>
          </w:tcPr>
          <w:p>
            <w:pPr>
              <w:jc w:val="right"/>
              <w:rPr>
                <w:rFonts w:ascii="宋体" w:hAnsi="宋体" w:cs="宋体"/>
                <w:color w:val="000000"/>
                <w:sz w:val="18"/>
                <w:szCs w:val="18"/>
              </w:rPr>
            </w:pPr>
            <w:r>
              <w:rPr>
                <w:rFonts w:hint="eastAsia" w:ascii="宋体" w:hAnsi="宋体" w:cs="宋体"/>
                <w:color w:val="000000"/>
                <w:sz w:val="18"/>
                <w:szCs w:val="18"/>
              </w:rPr>
              <w:t>350.00</w:t>
            </w:r>
          </w:p>
        </w:tc>
      </w:tr>
      <w:tr>
        <w:trPr>
          <w:trHeight w:val="400" w:hRule="atLeast"/>
          <w:jc w:val="center"/>
        </w:trPr>
        <w:tc>
          <w:tcPr>
            <w:tcW w:w="1060"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　</w:t>
            </w:r>
          </w:p>
        </w:tc>
        <w:tc>
          <w:tcPr>
            <w:tcW w:w="2480"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合计</w:t>
            </w:r>
          </w:p>
        </w:tc>
        <w:tc>
          <w:tcPr>
            <w:tcW w:w="2480"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　</w:t>
            </w:r>
          </w:p>
        </w:tc>
        <w:tc>
          <w:tcPr>
            <w:tcW w:w="2480" w:type="dxa"/>
            <w:tcBorders>
              <w:top w:val="nil"/>
              <w:left w:val="nil"/>
              <w:bottom w:val="single" w:color="auto" w:sz="8" w:space="0"/>
              <w:right w:val="single" w:color="auto" w:sz="8" w:space="0"/>
            </w:tcBorders>
            <w:shd w:val="clear" w:color="auto" w:fill="auto"/>
            <w:noWrap/>
            <w:vAlign w:val="center"/>
          </w:tcPr>
          <w:p>
            <w:pPr>
              <w:jc w:val="right"/>
              <w:rPr>
                <w:rFonts w:ascii="宋体" w:hAnsi="宋体" w:cs="宋体"/>
                <w:color w:val="000000"/>
                <w:sz w:val="18"/>
                <w:szCs w:val="18"/>
              </w:rPr>
            </w:pPr>
            <w:r>
              <w:rPr>
                <w:rFonts w:hint="eastAsia" w:ascii="宋体" w:hAnsi="宋体" w:cs="宋体"/>
                <w:color w:val="000000"/>
                <w:sz w:val="18"/>
                <w:szCs w:val="18"/>
              </w:rPr>
              <w:t>37,786.342655</w:t>
            </w:r>
          </w:p>
        </w:tc>
      </w:tr>
    </w:tbl>
    <w:p>
      <w:pPr>
        <w:pStyle w:val="2"/>
        <w:ind w:firstLine="0" w:firstLineChars="0"/>
        <w:rPr>
          <w:rFonts w:ascii="宋体" w:hAnsi="宋体" w:cs="宋体"/>
        </w:rPr>
      </w:pPr>
    </w:p>
    <w:p>
      <w:pPr>
        <w:pStyle w:val="4"/>
        <w:spacing w:line="480" w:lineRule="auto"/>
        <w:rPr>
          <w:rFonts w:ascii="宋体" w:hAnsi="宋体" w:eastAsia="宋体" w:cs="宋体"/>
          <w:sz w:val="21"/>
          <w:szCs w:val="21"/>
        </w:rPr>
      </w:pPr>
      <w:r>
        <w:rPr>
          <w:rFonts w:hint="eastAsia" w:ascii="宋体" w:hAnsi="宋体" w:eastAsia="宋体" w:cs="宋体"/>
          <w:sz w:val="21"/>
          <w:szCs w:val="21"/>
        </w:rPr>
        <w:br w:type="page"/>
      </w:r>
    </w:p>
    <w:p>
      <w:pPr>
        <w:pStyle w:val="4"/>
        <w:spacing w:line="480" w:lineRule="auto"/>
        <w:rPr>
          <w:rFonts w:ascii="宋体" w:hAnsi="宋体" w:eastAsia="宋体" w:cs="宋体"/>
          <w:sz w:val="21"/>
          <w:szCs w:val="21"/>
        </w:rPr>
      </w:pPr>
      <w:bookmarkStart w:id="24" w:name="_Toc61551300"/>
      <w:r>
        <w:rPr>
          <w:rFonts w:hint="eastAsia" w:ascii="宋体" w:hAnsi="宋体" w:eastAsia="宋体" w:cs="宋体"/>
          <w:sz w:val="21"/>
          <w:szCs w:val="21"/>
        </w:rPr>
        <w:t>附件五：项目形象进度表及照片</w:t>
      </w:r>
      <w:bookmarkEnd w:id="24"/>
    </w:p>
    <w:p>
      <w:pPr>
        <w:spacing w:line="480" w:lineRule="auto"/>
        <w:jc w:val="center"/>
        <w:rPr>
          <w:rFonts w:ascii="宋体" w:hAnsi="宋体" w:cs="宋体"/>
          <w:sz w:val="18"/>
          <w:szCs w:val="18"/>
          <w:lang w:bidi="ar"/>
        </w:rPr>
      </w:pPr>
      <w:r>
        <w:rPr>
          <w:rFonts w:hint="eastAsia" w:ascii="宋体" w:hAnsi="宋体" w:cs="宋体"/>
          <w:sz w:val="18"/>
          <w:szCs w:val="18"/>
          <w:lang w:bidi="ar"/>
        </w:rPr>
        <w:t xml:space="preserve">       </w:t>
      </w:r>
      <w:r>
        <w:rPr>
          <w:rFonts w:ascii="宋体" w:hAnsi="宋体" w:cs="宋体"/>
          <w:sz w:val="18"/>
          <w:szCs w:val="18"/>
        </w:rPr>
        <w:t>表十六：</w:t>
      </w:r>
      <w:r>
        <w:rPr>
          <w:rFonts w:hint="eastAsia" w:ascii="宋体" w:hAnsi="宋体" w:cs="宋体"/>
          <w:sz w:val="18"/>
          <w:szCs w:val="18"/>
        </w:rPr>
        <w:t>项目形象进度表</w:t>
      </w:r>
    </w:p>
    <w:tbl>
      <w:tblPr>
        <w:tblStyle w:val="24"/>
        <w:tblW w:w="8728" w:type="dxa"/>
        <w:jc w:val="center"/>
        <w:tblLayout w:type="autofit"/>
        <w:tblCellMar>
          <w:top w:w="0" w:type="dxa"/>
          <w:left w:w="108" w:type="dxa"/>
          <w:bottom w:w="0" w:type="dxa"/>
          <w:right w:w="108" w:type="dxa"/>
        </w:tblCellMar>
      </w:tblPr>
      <w:tblGrid>
        <w:gridCol w:w="1177"/>
        <w:gridCol w:w="1099"/>
        <w:gridCol w:w="1253"/>
        <w:gridCol w:w="1862"/>
        <w:gridCol w:w="3337"/>
      </w:tblGrid>
      <w:tr>
        <w:trPr>
          <w:trHeight w:val="326" w:hRule="atLeast"/>
          <w:jc w:val="center"/>
        </w:trPr>
        <w:tc>
          <w:tcPr>
            <w:tcW w:w="117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序号</w:t>
            </w:r>
          </w:p>
        </w:tc>
        <w:tc>
          <w:tcPr>
            <w:tcW w:w="10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楼栋号</w:t>
            </w:r>
          </w:p>
        </w:tc>
        <w:tc>
          <w:tcPr>
            <w:tcW w:w="125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业态</w:t>
            </w:r>
          </w:p>
        </w:tc>
        <w:tc>
          <w:tcPr>
            <w:tcW w:w="186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建筑面积（㎡）</w:t>
            </w:r>
          </w:p>
        </w:tc>
        <w:tc>
          <w:tcPr>
            <w:tcW w:w="333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形象进度</w:t>
            </w:r>
          </w:p>
        </w:tc>
      </w:tr>
      <w:tr>
        <w:trPr>
          <w:trHeight w:val="326" w:hRule="atLeast"/>
          <w:jc w:val="center"/>
        </w:trPr>
        <w:tc>
          <w:tcPr>
            <w:tcW w:w="1177"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color w:val="000000"/>
                <w:sz w:val="18"/>
                <w:szCs w:val="18"/>
              </w:rPr>
            </w:pPr>
          </w:p>
        </w:tc>
        <w:tc>
          <w:tcPr>
            <w:tcW w:w="1099"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color w:val="000000"/>
                <w:sz w:val="18"/>
                <w:szCs w:val="18"/>
              </w:rPr>
            </w:pPr>
          </w:p>
        </w:tc>
        <w:tc>
          <w:tcPr>
            <w:tcW w:w="1253"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color w:val="000000"/>
                <w:sz w:val="18"/>
                <w:szCs w:val="18"/>
              </w:rPr>
            </w:pPr>
          </w:p>
        </w:tc>
        <w:tc>
          <w:tcPr>
            <w:tcW w:w="1862"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color w:val="000000"/>
                <w:sz w:val="18"/>
                <w:szCs w:val="18"/>
              </w:rPr>
            </w:pPr>
          </w:p>
        </w:tc>
        <w:tc>
          <w:tcPr>
            <w:tcW w:w="3337"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color w:val="000000"/>
                <w:sz w:val="18"/>
                <w:szCs w:val="18"/>
              </w:rPr>
            </w:pPr>
          </w:p>
        </w:tc>
      </w:tr>
      <w:tr>
        <w:trPr>
          <w:trHeight w:val="490" w:hRule="atLeast"/>
          <w:jc w:val="center"/>
        </w:trPr>
        <w:tc>
          <w:tcPr>
            <w:tcW w:w="1177" w:type="dxa"/>
            <w:tcBorders>
              <w:top w:val="nil"/>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1099"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15#</w:t>
            </w:r>
          </w:p>
        </w:tc>
        <w:tc>
          <w:tcPr>
            <w:tcW w:w="1253"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高层</w:t>
            </w:r>
          </w:p>
        </w:tc>
        <w:tc>
          <w:tcPr>
            <w:tcW w:w="18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7,147.00</w:t>
            </w:r>
          </w:p>
        </w:tc>
        <w:tc>
          <w:tcPr>
            <w:tcW w:w="3337"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一层钢筋绑扎完成80%</w:t>
            </w:r>
          </w:p>
        </w:tc>
      </w:tr>
      <w:tr>
        <w:trPr>
          <w:trHeight w:val="490" w:hRule="atLeast"/>
          <w:jc w:val="center"/>
        </w:trPr>
        <w:tc>
          <w:tcPr>
            <w:tcW w:w="1177" w:type="dxa"/>
            <w:tcBorders>
              <w:top w:val="nil"/>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w:t>
            </w:r>
          </w:p>
        </w:tc>
        <w:tc>
          <w:tcPr>
            <w:tcW w:w="1099"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16#</w:t>
            </w:r>
          </w:p>
        </w:tc>
        <w:tc>
          <w:tcPr>
            <w:tcW w:w="1253"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高层</w:t>
            </w:r>
          </w:p>
        </w:tc>
        <w:tc>
          <w:tcPr>
            <w:tcW w:w="18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5,363.00</w:t>
            </w:r>
          </w:p>
        </w:tc>
        <w:tc>
          <w:tcPr>
            <w:tcW w:w="3337"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地下室底板浇筑完成</w:t>
            </w:r>
          </w:p>
        </w:tc>
      </w:tr>
      <w:tr>
        <w:trPr>
          <w:trHeight w:val="490" w:hRule="atLeast"/>
          <w:jc w:val="center"/>
        </w:trPr>
        <w:tc>
          <w:tcPr>
            <w:tcW w:w="1177" w:type="dxa"/>
            <w:tcBorders>
              <w:top w:val="nil"/>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3</w:t>
            </w:r>
          </w:p>
        </w:tc>
        <w:tc>
          <w:tcPr>
            <w:tcW w:w="1099"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17#</w:t>
            </w:r>
          </w:p>
        </w:tc>
        <w:tc>
          <w:tcPr>
            <w:tcW w:w="1253"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高层</w:t>
            </w:r>
          </w:p>
        </w:tc>
        <w:tc>
          <w:tcPr>
            <w:tcW w:w="18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7,146.00</w:t>
            </w:r>
          </w:p>
        </w:tc>
        <w:tc>
          <w:tcPr>
            <w:tcW w:w="3337"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地下室墙柱钢筋绑扎约40%</w:t>
            </w:r>
          </w:p>
        </w:tc>
      </w:tr>
      <w:tr>
        <w:trPr>
          <w:trHeight w:val="490" w:hRule="atLeast"/>
          <w:jc w:val="center"/>
        </w:trPr>
        <w:tc>
          <w:tcPr>
            <w:tcW w:w="1177" w:type="dxa"/>
            <w:tcBorders>
              <w:top w:val="nil"/>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4</w:t>
            </w:r>
          </w:p>
        </w:tc>
        <w:tc>
          <w:tcPr>
            <w:tcW w:w="1099"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18#</w:t>
            </w:r>
          </w:p>
        </w:tc>
        <w:tc>
          <w:tcPr>
            <w:tcW w:w="1253"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高层</w:t>
            </w:r>
          </w:p>
        </w:tc>
        <w:tc>
          <w:tcPr>
            <w:tcW w:w="18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7,020.00</w:t>
            </w:r>
          </w:p>
        </w:tc>
        <w:tc>
          <w:tcPr>
            <w:tcW w:w="3337"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三层梁板砼浇筑完成</w:t>
            </w:r>
          </w:p>
        </w:tc>
      </w:tr>
      <w:tr>
        <w:trPr>
          <w:trHeight w:val="490" w:hRule="atLeast"/>
          <w:jc w:val="center"/>
        </w:trPr>
        <w:tc>
          <w:tcPr>
            <w:tcW w:w="1177" w:type="dxa"/>
            <w:tcBorders>
              <w:top w:val="nil"/>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5</w:t>
            </w:r>
          </w:p>
        </w:tc>
        <w:tc>
          <w:tcPr>
            <w:tcW w:w="1099"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19#</w:t>
            </w:r>
          </w:p>
        </w:tc>
        <w:tc>
          <w:tcPr>
            <w:tcW w:w="1253"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高层</w:t>
            </w:r>
          </w:p>
        </w:tc>
        <w:tc>
          <w:tcPr>
            <w:tcW w:w="18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10,001.00</w:t>
            </w:r>
          </w:p>
        </w:tc>
        <w:tc>
          <w:tcPr>
            <w:tcW w:w="3337"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二层梁板钢筋绑扎约70%</w:t>
            </w:r>
          </w:p>
        </w:tc>
      </w:tr>
      <w:tr>
        <w:trPr>
          <w:trHeight w:val="490" w:hRule="atLeast"/>
          <w:jc w:val="center"/>
        </w:trPr>
        <w:tc>
          <w:tcPr>
            <w:tcW w:w="1177" w:type="dxa"/>
            <w:tcBorders>
              <w:top w:val="nil"/>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6</w:t>
            </w:r>
          </w:p>
        </w:tc>
        <w:tc>
          <w:tcPr>
            <w:tcW w:w="1099"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20#</w:t>
            </w:r>
          </w:p>
        </w:tc>
        <w:tc>
          <w:tcPr>
            <w:tcW w:w="1253"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高层</w:t>
            </w:r>
          </w:p>
        </w:tc>
        <w:tc>
          <w:tcPr>
            <w:tcW w:w="1862"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999,8.00</w:t>
            </w:r>
          </w:p>
        </w:tc>
        <w:tc>
          <w:tcPr>
            <w:tcW w:w="3337"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一层墙柱钢筋绑扎约30%</w:t>
            </w:r>
          </w:p>
        </w:tc>
      </w:tr>
      <w:tr>
        <w:trPr>
          <w:trHeight w:val="490" w:hRule="atLeast"/>
          <w:jc w:val="center"/>
        </w:trPr>
        <w:tc>
          <w:tcPr>
            <w:tcW w:w="1177" w:type="dxa"/>
            <w:tcBorders>
              <w:top w:val="nil"/>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7</w:t>
            </w:r>
          </w:p>
        </w:tc>
        <w:tc>
          <w:tcPr>
            <w:tcW w:w="1099" w:type="dxa"/>
            <w:tcBorders>
              <w:top w:val="nil"/>
              <w:left w:val="nil"/>
              <w:bottom w:val="nil"/>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21#</w:t>
            </w:r>
          </w:p>
        </w:tc>
        <w:tc>
          <w:tcPr>
            <w:tcW w:w="1253" w:type="dxa"/>
            <w:tcBorders>
              <w:top w:val="nil"/>
              <w:left w:val="nil"/>
              <w:bottom w:val="nil"/>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高层</w:t>
            </w:r>
          </w:p>
        </w:tc>
        <w:tc>
          <w:tcPr>
            <w:tcW w:w="1862" w:type="dxa"/>
            <w:tcBorders>
              <w:top w:val="nil"/>
              <w:left w:val="nil"/>
              <w:bottom w:val="nil"/>
              <w:right w:val="single" w:color="000000" w:sz="8"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999,8.00</w:t>
            </w:r>
          </w:p>
        </w:tc>
        <w:tc>
          <w:tcPr>
            <w:tcW w:w="3337" w:type="dxa"/>
            <w:tcBorders>
              <w:top w:val="nil"/>
              <w:left w:val="nil"/>
              <w:bottom w:val="nil"/>
              <w:right w:val="single" w:color="000000" w:sz="8" w:space="0"/>
            </w:tcBorders>
            <w:shd w:val="clear" w:color="auto" w:fill="auto"/>
            <w:vAlign w:val="center"/>
          </w:tcPr>
          <w:p>
            <w:pPr>
              <w:jc w:val="both"/>
              <w:rPr>
                <w:rFonts w:ascii="宋体" w:hAnsi="宋体" w:cs="宋体"/>
                <w:color w:val="000000"/>
                <w:sz w:val="18"/>
                <w:szCs w:val="18"/>
              </w:rPr>
            </w:pPr>
            <w:r>
              <w:rPr>
                <w:rFonts w:hint="eastAsia" w:ascii="宋体" w:hAnsi="宋体" w:cs="宋体"/>
                <w:color w:val="000000"/>
                <w:sz w:val="18"/>
                <w:szCs w:val="18"/>
              </w:rPr>
              <w:t>三层梁板模板安装完成30％</w:t>
            </w:r>
          </w:p>
        </w:tc>
      </w:tr>
      <w:tr>
        <w:trPr>
          <w:trHeight w:val="280" w:hRule="atLeast"/>
          <w:jc w:val="center"/>
        </w:trPr>
        <w:tc>
          <w:tcPr>
            <w:tcW w:w="1177" w:type="dxa"/>
            <w:tcBorders>
              <w:top w:val="nil"/>
              <w:left w:val="single" w:color="000000" w:sz="8" w:space="0"/>
              <w:bottom w:val="nil"/>
              <w:right w:val="nil"/>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整体</w:t>
            </w:r>
          </w:p>
        </w:tc>
        <w:tc>
          <w:tcPr>
            <w:tcW w:w="7551" w:type="dxa"/>
            <w:gridSpan w:val="4"/>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rPr>
                <w:rFonts w:ascii="宋体" w:hAnsi="宋体" w:cs="宋体"/>
                <w:color w:val="000000"/>
                <w:sz w:val="18"/>
                <w:szCs w:val="18"/>
              </w:rPr>
            </w:pPr>
            <w:r>
              <w:rPr>
                <w:rFonts w:hint="eastAsia" w:ascii="宋体" w:hAnsi="宋体" w:cs="宋体"/>
                <w:color w:val="000000"/>
                <w:sz w:val="18"/>
                <w:szCs w:val="18"/>
              </w:rPr>
              <w:t xml:space="preserve"> 截至2020年12月3</w:t>
            </w:r>
            <w:r>
              <w:rPr>
                <w:rFonts w:ascii="宋体" w:hAnsi="宋体" w:cs="宋体"/>
                <w:color w:val="000000"/>
                <w:sz w:val="18"/>
                <w:szCs w:val="18"/>
              </w:rPr>
              <w:t>1</w:t>
            </w:r>
            <w:r>
              <w:rPr>
                <w:rFonts w:hint="eastAsia" w:ascii="宋体" w:hAnsi="宋体" w:cs="宋体"/>
                <w:color w:val="000000"/>
                <w:sz w:val="18"/>
                <w:szCs w:val="18"/>
              </w:rPr>
              <w:t>日，春天里一期现场施工正常，项目安全、质量管理、工程进度一切正常，整体可控，暂无事故发生</w:t>
            </w:r>
          </w:p>
        </w:tc>
      </w:tr>
      <w:tr>
        <w:trPr>
          <w:trHeight w:val="290" w:hRule="atLeast"/>
          <w:jc w:val="center"/>
        </w:trPr>
        <w:tc>
          <w:tcPr>
            <w:tcW w:w="1177" w:type="dxa"/>
            <w:tcBorders>
              <w:top w:val="nil"/>
              <w:left w:val="single" w:color="000000" w:sz="8" w:space="0"/>
              <w:bottom w:val="single" w:color="000000" w:sz="8" w:space="0"/>
              <w:right w:val="nil"/>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评价</w:t>
            </w:r>
          </w:p>
        </w:tc>
        <w:tc>
          <w:tcPr>
            <w:tcW w:w="7551" w:type="dxa"/>
            <w:gridSpan w:val="4"/>
            <w:vMerge w:val="continue"/>
            <w:tcBorders>
              <w:top w:val="nil"/>
              <w:left w:val="single" w:color="000000" w:sz="8" w:space="0"/>
              <w:bottom w:val="single" w:color="000000" w:sz="8" w:space="0"/>
              <w:right w:val="nil"/>
            </w:tcBorders>
            <w:vAlign w:val="center"/>
          </w:tcPr>
          <w:p>
            <w:pPr>
              <w:rPr>
                <w:rFonts w:ascii="宋体" w:hAnsi="宋体" w:cs="宋体"/>
                <w:color w:val="000000"/>
                <w:sz w:val="18"/>
                <w:szCs w:val="18"/>
              </w:rPr>
            </w:pPr>
          </w:p>
        </w:tc>
      </w:tr>
    </w:tbl>
    <w:p>
      <w:pPr>
        <w:widowControl w:val="0"/>
        <w:spacing w:line="360" w:lineRule="auto"/>
        <w:textAlignment w:val="center"/>
        <w:rPr>
          <w:rFonts w:ascii="宋体" w:hAnsi="宋体" w:cs="宋体"/>
          <w:sz w:val="18"/>
          <w:szCs w:val="18"/>
          <w:lang w:bidi="ar"/>
        </w:rPr>
      </w:pPr>
    </w:p>
    <w:p>
      <w:pPr>
        <w:pStyle w:val="2"/>
        <w:spacing w:line="360" w:lineRule="auto"/>
        <w:ind w:firstLineChars="200"/>
      </w:pPr>
      <w:r>
        <w:rPr>
          <w:rFonts w:hint="eastAsia"/>
        </w:rPr>
        <w:t>本期春天里</w:t>
      </w:r>
      <w:r>
        <w:t>项目</w:t>
      </w:r>
      <w:r>
        <w:rPr>
          <w:rFonts w:hint="eastAsia"/>
        </w:rPr>
        <w:t>形象进度如下：</w:t>
      </w:r>
    </w:p>
    <w:p>
      <w:pPr>
        <w:pStyle w:val="2"/>
        <w:spacing w:line="360" w:lineRule="auto"/>
        <w:ind w:firstLine="0" w:firstLineChars="0"/>
        <w:jc w:val="center"/>
      </w:pPr>
      <w:r>
        <w:drawing>
          <wp:inline distT="0" distB="0" distL="0" distR="0">
            <wp:extent cx="5275580" cy="3712210"/>
            <wp:effectExtent l="0" t="0" r="1270" b="254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289510" cy="3721692"/>
                    </a:xfrm>
                    <a:prstGeom prst="rect">
                      <a:avLst/>
                    </a:prstGeom>
                  </pic:spPr>
                </pic:pic>
              </a:graphicData>
            </a:graphic>
          </wp:inline>
        </w:drawing>
      </w:r>
    </w:p>
    <w:p>
      <w:pPr>
        <w:pStyle w:val="2"/>
        <w:spacing w:line="480" w:lineRule="auto"/>
        <w:ind w:firstLine="0" w:firstLineChars="0"/>
        <w:jc w:val="center"/>
        <w:rPr>
          <w:rFonts w:ascii="宋体" w:hAnsi="宋体" w:cs="Arial"/>
          <w:szCs w:val="21"/>
          <w:lang w:eastAsia="zh-Hans"/>
        </w:rPr>
      </w:pPr>
      <w:r>
        <w:rPr>
          <w:rFonts w:hint="eastAsia" w:ascii="宋体" w:hAnsi="宋体" w:cs="Arial"/>
          <w:szCs w:val="21"/>
          <w:lang w:eastAsia="zh-Hans"/>
        </w:rPr>
        <w:t>15#楼一层梁板钢筋绑扎完成80</w:t>
      </w:r>
      <w:r>
        <w:rPr>
          <w:rFonts w:ascii="宋体" w:hAnsi="宋体" w:cs="Arial"/>
          <w:szCs w:val="21"/>
          <w:lang w:eastAsia="zh-Hans"/>
        </w:rPr>
        <w:t>%</w:t>
      </w:r>
    </w:p>
    <w:p>
      <w:pPr>
        <w:pStyle w:val="2"/>
        <w:spacing w:line="360" w:lineRule="auto"/>
        <w:ind w:firstLine="0" w:firstLineChars="0"/>
        <w:jc w:val="center"/>
      </w:pPr>
      <w:r>
        <w:drawing>
          <wp:inline distT="0" distB="0" distL="0" distR="0">
            <wp:extent cx="5278120" cy="3958590"/>
            <wp:effectExtent l="0" t="0" r="0" b="381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8120" cy="3958590"/>
                    </a:xfrm>
                    <a:prstGeom prst="rect">
                      <a:avLst/>
                    </a:prstGeom>
                  </pic:spPr>
                </pic:pic>
              </a:graphicData>
            </a:graphic>
          </wp:inline>
        </w:drawing>
      </w:r>
    </w:p>
    <w:p>
      <w:pPr>
        <w:pStyle w:val="2"/>
        <w:spacing w:line="360" w:lineRule="auto"/>
        <w:ind w:firstLine="0" w:firstLineChars="0"/>
        <w:jc w:val="center"/>
      </w:pPr>
      <w:r>
        <w:rPr>
          <w:rFonts w:hint="eastAsia"/>
        </w:rPr>
        <w:t>16#楼地下室底板浇筑完成</w:t>
      </w:r>
      <w:r>
        <w:drawing>
          <wp:inline distT="0" distB="0" distL="0" distR="0">
            <wp:extent cx="5278120" cy="3713480"/>
            <wp:effectExtent l="0" t="0" r="0" b="127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9300" cy="3714701"/>
                    </a:xfrm>
                    <a:prstGeom prst="rect">
                      <a:avLst/>
                    </a:prstGeom>
                  </pic:spPr>
                </pic:pic>
              </a:graphicData>
            </a:graphic>
          </wp:inline>
        </w:drawing>
      </w:r>
    </w:p>
    <w:p>
      <w:pPr>
        <w:pStyle w:val="2"/>
        <w:spacing w:line="360" w:lineRule="auto"/>
        <w:ind w:firstLine="0" w:firstLineChars="0"/>
        <w:jc w:val="center"/>
      </w:pPr>
      <w:r>
        <w:rPr>
          <w:rFonts w:hint="eastAsia"/>
        </w:rPr>
        <w:t>17#楼地下室墙柱钢筋绑扎40%</w:t>
      </w:r>
    </w:p>
    <w:p>
      <w:pPr>
        <w:pStyle w:val="2"/>
        <w:spacing w:line="360" w:lineRule="auto"/>
        <w:ind w:firstLine="0" w:firstLineChars="0"/>
      </w:pPr>
      <w:r>
        <w:drawing>
          <wp:inline distT="0" distB="0" distL="0" distR="0">
            <wp:extent cx="5278120" cy="3958590"/>
            <wp:effectExtent l="0" t="0" r="0" b="381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8120" cy="3958590"/>
                    </a:xfrm>
                    <a:prstGeom prst="rect">
                      <a:avLst/>
                    </a:prstGeom>
                  </pic:spPr>
                </pic:pic>
              </a:graphicData>
            </a:graphic>
          </wp:inline>
        </w:drawing>
      </w:r>
    </w:p>
    <w:p>
      <w:pPr>
        <w:pStyle w:val="2"/>
        <w:spacing w:line="360" w:lineRule="auto"/>
        <w:ind w:firstLine="0" w:firstLineChars="0"/>
        <w:jc w:val="center"/>
      </w:pPr>
      <w:r>
        <w:rPr>
          <w:rFonts w:hint="eastAsia"/>
        </w:rPr>
        <w:t>18#楼三层梁板混凝土浇筑完成</w:t>
      </w:r>
      <w:r>
        <w:drawing>
          <wp:inline distT="0" distB="0" distL="0" distR="0">
            <wp:extent cx="5278120" cy="3882390"/>
            <wp:effectExtent l="0" t="0" r="0" b="381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8518" cy="3882976"/>
                    </a:xfrm>
                    <a:prstGeom prst="rect">
                      <a:avLst/>
                    </a:prstGeom>
                  </pic:spPr>
                </pic:pic>
              </a:graphicData>
            </a:graphic>
          </wp:inline>
        </w:drawing>
      </w:r>
    </w:p>
    <w:p>
      <w:pPr>
        <w:pStyle w:val="2"/>
        <w:spacing w:line="360" w:lineRule="auto"/>
        <w:ind w:firstLine="0" w:firstLineChars="0"/>
        <w:jc w:val="center"/>
      </w:pPr>
      <w:r>
        <w:rPr>
          <w:rFonts w:hint="eastAsia"/>
        </w:rPr>
        <w:t>19#楼二层梁板钢筋绑扎约70%</w:t>
      </w:r>
    </w:p>
    <w:p>
      <w:pPr>
        <w:pStyle w:val="2"/>
        <w:spacing w:line="360" w:lineRule="auto"/>
        <w:ind w:firstLine="0" w:firstLineChars="0"/>
      </w:pPr>
      <w:r>
        <w:drawing>
          <wp:inline distT="0" distB="0" distL="0" distR="0">
            <wp:extent cx="5278120" cy="3958590"/>
            <wp:effectExtent l="0" t="0" r="0" b="381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78120" cy="3958590"/>
                    </a:xfrm>
                    <a:prstGeom prst="rect">
                      <a:avLst/>
                    </a:prstGeom>
                  </pic:spPr>
                </pic:pic>
              </a:graphicData>
            </a:graphic>
          </wp:inline>
        </w:drawing>
      </w:r>
    </w:p>
    <w:p>
      <w:pPr>
        <w:pStyle w:val="2"/>
        <w:spacing w:line="360" w:lineRule="auto"/>
        <w:ind w:firstLine="0" w:firstLineChars="0"/>
        <w:jc w:val="center"/>
      </w:pPr>
      <w:r>
        <w:rPr>
          <w:rFonts w:hint="eastAsia"/>
        </w:rPr>
        <w:t>20#楼一层墙柱钢筋绑扎</w:t>
      </w:r>
      <w:r>
        <w:rPr>
          <w:rFonts w:hint="eastAsia"/>
          <w:lang w:eastAsia="zh-Hans"/>
        </w:rPr>
        <w:t>约</w:t>
      </w:r>
      <w:r>
        <w:rPr>
          <w:rFonts w:hint="eastAsia"/>
        </w:rPr>
        <w:t>30%</w:t>
      </w:r>
    </w:p>
    <w:p>
      <w:pPr>
        <w:pStyle w:val="2"/>
        <w:spacing w:line="360" w:lineRule="auto"/>
        <w:ind w:firstLine="0" w:firstLineChars="0"/>
        <w:jc w:val="center"/>
      </w:pPr>
      <w:r>
        <w:drawing>
          <wp:inline distT="0" distB="0" distL="0" distR="0">
            <wp:extent cx="5278120" cy="360108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9218" cy="3602078"/>
                    </a:xfrm>
                    <a:prstGeom prst="rect">
                      <a:avLst/>
                    </a:prstGeom>
                  </pic:spPr>
                </pic:pic>
              </a:graphicData>
            </a:graphic>
          </wp:inline>
        </w:drawing>
      </w:r>
    </w:p>
    <w:p>
      <w:pPr>
        <w:pStyle w:val="2"/>
        <w:ind w:firstLine="0" w:firstLineChars="0"/>
        <w:jc w:val="center"/>
        <w:rPr>
          <w:rFonts w:ascii="宋体" w:hAnsi="宋体" w:cs="宋体"/>
          <w:kern w:val="0"/>
          <w:sz w:val="18"/>
          <w:szCs w:val="18"/>
          <w:lang w:bidi="ar"/>
        </w:rPr>
      </w:pPr>
      <w:r>
        <w:rPr>
          <w:rFonts w:hint="eastAsia"/>
        </w:rPr>
        <w:t>21#楼三层梁板模板安装完成30％</w:t>
      </w:r>
    </w:p>
    <w:p>
      <w:pPr>
        <w:rPr>
          <w:rFonts w:ascii="宋体" w:hAnsi="宋体" w:cs="宋体"/>
          <w:sz w:val="21"/>
          <w:szCs w:val="21"/>
        </w:rPr>
      </w:pPr>
      <w:r>
        <w:rPr>
          <w:rFonts w:hint="eastAsia" w:ascii="宋体" w:hAnsi="宋体" w:cs="宋体"/>
          <w:sz w:val="21"/>
          <w:szCs w:val="21"/>
        </w:rPr>
        <w:br w:type="page"/>
      </w:r>
    </w:p>
    <w:p>
      <w:pPr>
        <w:pStyle w:val="4"/>
        <w:spacing w:line="480" w:lineRule="auto"/>
        <w:rPr>
          <w:rFonts w:ascii="宋体" w:hAnsi="宋体" w:eastAsia="宋体" w:cs="宋体"/>
          <w:sz w:val="21"/>
          <w:szCs w:val="21"/>
        </w:rPr>
      </w:pPr>
      <w:bookmarkStart w:id="25" w:name="_Toc61551301"/>
      <w:r>
        <w:rPr>
          <w:rFonts w:hint="eastAsia" w:ascii="宋体" w:hAnsi="宋体" w:eastAsia="宋体" w:cs="宋体"/>
          <w:sz w:val="21"/>
          <w:szCs w:val="21"/>
        </w:rPr>
        <w:t>附件六：项目公司月度财务报表（资产负债表、现金流量表、利润表）</w:t>
      </w:r>
      <w:bookmarkEnd w:id="25"/>
    </w:p>
    <w:p>
      <w:pPr>
        <w:spacing w:line="480" w:lineRule="auto"/>
        <w:jc w:val="center"/>
        <w:rPr>
          <w:rFonts w:ascii="宋体" w:hAnsi="宋体" w:cs="宋体"/>
          <w:sz w:val="18"/>
          <w:szCs w:val="18"/>
        </w:rPr>
      </w:pPr>
      <w:bookmarkStart w:id="26" w:name="_Toc19178022"/>
      <w:r>
        <w:rPr>
          <w:rFonts w:ascii="宋体" w:hAnsi="宋体" w:cs="宋体"/>
          <w:sz w:val="18"/>
          <w:szCs w:val="18"/>
        </w:rPr>
        <w:t>表十七：</w:t>
      </w:r>
      <w:r>
        <w:rPr>
          <w:rFonts w:hint="eastAsia" w:ascii="宋体" w:hAnsi="宋体" w:cs="宋体"/>
          <w:sz w:val="18"/>
          <w:szCs w:val="18"/>
        </w:rPr>
        <w:t>资产负债表</w:t>
      </w:r>
      <w:bookmarkEnd w:id="26"/>
    </w:p>
    <w:tbl>
      <w:tblPr>
        <w:tblStyle w:val="24"/>
        <w:tblW w:w="10720" w:type="dxa"/>
        <w:jc w:val="center"/>
        <w:tblLayout w:type="autofit"/>
        <w:tblCellMar>
          <w:top w:w="0" w:type="dxa"/>
          <w:left w:w="108" w:type="dxa"/>
          <w:bottom w:w="0" w:type="dxa"/>
          <w:right w:w="108" w:type="dxa"/>
        </w:tblCellMar>
      </w:tblPr>
      <w:tblGrid>
        <w:gridCol w:w="1040"/>
        <w:gridCol w:w="2980"/>
        <w:gridCol w:w="4340"/>
        <w:gridCol w:w="1420"/>
        <w:gridCol w:w="940"/>
      </w:tblGrid>
      <w:tr>
        <w:trPr>
          <w:trHeight w:val="255" w:hRule="atLeast"/>
          <w:jc w:val="center"/>
        </w:trPr>
        <w:tc>
          <w:tcPr>
            <w:tcW w:w="1040" w:type="dxa"/>
            <w:shd w:val="clear" w:color="auto" w:fill="auto"/>
            <w:noWrap/>
            <w:vAlign w:val="center"/>
          </w:tcPr>
          <w:p>
            <w:pPr>
              <w:rPr>
                <w:rFonts w:ascii="宋体" w:hAnsi="宋体" w:cs="宋体"/>
                <w:color w:val="000000"/>
                <w:sz w:val="20"/>
                <w:szCs w:val="20"/>
              </w:rPr>
            </w:pPr>
            <w:r>
              <w:rPr>
                <w:rFonts w:hint="eastAsia" w:ascii="宋体" w:hAnsi="宋体" w:cs="宋体"/>
                <w:color w:val="000000"/>
                <w:sz w:val="20"/>
                <w:szCs w:val="20"/>
              </w:rPr>
              <w:t>编制单位:</w:t>
            </w:r>
          </w:p>
        </w:tc>
        <w:tc>
          <w:tcPr>
            <w:tcW w:w="2980" w:type="dxa"/>
            <w:shd w:val="clear" w:color="FFFFFF" w:fill="FFFFFF"/>
            <w:noWrap/>
            <w:vAlign w:val="center"/>
          </w:tcPr>
          <w:p>
            <w:pPr>
              <w:rPr>
                <w:rFonts w:ascii="宋体" w:hAnsi="宋体" w:cs="宋体"/>
                <w:color w:val="000000"/>
                <w:sz w:val="20"/>
                <w:szCs w:val="20"/>
              </w:rPr>
            </w:pPr>
            <w:r>
              <w:rPr>
                <w:rFonts w:hint="eastAsia" w:ascii="宋体" w:hAnsi="宋体" w:cs="宋体"/>
                <w:color w:val="000000"/>
                <w:sz w:val="20"/>
                <w:szCs w:val="20"/>
              </w:rPr>
              <w:t>桂林威祺房地产开发有限公司</w:t>
            </w:r>
          </w:p>
        </w:tc>
        <w:tc>
          <w:tcPr>
            <w:tcW w:w="4340" w:type="dxa"/>
            <w:shd w:val="clear" w:color="FFFFFF" w:fill="FFFFFF"/>
            <w:noWrap/>
            <w:vAlign w:val="center"/>
          </w:tcPr>
          <w:p>
            <w:pPr>
              <w:jc w:val="center"/>
              <w:rPr>
                <w:rFonts w:ascii="宋体" w:hAnsi="宋体" w:cs="宋体"/>
                <w:color w:val="000000"/>
                <w:sz w:val="20"/>
                <w:szCs w:val="20"/>
              </w:rPr>
            </w:pPr>
            <w:r>
              <w:rPr>
                <w:rFonts w:hint="eastAsia" w:ascii="宋体" w:hAnsi="宋体" w:cs="宋体"/>
                <w:color w:val="000000"/>
                <w:sz w:val="20"/>
                <w:szCs w:val="20"/>
              </w:rPr>
              <w:t>2020年12月31日</w:t>
            </w:r>
          </w:p>
        </w:tc>
        <w:tc>
          <w:tcPr>
            <w:tcW w:w="1420" w:type="dxa"/>
            <w:shd w:val="clear" w:color="auto" w:fill="auto"/>
            <w:noWrap/>
            <w:vAlign w:val="center"/>
          </w:tcPr>
          <w:p>
            <w:pPr>
              <w:rPr>
                <w:rFonts w:ascii="宋体" w:hAnsi="宋体" w:cs="宋体"/>
                <w:color w:val="000000"/>
              </w:rPr>
            </w:pPr>
            <w:r>
              <w:rPr>
                <w:rFonts w:hint="eastAsia" w:ascii="宋体" w:hAnsi="宋体" w:cs="宋体"/>
                <w:color w:val="000000"/>
              </w:rPr>
              <w:t>　</w:t>
            </w:r>
          </w:p>
        </w:tc>
        <w:tc>
          <w:tcPr>
            <w:tcW w:w="940" w:type="dxa"/>
            <w:shd w:val="clear" w:color="auto" w:fill="auto"/>
            <w:noWrap/>
            <w:vAlign w:val="center"/>
          </w:tcPr>
          <w:p>
            <w:pPr>
              <w:rPr>
                <w:rFonts w:ascii="宋体" w:hAnsi="宋体" w:cs="宋体"/>
                <w:color w:val="000000"/>
                <w:sz w:val="20"/>
                <w:szCs w:val="20"/>
              </w:rPr>
            </w:pPr>
            <w:r>
              <w:rPr>
                <w:rFonts w:hint="eastAsia" w:ascii="宋体" w:hAnsi="宋体" w:cs="宋体"/>
                <w:color w:val="000000"/>
                <w:sz w:val="20"/>
                <w:szCs w:val="20"/>
              </w:rPr>
              <w:t>单位: 元</w:t>
            </w:r>
          </w:p>
        </w:tc>
      </w:tr>
    </w:tbl>
    <w:p>
      <w:pPr>
        <w:widowControl w:val="0"/>
        <w:spacing w:line="360" w:lineRule="auto"/>
        <w:textAlignment w:val="center"/>
        <w:rPr>
          <w:rFonts w:asciiTheme="minorEastAsia" w:hAnsiTheme="minorEastAsia" w:eastAsiaTheme="minorEastAsia" w:cstheme="minorEastAsia"/>
          <w:b/>
          <w:sz w:val="18"/>
          <w:szCs w:val="18"/>
          <w:lang w:bidi="ar"/>
        </w:rPr>
      </w:pPr>
    </w:p>
    <w:tbl>
      <w:tblPr>
        <w:tblStyle w:val="24"/>
        <w:tblW w:w="10960" w:type="dxa"/>
        <w:jc w:val="center"/>
        <w:tblLayout w:type="autofit"/>
        <w:tblCellMar>
          <w:top w:w="0" w:type="dxa"/>
          <w:left w:w="108" w:type="dxa"/>
          <w:bottom w:w="0" w:type="dxa"/>
          <w:right w:w="108" w:type="dxa"/>
        </w:tblCellMar>
      </w:tblPr>
      <w:tblGrid>
        <w:gridCol w:w="2080"/>
        <w:gridCol w:w="520"/>
        <w:gridCol w:w="1520"/>
        <w:gridCol w:w="920"/>
        <w:gridCol w:w="2920"/>
        <w:gridCol w:w="520"/>
        <w:gridCol w:w="1520"/>
        <w:gridCol w:w="960"/>
      </w:tblGrid>
      <w:tr>
        <w:trPr>
          <w:trHeight w:val="300" w:hRule="atLeast"/>
          <w:tblHeader/>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cs="宋体"/>
                <w:b/>
                <w:bCs/>
                <w:color w:val="000000"/>
                <w:sz w:val="18"/>
                <w:szCs w:val="18"/>
              </w:rPr>
            </w:pPr>
            <w:r>
              <w:rPr>
                <w:rFonts w:hint="eastAsia" w:ascii="宋体" w:hAnsi="宋体" w:cs="宋体"/>
                <w:b/>
                <w:bCs/>
                <w:color w:val="000000"/>
                <w:sz w:val="18"/>
                <w:szCs w:val="18"/>
              </w:rPr>
              <w:t>资产</w:t>
            </w:r>
          </w:p>
        </w:tc>
        <w:tc>
          <w:tcPr>
            <w:tcW w:w="52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行次</w:t>
            </w:r>
          </w:p>
        </w:tc>
        <w:tc>
          <w:tcPr>
            <w:tcW w:w="152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期末余额</w:t>
            </w:r>
          </w:p>
        </w:tc>
        <w:tc>
          <w:tcPr>
            <w:tcW w:w="92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年初</w:t>
            </w:r>
          </w:p>
          <w:p>
            <w:pPr>
              <w:jc w:val="center"/>
              <w:rPr>
                <w:rFonts w:ascii="宋体" w:hAnsi="宋体" w:cs="宋体"/>
                <w:b/>
                <w:bCs/>
                <w:color w:val="000000"/>
                <w:sz w:val="18"/>
                <w:szCs w:val="18"/>
              </w:rPr>
            </w:pPr>
            <w:r>
              <w:rPr>
                <w:rFonts w:hint="eastAsia" w:ascii="宋体" w:hAnsi="宋体" w:cs="宋体"/>
                <w:b/>
                <w:bCs/>
                <w:color w:val="000000"/>
                <w:sz w:val="18"/>
                <w:szCs w:val="18"/>
              </w:rPr>
              <w:t>余额</w:t>
            </w:r>
          </w:p>
        </w:tc>
        <w:tc>
          <w:tcPr>
            <w:tcW w:w="2920"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b/>
                <w:bCs/>
                <w:color w:val="000000"/>
                <w:sz w:val="18"/>
                <w:szCs w:val="18"/>
              </w:rPr>
            </w:pPr>
            <w:r>
              <w:rPr>
                <w:rFonts w:hint="eastAsia" w:ascii="宋体" w:hAnsi="宋体" w:cs="宋体"/>
                <w:b/>
                <w:bCs/>
                <w:color w:val="000000"/>
                <w:sz w:val="18"/>
                <w:szCs w:val="18"/>
              </w:rPr>
              <w:t>负债和所有者权益（或股东权益）</w:t>
            </w:r>
          </w:p>
        </w:tc>
        <w:tc>
          <w:tcPr>
            <w:tcW w:w="52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行次</w:t>
            </w:r>
          </w:p>
        </w:tc>
        <w:tc>
          <w:tcPr>
            <w:tcW w:w="152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期末余额</w:t>
            </w:r>
          </w:p>
        </w:tc>
        <w:tc>
          <w:tcPr>
            <w:tcW w:w="9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年初余额</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b/>
                <w:bCs/>
                <w:color w:val="000000"/>
                <w:sz w:val="18"/>
                <w:szCs w:val="18"/>
              </w:rPr>
            </w:pPr>
            <w:r>
              <w:rPr>
                <w:rFonts w:hint="eastAsia" w:ascii="宋体" w:hAnsi="宋体" w:cs="宋体"/>
                <w:b/>
                <w:bCs/>
                <w:color w:val="000000"/>
                <w:sz w:val="18"/>
                <w:szCs w:val="18"/>
              </w:rPr>
              <w:t>流动资产：</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1</w:t>
            </w:r>
          </w:p>
        </w:tc>
        <w:tc>
          <w:tcPr>
            <w:tcW w:w="1520" w:type="dxa"/>
            <w:tcBorders>
              <w:top w:val="nil"/>
              <w:left w:val="nil"/>
              <w:bottom w:val="single" w:color="auto" w:sz="4" w:space="0"/>
              <w:right w:val="single" w:color="auto" w:sz="4" w:space="0"/>
            </w:tcBorders>
            <w:shd w:val="clear" w:color="auto" w:fill="auto"/>
          </w:tcPr>
          <w:p>
            <w:pPr>
              <w:jc w:val="right"/>
              <w:rPr>
                <w:rFonts w:ascii="宋体" w:hAnsi="宋体" w:cs="宋体"/>
                <w:b/>
                <w:bCs/>
                <w:color w:val="000000"/>
                <w:sz w:val="18"/>
                <w:szCs w:val="18"/>
              </w:rPr>
            </w:pPr>
            <w:r>
              <w:rPr>
                <w:rFonts w:hint="eastAsia" w:ascii="宋体" w:hAnsi="宋体" w:cs="宋体"/>
                <w:b/>
                <w:bCs/>
                <w:color w:val="000000"/>
                <w:sz w:val="18"/>
                <w:szCs w:val="18"/>
              </w:rPr>
              <w:t>　</w:t>
            </w:r>
          </w:p>
        </w:tc>
        <w:tc>
          <w:tcPr>
            <w:tcW w:w="920" w:type="dxa"/>
            <w:tcBorders>
              <w:top w:val="nil"/>
              <w:left w:val="nil"/>
              <w:bottom w:val="single" w:color="auto" w:sz="4" w:space="0"/>
              <w:right w:val="single" w:color="auto" w:sz="4" w:space="0"/>
            </w:tcBorders>
            <w:shd w:val="clear" w:color="auto" w:fill="auto"/>
          </w:tcPr>
          <w:p>
            <w:pPr>
              <w:jc w:val="right"/>
              <w:rPr>
                <w:rFonts w:ascii="宋体" w:hAnsi="宋体" w:cs="宋体"/>
                <w:b/>
                <w:bCs/>
                <w:color w:val="000000"/>
                <w:sz w:val="18"/>
                <w:szCs w:val="18"/>
              </w:rPr>
            </w:pPr>
            <w:r>
              <w:rPr>
                <w:rFonts w:hint="eastAsia" w:ascii="宋体" w:hAnsi="宋体" w:cs="宋体"/>
                <w:b/>
                <w:bCs/>
                <w:color w:val="000000"/>
                <w:sz w:val="18"/>
                <w:szCs w:val="18"/>
              </w:rPr>
              <w:t>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b/>
                <w:bCs/>
                <w:color w:val="000000"/>
                <w:sz w:val="18"/>
                <w:szCs w:val="18"/>
              </w:rPr>
            </w:pPr>
            <w:r>
              <w:rPr>
                <w:rFonts w:hint="eastAsia" w:ascii="宋体" w:hAnsi="宋体" w:cs="宋体"/>
                <w:b/>
                <w:bCs/>
                <w:color w:val="000000"/>
                <w:sz w:val="18"/>
                <w:szCs w:val="18"/>
              </w:rPr>
              <w:t>流动负债：</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44</w:t>
            </w:r>
          </w:p>
        </w:tc>
        <w:tc>
          <w:tcPr>
            <w:tcW w:w="1520" w:type="dxa"/>
            <w:tcBorders>
              <w:top w:val="nil"/>
              <w:left w:val="nil"/>
              <w:bottom w:val="single" w:color="auto" w:sz="4" w:space="0"/>
              <w:right w:val="single" w:color="auto" w:sz="4" w:space="0"/>
            </w:tcBorders>
            <w:shd w:val="clear" w:color="auto" w:fill="auto"/>
          </w:tcPr>
          <w:p>
            <w:pPr>
              <w:jc w:val="right"/>
              <w:rPr>
                <w:rFonts w:ascii="宋体" w:hAnsi="宋体" w:cs="宋体"/>
                <w:b/>
                <w:bCs/>
                <w:color w:val="000000"/>
                <w:sz w:val="18"/>
                <w:szCs w:val="18"/>
              </w:rPr>
            </w:pPr>
            <w:r>
              <w:rPr>
                <w:rFonts w:hint="eastAsia" w:ascii="宋体" w:hAnsi="宋体" w:cs="宋体"/>
                <w:b/>
                <w:bCs/>
                <w:color w:val="000000"/>
                <w:sz w:val="18"/>
                <w:szCs w:val="18"/>
              </w:rPr>
              <w:t>　</w:t>
            </w:r>
          </w:p>
        </w:tc>
        <w:tc>
          <w:tcPr>
            <w:tcW w:w="960" w:type="dxa"/>
            <w:tcBorders>
              <w:top w:val="nil"/>
              <w:left w:val="nil"/>
              <w:bottom w:val="single" w:color="auto" w:sz="4" w:space="0"/>
              <w:right w:val="single" w:color="auto" w:sz="4" w:space="0"/>
            </w:tcBorders>
            <w:shd w:val="clear" w:color="auto" w:fill="auto"/>
          </w:tcPr>
          <w:p>
            <w:pPr>
              <w:jc w:val="right"/>
              <w:rPr>
                <w:rFonts w:ascii="宋体" w:hAnsi="宋体" w:cs="宋体"/>
                <w:b/>
                <w:bCs/>
                <w:color w:val="000000"/>
                <w:sz w:val="18"/>
                <w:szCs w:val="18"/>
              </w:rPr>
            </w:pPr>
            <w:r>
              <w:rPr>
                <w:rFonts w:hint="eastAsia" w:ascii="宋体" w:hAnsi="宋体" w:cs="宋体"/>
                <w:b/>
                <w:bCs/>
                <w:color w:val="000000"/>
                <w:sz w:val="18"/>
                <w:szCs w:val="18"/>
              </w:rPr>
              <w:t>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货币资金</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2</w:t>
            </w:r>
          </w:p>
        </w:tc>
        <w:tc>
          <w:tcPr>
            <w:tcW w:w="1520" w:type="dxa"/>
            <w:tcBorders>
              <w:top w:val="nil"/>
              <w:left w:val="nil"/>
              <w:bottom w:val="single" w:color="auto" w:sz="4" w:space="0"/>
              <w:right w:val="single" w:color="auto" w:sz="4" w:space="0"/>
            </w:tcBorders>
            <w:shd w:val="clear" w:color="FFFFFF" w:fill="FFFFFF"/>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5,991,469.22 </w:t>
            </w:r>
          </w:p>
        </w:tc>
        <w:tc>
          <w:tcPr>
            <w:tcW w:w="920" w:type="dxa"/>
            <w:tcBorders>
              <w:top w:val="nil"/>
              <w:left w:val="nil"/>
              <w:bottom w:val="single" w:color="auto" w:sz="4" w:space="0"/>
              <w:right w:val="single" w:color="auto" w:sz="4" w:space="0"/>
            </w:tcBorders>
            <w:shd w:val="clear" w:color="FFFFFF" w:fill="FFFFFF"/>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短期借款</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45</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交易性金融资产</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3</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交易性金融负债</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46</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衍生金融资产</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4</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衍生金融负债</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47</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应收票据及应收账款</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5</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应付票据及应付账款</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48</w:t>
            </w:r>
          </w:p>
        </w:tc>
        <w:tc>
          <w:tcPr>
            <w:tcW w:w="1520" w:type="dxa"/>
            <w:tcBorders>
              <w:top w:val="nil"/>
              <w:left w:val="nil"/>
              <w:bottom w:val="single" w:color="auto" w:sz="4" w:space="0"/>
              <w:right w:val="single" w:color="auto" w:sz="4" w:space="0"/>
            </w:tcBorders>
            <w:shd w:val="clear" w:color="FFFFFF" w:fill="FFFFFF"/>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60" w:type="dxa"/>
            <w:tcBorders>
              <w:top w:val="nil"/>
              <w:left w:val="nil"/>
              <w:bottom w:val="single" w:color="auto" w:sz="4" w:space="0"/>
              <w:right w:val="single" w:color="auto" w:sz="4" w:space="0"/>
            </w:tcBorders>
            <w:shd w:val="clear" w:color="FFFFFF" w:fill="FFFFFF"/>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预付款项</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6</w:t>
            </w:r>
          </w:p>
        </w:tc>
        <w:tc>
          <w:tcPr>
            <w:tcW w:w="1520" w:type="dxa"/>
            <w:tcBorders>
              <w:top w:val="nil"/>
              <w:left w:val="nil"/>
              <w:bottom w:val="single" w:color="auto" w:sz="4" w:space="0"/>
              <w:right w:val="single" w:color="auto" w:sz="4" w:space="0"/>
            </w:tcBorders>
            <w:shd w:val="clear" w:color="FFFFFF" w:fill="FFFFFF"/>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11,094,181.90 </w:t>
            </w:r>
          </w:p>
        </w:tc>
        <w:tc>
          <w:tcPr>
            <w:tcW w:w="920" w:type="dxa"/>
            <w:tcBorders>
              <w:top w:val="nil"/>
              <w:left w:val="nil"/>
              <w:bottom w:val="single" w:color="auto" w:sz="4" w:space="0"/>
              <w:right w:val="single" w:color="auto" w:sz="4" w:space="0"/>
            </w:tcBorders>
            <w:shd w:val="clear" w:color="FFFFFF" w:fill="FFFFFF"/>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预收款项</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49</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其他应收款</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7</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102,000.00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合同负债</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50</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存货</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8</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339,006,000.00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应付职工薪酬</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51</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合同资产</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9</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应交税费</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52</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-1,531.25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持有待售资产</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10</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其他应付款</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53</w:t>
            </w:r>
          </w:p>
        </w:tc>
        <w:tc>
          <w:tcPr>
            <w:tcW w:w="1520" w:type="dxa"/>
            <w:tcBorders>
              <w:top w:val="nil"/>
              <w:left w:val="nil"/>
              <w:bottom w:val="single" w:color="auto" w:sz="4" w:space="0"/>
              <w:right w:val="single" w:color="auto" w:sz="4" w:space="0"/>
            </w:tcBorders>
            <w:shd w:val="clear" w:color="auto" w:fill="auto"/>
            <w:noWrap/>
            <w:vAlign w:val="center"/>
          </w:tcPr>
          <w:p>
            <w:pPr>
              <w:jc w:val="right"/>
              <w:rPr>
                <w:rFonts w:ascii="宋体" w:hAnsi="宋体" w:cs="宋体"/>
                <w:color w:val="000000"/>
                <w:sz w:val="18"/>
                <w:szCs w:val="18"/>
              </w:rPr>
            </w:pPr>
            <w:r>
              <w:rPr>
                <w:rFonts w:hint="eastAsia" w:ascii="宋体" w:hAnsi="宋体" w:cs="宋体"/>
                <w:color w:val="000000"/>
                <w:sz w:val="18"/>
                <w:szCs w:val="18"/>
              </w:rPr>
              <w:t xml:space="preserve">348,412,650.00 </w:t>
            </w:r>
          </w:p>
        </w:tc>
        <w:tc>
          <w:tcPr>
            <w:tcW w:w="960" w:type="dxa"/>
            <w:tcBorders>
              <w:top w:val="nil"/>
              <w:left w:val="nil"/>
              <w:bottom w:val="single" w:color="auto" w:sz="4" w:space="0"/>
              <w:right w:val="single" w:color="auto" w:sz="4" w:space="0"/>
            </w:tcBorders>
            <w:shd w:val="clear" w:color="auto" w:fill="auto"/>
            <w:noWrap/>
            <w:vAlign w:val="center"/>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一年内到期的非流动资产</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11</w:t>
            </w:r>
          </w:p>
        </w:tc>
        <w:tc>
          <w:tcPr>
            <w:tcW w:w="1520" w:type="dxa"/>
            <w:tcBorders>
              <w:top w:val="nil"/>
              <w:left w:val="nil"/>
              <w:bottom w:val="single" w:color="auto" w:sz="4" w:space="0"/>
              <w:right w:val="single" w:color="auto" w:sz="4" w:space="0"/>
            </w:tcBorders>
            <w:shd w:val="clear" w:color="FFFFFF" w:fill="FFFFFF"/>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20" w:type="dxa"/>
            <w:tcBorders>
              <w:top w:val="nil"/>
              <w:left w:val="nil"/>
              <w:bottom w:val="single" w:color="auto" w:sz="4" w:space="0"/>
              <w:right w:val="single" w:color="auto" w:sz="4" w:space="0"/>
            </w:tcBorders>
            <w:shd w:val="clear" w:color="FFFFFF" w:fill="FFFFFF"/>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持有待售负债</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54</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其他流动资产</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12</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2920" w:type="dxa"/>
            <w:tcBorders>
              <w:top w:val="nil"/>
              <w:left w:val="nil"/>
              <w:bottom w:val="single" w:color="auto" w:sz="4" w:space="0"/>
              <w:right w:val="single" w:color="auto" w:sz="4" w:space="0"/>
            </w:tcBorders>
            <w:shd w:val="clear" w:color="auto" w:fill="auto"/>
            <w:noWrap/>
            <w:vAlign w:val="center"/>
          </w:tcPr>
          <w:p>
            <w:pPr>
              <w:rPr>
                <w:rFonts w:ascii="宋体" w:hAnsi="宋体" w:cs="宋体"/>
                <w:color w:val="000000"/>
                <w:sz w:val="18"/>
                <w:szCs w:val="18"/>
              </w:rPr>
            </w:pPr>
            <w:r>
              <w:rPr>
                <w:rFonts w:hint="eastAsia" w:ascii="宋体" w:hAnsi="宋体" w:cs="宋体"/>
                <w:color w:val="000000"/>
                <w:sz w:val="18"/>
                <w:szCs w:val="18"/>
              </w:rPr>
              <w:t>一年内到期的非流动负债</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55</w:t>
            </w:r>
          </w:p>
        </w:tc>
        <w:tc>
          <w:tcPr>
            <w:tcW w:w="1520" w:type="dxa"/>
            <w:tcBorders>
              <w:top w:val="nil"/>
              <w:left w:val="nil"/>
              <w:bottom w:val="single" w:color="auto" w:sz="4" w:space="0"/>
              <w:right w:val="single" w:color="auto" w:sz="4" w:space="0"/>
            </w:tcBorders>
            <w:shd w:val="clear" w:color="FFFFFF" w:fill="FFFFFF"/>
            <w:noWrap/>
            <w:vAlign w:val="center"/>
          </w:tcPr>
          <w:p>
            <w:pPr>
              <w:jc w:val="right"/>
              <w:rPr>
                <w:rFonts w:ascii="宋体" w:hAnsi="宋体" w:cs="宋体"/>
                <w:color w:val="000000"/>
                <w:sz w:val="18"/>
                <w:szCs w:val="18"/>
              </w:rPr>
            </w:pPr>
            <w:r>
              <w:rPr>
                <w:rFonts w:hint="eastAsia" w:ascii="宋体" w:hAnsi="宋体" w:cs="宋体"/>
                <w:color w:val="000000"/>
                <w:sz w:val="18"/>
                <w:szCs w:val="18"/>
              </w:rPr>
              <w:t>　</w:t>
            </w:r>
          </w:p>
        </w:tc>
        <w:tc>
          <w:tcPr>
            <w:tcW w:w="960" w:type="dxa"/>
            <w:tcBorders>
              <w:top w:val="nil"/>
              <w:left w:val="nil"/>
              <w:bottom w:val="single" w:color="auto" w:sz="4" w:space="0"/>
              <w:right w:val="single" w:color="auto" w:sz="4" w:space="0"/>
            </w:tcBorders>
            <w:shd w:val="clear" w:color="FFFFFF" w:fill="FFFFFF"/>
            <w:noWrap/>
            <w:vAlign w:val="center"/>
          </w:tcPr>
          <w:p>
            <w:pPr>
              <w:jc w:val="right"/>
              <w:rPr>
                <w:rFonts w:ascii="宋体" w:hAnsi="宋体" w:cs="宋体"/>
                <w:color w:val="000000"/>
                <w:sz w:val="18"/>
                <w:szCs w:val="18"/>
              </w:rPr>
            </w:pPr>
            <w:r>
              <w:rPr>
                <w:rFonts w:hint="eastAsia" w:ascii="宋体" w:hAnsi="宋体" w:cs="宋体"/>
                <w:color w:val="000000"/>
                <w:sz w:val="18"/>
                <w:szCs w:val="18"/>
              </w:rPr>
              <w:t>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b/>
                <w:bCs/>
                <w:color w:val="000000"/>
                <w:sz w:val="18"/>
                <w:szCs w:val="18"/>
              </w:rPr>
            </w:pPr>
            <w:r>
              <w:rPr>
                <w:rFonts w:hint="eastAsia" w:ascii="宋体" w:hAnsi="宋体" w:cs="宋体"/>
                <w:b/>
                <w:bCs/>
                <w:color w:val="000000"/>
                <w:sz w:val="18"/>
                <w:szCs w:val="18"/>
              </w:rPr>
              <w:t>流动资产合计</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13</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356,193,651.12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其他流动负债</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56</w:t>
            </w:r>
          </w:p>
        </w:tc>
        <w:tc>
          <w:tcPr>
            <w:tcW w:w="1520" w:type="dxa"/>
            <w:tcBorders>
              <w:top w:val="nil"/>
              <w:left w:val="nil"/>
              <w:bottom w:val="single" w:color="auto" w:sz="4" w:space="0"/>
              <w:right w:val="single" w:color="auto" w:sz="4" w:space="0"/>
            </w:tcBorders>
            <w:shd w:val="clear" w:color="FFFFFF" w:fill="FFFFFF"/>
            <w:noWrap/>
            <w:vAlign w:val="center"/>
          </w:tcPr>
          <w:p>
            <w:pPr>
              <w:jc w:val="right"/>
              <w:rPr>
                <w:rFonts w:ascii="宋体" w:hAnsi="宋体" w:cs="宋体"/>
                <w:color w:val="000000"/>
                <w:sz w:val="18"/>
                <w:szCs w:val="18"/>
              </w:rPr>
            </w:pPr>
            <w:r>
              <w:rPr>
                <w:rFonts w:hint="eastAsia" w:ascii="宋体" w:hAnsi="宋体" w:cs="宋体"/>
                <w:color w:val="000000"/>
                <w:sz w:val="18"/>
                <w:szCs w:val="18"/>
              </w:rPr>
              <w:t>　</w:t>
            </w:r>
          </w:p>
        </w:tc>
        <w:tc>
          <w:tcPr>
            <w:tcW w:w="960" w:type="dxa"/>
            <w:tcBorders>
              <w:top w:val="nil"/>
              <w:left w:val="nil"/>
              <w:bottom w:val="single" w:color="auto" w:sz="4" w:space="0"/>
              <w:right w:val="single" w:color="auto" w:sz="4" w:space="0"/>
            </w:tcBorders>
            <w:shd w:val="clear" w:color="FFFFFF" w:fill="FFFFFF"/>
            <w:noWrap/>
            <w:vAlign w:val="center"/>
          </w:tcPr>
          <w:p>
            <w:pPr>
              <w:jc w:val="right"/>
              <w:rPr>
                <w:rFonts w:ascii="宋体" w:hAnsi="宋体" w:cs="宋体"/>
                <w:color w:val="000000"/>
                <w:sz w:val="18"/>
                <w:szCs w:val="18"/>
              </w:rPr>
            </w:pPr>
            <w:r>
              <w:rPr>
                <w:rFonts w:hint="eastAsia" w:ascii="宋体" w:hAnsi="宋体" w:cs="宋体"/>
                <w:color w:val="000000"/>
                <w:sz w:val="18"/>
                <w:szCs w:val="18"/>
              </w:rPr>
              <w:t>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b/>
                <w:bCs/>
                <w:color w:val="000000"/>
                <w:sz w:val="18"/>
                <w:szCs w:val="18"/>
              </w:rPr>
            </w:pPr>
            <w:r>
              <w:rPr>
                <w:rFonts w:hint="eastAsia" w:ascii="宋体" w:hAnsi="宋体" w:cs="宋体"/>
                <w:b/>
                <w:bCs/>
                <w:color w:val="000000"/>
                <w:sz w:val="18"/>
                <w:szCs w:val="18"/>
              </w:rPr>
              <w:t>非流动资产：</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14</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20" w:type="dxa"/>
            <w:tcBorders>
              <w:top w:val="nil"/>
              <w:left w:val="nil"/>
              <w:bottom w:val="single" w:color="auto" w:sz="4" w:space="0"/>
              <w:right w:val="single" w:color="auto" w:sz="4" w:space="0"/>
            </w:tcBorders>
            <w:shd w:val="clear" w:color="auto" w:fill="auto"/>
            <w:noWrap/>
            <w:vAlign w:val="center"/>
          </w:tcPr>
          <w:p>
            <w:pPr>
              <w:rPr>
                <w:rFonts w:ascii="宋体" w:hAnsi="宋体" w:cs="宋体"/>
                <w:color w:val="000000"/>
                <w:sz w:val="18"/>
                <w:szCs w:val="18"/>
              </w:rPr>
            </w:pPr>
            <w:r>
              <w:rPr>
                <w:rFonts w:hint="eastAsia" w:ascii="宋体" w:hAnsi="宋体" w:cs="宋体"/>
                <w:color w:val="000000"/>
                <w:sz w:val="18"/>
                <w:szCs w:val="18"/>
              </w:rPr>
              <w:t>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b/>
                <w:bCs/>
                <w:color w:val="000000"/>
                <w:sz w:val="18"/>
                <w:szCs w:val="18"/>
              </w:rPr>
            </w:pPr>
            <w:r>
              <w:rPr>
                <w:rFonts w:hint="eastAsia" w:ascii="宋体" w:hAnsi="宋体" w:cs="宋体"/>
                <w:b/>
                <w:bCs/>
                <w:color w:val="000000"/>
                <w:sz w:val="18"/>
                <w:szCs w:val="18"/>
              </w:rPr>
              <w:t>流动负债合计</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57</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348,411,118.75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债权投资</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15</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b/>
                <w:bCs/>
                <w:color w:val="000000"/>
                <w:sz w:val="18"/>
                <w:szCs w:val="18"/>
              </w:rPr>
            </w:pPr>
            <w:r>
              <w:rPr>
                <w:rFonts w:hint="eastAsia" w:ascii="宋体" w:hAnsi="宋体" w:cs="宋体"/>
                <w:b/>
                <w:bCs/>
                <w:color w:val="000000"/>
                <w:sz w:val="18"/>
                <w:szCs w:val="18"/>
              </w:rPr>
              <w:t>非流动负债：</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58</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其他债权投资</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16</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长期借款</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59</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长期应收款</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17</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应付债券</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60</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375"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长期股权投资</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18</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其中：优先股</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61</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r>
      <w:tr>
        <w:trPr>
          <w:trHeight w:val="375"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其他权益工具投资</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19</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其中：永续债</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62</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u w:val="single"/>
              </w:rPr>
            </w:pPr>
            <w:r>
              <w:rPr>
                <w:rFonts w:hint="eastAsia" w:ascii="宋体" w:hAnsi="宋体" w:cs="宋体"/>
                <w:color w:val="000000"/>
                <w:sz w:val="18"/>
                <w:szCs w:val="18"/>
                <w:u w:val="single"/>
              </w:rPr>
              <w:t>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其他非流动金融资产</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20</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长期应付款</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63</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投资性房地产</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21</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预计负债</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64</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固定资产</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22</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递延收益</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65</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在建工程</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23</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递延所得税负债</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66</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生产性生物资产</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24</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其他非流动负债</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67</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油气资产</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25</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b/>
                <w:bCs/>
                <w:color w:val="000000"/>
                <w:sz w:val="18"/>
                <w:szCs w:val="18"/>
              </w:rPr>
            </w:pPr>
            <w:r>
              <w:rPr>
                <w:rFonts w:hint="eastAsia" w:ascii="宋体" w:hAnsi="宋体" w:cs="宋体"/>
                <w:b/>
                <w:bCs/>
                <w:color w:val="000000"/>
                <w:sz w:val="18"/>
                <w:szCs w:val="18"/>
              </w:rPr>
              <w:t>非流动负债合计</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68</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无形资产</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26</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b/>
                <w:bCs/>
                <w:color w:val="000000"/>
                <w:sz w:val="18"/>
                <w:szCs w:val="18"/>
              </w:rPr>
            </w:pPr>
            <w:r>
              <w:rPr>
                <w:rFonts w:hint="eastAsia" w:ascii="宋体" w:hAnsi="宋体" w:cs="宋体"/>
                <w:b/>
                <w:bCs/>
                <w:color w:val="000000"/>
                <w:sz w:val="18"/>
                <w:szCs w:val="18"/>
              </w:rPr>
              <w:t>负债合计</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69</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348,411,118.75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开发支出</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27</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b/>
                <w:bCs/>
                <w:color w:val="000000"/>
                <w:sz w:val="18"/>
                <w:szCs w:val="18"/>
              </w:rPr>
            </w:pPr>
            <w:r>
              <w:rPr>
                <w:rFonts w:hint="eastAsia" w:ascii="宋体" w:hAnsi="宋体" w:cs="宋体"/>
                <w:b/>
                <w:bCs/>
                <w:color w:val="000000"/>
                <w:sz w:val="18"/>
                <w:szCs w:val="18"/>
              </w:rPr>
              <w:t>所有者权益（股东权益）：</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70</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商誉</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28</w:t>
            </w:r>
          </w:p>
        </w:tc>
        <w:tc>
          <w:tcPr>
            <w:tcW w:w="1520" w:type="dxa"/>
            <w:tcBorders>
              <w:top w:val="nil"/>
              <w:left w:val="nil"/>
              <w:bottom w:val="single" w:color="auto" w:sz="4" w:space="0"/>
              <w:right w:val="single" w:color="auto" w:sz="4" w:space="0"/>
            </w:tcBorders>
            <w:shd w:val="clear" w:color="FFFFFF" w:fill="FFFFFF"/>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20" w:type="dxa"/>
            <w:tcBorders>
              <w:top w:val="nil"/>
              <w:left w:val="nil"/>
              <w:bottom w:val="single" w:color="auto" w:sz="4" w:space="0"/>
              <w:right w:val="single" w:color="auto" w:sz="4" w:space="0"/>
            </w:tcBorders>
            <w:shd w:val="clear" w:color="FFFFFF" w:fill="FFFFFF"/>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实收资本（或股本）</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71</w:t>
            </w:r>
          </w:p>
        </w:tc>
        <w:tc>
          <w:tcPr>
            <w:tcW w:w="1520" w:type="dxa"/>
            <w:tcBorders>
              <w:top w:val="nil"/>
              <w:left w:val="nil"/>
              <w:bottom w:val="single" w:color="auto" w:sz="4" w:space="0"/>
              <w:right w:val="single" w:color="auto" w:sz="4" w:space="0"/>
            </w:tcBorders>
            <w:shd w:val="clear" w:color="auto" w:fill="auto"/>
            <w:noWrap/>
            <w:vAlign w:val="center"/>
          </w:tcPr>
          <w:p>
            <w:pPr>
              <w:jc w:val="right"/>
              <w:rPr>
                <w:rFonts w:ascii="宋体" w:hAnsi="宋体" w:cs="宋体"/>
                <w:color w:val="000000"/>
                <w:sz w:val="18"/>
                <w:szCs w:val="18"/>
              </w:rPr>
            </w:pPr>
            <w:r>
              <w:rPr>
                <w:rFonts w:hint="eastAsia" w:ascii="宋体" w:hAnsi="宋体" w:cs="宋体"/>
                <w:color w:val="000000"/>
                <w:sz w:val="18"/>
                <w:szCs w:val="18"/>
              </w:rPr>
              <w:t xml:space="preserve">8,000,000.00 </w:t>
            </w:r>
          </w:p>
        </w:tc>
        <w:tc>
          <w:tcPr>
            <w:tcW w:w="960" w:type="dxa"/>
            <w:tcBorders>
              <w:top w:val="nil"/>
              <w:left w:val="nil"/>
              <w:bottom w:val="single" w:color="auto" w:sz="4" w:space="0"/>
              <w:right w:val="single" w:color="auto" w:sz="4" w:space="0"/>
            </w:tcBorders>
            <w:shd w:val="clear" w:color="auto" w:fill="auto"/>
            <w:noWrap/>
            <w:vAlign w:val="center"/>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FFFFFF" w:fill="FFFFFF"/>
            <w:vAlign w:val="bottom"/>
          </w:tcPr>
          <w:p>
            <w:pPr>
              <w:rPr>
                <w:rFonts w:ascii="宋体" w:hAnsi="宋体" w:cs="宋体"/>
                <w:color w:val="000000"/>
                <w:sz w:val="18"/>
                <w:szCs w:val="18"/>
              </w:rPr>
            </w:pPr>
            <w:r>
              <w:rPr>
                <w:rFonts w:hint="eastAsia" w:ascii="宋体" w:hAnsi="宋体" w:cs="宋体"/>
                <w:color w:val="000000"/>
                <w:sz w:val="18"/>
                <w:szCs w:val="18"/>
              </w:rPr>
              <w:t>长期待摊费用</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29</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其他权益工具</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72</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递延所得税资产</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30</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其中：优先股</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73</w:t>
            </w:r>
          </w:p>
        </w:tc>
        <w:tc>
          <w:tcPr>
            <w:tcW w:w="1520" w:type="dxa"/>
            <w:tcBorders>
              <w:top w:val="nil"/>
              <w:left w:val="nil"/>
              <w:bottom w:val="single" w:color="auto" w:sz="4" w:space="0"/>
              <w:right w:val="single" w:color="auto" w:sz="4" w:space="0"/>
            </w:tcBorders>
            <w:shd w:val="clear" w:color="auto" w:fill="auto"/>
            <w:noWrap/>
            <w:vAlign w:val="center"/>
          </w:tcPr>
          <w:p>
            <w:pPr>
              <w:jc w:val="right"/>
              <w:rPr>
                <w:rFonts w:ascii="宋体" w:hAnsi="宋体" w:cs="宋体"/>
                <w:color w:val="000000"/>
                <w:sz w:val="18"/>
                <w:szCs w:val="18"/>
              </w:rPr>
            </w:pPr>
            <w:r>
              <w:rPr>
                <w:rFonts w:hint="eastAsia" w:ascii="宋体" w:hAnsi="宋体" w:cs="宋体"/>
                <w:color w:val="000000"/>
                <w:sz w:val="18"/>
                <w:szCs w:val="18"/>
              </w:rPr>
              <w:t>　</w:t>
            </w:r>
          </w:p>
        </w:tc>
        <w:tc>
          <w:tcPr>
            <w:tcW w:w="960" w:type="dxa"/>
            <w:tcBorders>
              <w:top w:val="nil"/>
              <w:left w:val="nil"/>
              <w:bottom w:val="single" w:color="auto" w:sz="4" w:space="0"/>
              <w:right w:val="single" w:color="auto" w:sz="4" w:space="0"/>
            </w:tcBorders>
            <w:shd w:val="clear" w:color="auto" w:fill="auto"/>
            <w:noWrap/>
            <w:vAlign w:val="center"/>
          </w:tcPr>
          <w:p>
            <w:pPr>
              <w:jc w:val="right"/>
              <w:rPr>
                <w:rFonts w:ascii="宋体" w:hAnsi="宋体" w:cs="宋体"/>
                <w:color w:val="000000"/>
                <w:sz w:val="18"/>
                <w:szCs w:val="18"/>
              </w:rPr>
            </w:pPr>
            <w:r>
              <w:rPr>
                <w:rFonts w:hint="eastAsia" w:ascii="宋体" w:hAnsi="宋体" w:cs="宋体"/>
                <w:color w:val="000000"/>
                <w:sz w:val="18"/>
                <w:szCs w:val="18"/>
              </w:rPr>
              <w:t>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其他非流动资产</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31</w:t>
            </w:r>
          </w:p>
        </w:tc>
        <w:tc>
          <w:tcPr>
            <w:tcW w:w="1520" w:type="dxa"/>
            <w:tcBorders>
              <w:top w:val="nil"/>
              <w:left w:val="nil"/>
              <w:bottom w:val="single" w:color="auto" w:sz="4" w:space="0"/>
              <w:right w:val="single" w:color="auto" w:sz="4" w:space="0"/>
            </w:tcBorders>
            <w:shd w:val="clear" w:color="FFFFFF" w:fill="FFFFFF"/>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20" w:type="dxa"/>
            <w:tcBorders>
              <w:top w:val="nil"/>
              <w:left w:val="nil"/>
              <w:bottom w:val="single" w:color="auto" w:sz="4" w:space="0"/>
              <w:right w:val="single" w:color="auto" w:sz="4" w:space="0"/>
            </w:tcBorders>
            <w:shd w:val="clear" w:color="FFFFFF" w:fill="FFFFFF"/>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其中：永续债</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74</w:t>
            </w:r>
          </w:p>
        </w:tc>
        <w:tc>
          <w:tcPr>
            <w:tcW w:w="1520" w:type="dxa"/>
            <w:tcBorders>
              <w:top w:val="nil"/>
              <w:left w:val="nil"/>
              <w:bottom w:val="single" w:color="auto" w:sz="4" w:space="0"/>
              <w:right w:val="single" w:color="auto" w:sz="4" w:space="0"/>
            </w:tcBorders>
            <w:shd w:val="clear" w:color="auto" w:fill="auto"/>
            <w:noWrap/>
            <w:vAlign w:val="center"/>
          </w:tcPr>
          <w:p>
            <w:pPr>
              <w:jc w:val="right"/>
              <w:rPr>
                <w:rFonts w:ascii="宋体" w:hAnsi="宋体" w:cs="宋体"/>
                <w:color w:val="000000"/>
                <w:sz w:val="18"/>
                <w:szCs w:val="18"/>
              </w:rPr>
            </w:pPr>
            <w:r>
              <w:rPr>
                <w:rFonts w:hint="eastAsia" w:ascii="宋体" w:hAnsi="宋体" w:cs="宋体"/>
                <w:color w:val="000000"/>
                <w:sz w:val="18"/>
                <w:szCs w:val="18"/>
              </w:rPr>
              <w:t>　</w:t>
            </w:r>
          </w:p>
        </w:tc>
        <w:tc>
          <w:tcPr>
            <w:tcW w:w="960" w:type="dxa"/>
            <w:tcBorders>
              <w:top w:val="nil"/>
              <w:left w:val="nil"/>
              <w:bottom w:val="single" w:color="auto" w:sz="4" w:space="0"/>
              <w:right w:val="single" w:color="auto" w:sz="4" w:space="0"/>
            </w:tcBorders>
            <w:shd w:val="clear" w:color="auto" w:fill="auto"/>
            <w:noWrap/>
            <w:vAlign w:val="center"/>
          </w:tcPr>
          <w:p>
            <w:pPr>
              <w:jc w:val="right"/>
              <w:rPr>
                <w:rFonts w:ascii="宋体" w:hAnsi="宋体" w:cs="宋体"/>
                <w:color w:val="000000"/>
                <w:sz w:val="18"/>
                <w:szCs w:val="18"/>
              </w:rPr>
            </w:pPr>
            <w:r>
              <w:rPr>
                <w:rFonts w:hint="eastAsia" w:ascii="宋体" w:hAnsi="宋体" w:cs="宋体"/>
                <w:color w:val="000000"/>
                <w:sz w:val="18"/>
                <w:szCs w:val="18"/>
              </w:rPr>
              <w:t>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FFFFFF" w:fill="FFFFFF"/>
            <w:vAlign w:val="bottom"/>
          </w:tcPr>
          <w:p>
            <w:pPr>
              <w:rPr>
                <w:rFonts w:ascii="宋体" w:hAnsi="宋体" w:cs="宋体"/>
                <w:color w:val="000000"/>
                <w:sz w:val="18"/>
                <w:szCs w:val="18"/>
              </w:rPr>
            </w:pPr>
            <w:r>
              <w:rPr>
                <w:rFonts w:hint="eastAsia" w:ascii="宋体" w:hAnsi="宋体" w:cs="宋体"/>
                <w:color w:val="000000"/>
                <w:sz w:val="18"/>
                <w:szCs w:val="18"/>
              </w:rPr>
              <w:t>　</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32</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资本公积</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75</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b/>
                <w:bCs/>
                <w:color w:val="000000"/>
                <w:sz w:val="18"/>
                <w:szCs w:val="18"/>
              </w:rPr>
            </w:pPr>
            <w:r>
              <w:rPr>
                <w:rFonts w:hint="eastAsia" w:ascii="宋体" w:hAnsi="宋体" w:cs="宋体"/>
                <w:b/>
                <w:bCs/>
                <w:color w:val="000000"/>
                <w:sz w:val="18"/>
                <w:szCs w:val="18"/>
              </w:rPr>
              <w:t>非流动资产合计</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33</w:t>
            </w:r>
          </w:p>
        </w:tc>
        <w:tc>
          <w:tcPr>
            <w:tcW w:w="1520" w:type="dxa"/>
            <w:tcBorders>
              <w:top w:val="nil"/>
              <w:left w:val="nil"/>
              <w:bottom w:val="single" w:color="auto" w:sz="4" w:space="0"/>
              <w:right w:val="single" w:color="auto" w:sz="4" w:space="0"/>
            </w:tcBorders>
            <w:shd w:val="clear" w:color="FFFFFF" w:fill="FFFFFF"/>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20" w:type="dxa"/>
            <w:tcBorders>
              <w:top w:val="nil"/>
              <w:left w:val="nil"/>
              <w:bottom w:val="single" w:color="auto" w:sz="4" w:space="0"/>
              <w:right w:val="single" w:color="auto" w:sz="4" w:space="0"/>
            </w:tcBorders>
            <w:shd w:val="clear" w:color="FFFFFF" w:fill="FFFFFF"/>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减：库存股</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76</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　</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34</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其他综合收益</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77</w:t>
            </w:r>
          </w:p>
        </w:tc>
        <w:tc>
          <w:tcPr>
            <w:tcW w:w="1520" w:type="dxa"/>
            <w:tcBorders>
              <w:top w:val="nil"/>
              <w:left w:val="nil"/>
              <w:bottom w:val="single" w:color="auto" w:sz="4" w:space="0"/>
              <w:right w:val="single" w:color="auto" w:sz="4" w:space="0"/>
            </w:tcBorders>
            <w:shd w:val="clear" w:color="FFFFFF" w:fill="FFFFFF"/>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60" w:type="dxa"/>
            <w:tcBorders>
              <w:top w:val="nil"/>
              <w:left w:val="nil"/>
              <w:bottom w:val="single" w:color="auto" w:sz="4" w:space="0"/>
              <w:right w:val="single" w:color="auto" w:sz="4" w:space="0"/>
            </w:tcBorders>
            <w:shd w:val="clear" w:color="FFFFFF" w:fill="FFFFFF"/>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　</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35</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2920" w:type="dxa"/>
            <w:tcBorders>
              <w:top w:val="nil"/>
              <w:left w:val="nil"/>
              <w:bottom w:val="single" w:color="auto" w:sz="4" w:space="0"/>
              <w:right w:val="single" w:color="auto" w:sz="4" w:space="0"/>
            </w:tcBorders>
            <w:shd w:val="clear" w:color="auto" w:fill="auto"/>
            <w:noWrap/>
            <w:vAlign w:val="center"/>
          </w:tcPr>
          <w:p>
            <w:pPr>
              <w:rPr>
                <w:rFonts w:ascii="宋体" w:hAnsi="宋体" w:cs="宋体"/>
                <w:color w:val="000000"/>
                <w:sz w:val="18"/>
                <w:szCs w:val="18"/>
              </w:rPr>
            </w:pPr>
            <w:r>
              <w:rPr>
                <w:rFonts w:hint="eastAsia" w:ascii="宋体" w:hAnsi="宋体" w:cs="宋体"/>
                <w:color w:val="000000"/>
                <w:sz w:val="18"/>
                <w:szCs w:val="18"/>
              </w:rPr>
              <w:t>专项储备</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78</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　</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36</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盈余公积</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79</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　</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37</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2920" w:type="dxa"/>
            <w:tcBorders>
              <w:top w:val="nil"/>
              <w:left w:val="nil"/>
              <w:bottom w:val="single" w:color="auto" w:sz="4" w:space="0"/>
              <w:right w:val="single" w:color="auto" w:sz="4" w:space="0"/>
            </w:tcBorders>
            <w:shd w:val="clear" w:color="auto" w:fill="auto"/>
            <w:noWrap/>
            <w:vAlign w:val="center"/>
          </w:tcPr>
          <w:p>
            <w:pPr>
              <w:rPr>
                <w:rFonts w:ascii="宋体" w:hAnsi="宋体" w:cs="宋体"/>
                <w:color w:val="000000"/>
                <w:sz w:val="18"/>
                <w:szCs w:val="18"/>
              </w:rPr>
            </w:pPr>
            <w:r>
              <w:rPr>
                <w:rFonts w:hint="eastAsia" w:ascii="宋体" w:hAnsi="宋体" w:cs="宋体"/>
                <w:color w:val="000000"/>
                <w:sz w:val="18"/>
                <w:szCs w:val="18"/>
              </w:rPr>
              <w:t>未分配利润</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80</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-217,467.63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　</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38</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母公司所有者权益合计：</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81</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7,782,532.37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b/>
                <w:bCs/>
                <w:color w:val="000000"/>
                <w:sz w:val="18"/>
                <w:szCs w:val="18"/>
              </w:rPr>
            </w:pPr>
            <w:r>
              <w:rPr>
                <w:rFonts w:hint="eastAsia" w:ascii="宋体" w:hAnsi="宋体" w:cs="宋体"/>
                <w:b/>
                <w:bCs/>
                <w:color w:val="000000"/>
                <w:sz w:val="18"/>
                <w:szCs w:val="18"/>
              </w:rPr>
              <w:t>　</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39</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color w:val="000000"/>
                <w:sz w:val="18"/>
                <w:szCs w:val="18"/>
              </w:rPr>
            </w:pPr>
            <w:r>
              <w:rPr>
                <w:rFonts w:hint="eastAsia" w:ascii="宋体" w:hAnsi="宋体" w:cs="宋体"/>
                <w:color w:val="000000"/>
                <w:sz w:val="18"/>
                <w:szCs w:val="18"/>
              </w:rPr>
              <w:t>少数股东权益</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82</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b/>
                <w:bCs/>
                <w:color w:val="000000"/>
                <w:sz w:val="18"/>
                <w:szCs w:val="18"/>
              </w:rPr>
            </w:pPr>
            <w:r>
              <w:rPr>
                <w:rFonts w:hint="eastAsia" w:ascii="宋体" w:hAnsi="宋体" w:cs="宋体"/>
                <w:b/>
                <w:bCs/>
                <w:color w:val="000000"/>
                <w:sz w:val="18"/>
                <w:szCs w:val="18"/>
              </w:rPr>
              <w:t>　</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40</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2920" w:type="dxa"/>
            <w:tcBorders>
              <w:top w:val="nil"/>
              <w:left w:val="nil"/>
              <w:bottom w:val="single" w:color="auto" w:sz="4" w:space="0"/>
              <w:right w:val="single" w:color="auto" w:sz="4" w:space="0"/>
            </w:tcBorders>
            <w:shd w:val="clear" w:color="auto" w:fill="auto"/>
            <w:vAlign w:val="bottom"/>
          </w:tcPr>
          <w:p>
            <w:pPr>
              <w:rPr>
                <w:rFonts w:ascii="宋体" w:hAnsi="宋体" w:cs="宋体"/>
                <w:b/>
                <w:bCs/>
                <w:color w:val="000000"/>
                <w:sz w:val="18"/>
                <w:szCs w:val="18"/>
              </w:rPr>
            </w:pPr>
            <w:r>
              <w:rPr>
                <w:rFonts w:hint="eastAsia" w:ascii="宋体" w:hAnsi="宋体" w:cs="宋体"/>
                <w:b/>
                <w:bCs/>
                <w:color w:val="000000"/>
                <w:sz w:val="18"/>
                <w:szCs w:val="18"/>
              </w:rPr>
              <w:t>所有者权益（或股东权益）合计</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83</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7,782,532.37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b/>
                <w:bCs/>
                <w:color w:val="000000"/>
                <w:sz w:val="18"/>
                <w:szCs w:val="18"/>
              </w:rPr>
            </w:pPr>
            <w:r>
              <w:rPr>
                <w:rFonts w:hint="eastAsia" w:ascii="宋体" w:hAnsi="宋体" w:cs="宋体"/>
                <w:b/>
                <w:bCs/>
                <w:color w:val="000000"/>
                <w:sz w:val="18"/>
                <w:szCs w:val="18"/>
              </w:rPr>
              <w:t>　</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41</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2920" w:type="dxa"/>
            <w:tcBorders>
              <w:top w:val="nil"/>
              <w:left w:val="nil"/>
              <w:bottom w:val="single" w:color="auto" w:sz="4" w:space="0"/>
              <w:right w:val="single" w:color="auto" w:sz="4" w:space="0"/>
            </w:tcBorders>
            <w:shd w:val="clear" w:color="auto" w:fill="auto"/>
            <w:noWrap/>
            <w:vAlign w:val="center"/>
          </w:tcPr>
          <w:p>
            <w:pPr>
              <w:rPr>
                <w:rFonts w:ascii="宋体" w:hAnsi="宋体" w:cs="宋体"/>
                <w:color w:val="000000"/>
                <w:sz w:val="18"/>
                <w:szCs w:val="18"/>
              </w:rPr>
            </w:pPr>
            <w:r>
              <w:rPr>
                <w:rFonts w:hint="eastAsia" w:ascii="宋体" w:hAnsi="宋体" w:cs="宋体"/>
                <w:color w:val="000000"/>
                <w:sz w:val="18"/>
                <w:szCs w:val="18"/>
              </w:rPr>
              <w:t>　</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84</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b/>
                <w:bCs/>
                <w:color w:val="000000"/>
                <w:sz w:val="18"/>
                <w:szCs w:val="18"/>
              </w:rPr>
            </w:pPr>
            <w:r>
              <w:rPr>
                <w:rFonts w:hint="eastAsia" w:ascii="宋体" w:hAnsi="宋体" w:cs="宋体"/>
                <w:b/>
                <w:bCs/>
                <w:color w:val="000000"/>
                <w:sz w:val="18"/>
                <w:szCs w:val="18"/>
              </w:rPr>
              <w:t>　</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42</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29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　</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85</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w:t>
            </w:r>
          </w:p>
        </w:tc>
      </w:tr>
      <w:tr>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宋体" w:hAnsi="宋体" w:cs="宋体"/>
                <w:b/>
                <w:bCs/>
                <w:color w:val="000000"/>
                <w:sz w:val="18"/>
                <w:szCs w:val="18"/>
              </w:rPr>
            </w:pPr>
            <w:r>
              <w:rPr>
                <w:rFonts w:hint="eastAsia" w:ascii="宋体" w:hAnsi="宋体" w:cs="宋体"/>
                <w:b/>
                <w:bCs/>
                <w:color w:val="000000"/>
                <w:sz w:val="18"/>
                <w:szCs w:val="18"/>
              </w:rPr>
              <w:t>资产总计</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43</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356,193,651.12 </w:t>
            </w:r>
          </w:p>
        </w:tc>
        <w:tc>
          <w:tcPr>
            <w:tcW w:w="9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c>
          <w:tcPr>
            <w:tcW w:w="2920" w:type="dxa"/>
            <w:tcBorders>
              <w:top w:val="nil"/>
              <w:left w:val="nil"/>
              <w:bottom w:val="single" w:color="auto" w:sz="4" w:space="0"/>
              <w:right w:val="single" w:color="auto" w:sz="4" w:space="0"/>
            </w:tcBorders>
            <w:shd w:val="clear" w:color="auto" w:fill="auto"/>
            <w:vAlign w:val="center"/>
          </w:tcPr>
          <w:p>
            <w:pPr>
              <w:rPr>
                <w:rFonts w:ascii="宋体" w:hAnsi="宋体" w:cs="宋体"/>
                <w:b/>
                <w:bCs/>
                <w:color w:val="000000"/>
                <w:sz w:val="18"/>
                <w:szCs w:val="18"/>
              </w:rPr>
            </w:pPr>
            <w:r>
              <w:rPr>
                <w:rFonts w:hint="eastAsia" w:ascii="宋体" w:hAnsi="宋体" w:cs="宋体"/>
                <w:b/>
                <w:bCs/>
                <w:color w:val="000000"/>
                <w:sz w:val="18"/>
                <w:szCs w:val="18"/>
              </w:rPr>
              <w:t>负债和所有者总计</w:t>
            </w:r>
          </w:p>
        </w:tc>
        <w:tc>
          <w:tcPr>
            <w:tcW w:w="520" w:type="dxa"/>
            <w:tcBorders>
              <w:top w:val="nil"/>
              <w:left w:val="nil"/>
              <w:bottom w:val="single" w:color="auto" w:sz="4" w:space="0"/>
              <w:right w:val="single" w:color="auto" w:sz="4" w:space="0"/>
            </w:tcBorders>
            <w:shd w:val="clear" w:color="auto" w:fill="auto"/>
            <w:vAlign w:val="bottom"/>
          </w:tcPr>
          <w:p>
            <w:pPr>
              <w:jc w:val="center"/>
              <w:rPr>
                <w:rFonts w:ascii="宋体" w:hAnsi="宋体" w:cs="宋体"/>
                <w:b/>
                <w:bCs/>
                <w:color w:val="000000"/>
                <w:sz w:val="18"/>
                <w:szCs w:val="18"/>
              </w:rPr>
            </w:pPr>
            <w:r>
              <w:rPr>
                <w:rFonts w:hint="eastAsia" w:ascii="宋体" w:hAnsi="宋体" w:cs="宋体"/>
                <w:b/>
                <w:bCs/>
                <w:color w:val="000000"/>
                <w:sz w:val="18"/>
                <w:szCs w:val="18"/>
              </w:rPr>
              <w:t>86</w:t>
            </w:r>
          </w:p>
        </w:tc>
        <w:tc>
          <w:tcPr>
            <w:tcW w:w="152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356,193,651.12 </w:t>
            </w:r>
          </w:p>
        </w:tc>
        <w:tc>
          <w:tcPr>
            <w:tcW w:w="960" w:type="dxa"/>
            <w:tcBorders>
              <w:top w:val="nil"/>
              <w:left w:val="nil"/>
              <w:bottom w:val="single" w:color="auto" w:sz="4" w:space="0"/>
              <w:right w:val="single" w:color="auto" w:sz="4" w:space="0"/>
            </w:tcBorders>
            <w:shd w:val="clear" w:color="auto" w:fill="auto"/>
            <w:vAlign w:val="bottom"/>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bl>
    <w:p>
      <w:pPr>
        <w:pStyle w:val="2"/>
        <w:ind w:firstLine="210"/>
        <w:rPr>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pStyle w:val="2"/>
        <w:ind w:firstLine="210"/>
      </w:pPr>
    </w:p>
    <w:p>
      <w:pPr>
        <w:pStyle w:val="2"/>
        <w:ind w:firstLine="210"/>
      </w:pPr>
    </w:p>
    <w:p>
      <w:pPr>
        <w:pStyle w:val="2"/>
        <w:ind w:firstLine="210"/>
      </w:pPr>
    </w:p>
    <w:p>
      <w:pPr>
        <w:pStyle w:val="2"/>
        <w:ind w:firstLine="210"/>
      </w:pPr>
    </w:p>
    <w:p>
      <w:pPr>
        <w:pStyle w:val="2"/>
        <w:ind w:firstLine="210"/>
      </w:pPr>
    </w:p>
    <w:p>
      <w:pPr>
        <w:pStyle w:val="2"/>
        <w:ind w:firstLine="210"/>
      </w:pPr>
    </w:p>
    <w:p>
      <w:pPr>
        <w:pStyle w:val="2"/>
        <w:ind w:firstLine="210"/>
      </w:pPr>
    </w:p>
    <w:p>
      <w:pPr>
        <w:pStyle w:val="2"/>
        <w:ind w:firstLine="210"/>
      </w:pPr>
    </w:p>
    <w:p>
      <w:pPr>
        <w:pStyle w:val="2"/>
        <w:ind w:firstLine="210"/>
      </w:pPr>
    </w:p>
    <w:p>
      <w:pPr>
        <w:pStyle w:val="2"/>
        <w:ind w:firstLine="210"/>
      </w:pPr>
    </w:p>
    <w:p>
      <w:pPr>
        <w:pStyle w:val="2"/>
        <w:ind w:firstLine="210"/>
      </w:pPr>
    </w:p>
    <w:p>
      <w:pPr>
        <w:pStyle w:val="2"/>
        <w:ind w:firstLine="210"/>
      </w:pPr>
    </w:p>
    <w:p>
      <w:pPr>
        <w:pStyle w:val="2"/>
        <w:ind w:firstLine="210"/>
      </w:pPr>
    </w:p>
    <w:p>
      <w:pPr>
        <w:pStyle w:val="2"/>
        <w:ind w:firstLine="210"/>
      </w:pPr>
    </w:p>
    <w:p>
      <w:pPr>
        <w:pStyle w:val="2"/>
        <w:ind w:firstLine="210"/>
      </w:pPr>
    </w:p>
    <w:p>
      <w:pPr>
        <w:pStyle w:val="2"/>
        <w:ind w:firstLine="210"/>
      </w:pPr>
    </w:p>
    <w:p>
      <w:pPr>
        <w:pStyle w:val="2"/>
        <w:ind w:firstLine="210"/>
      </w:pPr>
    </w:p>
    <w:p>
      <w:pPr>
        <w:spacing w:line="480" w:lineRule="auto"/>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表十八：现金流量表</w:t>
      </w:r>
    </w:p>
    <w:tbl>
      <w:tblPr>
        <w:tblStyle w:val="24"/>
        <w:tblW w:w="8520" w:type="dxa"/>
        <w:tblInd w:w="108" w:type="dxa"/>
        <w:tblLayout w:type="autofit"/>
        <w:tblCellMar>
          <w:top w:w="0" w:type="dxa"/>
          <w:left w:w="108" w:type="dxa"/>
          <w:bottom w:w="0" w:type="dxa"/>
          <w:right w:w="108" w:type="dxa"/>
        </w:tblCellMar>
      </w:tblPr>
      <w:tblGrid>
        <w:gridCol w:w="1040"/>
        <w:gridCol w:w="4600"/>
        <w:gridCol w:w="1040"/>
        <w:gridCol w:w="1840"/>
      </w:tblGrid>
      <w:tr>
        <w:trPr>
          <w:trHeight w:val="255" w:hRule="atLeast"/>
        </w:trPr>
        <w:tc>
          <w:tcPr>
            <w:tcW w:w="1040" w:type="dxa"/>
            <w:shd w:val="clear" w:color="auto" w:fill="auto"/>
            <w:noWrap/>
            <w:vAlign w:val="center"/>
          </w:tcPr>
          <w:p>
            <w:pPr>
              <w:rPr>
                <w:rFonts w:ascii="宋体" w:hAnsi="宋体" w:cs="宋体"/>
                <w:color w:val="000000"/>
                <w:sz w:val="18"/>
                <w:szCs w:val="18"/>
              </w:rPr>
            </w:pPr>
            <w:r>
              <w:rPr>
                <w:rFonts w:hint="eastAsia" w:ascii="宋体" w:hAnsi="宋体" w:cs="宋体"/>
                <w:color w:val="000000"/>
                <w:sz w:val="18"/>
                <w:szCs w:val="18"/>
              </w:rPr>
              <w:t>编制单位：</w:t>
            </w:r>
          </w:p>
        </w:tc>
        <w:tc>
          <w:tcPr>
            <w:tcW w:w="4600" w:type="dxa"/>
            <w:shd w:val="clear" w:color="auto" w:fill="auto"/>
            <w:noWrap/>
            <w:vAlign w:val="bottom"/>
          </w:tcPr>
          <w:p>
            <w:pPr>
              <w:rPr>
                <w:rFonts w:ascii="宋体" w:hAnsi="宋体" w:cs="宋体"/>
                <w:color w:val="000000"/>
                <w:sz w:val="18"/>
                <w:szCs w:val="18"/>
              </w:rPr>
            </w:pPr>
            <w:r>
              <w:rPr>
                <w:rFonts w:hint="eastAsia" w:ascii="宋体" w:hAnsi="宋体" w:cs="宋体"/>
                <w:color w:val="000000"/>
                <w:sz w:val="18"/>
                <w:szCs w:val="18"/>
              </w:rPr>
              <w:t>桂林威祺房地产开发有限公司</w:t>
            </w:r>
          </w:p>
        </w:tc>
        <w:tc>
          <w:tcPr>
            <w:tcW w:w="1040" w:type="dxa"/>
            <w:shd w:val="clear" w:color="auto" w:fill="auto"/>
            <w:noWrap/>
            <w:vAlign w:val="center"/>
          </w:tcPr>
          <w:p>
            <w:pPr>
              <w:rPr>
                <w:rFonts w:ascii="宋体" w:hAnsi="宋体" w:cs="宋体"/>
                <w:color w:val="000000"/>
                <w:sz w:val="18"/>
                <w:szCs w:val="18"/>
              </w:rPr>
            </w:pPr>
            <w:r>
              <w:rPr>
                <w:rFonts w:hint="eastAsia" w:ascii="宋体" w:hAnsi="宋体" w:cs="宋体"/>
                <w:color w:val="000000"/>
                <w:sz w:val="18"/>
                <w:szCs w:val="18"/>
              </w:rPr>
              <w:t>2020年12月</w:t>
            </w:r>
          </w:p>
        </w:tc>
        <w:tc>
          <w:tcPr>
            <w:tcW w:w="1840" w:type="dxa"/>
            <w:shd w:val="clear" w:color="auto" w:fill="auto"/>
            <w:noWrap/>
            <w:vAlign w:val="bottom"/>
          </w:tcPr>
          <w:p>
            <w:pPr>
              <w:jc w:val="right"/>
              <w:rPr>
                <w:rFonts w:ascii="Arial" w:hAnsi="Arial" w:eastAsia="等线" w:cs="Arial"/>
                <w:color w:val="000000"/>
                <w:sz w:val="18"/>
                <w:szCs w:val="18"/>
              </w:rPr>
            </w:pPr>
            <w:r>
              <w:rPr>
                <w:rFonts w:ascii="Arial" w:hAnsi="Arial" w:eastAsia="等线" w:cs="Arial"/>
                <w:color w:val="000000"/>
                <w:sz w:val="18"/>
                <w:szCs w:val="18"/>
              </w:rPr>
              <w:t>单位：元</w:t>
            </w:r>
          </w:p>
        </w:tc>
      </w:tr>
    </w:tbl>
    <w:p>
      <w:pPr>
        <w:widowControl w:val="0"/>
        <w:spacing w:line="360" w:lineRule="auto"/>
        <w:textAlignment w:val="center"/>
        <w:rPr>
          <w:rFonts w:asciiTheme="minorEastAsia" w:hAnsiTheme="minorEastAsia" w:eastAsiaTheme="minorEastAsia" w:cstheme="minorEastAsia"/>
          <w:b/>
          <w:sz w:val="18"/>
          <w:szCs w:val="18"/>
          <w:lang w:bidi="ar"/>
        </w:rPr>
      </w:pPr>
    </w:p>
    <w:tbl>
      <w:tblPr>
        <w:tblStyle w:val="24"/>
        <w:tblW w:w="8630" w:type="dxa"/>
        <w:jc w:val="center"/>
        <w:tblLayout w:type="autofit"/>
        <w:tblCellMar>
          <w:top w:w="0" w:type="dxa"/>
          <w:left w:w="108" w:type="dxa"/>
          <w:bottom w:w="0" w:type="dxa"/>
          <w:right w:w="108" w:type="dxa"/>
        </w:tblCellMar>
      </w:tblPr>
      <w:tblGrid>
        <w:gridCol w:w="5981"/>
        <w:gridCol w:w="957"/>
        <w:gridCol w:w="1692"/>
      </w:tblGrid>
      <w:tr>
        <w:trPr>
          <w:trHeight w:val="255" w:hRule="atLeast"/>
          <w:tblHeader/>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cs="宋体"/>
                <w:color w:val="000000"/>
                <w:sz w:val="18"/>
                <w:szCs w:val="18"/>
              </w:rPr>
            </w:pPr>
            <w:bookmarkStart w:id="27" w:name="_Toc19178023"/>
            <w:r>
              <w:rPr>
                <w:rFonts w:hint="eastAsia" w:ascii="宋体" w:hAnsi="宋体" w:cs="宋体"/>
                <w:color w:val="000000"/>
                <w:sz w:val="18"/>
                <w:szCs w:val="18"/>
              </w:rPr>
              <w:t>项                     目</w:t>
            </w:r>
          </w:p>
        </w:tc>
        <w:tc>
          <w:tcPr>
            <w:tcW w:w="957" w:type="dxa"/>
            <w:tcBorders>
              <w:top w:val="single" w:color="000000" w:sz="4" w:space="0"/>
              <w:left w:val="nil"/>
              <w:bottom w:val="single" w:color="000000" w:sz="4" w:space="0"/>
              <w:right w:val="single" w:color="000000" w:sz="4" w:space="0"/>
            </w:tcBorders>
            <w:shd w:val="clear" w:color="auto" w:fill="auto"/>
            <w:noWrap/>
            <w:vAlign w:val="bottom"/>
          </w:tcPr>
          <w:p>
            <w:pPr>
              <w:jc w:val="center"/>
              <w:rPr>
                <w:rFonts w:ascii="宋体" w:hAnsi="宋体" w:cs="宋体"/>
                <w:color w:val="000000"/>
                <w:sz w:val="18"/>
                <w:szCs w:val="18"/>
              </w:rPr>
            </w:pPr>
            <w:r>
              <w:rPr>
                <w:rFonts w:hint="eastAsia" w:ascii="宋体" w:hAnsi="宋体" w:cs="宋体"/>
                <w:color w:val="000000"/>
                <w:sz w:val="18"/>
                <w:szCs w:val="18"/>
              </w:rPr>
              <w:t>行次</w:t>
            </w:r>
          </w:p>
        </w:tc>
        <w:tc>
          <w:tcPr>
            <w:tcW w:w="1692" w:type="dxa"/>
            <w:tcBorders>
              <w:top w:val="single" w:color="000000" w:sz="4" w:space="0"/>
              <w:left w:val="nil"/>
              <w:bottom w:val="single" w:color="000000" w:sz="4" w:space="0"/>
              <w:right w:val="single" w:color="000000" w:sz="4" w:space="0"/>
            </w:tcBorders>
            <w:shd w:val="clear" w:color="auto" w:fill="auto"/>
            <w:noWrap/>
            <w:vAlign w:val="bottom"/>
          </w:tcPr>
          <w:p>
            <w:pPr>
              <w:jc w:val="center"/>
              <w:rPr>
                <w:rFonts w:ascii="宋体" w:hAnsi="宋体" w:cs="宋体"/>
                <w:color w:val="000000"/>
                <w:sz w:val="18"/>
                <w:szCs w:val="18"/>
              </w:rPr>
            </w:pPr>
            <w:r>
              <w:rPr>
                <w:rFonts w:hint="eastAsia" w:ascii="宋体" w:hAnsi="宋体" w:cs="宋体"/>
                <w:color w:val="000000"/>
                <w:sz w:val="18"/>
                <w:szCs w:val="18"/>
              </w:rPr>
              <w:t>本年累计金额</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b/>
                <w:bCs/>
                <w:color w:val="000000"/>
                <w:sz w:val="18"/>
                <w:szCs w:val="18"/>
              </w:rPr>
            </w:pPr>
            <w:r>
              <w:rPr>
                <w:rFonts w:hint="eastAsia" w:ascii="宋体" w:hAnsi="宋体" w:cs="宋体"/>
                <w:b/>
                <w:bCs/>
                <w:color w:val="000000"/>
                <w:sz w:val="18"/>
                <w:szCs w:val="18"/>
              </w:rPr>
              <w:t>一、经营活动产生的现金流量：</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1</w:t>
            </w:r>
          </w:p>
        </w:tc>
        <w:tc>
          <w:tcPr>
            <w:tcW w:w="1692" w:type="dxa"/>
            <w:tcBorders>
              <w:top w:val="nil"/>
              <w:left w:val="nil"/>
              <w:bottom w:val="single" w:color="000000" w:sz="4" w:space="0"/>
              <w:right w:val="single" w:color="000000" w:sz="4" w:space="0"/>
            </w:tcBorders>
            <w:shd w:val="clear" w:color="auto" w:fill="auto"/>
            <w:noWrap/>
            <w:vAlign w:val="bottom"/>
          </w:tcPr>
          <w:p>
            <w:pPr>
              <w:jc w:val="right"/>
              <w:rPr>
                <w:rFonts w:ascii="Arial" w:hAnsi="Arial" w:eastAsia="等线" w:cs="Arial"/>
                <w:color w:val="000000"/>
                <w:sz w:val="18"/>
                <w:szCs w:val="18"/>
              </w:rPr>
            </w:pPr>
            <w:r>
              <w:rPr>
                <w:rFonts w:ascii="Arial" w:hAnsi="Arial" w:eastAsia="等线" w:cs="Arial"/>
                <w:color w:val="000000"/>
                <w:sz w:val="18"/>
                <w:szCs w:val="18"/>
              </w:rPr>
              <w:t>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销售商品、提供劳务收到的现金</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2</w:t>
            </w:r>
          </w:p>
        </w:tc>
        <w:tc>
          <w:tcPr>
            <w:tcW w:w="1692" w:type="dxa"/>
            <w:tcBorders>
              <w:top w:val="nil"/>
              <w:left w:val="nil"/>
              <w:bottom w:val="single" w:color="000000" w:sz="4" w:space="0"/>
              <w:right w:val="single" w:color="000000" w:sz="4" w:space="0"/>
            </w:tcBorders>
            <w:shd w:val="clear" w:color="FFFFFF" w:fill="FFFFFF"/>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收到的税费返还</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3</w:t>
            </w:r>
          </w:p>
        </w:tc>
        <w:tc>
          <w:tcPr>
            <w:tcW w:w="1692" w:type="dxa"/>
            <w:tcBorders>
              <w:top w:val="nil"/>
              <w:left w:val="nil"/>
              <w:bottom w:val="single" w:color="000000" w:sz="4" w:space="0"/>
              <w:right w:val="single" w:color="000000" w:sz="4" w:space="0"/>
            </w:tcBorders>
            <w:shd w:val="clear" w:color="FFFFFF" w:fill="FFFFFF"/>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收到的其他与经营活动有关的现金</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4</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9,308,341.02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b/>
                <w:bCs/>
                <w:color w:val="000000"/>
                <w:sz w:val="18"/>
                <w:szCs w:val="18"/>
              </w:rPr>
            </w:pPr>
            <w:r>
              <w:rPr>
                <w:rFonts w:hint="eastAsia" w:ascii="宋体" w:hAnsi="宋体" w:cs="宋体"/>
                <w:b/>
                <w:bCs/>
                <w:color w:val="000000"/>
                <w:sz w:val="18"/>
                <w:szCs w:val="18"/>
              </w:rPr>
              <w:t>现金流入小计</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5</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9,308,341.02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购买商品、接受劳务支付的现金</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6</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11,029,181.90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支付给职工以及为职工支付的现金</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7</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支付的各项税费</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8</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171,399.80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支付的其他与经营活动有关的现金</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9</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116,290.10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b/>
                <w:bCs/>
                <w:color w:val="000000"/>
                <w:sz w:val="18"/>
                <w:szCs w:val="18"/>
              </w:rPr>
            </w:pPr>
            <w:r>
              <w:rPr>
                <w:rFonts w:hint="eastAsia" w:ascii="宋体" w:hAnsi="宋体" w:cs="宋体"/>
                <w:b/>
                <w:bCs/>
                <w:color w:val="000000"/>
                <w:sz w:val="18"/>
                <w:szCs w:val="18"/>
              </w:rPr>
              <w:t>现金流出小计</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10</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11,316,871.80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b/>
                <w:bCs/>
                <w:color w:val="000000"/>
                <w:sz w:val="18"/>
                <w:szCs w:val="18"/>
              </w:rPr>
            </w:pPr>
            <w:r>
              <w:rPr>
                <w:rFonts w:hint="eastAsia" w:ascii="宋体" w:hAnsi="宋体" w:cs="宋体"/>
                <w:b/>
                <w:bCs/>
                <w:color w:val="000000"/>
                <w:sz w:val="18"/>
                <w:szCs w:val="18"/>
              </w:rPr>
              <w:t>经营活动产生的现金流量净额</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11</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-2,008,530.78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b/>
                <w:bCs/>
                <w:color w:val="000000"/>
                <w:sz w:val="18"/>
                <w:szCs w:val="18"/>
              </w:rPr>
            </w:pPr>
            <w:r>
              <w:rPr>
                <w:rFonts w:hint="eastAsia" w:ascii="宋体" w:hAnsi="宋体" w:cs="宋体"/>
                <w:b/>
                <w:bCs/>
                <w:color w:val="000000"/>
                <w:sz w:val="18"/>
                <w:szCs w:val="18"/>
              </w:rPr>
              <w:t>二、投资活动产生的现金流量：</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12</w:t>
            </w:r>
          </w:p>
        </w:tc>
        <w:tc>
          <w:tcPr>
            <w:tcW w:w="1692" w:type="dxa"/>
            <w:tcBorders>
              <w:top w:val="nil"/>
              <w:left w:val="nil"/>
              <w:bottom w:val="single" w:color="000000" w:sz="4" w:space="0"/>
              <w:right w:val="single" w:color="000000" w:sz="4" w:space="0"/>
            </w:tcBorders>
            <w:shd w:val="clear" w:color="auto" w:fill="auto"/>
            <w:noWrap/>
            <w:vAlign w:val="bottom"/>
          </w:tcPr>
          <w:p>
            <w:pPr>
              <w:jc w:val="right"/>
              <w:rPr>
                <w:rFonts w:ascii="Arial" w:hAnsi="Arial" w:eastAsia="等线" w:cs="Arial"/>
                <w:color w:val="000000"/>
                <w:sz w:val="18"/>
                <w:szCs w:val="18"/>
              </w:rPr>
            </w:pPr>
            <w:r>
              <w:rPr>
                <w:rFonts w:ascii="Arial" w:hAnsi="Arial" w:eastAsia="等线" w:cs="Arial"/>
                <w:color w:val="000000"/>
                <w:sz w:val="18"/>
                <w:szCs w:val="18"/>
              </w:rPr>
              <w:t>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收回投资所收到的现金</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13</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取得投资收益所收到的现金</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14</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处置固定资产、无形资产和其他长期资产所收回的现金净额</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15</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处置子公司及其他营业单位收到的现金净额</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16</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收到的其他与投资活动有关的现金</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17</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b/>
                <w:bCs/>
                <w:color w:val="000000"/>
                <w:sz w:val="18"/>
                <w:szCs w:val="18"/>
              </w:rPr>
            </w:pPr>
            <w:r>
              <w:rPr>
                <w:rFonts w:hint="eastAsia" w:ascii="宋体" w:hAnsi="宋体" w:cs="宋体"/>
                <w:b/>
                <w:bCs/>
                <w:color w:val="000000"/>
                <w:sz w:val="18"/>
                <w:szCs w:val="18"/>
              </w:rPr>
              <w:t>现金流入小计</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18</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购建固定资产、无形资产和其他长期资产所支付的现金</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19</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投资所支付的现金</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20</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取得子公司及其他经营单位支付的现金净额</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21</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支付的其他与投资活动有关的现金</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22</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b/>
                <w:bCs/>
                <w:color w:val="000000"/>
                <w:sz w:val="18"/>
                <w:szCs w:val="18"/>
              </w:rPr>
            </w:pPr>
            <w:r>
              <w:rPr>
                <w:rFonts w:hint="eastAsia" w:ascii="宋体" w:hAnsi="宋体" w:cs="宋体"/>
                <w:b/>
                <w:bCs/>
                <w:color w:val="000000"/>
                <w:sz w:val="18"/>
                <w:szCs w:val="18"/>
              </w:rPr>
              <w:t>现金流出小计</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23</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b/>
                <w:bCs/>
                <w:color w:val="000000"/>
                <w:sz w:val="18"/>
                <w:szCs w:val="18"/>
              </w:rPr>
            </w:pPr>
            <w:r>
              <w:rPr>
                <w:rFonts w:hint="eastAsia" w:ascii="宋体" w:hAnsi="宋体" w:cs="宋体"/>
                <w:b/>
                <w:bCs/>
                <w:color w:val="000000"/>
                <w:sz w:val="18"/>
                <w:szCs w:val="18"/>
              </w:rPr>
              <w:t>投资活动产生的现金流量净额</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24</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b/>
                <w:bCs/>
                <w:color w:val="000000"/>
                <w:sz w:val="18"/>
                <w:szCs w:val="18"/>
              </w:rPr>
            </w:pPr>
            <w:r>
              <w:rPr>
                <w:rFonts w:hint="eastAsia" w:ascii="宋体" w:hAnsi="宋体" w:cs="宋体"/>
                <w:b/>
                <w:bCs/>
                <w:color w:val="000000"/>
                <w:sz w:val="18"/>
                <w:szCs w:val="18"/>
              </w:rPr>
              <w:t>三、筹资活动产生的现金流量：</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25</w:t>
            </w:r>
          </w:p>
        </w:tc>
        <w:tc>
          <w:tcPr>
            <w:tcW w:w="1692" w:type="dxa"/>
            <w:tcBorders>
              <w:top w:val="nil"/>
              <w:left w:val="nil"/>
              <w:bottom w:val="single" w:color="000000" w:sz="4" w:space="0"/>
              <w:right w:val="single" w:color="000000" w:sz="4" w:space="0"/>
            </w:tcBorders>
            <w:shd w:val="clear" w:color="auto" w:fill="auto"/>
            <w:noWrap/>
            <w:vAlign w:val="bottom"/>
          </w:tcPr>
          <w:p>
            <w:pPr>
              <w:jc w:val="right"/>
              <w:rPr>
                <w:rFonts w:ascii="Arial" w:hAnsi="Arial" w:eastAsia="等线" w:cs="Arial"/>
                <w:color w:val="000000"/>
                <w:sz w:val="18"/>
                <w:szCs w:val="18"/>
              </w:rPr>
            </w:pPr>
            <w:r>
              <w:rPr>
                <w:rFonts w:ascii="Arial" w:hAnsi="Arial" w:eastAsia="等线" w:cs="Arial"/>
                <w:color w:val="000000"/>
                <w:sz w:val="18"/>
                <w:szCs w:val="18"/>
              </w:rPr>
              <w:t>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吸收投资所收到的现金</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26</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8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其中：子公司吸收少数股东投资收到的现金</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27</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18"/>
                <w:szCs w:val="18"/>
              </w:rPr>
            </w:pPr>
            <w:r>
              <w:rPr>
                <w:rFonts w:hint="eastAsia" w:ascii="宋体" w:hAnsi="宋体" w:cs="宋体"/>
                <w:color w:val="000000"/>
                <w:sz w:val="18"/>
                <w:szCs w:val="18"/>
              </w:rPr>
              <w:t xml:space="preserve">  取得借款收到的现金</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28</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18"/>
                <w:szCs w:val="18"/>
              </w:rPr>
            </w:pPr>
            <w:r>
              <w:rPr>
                <w:rFonts w:hint="eastAsia" w:ascii="宋体" w:hAnsi="宋体" w:cs="宋体"/>
                <w:color w:val="000000"/>
                <w:sz w:val="18"/>
                <w:szCs w:val="18"/>
              </w:rPr>
              <w:t xml:space="preserve">  收到的其他与筹资活动有关的现金</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29</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8,000,000.00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b/>
                <w:bCs/>
                <w:color w:val="000000"/>
                <w:sz w:val="18"/>
                <w:szCs w:val="18"/>
              </w:rPr>
            </w:pPr>
            <w:r>
              <w:rPr>
                <w:rFonts w:hint="eastAsia" w:ascii="宋体" w:hAnsi="宋体" w:cs="宋体"/>
                <w:b/>
                <w:bCs/>
                <w:color w:val="000000"/>
                <w:sz w:val="18"/>
                <w:szCs w:val="18"/>
              </w:rPr>
              <w:t>现金流入小计</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30</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8,000,000.00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偿还债务所支付的现金</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31</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分配股利、利润或偿付利息所支付的现金</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32</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其中：子公司支付给少数股东的股利、利润</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33</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支付的其他与筹资活动有关的现金</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34</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b/>
                <w:bCs/>
                <w:color w:val="000000"/>
                <w:sz w:val="18"/>
                <w:szCs w:val="18"/>
              </w:rPr>
            </w:pPr>
            <w:r>
              <w:rPr>
                <w:rFonts w:hint="eastAsia" w:ascii="宋体" w:hAnsi="宋体" w:cs="宋体"/>
                <w:b/>
                <w:bCs/>
                <w:color w:val="000000"/>
                <w:sz w:val="18"/>
                <w:szCs w:val="18"/>
              </w:rPr>
              <w:t>现金流出小计</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35</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b/>
                <w:bCs/>
                <w:color w:val="000000"/>
                <w:sz w:val="18"/>
                <w:szCs w:val="18"/>
              </w:rPr>
            </w:pPr>
            <w:r>
              <w:rPr>
                <w:rFonts w:hint="eastAsia" w:ascii="宋体" w:hAnsi="宋体" w:cs="宋体"/>
                <w:b/>
                <w:bCs/>
                <w:color w:val="000000"/>
                <w:sz w:val="18"/>
                <w:szCs w:val="18"/>
              </w:rPr>
              <w:t>筹资活动产生的现金流量净额</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36</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8,000,000.00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b/>
                <w:bCs/>
                <w:color w:val="000000"/>
                <w:sz w:val="18"/>
                <w:szCs w:val="18"/>
              </w:rPr>
            </w:pPr>
            <w:r>
              <w:rPr>
                <w:rFonts w:hint="eastAsia" w:ascii="宋体" w:hAnsi="宋体" w:cs="宋体"/>
                <w:b/>
                <w:bCs/>
                <w:color w:val="000000"/>
                <w:sz w:val="18"/>
                <w:szCs w:val="18"/>
              </w:rPr>
              <w:t>四、汇率变动对现金及现金等价物的影响</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37</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b/>
                <w:bCs/>
                <w:color w:val="000000"/>
                <w:sz w:val="18"/>
                <w:szCs w:val="18"/>
              </w:rPr>
            </w:pPr>
            <w:r>
              <w:rPr>
                <w:rFonts w:hint="eastAsia" w:ascii="宋体" w:hAnsi="宋体" w:cs="宋体"/>
                <w:b/>
                <w:bCs/>
                <w:color w:val="000000"/>
                <w:sz w:val="18"/>
                <w:szCs w:val="18"/>
              </w:rPr>
              <w:t>五、现金及现金等价物净增加额</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38</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5,991,469.22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18"/>
                <w:szCs w:val="18"/>
              </w:rPr>
            </w:pPr>
            <w:r>
              <w:rPr>
                <w:rFonts w:hint="eastAsia" w:ascii="宋体" w:hAnsi="宋体" w:cs="宋体"/>
                <w:color w:val="000000"/>
                <w:sz w:val="18"/>
                <w:szCs w:val="18"/>
              </w:rPr>
              <w:t xml:space="preserve">  加：期初现金及现金等价物余额</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39</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b/>
                <w:bCs/>
                <w:color w:val="000000"/>
                <w:sz w:val="18"/>
                <w:szCs w:val="18"/>
              </w:rPr>
            </w:pPr>
            <w:r>
              <w:rPr>
                <w:rFonts w:hint="eastAsia" w:ascii="宋体" w:hAnsi="宋体" w:cs="宋体"/>
                <w:b/>
                <w:bCs/>
                <w:color w:val="000000"/>
                <w:sz w:val="18"/>
                <w:szCs w:val="18"/>
              </w:rPr>
              <w:t>六、期末现金及现金等价物余额</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40</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5,991,469.22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r>
              <w:rPr>
                <w:rFonts w:hint="eastAsia" w:ascii="宋体" w:hAnsi="宋体" w:cs="宋体"/>
                <w:color w:val="000000"/>
                <w:sz w:val="18"/>
                <w:szCs w:val="18"/>
              </w:rPr>
              <w:t>补  充  资  料</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41</w:t>
            </w:r>
          </w:p>
        </w:tc>
        <w:tc>
          <w:tcPr>
            <w:tcW w:w="1692" w:type="dxa"/>
            <w:tcBorders>
              <w:top w:val="nil"/>
              <w:left w:val="nil"/>
              <w:bottom w:val="single" w:color="000000" w:sz="4" w:space="0"/>
              <w:right w:val="single" w:color="000000" w:sz="4" w:space="0"/>
            </w:tcBorders>
            <w:shd w:val="clear" w:color="auto" w:fill="auto"/>
            <w:noWrap/>
            <w:vAlign w:val="bottom"/>
          </w:tcPr>
          <w:p>
            <w:pPr>
              <w:jc w:val="right"/>
              <w:rPr>
                <w:rFonts w:ascii="Arial" w:hAnsi="Arial" w:eastAsia="等线" w:cs="Arial"/>
                <w:color w:val="000000"/>
                <w:sz w:val="18"/>
                <w:szCs w:val="18"/>
              </w:rPr>
            </w:pPr>
            <w:r>
              <w:rPr>
                <w:rFonts w:ascii="Arial" w:hAnsi="Arial" w:eastAsia="等线" w:cs="Arial"/>
                <w:color w:val="000000"/>
                <w:sz w:val="18"/>
                <w:szCs w:val="18"/>
              </w:rPr>
              <w:t>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b/>
                <w:bCs/>
                <w:color w:val="000000"/>
                <w:sz w:val="18"/>
                <w:szCs w:val="18"/>
              </w:rPr>
            </w:pPr>
            <w:r>
              <w:rPr>
                <w:rFonts w:ascii="Arial" w:hAnsi="Arial" w:eastAsia="等线" w:cs="Arial"/>
                <w:b/>
                <w:bCs/>
                <w:color w:val="000000"/>
                <w:sz w:val="18"/>
                <w:szCs w:val="18"/>
              </w:rPr>
              <w:t>1、将净利润调节为经营活动现金流量：</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42</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归属于母公司所有者的净利润</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43</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宋体" w:hAnsi="宋体" w:cs="宋体"/>
                <w:color w:val="000000"/>
                <w:sz w:val="18"/>
                <w:szCs w:val="18"/>
              </w:rPr>
            </w:pPr>
            <w:r>
              <w:rPr>
                <w:rFonts w:hint="eastAsia" w:ascii="宋体" w:hAnsi="宋体" w:cs="宋体"/>
                <w:color w:val="000000"/>
                <w:sz w:val="18"/>
                <w:szCs w:val="18"/>
              </w:rPr>
              <w:t xml:space="preserve">-217,467.63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加：少数股东收益</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44</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计提的资产减值准备</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45</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18"/>
                <w:szCs w:val="18"/>
              </w:rPr>
            </w:pPr>
            <w:r>
              <w:rPr>
                <w:rFonts w:hint="eastAsia" w:ascii="宋体" w:hAnsi="宋体" w:cs="宋体"/>
                <w:color w:val="000000"/>
                <w:sz w:val="18"/>
                <w:szCs w:val="18"/>
              </w:rPr>
              <w:t xml:space="preserve">      信用损失准备</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46</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固定资产折旧、油气资产折耗、生产性生物资产折旧</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47</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无形资产摊销</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48</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长期待摊费用摊销</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49</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待摊费用减少（增加以“-”号填列）</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50</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预提费用增加（减少以“-”号填列）</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51</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处置固定资产、无形资产和其他长期资产的损失（收益以“-”号填列）</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52</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18"/>
                <w:szCs w:val="18"/>
              </w:rPr>
            </w:pPr>
            <w:r>
              <w:rPr>
                <w:rFonts w:hint="eastAsia" w:ascii="宋体" w:hAnsi="宋体" w:cs="宋体"/>
                <w:color w:val="000000"/>
                <w:sz w:val="18"/>
                <w:szCs w:val="18"/>
              </w:rPr>
              <w:t xml:space="preserve">      固定资产报废损失（收益以“-”号填列）</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53</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18"/>
                <w:szCs w:val="18"/>
              </w:rPr>
            </w:pPr>
            <w:r>
              <w:rPr>
                <w:rFonts w:hint="eastAsia" w:ascii="宋体" w:hAnsi="宋体" w:cs="宋体"/>
                <w:color w:val="000000"/>
                <w:sz w:val="18"/>
                <w:szCs w:val="18"/>
              </w:rPr>
              <w:t xml:space="preserve">      净敞口套期损失（收益以“-”号填列）</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54</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18"/>
                <w:szCs w:val="18"/>
              </w:rPr>
            </w:pPr>
            <w:r>
              <w:rPr>
                <w:rFonts w:hint="eastAsia" w:ascii="宋体" w:hAnsi="宋体" w:cs="宋体"/>
                <w:color w:val="000000"/>
                <w:sz w:val="18"/>
                <w:szCs w:val="18"/>
              </w:rPr>
              <w:t xml:space="preserve">      公允价值变动损失（收益以“-”号填列） </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55</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18"/>
                <w:szCs w:val="18"/>
              </w:rPr>
            </w:pPr>
            <w:r>
              <w:rPr>
                <w:rFonts w:hint="eastAsia" w:ascii="宋体" w:hAnsi="宋体" w:cs="宋体"/>
                <w:color w:val="000000"/>
                <w:sz w:val="18"/>
                <w:szCs w:val="18"/>
              </w:rPr>
              <w:t xml:space="preserve">      财务费用（收益以“-”号填列） </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56</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投资损失（收益以“-”号填列）</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57</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18"/>
                <w:szCs w:val="18"/>
              </w:rPr>
            </w:pPr>
            <w:r>
              <w:rPr>
                <w:rFonts w:hint="eastAsia" w:ascii="宋体" w:hAnsi="宋体" w:cs="宋体"/>
                <w:color w:val="000000"/>
                <w:sz w:val="18"/>
                <w:szCs w:val="18"/>
              </w:rPr>
              <w:t xml:space="preserve">      递延所得税资产减少（增加以“-”号填列） </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58</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递延所得税负债增加（减少以“-”号填列）</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59</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宋体" w:hAnsi="宋体" w:cs="宋体"/>
                <w:color w:val="000000"/>
                <w:sz w:val="18"/>
                <w:szCs w:val="18"/>
              </w:rPr>
            </w:pPr>
            <w:r>
              <w:rPr>
                <w:rFonts w:hint="eastAsia" w:ascii="宋体" w:hAnsi="宋体" w:cs="宋体"/>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存货的减少（增加以“-”号填列）</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60</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宋体" w:hAnsi="宋体" w:cs="宋体"/>
                <w:color w:val="000000"/>
                <w:sz w:val="18"/>
                <w:szCs w:val="18"/>
              </w:rPr>
            </w:pPr>
            <w:r>
              <w:rPr>
                <w:rFonts w:hint="eastAsia" w:ascii="宋体" w:hAnsi="宋体" w:cs="宋体"/>
                <w:color w:val="000000"/>
                <w:sz w:val="18"/>
                <w:szCs w:val="18"/>
              </w:rPr>
              <w:t xml:space="preserve">-339,006,000.00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经营性应收项目的减少（增加以“-”号填列）</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61</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-11,196,181.90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经营性应付项目的增加（减少以“-”号填列）</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62</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348,411,118.75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其他</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63</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b/>
                <w:bCs/>
                <w:color w:val="000000"/>
                <w:sz w:val="18"/>
                <w:szCs w:val="18"/>
              </w:rPr>
            </w:pPr>
            <w:r>
              <w:rPr>
                <w:rFonts w:hint="eastAsia" w:ascii="宋体" w:hAnsi="宋体" w:cs="宋体"/>
                <w:b/>
                <w:bCs/>
                <w:color w:val="000000"/>
                <w:sz w:val="18"/>
                <w:szCs w:val="18"/>
              </w:rPr>
              <w:t>经营活动产生的现金流量净额</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64</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-2,008,530.78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b/>
                <w:bCs/>
                <w:color w:val="000000"/>
                <w:sz w:val="18"/>
                <w:szCs w:val="18"/>
              </w:rPr>
            </w:pPr>
            <w:r>
              <w:rPr>
                <w:rFonts w:ascii="Arial" w:hAnsi="Arial" w:eastAsia="等线" w:cs="Arial"/>
                <w:b/>
                <w:bCs/>
                <w:color w:val="000000"/>
                <w:sz w:val="18"/>
                <w:szCs w:val="18"/>
              </w:rPr>
              <w:t>2、不涉及现金收支的投资和筹资活动：</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65</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债务转为资本</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66</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一年内到期的可转换公司债券</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67</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融资租入固定资产</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68</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69</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b/>
                <w:bCs/>
                <w:color w:val="000000"/>
                <w:sz w:val="18"/>
                <w:szCs w:val="18"/>
              </w:rPr>
            </w:pPr>
            <w:r>
              <w:rPr>
                <w:rFonts w:hint="eastAsia" w:ascii="宋体" w:hAnsi="宋体" w:cs="宋体"/>
                <w:b/>
                <w:bCs/>
                <w:color w:val="000000"/>
                <w:sz w:val="18"/>
                <w:szCs w:val="18"/>
              </w:rPr>
              <w:t>3、现金及现金等价物净变动情况：</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70</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现金的期末余额</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71</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5,991,469.22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减：现金的期初余额</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72</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加：现金等价物的期末余额</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73</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减：现金等价物的期初余额</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74</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0.00 </w:t>
            </w:r>
          </w:p>
        </w:tc>
      </w:tr>
      <w:tr>
        <w:trPr>
          <w:trHeight w:val="255" w:hRule="atLeast"/>
          <w:jc w:val="center"/>
        </w:trPr>
        <w:tc>
          <w:tcPr>
            <w:tcW w:w="5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等线" w:cs="Arial"/>
                <w:color w:val="000000"/>
                <w:sz w:val="18"/>
                <w:szCs w:val="18"/>
              </w:rPr>
            </w:pPr>
            <w:r>
              <w:rPr>
                <w:rFonts w:ascii="Arial" w:hAnsi="Arial" w:eastAsia="等线" w:cs="Arial"/>
                <w:color w:val="000000"/>
                <w:sz w:val="18"/>
                <w:szCs w:val="18"/>
              </w:rPr>
              <w:t xml:space="preserve">   现金及现金等价物净增加额</w:t>
            </w:r>
          </w:p>
        </w:tc>
        <w:tc>
          <w:tcPr>
            <w:tcW w:w="957" w:type="dxa"/>
            <w:tcBorders>
              <w:top w:val="nil"/>
              <w:left w:val="nil"/>
              <w:bottom w:val="single" w:color="000000" w:sz="4" w:space="0"/>
              <w:right w:val="single" w:color="000000" w:sz="4" w:space="0"/>
            </w:tcBorders>
            <w:shd w:val="clear" w:color="auto" w:fill="auto"/>
            <w:noWrap/>
            <w:vAlign w:val="bottom"/>
          </w:tcPr>
          <w:p>
            <w:pPr>
              <w:jc w:val="center"/>
              <w:rPr>
                <w:rFonts w:ascii="Arial" w:hAnsi="Arial" w:eastAsia="等线" w:cs="Arial"/>
                <w:color w:val="000000"/>
                <w:sz w:val="18"/>
                <w:szCs w:val="18"/>
              </w:rPr>
            </w:pPr>
            <w:r>
              <w:rPr>
                <w:rFonts w:ascii="Arial" w:hAnsi="Arial" w:eastAsia="等线" w:cs="Arial"/>
                <w:color w:val="000000"/>
                <w:sz w:val="18"/>
                <w:szCs w:val="18"/>
              </w:rPr>
              <w:t>75</w:t>
            </w:r>
          </w:p>
        </w:tc>
        <w:tc>
          <w:tcPr>
            <w:tcW w:w="1692" w:type="dxa"/>
            <w:tcBorders>
              <w:top w:val="nil"/>
              <w:left w:val="nil"/>
              <w:bottom w:val="single" w:color="000000" w:sz="4" w:space="0"/>
              <w:right w:val="single" w:color="000000"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5,991,469.22 </w:t>
            </w:r>
          </w:p>
        </w:tc>
      </w:tr>
    </w:tbl>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pStyle w:val="2"/>
        <w:ind w:firstLine="210"/>
        <w:rPr>
          <w:lang w:bidi="ar"/>
        </w:rPr>
      </w:pPr>
    </w:p>
    <w:p>
      <w:pPr>
        <w:pStyle w:val="2"/>
        <w:ind w:firstLine="210"/>
        <w:rPr>
          <w:lang w:bidi="ar"/>
        </w:rPr>
      </w:pPr>
    </w:p>
    <w:p>
      <w:pPr>
        <w:pStyle w:val="2"/>
        <w:ind w:firstLine="210"/>
        <w:rPr>
          <w:lang w:bidi="ar"/>
        </w:rPr>
      </w:pPr>
    </w:p>
    <w:p>
      <w:pPr>
        <w:pStyle w:val="2"/>
        <w:ind w:firstLine="210"/>
        <w:rPr>
          <w:lang w:bidi="ar"/>
        </w:rPr>
      </w:pPr>
    </w:p>
    <w:p>
      <w:pPr>
        <w:pStyle w:val="2"/>
        <w:ind w:firstLine="210"/>
        <w:rPr>
          <w:lang w:bidi="ar"/>
        </w:rPr>
      </w:pPr>
    </w:p>
    <w:p>
      <w:pPr>
        <w:widowControl w:val="0"/>
        <w:spacing w:line="360" w:lineRule="auto"/>
        <w:jc w:val="both"/>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表十九：利润表</w:t>
      </w:r>
      <w:bookmarkEnd w:id="27"/>
    </w:p>
    <w:tbl>
      <w:tblPr>
        <w:tblStyle w:val="24"/>
        <w:tblW w:w="7820" w:type="dxa"/>
        <w:tblInd w:w="108" w:type="dxa"/>
        <w:tblLayout w:type="autofit"/>
        <w:tblCellMar>
          <w:top w:w="0" w:type="dxa"/>
          <w:left w:w="108" w:type="dxa"/>
          <w:bottom w:w="0" w:type="dxa"/>
          <w:right w:w="108" w:type="dxa"/>
        </w:tblCellMar>
      </w:tblPr>
      <w:tblGrid>
        <w:gridCol w:w="1260"/>
        <w:gridCol w:w="2860"/>
        <w:gridCol w:w="720"/>
        <w:gridCol w:w="1360"/>
        <w:gridCol w:w="1620"/>
      </w:tblGrid>
      <w:tr>
        <w:trPr>
          <w:trHeight w:val="375" w:hRule="atLeast"/>
        </w:trPr>
        <w:tc>
          <w:tcPr>
            <w:tcW w:w="1260" w:type="dxa"/>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编制单位：</w:t>
            </w:r>
          </w:p>
        </w:tc>
        <w:tc>
          <w:tcPr>
            <w:tcW w:w="2860" w:type="dxa"/>
            <w:shd w:val="clear" w:color="auto" w:fill="auto"/>
            <w:noWrap/>
            <w:vAlign w:val="center"/>
          </w:tcPr>
          <w:p>
            <w:pPr>
              <w:rPr>
                <w:rFonts w:ascii="宋体" w:hAnsi="宋体" w:cs="宋体"/>
                <w:color w:val="000000"/>
                <w:sz w:val="20"/>
                <w:szCs w:val="20"/>
              </w:rPr>
            </w:pPr>
            <w:r>
              <w:rPr>
                <w:rFonts w:hint="eastAsia" w:ascii="宋体" w:hAnsi="宋体" w:cs="宋体"/>
                <w:color w:val="000000"/>
                <w:sz w:val="20"/>
                <w:szCs w:val="20"/>
              </w:rPr>
              <w:t>桂林威祺房地产开发有限公司</w:t>
            </w:r>
          </w:p>
        </w:tc>
        <w:tc>
          <w:tcPr>
            <w:tcW w:w="720" w:type="dxa"/>
            <w:shd w:val="clear" w:color="auto" w:fill="auto"/>
            <w:noWrap/>
            <w:vAlign w:val="center"/>
          </w:tcPr>
          <w:p>
            <w:pPr>
              <w:rPr>
                <w:rFonts w:ascii="宋体" w:hAnsi="宋体" w:cs="宋体"/>
                <w:color w:val="000000"/>
              </w:rPr>
            </w:pPr>
            <w:r>
              <w:rPr>
                <w:rFonts w:hint="eastAsia" w:ascii="宋体" w:hAnsi="宋体" w:cs="宋体"/>
                <w:color w:val="000000"/>
              </w:rPr>
              <w:t>　</w:t>
            </w:r>
          </w:p>
        </w:tc>
        <w:tc>
          <w:tcPr>
            <w:tcW w:w="1360" w:type="dxa"/>
            <w:shd w:val="clear" w:color="auto" w:fill="auto"/>
            <w:noWrap/>
            <w:vAlign w:val="center"/>
          </w:tcPr>
          <w:p>
            <w:pPr>
              <w:jc w:val="center"/>
              <w:rPr>
                <w:rFonts w:ascii="宋体" w:hAnsi="宋体" w:cs="宋体"/>
                <w:color w:val="000000"/>
                <w:sz w:val="20"/>
                <w:szCs w:val="20"/>
              </w:rPr>
            </w:pPr>
            <w:r>
              <w:rPr>
                <w:rFonts w:hint="eastAsia" w:ascii="宋体" w:hAnsi="宋体" w:cs="宋体"/>
                <w:color w:val="000000"/>
                <w:sz w:val="20"/>
                <w:szCs w:val="20"/>
              </w:rPr>
              <w:t>2020年12月</w:t>
            </w:r>
          </w:p>
        </w:tc>
        <w:tc>
          <w:tcPr>
            <w:tcW w:w="1620" w:type="dxa"/>
            <w:shd w:val="clear" w:color="auto" w:fill="auto"/>
            <w:noWrap/>
            <w:vAlign w:val="center"/>
          </w:tcPr>
          <w:p>
            <w:pPr>
              <w:jc w:val="right"/>
              <w:rPr>
                <w:rFonts w:ascii="宋体" w:hAnsi="宋体" w:cs="宋体"/>
                <w:color w:val="000000"/>
                <w:sz w:val="20"/>
                <w:szCs w:val="20"/>
              </w:rPr>
            </w:pPr>
            <w:r>
              <w:rPr>
                <w:rFonts w:hint="eastAsia" w:ascii="宋体" w:hAnsi="宋体" w:cs="宋体"/>
                <w:color w:val="000000"/>
                <w:sz w:val="20"/>
                <w:szCs w:val="20"/>
              </w:rPr>
              <w:t>单位：元</w:t>
            </w:r>
          </w:p>
        </w:tc>
      </w:tr>
    </w:tbl>
    <w:p>
      <w:pPr>
        <w:widowControl w:val="0"/>
        <w:spacing w:line="360" w:lineRule="auto"/>
        <w:textAlignment w:val="center"/>
        <w:rPr>
          <w:rFonts w:asciiTheme="minorEastAsia" w:hAnsiTheme="minorEastAsia" w:eastAsiaTheme="minorEastAsia" w:cstheme="minorEastAsia"/>
          <w:b/>
          <w:sz w:val="18"/>
          <w:szCs w:val="18"/>
          <w:lang w:bidi="ar"/>
        </w:rPr>
      </w:pPr>
    </w:p>
    <w:tbl>
      <w:tblPr>
        <w:tblStyle w:val="24"/>
        <w:tblW w:w="7820" w:type="dxa"/>
        <w:jc w:val="center"/>
        <w:tblLayout w:type="autofit"/>
        <w:tblCellMar>
          <w:top w:w="0" w:type="dxa"/>
          <w:left w:w="108" w:type="dxa"/>
          <w:bottom w:w="0" w:type="dxa"/>
          <w:right w:w="108" w:type="dxa"/>
        </w:tblCellMar>
      </w:tblPr>
      <w:tblGrid>
        <w:gridCol w:w="4120"/>
        <w:gridCol w:w="720"/>
        <w:gridCol w:w="1360"/>
        <w:gridCol w:w="1620"/>
      </w:tblGrid>
      <w:tr>
        <w:trPr>
          <w:trHeight w:val="390" w:hRule="atLeast"/>
          <w:tblHeader/>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sz w:val="20"/>
                <w:szCs w:val="20"/>
              </w:rPr>
            </w:pPr>
            <w:r>
              <w:rPr>
                <w:rFonts w:hint="eastAsia" w:ascii="宋体" w:hAnsi="宋体" w:cs="宋体"/>
                <w:b/>
                <w:bCs/>
                <w:color w:val="000000"/>
                <w:sz w:val="20"/>
                <w:szCs w:val="20"/>
              </w:rPr>
              <w:t>项目</w:t>
            </w:r>
          </w:p>
        </w:tc>
        <w:tc>
          <w:tcPr>
            <w:tcW w:w="720"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cs="宋体"/>
                <w:b/>
                <w:bCs/>
                <w:color w:val="000000"/>
                <w:sz w:val="20"/>
                <w:szCs w:val="20"/>
              </w:rPr>
            </w:pPr>
            <w:r>
              <w:rPr>
                <w:rFonts w:hint="eastAsia" w:ascii="宋体" w:hAnsi="宋体" w:cs="宋体"/>
                <w:b/>
                <w:bCs/>
                <w:color w:val="000000"/>
                <w:sz w:val="20"/>
                <w:szCs w:val="20"/>
              </w:rPr>
              <w:t>行次</w:t>
            </w:r>
          </w:p>
        </w:tc>
        <w:tc>
          <w:tcPr>
            <w:tcW w:w="1360"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cs="宋体"/>
                <w:b/>
                <w:bCs/>
                <w:color w:val="000000"/>
                <w:sz w:val="20"/>
                <w:szCs w:val="20"/>
              </w:rPr>
            </w:pPr>
            <w:r>
              <w:rPr>
                <w:rFonts w:hint="eastAsia" w:ascii="宋体" w:hAnsi="宋体" w:cs="宋体"/>
                <w:b/>
                <w:bCs/>
                <w:color w:val="000000"/>
                <w:sz w:val="20"/>
                <w:szCs w:val="20"/>
              </w:rPr>
              <w:t>本期发生额</w:t>
            </w:r>
          </w:p>
        </w:tc>
        <w:tc>
          <w:tcPr>
            <w:tcW w:w="1620"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cs="宋体"/>
                <w:b/>
                <w:bCs/>
                <w:color w:val="000000"/>
                <w:sz w:val="20"/>
                <w:szCs w:val="20"/>
              </w:rPr>
            </w:pPr>
            <w:r>
              <w:rPr>
                <w:rFonts w:hint="eastAsia" w:ascii="宋体" w:hAnsi="宋体" w:cs="宋体"/>
                <w:b/>
                <w:bCs/>
                <w:color w:val="000000"/>
                <w:sz w:val="20"/>
                <w:szCs w:val="20"/>
              </w:rPr>
              <w:t>本年累计金额</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sz w:val="20"/>
                <w:szCs w:val="20"/>
              </w:rPr>
            </w:pPr>
            <w:r>
              <w:rPr>
                <w:rFonts w:hint="eastAsia" w:ascii="宋体" w:hAnsi="宋体" w:cs="宋体"/>
                <w:b/>
                <w:bCs/>
                <w:color w:val="000000"/>
                <w:sz w:val="20"/>
                <w:szCs w:val="20"/>
              </w:rPr>
              <w:t>一、营业收入</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1</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其中：主营业务收入</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2</w:t>
            </w:r>
          </w:p>
        </w:tc>
        <w:tc>
          <w:tcPr>
            <w:tcW w:w="1360" w:type="dxa"/>
            <w:tcBorders>
              <w:top w:val="nil"/>
              <w:left w:val="nil"/>
              <w:bottom w:val="single" w:color="000000" w:sz="4" w:space="0"/>
              <w:right w:val="single" w:color="000000" w:sz="4" w:space="0"/>
            </w:tcBorders>
            <w:shd w:val="clear" w:color="FFFFFF" w:fill="FFFFFF"/>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c>
          <w:tcPr>
            <w:tcW w:w="1620" w:type="dxa"/>
            <w:tcBorders>
              <w:top w:val="nil"/>
              <w:left w:val="nil"/>
              <w:bottom w:val="single" w:color="000000" w:sz="4" w:space="0"/>
              <w:right w:val="single" w:color="000000" w:sz="4" w:space="0"/>
            </w:tcBorders>
            <w:shd w:val="clear" w:color="FFFFFF" w:fill="FFFFFF"/>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其他业务收入</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3</w:t>
            </w:r>
          </w:p>
        </w:tc>
        <w:tc>
          <w:tcPr>
            <w:tcW w:w="1360" w:type="dxa"/>
            <w:tcBorders>
              <w:top w:val="nil"/>
              <w:left w:val="nil"/>
              <w:bottom w:val="single" w:color="000000" w:sz="4" w:space="0"/>
              <w:right w:val="single" w:color="000000" w:sz="4" w:space="0"/>
            </w:tcBorders>
            <w:shd w:val="clear" w:color="FFFFFF" w:fill="FFFFFF"/>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c>
          <w:tcPr>
            <w:tcW w:w="1620" w:type="dxa"/>
            <w:tcBorders>
              <w:top w:val="nil"/>
              <w:left w:val="nil"/>
              <w:bottom w:val="single" w:color="000000" w:sz="4" w:space="0"/>
              <w:right w:val="single" w:color="000000" w:sz="4" w:space="0"/>
            </w:tcBorders>
            <w:shd w:val="clear" w:color="FFFFFF" w:fill="FFFFFF"/>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sz w:val="20"/>
                <w:szCs w:val="20"/>
              </w:rPr>
            </w:pPr>
            <w:r>
              <w:rPr>
                <w:rFonts w:hint="eastAsia" w:ascii="宋体" w:hAnsi="宋体" w:cs="宋体"/>
                <w:b/>
                <w:bCs/>
                <w:color w:val="000000"/>
                <w:sz w:val="20"/>
                <w:szCs w:val="20"/>
              </w:rPr>
              <w:t>减：营业成本</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4</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其中：主营业务成本</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5</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其他业务成本</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6</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税金及附加</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7</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23,370.94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194,770.74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销售费用</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8</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3,616.31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3,616.31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管理费用</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9</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18,036.55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18,036.55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研发费用</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10</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财务费用</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11</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-194.82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1,044.03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其中：利息费用</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12</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利息收入 </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13</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-279.42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-341.02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资产减值损失</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14</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信用减值损失</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15</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加：其他收益</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16</w:t>
            </w:r>
          </w:p>
        </w:tc>
        <w:tc>
          <w:tcPr>
            <w:tcW w:w="1360" w:type="dxa"/>
            <w:tcBorders>
              <w:top w:val="nil"/>
              <w:left w:val="nil"/>
              <w:bottom w:val="single" w:color="000000" w:sz="4" w:space="0"/>
              <w:right w:val="single" w:color="000000" w:sz="4" w:space="0"/>
            </w:tcBorders>
            <w:shd w:val="clear" w:color="FFFFFF" w:fill="FFFFFF"/>
            <w:vAlign w:val="center"/>
          </w:tcPr>
          <w:p>
            <w:pPr>
              <w:jc w:val="right"/>
              <w:rPr>
                <w:rFonts w:ascii="宋体" w:hAnsi="宋体" w:cs="宋体"/>
                <w:color w:val="000000"/>
                <w:sz w:val="20"/>
                <w:szCs w:val="20"/>
              </w:rPr>
            </w:pPr>
            <w:r>
              <w:rPr>
                <w:rFonts w:hint="eastAsia" w:ascii="宋体" w:hAnsi="宋体" w:cs="宋体"/>
                <w:color w:val="000000"/>
                <w:sz w:val="20"/>
                <w:szCs w:val="20"/>
              </w:rPr>
              <w:t>　</w:t>
            </w:r>
          </w:p>
        </w:tc>
        <w:tc>
          <w:tcPr>
            <w:tcW w:w="1620" w:type="dxa"/>
            <w:tcBorders>
              <w:top w:val="nil"/>
              <w:left w:val="nil"/>
              <w:bottom w:val="single" w:color="000000" w:sz="4" w:space="0"/>
              <w:right w:val="single" w:color="000000" w:sz="4" w:space="0"/>
            </w:tcBorders>
            <w:shd w:val="clear" w:color="FFFFFF" w:fill="FFFFFF"/>
            <w:vAlign w:val="center"/>
          </w:tcPr>
          <w:p>
            <w:pPr>
              <w:jc w:val="right"/>
              <w:rPr>
                <w:rFonts w:ascii="宋体" w:hAnsi="宋体" w:cs="宋体"/>
                <w:color w:val="000000"/>
                <w:sz w:val="20"/>
                <w:szCs w:val="20"/>
              </w:rPr>
            </w:pPr>
            <w:r>
              <w:rPr>
                <w:rFonts w:hint="eastAsia" w:ascii="宋体" w:hAnsi="宋体" w:cs="宋体"/>
                <w:color w:val="000000"/>
                <w:sz w:val="20"/>
                <w:szCs w:val="20"/>
              </w:rPr>
              <w:t>　</w:t>
            </w:r>
          </w:p>
        </w:tc>
      </w:tr>
      <w:tr>
        <w:trPr>
          <w:trHeight w:val="480"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投资收益（损失以“－”号填列）</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17</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49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其中:对联营企业和合营企业的投资收益</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18</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w:t>
            </w:r>
          </w:p>
        </w:tc>
      </w:tr>
      <w:tr>
        <w:trPr>
          <w:trHeight w:val="58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净敞口套期收益（损失以“－”号填列）</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19</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w:t>
            </w:r>
          </w:p>
        </w:tc>
      </w:tr>
      <w:tr>
        <w:trPr>
          <w:trHeight w:val="58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公允价值变动收益（损失以“－”号填列）</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20</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58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资产处置收益（损失以“－”号填列）</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21</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sz w:val="20"/>
                <w:szCs w:val="20"/>
              </w:rPr>
            </w:pPr>
            <w:r>
              <w:rPr>
                <w:rFonts w:hint="eastAsia" w:ascii="宋体" w:hAnsi="宋体" w:cs="宋体"/>
                <w:b/>
                <w:bCs/>
                <w:color w:val="000000"/>
                <w:sz w:val="20"/>
                <w:szCs w:val="20"/>
              </w:rPr>
              <w:t>二、营业利润（亏损以“－”号填列）</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22</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-44,828.98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-217,467.63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加：营业外收入</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23</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减：营业外支出</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24</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其中：非流动资产处置损失</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25</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sz w:val="20"/>
                <w:szCs w:val="20"/>
              </w:rPr>
            </w:pPr>
            <w:r>
              <w:rPr>
                <w:rFonts w:hint="eastAsia" w:ascii="宋体" w:hAnsi="宋体" w:cs="宋体"/>
                <w:b/>
                <w:bCs/>
                <w:color w:val="000000"/>
                <w:sz w:val="20"/>
                <w:szCs w:val="20"/>
              </w:rPr>
              <w:t>三、利润总额（亏损总额以“－”号填列）</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26</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-44,828.98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-217,467.63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减：所得税费用</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27</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sz w:val="20"/>
                <w:szCs w:val="20"/>
              </w:rPr>
            </w:pPr>
            <w:r>
              <w:rPr>
                <w:rFonts w:hint="eastAsia" w:ascii="宋体" w:hAnsi="宋体" w:cs="宋体"/>
                <w:b/>
                <w:bCs/>
                <w:color w:val="000000"/>
                <w:sz w:val="20"/>
                <w:szCs w:val="20"/>
              </w:rPr>
              <w:t>四、净利润（净亏损以“－”号填列）</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28</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-44,828.98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-217,467.63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减：少数股东损益</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29</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sz w:val="20"/>
                <w:szCs w:val="20"/>
              </w:rPr>
            </w:pPr>
            <w:r>
              <w:rPr>
                <w:rFonts w:hint="eastAsia" w:ascii="宋体" w:hAnsi="宋体" w:cs="宋体"/>
                <w:b/>
                <w:bCs/>
                <w:color w:val="000000"/>
                <w:sz w:val="20"/>
                <w:szCs w:val="20"/>
              </w:rPr>
              <w:t>五、归属于母公司所有者的净利润</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30</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-44,828.98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-217,467.63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加：年初未分配利润</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31</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-172,638.65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其他转入</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32</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sz w:val="20"/>
                <w:szCs w:val="20"/>
              </w:rPr>
            </w:pPr>
            <w:r>
              <w:rPr>
                <w:rFonts w:hint="eastAsia" w:ascii="宋体" w:hAnsi="宋体" w:cs="宋体"/>
                <w:b/>
                <w:bCs/>
                <w:color w:val="000000"/>
                <w:sz w:val="20"/>
                <w:szCs w:val="20"/>
              </w:rPr>
              <w:t>六、可供分配的利润</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33</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-217,467.63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-217,467.63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减：提取法定盈余公积</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34</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提取法定公益金</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35</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b/>
                <w:bCs/>
                <w:color w:val="000000"/>
              </w:rPr>
            </w:pPr>
            <w:r>
              <w:rPr>
                <w:rFonts w:hint="eastAsia" w:ascii="宋体" w:hAnsi="宋体" w:cs="宋体"/>
                <w:b/>
                <w:bCs/>
                <w:color w:val="000000"/>
              </w:rPr>
              <w:t>七、可供股东分配的利润</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36</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-217,467.63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-217,467.63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减:提取任意盈余公积</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37</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提取储备基金</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38</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提取企业发展基金</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39</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提取职工奖励及福利基金</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40</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利润归还投资</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41</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应付现金股利或利润</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42</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转作股本的股利</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43</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 xml:space="preserve">   盈余公积补亏</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44</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0.00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sz w:val="20"/>
                <w:szCs w:val="20"/>
              </w:rPr>
            </w:pPr>
            <w:r>
              <w:rPr>
                <w:rFonts w:hint="eastAsia" w:ascii="宋体" w:hAnsi="宋体" w:cs="宋体"/>
                <w:b/>
                <w:bCs/>
                <w:color w:val="000000"/>
                <w:sz w:val="20"/>
                <w:szCs w:val="20"/>
              </w:rPr>
              <w:t>八、未分配利润</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45</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-217,467.63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xml:space="preserve">-217,467.63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sz w:val="20"/>
                <w:szCs w:val="20"/>
              </w:rPr>
            </w:pPr>
            <w:r>
              <w:rPr>
                <w:rFonts w:hint="eastAsia" w:ascii="宋体" w:hAnsi="宋体" w:cs="宋体"/>
                <w:b/>
                <w:bCs/>
                <w:color w:val="000000"/>
                <w:sz w:val="20"/>
                <w:szCs w:val="20"/>
              </w:rPr>
              <w:t>九、每股收益：</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46</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（一）基本每股收益</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47</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w:t>
            </w:r>
          </w:p>
        </w:tc>
      </w:tr>
      <w:tr>
        <w:trPr>
          <w:trHeight w:val="375"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r>
              <w:rPr>
                <w:rFonts w:hint="eastAsia" w:ascii="宋体" w:hAnsi="宋体" w:cs="宋体"/>
                <w:color w:val="000000"/>
                <w:sz w:val="20"/>
                <w:szCs w:val="20"/>
              </w:rPr>
              <w:t>（二）稀释每股收益</w:t>
            </w:r>
          </w:p>
        </w:tc>
        <w:tc>
          <w:tcPr>
            <w:tcW w:w="720"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r>
              <w:rPr>
                <w:rFonts w:hint="eastAsia" w:ascii="宋体" w:hAnsi="宋体" w:cs="宋体"/>
                <w:color w:val="000000"/>
                <w:sz w:val="20"/>
                <w:szCs w:val="20"/>
              </w:rPr>
              <w:t>48</w:t>
            </w:r>
          </w:p>
        </w:tc>
        <w:tc>
          <w:tcPr>
            <w:tcW w:w="136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w:t>
            </w:r>
          </w:p>
        </w:tc>
        <w:tc>
          <w:tcPr>
            <w:tcW w:w="1620" w:type="dxa"/>
            <w:tcBorders>
              <w:top w:val="nil"/>
              <w:left w:val="nil"/>
              <w:bottom w:val="single" w:color="000000" w:sz="4" w:space="0"/>
              <w:right w:val="single" w:color="000000" w:sz="4" w:space="0"/>
            </w:tcBorders>
            <w:shd w:val="clear" w:color="auto" w:fill="auto"/>
            <w:vAlign w:val="center"/>
          </w:tcPr>
          <w:p>
            <w:pPr>
              <w:jc w:val="right"/>
              <w:rPr>
                <w:rFonts w:ascii="宋体" w:hAnsi="宋体" w:cs="宋体"/>
                <w:color w:val="000000"/>
                <w:sz w:val="20"/>
                <w:szCs w:val="20"/>
              </w:rPr>
            </w:pPr>
            <w:r>
              <w:rPr>
                <w:rFonts w:hint="eastAsia" w:ascii="宋体" w:hAnsi="宋体" w:cs="宋体"/>
                <w:color w:val="000000"/>
                <w:sz w:val="20"/>
                <w:szCs w:val="20"/>
              </w:rPr>
              <w:t>　</w:t>
            </w:r>
          </w:p>
        </w:tc>
      </w:tr>
    </w:tbl>
    <w:p>
      <w:pPr>
        <w:widowControl w:val="0"/>
        <w:spacing w:line="360" w:lineRule="auto"/>
        <w:textAlignment w:val="center"/>
        <w:rPr>
          <w:rFonts w:ascii="宋体" w:hAnsi="宋体" w:cs="宋体"/>
          <w:sz w:val="18"/>
          <w:szCs w:val="18"/>
          <w:lang w:bidi="ar"/>
        </w:rPr>
      </w:pPr>
    </w:p>
    <w:sectPr>
      <w:pgSz w:w="11906" w:h="16838"/>
      <w:pgMar w:top="1440" w:right="1797" w:bottom="1440" w:left="1797" w:header="851" w:footer="992" w:gutter="0"/>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仿宋_GB2312">
    <w:altName w:val="方正仿宋_GBK"/>
    <w:panose1 w:val="00000000000000000000"/>
    <w:charset w:val="86"/>
    <w:family w:val="modern"/>
    <w:pitch w:val="default"/>
    <w:sig w:usb0="00000000" w:usb1="00000000" w:usb2="00000010" w:usb3="00000000" w:csb0="00040000" w:csb1="00000000"/>
  </w:font>
  <w:font w:name="Calibri Light">
    <w:altName w:val="Helvetica Neue"/>
    <w:panose1 w:val="020F0302020204030204"/>
    <w:charset w:val="00"/>
    <w:family w:val="swiss"/>
    <w:pitch w:val="default"/>
    <w:sig w:usb0="00000000" w:usb1="00000000" w:usb2="00000009" w:usb3="00000000" w:csb0="000001FF" w:csb1="00000000"/>
  </w:font>
  <w:font w:name="Arial">
    <w:panose1 w:val="020B0604020202090204"/>
    <w:charset w:val="00"/>
    <w:family w:val="swiss"/>
    <w:pitch w:val="default"/>
    <w:sig w:usb0="E0000AFF" w:usb1="00007843" w:usb2="00000001" w:usb3="00000000" w:csb0="400001BF" w:csb1="DFF70000"/>
  </w:font>
  <w:font w:name="等线">
    <w:altName w:val="汉仪中等线KW"/>
    <w:panose1 w:val="02010600030101010101"/>
    <w:charset w:val="86"/>
    <w:family w:val="auto"/>
    <w:pitch w:val="default"/>
    <w:sig w:usb0="00000000" w:usb1="00000000" w:usb2="00000016" w:usb3="00000000" w:csb0="0004000F" w:csb1="00000000"/>
  </w:font>
  <w:font w:name="冬青黑体简体中文">
    <w:panose1 w:val="020B0300000000000000"/>
    <w:charset w:val="86"/>
    <w:family w:val="auto"/>
    <w:pitch w:val="default"/>
    <w:sig w:usb0="A00002BF" w:usb1="1ACF7CFA" w:usb2="00000016" w:usb3="00000000" w:csb0="00060007" w:csb1="00000000"/>
  </w:font>
  <w:font w:name="宋体-简">
    <w:panose1 w:val="02010800040101010101"/>
    <w:charset w:val="86"/>
    <w:family w:val="auto"/>
    <w:pitch w:val="default"/>
    <w:sig w:usb0="00000001" w:usb1="080F0000" w:usb2="00000000" w:usb3="00000000" w:csb0="00040000" w:csb1="00000000"/>
  </w:font>
  <w:font w:name="汉仪中等线KW">
    <w:panose1 w:val="01010104010101010101"/>
    <w:charset w:val="86"/>
    <w:family w:val="auto"/>
    <w:pitch w:val="default"/>
    <w:sig w:usb0="800002BF" w:usb1="004F7CFA" w:usb2="00000000" w:usb3="00000000" w:csb0="00040001" w:csb1="00000000"/>
  </w:font>
  <w:font w:name="方正仿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4773657"/>
    </w:sdtPr>
    <w:sdtContent>
      <w:p>
        <w:pPr>
          <w:pStyle w:val="13"/>
          <w:jc w:val="center"/>
        </w:pPr>
        <w:r>
          <w:fldChar w:fldCharType="begin"/>
        </w:r>
        <w:r>
          <w:instrText xml:space="preserve">PAGE   \* MERGEFORMAT</w:instrText>
        </w:r>
        <w:r>
          <w:fldChar w:fldCharType="separate"/>
        </w:r>
        <w:r>
          <w:rPr>
            <w:lang w:val="zh-CN"/>
          </w:rPr>
          <w:t>81</w:t>
        </w:r>
        <w:r>
          <w:fldChar w:fldCharType="end"/>
        </w:r>
      </w:p>
    </w:sdtContent>
  </w:sdt>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s0lY7tAAAAAF&#10;AQAADwAAAAAAAAABACAAAAA4AAAAZHJzL2Rvd25yZXYueG1sUEsBAhQAFAAAAAgAh07iQPpO5poO&#10;AgAABwQAAA4AAAAAAAAAAQAgAAAANQEAAGRycy9lMm9Eb2MueG1sUEsFBgAAAAAGAAYAWQEAALUF&#10;A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42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LNJWO7QAAAA&#10;BQEAAA8AAAAAAAAAAQAgAAAAOAAAAGRycy9kb3ducmV2LnhtbFBLAQIUABQAAAAIAIdO4kBz+GTZ&#10;DwIAAAcEAAAOAAAAAAAAAAEAIAAAADUBAABkcnMvZTJvRG9jLnhtbFBLBQYAAAAABgAGAFkBAAC2&#10;BQ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42</w:t>
                    </w:r>
                    <w:r>
                      <w:rPr>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rPr>
      <w:t>2020年</w:t>
    </w:r>
    <w:r>
      <w:t>12</w:t>
    </w:r>
    <w:r>
      <w:rPr>
        <w:rFonts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val="1"/>
  <w:bordersDoNotSurroundFooter w:val="1"/>
  <w:hideSpellingErrors/>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F22"/>
    <w:rsid w:val="0000775D"/>
    <w:rsid w:val="00021A11"/>
    <w:rsid w:val="000229B9"/>
    <w:rsid w:val="000244F8"/>
    <w:rsid w:val="000328CB"/>
    <w:rsid w:val="00032F2E"/>
    <w:rsid w:val="0003488E"/>
    <w:rsid w:val="000426EB"/>
    <w:rsid w:val="00051D84"/>
    <w:rsid w:val="000622D8"/>
    <w:rsid w:val="00066895"/>
    <w:rsid w:val="00067BFF"/>
    <w:rsid w:val="0007263F"/>
    <w:rsid w:val="00077509"/>
    <w:rsid w:val="00084184"/>
    <w:rsid w:val="0009050E"/>
    <w:rsid w:val="000974EE"/>
    <w:rsid w:val="000A1EB5"/>
    <w:rsid w:val="000B179B"/>
    <w:rsid w:val="000B746D"/>
    <w:rsid w:val="000C4941"/>
    <w:rsid w:val="000C7588"/>
    <w:rsid w:val="000D4971"/>
    <w:rsid w:val="000E44C9"/>
    <w:rsid w:val="000E5B1B"/>
    <w:rsid w:val="000E7512"/>
    <w:rsid w:val="000F0895"/>
    <w:rsid w:val="000F5CD8"/>
    <w:rsid w:val="00114242"/>
    <w:rsid w:val="001216A6"/>
    <w:rsid w:val="001223FB"/>
    <w:rsid w:val="00130DFD"/>
    <w:rsid w:val="001365FB"/>
    <w:rsid w:val="001414BB"/>
    <w:rsid w:val="00142C5C"/>
    <w:rsid w:val="00144F62"/>
    <w:rsid w:val="00145D3B"/>
    <w:rsid w:val="00150FC7"/>
    <w:rsid w:val="0015620D"/>
    <w:rsid w:val="00156898"/>
    <w:rsid w:val="00157DCF"/>
    <w:rsid w:val="001621C6"/>
    <w:rsid w:val="00162B49"/>
    <w:rsid w:val="001645AE"/>
    <w:rsid w:val="001677BC"/>
    <w:rsid w:val="00172A27"/>
    <w:rsid w:val="00174089"/>
    <w:rsid w:val="00175216"/>
    <w:rsid w:val="00176576"/>
    <w:rsid w:val="00180D44"/>
    <w:rsid w:val="0018502A"/>
    <w:rsid w:val="001854D5"/>
    <w:rsid w:val="00185ADB"/>
    <w:rsid w:val="001920D9"/>
    <w:rsid w:val="001A1F38"/>
    <w:rsid w:val="001A21B6"/>
    <w:rsid w:val="001A4793"/>
    <w:rsid w:val="001A7A20"/>
    <w:rsid w:val="001B2126"/>
    <w:rsid w:val="001B773F"/>
    <w:rsid w:val="001C7E0B"/>
    <w:rsid w:val="001D3EC4"/>
    <w:rsid w:val="001E3019"/>
    <w:rsid w:val="001E352D"/>
    <w:rsid w:val="001E5B80"/>
    <w:rsid w:val="001F74A0"/>
    <w:rsid w:val="0020480F"/>
    <w:rsid w:val="00221834"/>
    <w:rsid w:val="002268B0"/>
    <w:rsid w:val="00240921"/>
    <w:rsid w:val="002458D8"/>
    <w:rsid w:val="002518CC"/>
    <w:rsid w:val="002538A2"/>
    <w:rsid w:val="00257713"/>
    <w:rsid w:val="00267789"/>
    <w:rsid w:val="00283985"/>
    <w:rsid w:val="00283CDC"/>
    <w:rsid w:val="002865A6"/>
    <w:rsid w:val="00287B3A"/>
    <w:rsid w:val="00287FA5"/>
    <w:rsid w:val="00290BA3"/>
    <w:rsid w:val="00290C9D"/>
    <w:rsid w:val="002A4F4E"/>
    <w:rsid w:val="002A5657"/>
    <w:rsid w:val="002B1199"/>
    <w:rsid w:val="002C0144"/>
    <w:rsid w:val="002C3044"/>
    <w:rsid w:val="002C7E24"/>
    <w:rsid w:val="002D78C1"/>
    <w:rsid w:val="002E4D4A"/>
    <w:rsid w:val="002F3320"/>
    <w:rsid w:val="0030025E"/>
    <w:rsid w:val="00303FFC"/>
    <w:rsid w:val="00304CF5"/>
    <w:rsid w:val="00305045"/>
    <w:rsid w:val="00306630"/>
    <w:rsid w:val="00315489"/>
    <w:rsid w:val="00316254"/>
    <w:rsid w:val="003208D1"/>
    <w:rsid w:val="00320DA3"/>
    <w:rsid w:val="00322B1B"/>
    <w:rsid w:val="0033326C"/>
    <w:rsid w:val="00334BA3"/>
    <w:rsid w:val="00337528"/>
    <w:rsid w:val="003375C3"/>
    <w:rsid w:val="003420AB"/>
    <w:rsid w:val="003445E8"/>
    <w:rsid w:val="003671EB"/>
    <w:rsid w:val="00382AAA"/>
    <w:rsid w:val="00383881"/>
    <w:rsid w:val="00383B95"/>
    <w:rsid w:val="003853A0"/>
    <w:rsid w:val="00392510"/>
    <w:rsid w:val="00394BE6"/>
    <w:rsid w:val="00394E08"/>
    <w:rsid w:val="00396C9C"/>
    <w:rsid w:val="003976BC"/>
    <w:rsid w:val="00397E2C"/>
    <w:rsid w:val="003A0089"/>
    <w:rsid w:val="003A1186"/>
    <w:rsid w:val="003A206C"/>
    <w:rsid w:val="003A5096"/>
    <w:rsid w:val="003B2D89"/>
    <w:rsid w:val="003B65AE"/>
    <w:rsid w:val="003B7560"/>
    <w:rsid w:val="003C26BF"/>
    <w:rsid w:val="003C5D3D"/>
    <w:rsid w:val="003D1951"/>
    <w:rsid w:val="003D4174"/>
    <w:rsid w:val="003D4E69"/>
    <w:rsid w:val="003D6F28"/>
    <w:rsid w:val="003E676C"/>
    <w:rsid w:val="003F101A"/>
    <w:rsid w:val="003F2B54"/>
    <w:rsid w:val="003F5167"/>
    <w:rsid w:val="004058D2"/>
    <w:rsid w:val="00407929"/>
    <w:rsid w:val="00416D13"/>
    <w:rsid w:val="00425BD1"/>
    <w:rsid w:val="00434F6C"/>
    <w:rsid w:val="00440026"/>
    <w:rsid w:val="00441A3A"/>
    <w:rsid w:val="00451EB7"/>
    <w:rsid w:val="00455545"/>
    <w:rsid w:val="00455B9D"/>
    <w:rsid w:val="0046482B"/>
    <w:rsid w:val="00464ECE"/>
    <w:rsid w:val="00476AAF"/>
    <w:rsid w:val="00476B77"/>
    <w:rsid w:val="00476F37"/>
    <w:rsid w:val="0048517F"/>
    <w:rsid w:val="00490FE6"/>
    <w:rsid w:val="00492CBE"/>
    <w:rsid w:val="00494107"/>
    <w:rsid w:val="004A160F"/>
    <w:rsid w:val="004A1622"/>
    <w:rsid w:val="004A1752"/>
    <w:rsid w:val="004A4624"/>
    <w:rsid w:val="004B37AA"/>
    <w:rsid w:val="004C3297"/>
    <w:rsid w:val="004C3BA7"/>
    <w:rsid w:val="004C713F"/>
    <w:rsid w:val="004D2C0C"/>
    <w:rsid w:val="004D37B3"/>
    <w:rsid w:val="004D41A8"/>
    <w:rsid w:val="004D4255"/>
    <w:rsid w:val="004D49C1"/>
    <w:rsid w:val="004E14F9"/>
    <w:rsid w:val="004E48D2"/>
    <w:rsid w:val="004E67E1"/>
    <w:rsid w:val="004F4177"/>
    <w:rsid w:val="004F707A"/>
    <w:rsid w:val="004F7677"/>
    <w:rsid w:val="00506EB2"/>
    <w:rsid w:val="005075D0"/>
    <w:rsid w:val="00516084"/>
    <w:rsid w:val="00521999"/>
    <w:rsid w:val="00537648"/>
    <w:rsid w:val="005435F6"/>
    <w:rsid w:val="00552D59"/>
    <w:rsid w:val="005547DC"/>
    <w:rsid w:val="005608C6"/>
    <w:rsid w:val="005631EA"/>
    <w:rsid w:val="00563759"/>
    <w:rsid w:val="005703D7"/>
    <w:rsid w:val="005719F7"/>
    <w:rsid w:val="00581F92"/>
    <w:rsid w:val="005851CF"/>
    <w:rsid w:val="005A6061"/>
    <w:rsid w:val="005A6508"/>
    <w:rsid w:val="005B42A2"/>
    <w:rsid w:val="005B476E"/>
    <w:rsid w:val="005B6EBC"/>
    <w:rsid w:val="005C0B46"/>
    <w:rsid w:val="005C6B51"/>
    <w:rsid w:val="005C6F98"/>
    <w:rsid w:val="005C7109"/>
    <w:rsid w:val="005C77A0"/>
    <w:rsid w:val="005D5721"/>
    <w:rsid w:val="005D5EC2"/>
    <w:rsid w:val="005D6375"/>
    <w:rsid w:val="005F1F07"/>
    <w:rsid w:val="00605BBC"/>
    <w:rsid w:val="00605D6A"/>
    <w:rsid w:val="00606144"/>
    <w:rsid w:val="00614E1E"/>
    <w:rsid w:val="00623B17"/>
    <w:rsid w:val="00632002"/>
    <w:rsid w:val="0063521F"/>
    <w:rsid w:val="00654ACF"/>
    <w:rsid w:val="00655D37"/>
    <w:rsid w:val="006600C8"/>
    <w:rsid w:val="006628DC"/>
    <w:rsid w:val="00673622"/>
    <w:rsid w:val="00682ADF"/>
    <w:rsid w:val="00684C80"/>
    <w:rsid w:val="006878A8"/>
    <w:rsid w:val="00692DA9"/>
    <w:rsid w:val="00696296"/>
    <w:rsid w:val="006967A7"/>
    <w:rsid w:val="006A4891"/>
    <w:rsid w:val="006A4D59"/>
    <w:rsid w:val="006A53BA"/>
    <w:rsid w:val="006B2B79"/>
    <w:rsid w:val="006B3A30"/>
    <w:rsid w:val="006B6792"/>
    <w:rsid w:val="006B7789"/>
    <w:rsid w:val="006C6B13"/>
    <w:rsid w:val="006D394E"/>
    <w:rsid w:val="006E131F"/>
    <w:rsid w:val="006E1E19"/>
    <w:rsid w:val="006E1FF5"/>
    <w:rsid w:val="006E2923"/>
    <w:rsid w:val="006E379E"/>
    <w:rsid w:val="006E77CB"/>
    <w:rsid w:val="006F285C"/>
    <w:rsid w:val="006F4C45"/>
    <w:rsid w:val="00700E25"/>
    <w:rsid w:val="007114EC"/>
    <w:rsid w:val="007156BD"/>
    <w:rsid w:val="00716BF9"/>
    <w:rsid w:val="00720BEE"/>
    <w:rsid w:val="007274FC"/>
    <w:rsid w:val="007323C7"/>
    <w:rsid w:val="0073495D"/>
    <w:rsid w:val="00742AF7"/>
    <w:rsid w:val="00753488"/>
    <w:rsid w:val="007602CC"/>
    <w:rsid w:val="0077018D"/>
    <w:rsid w:val="00772047"/>
    <w:rsid w:val="00775315"/>
    <w:rsid w:val="007829BD"/>
    <w:rsid w:val="00784D35"/>
    <w:rsid w:val="007877FD"/>
    <w:rsid w:val="00787E40"/>
    <w:rsid w:val="00793A77"/>
    <w:rsid w:val="00793AE2"/>
    <w:rsid w:val="00796BA1"/>
    <w:rsid w:val="007A0D2B"/>
    <w:rsid w:val="007A4EB7"/>
    <w:rsid w:val="007A4FF8"/>
    <w:rsid w:val="007B2911"/>
    <w:rsid w:val="007B39F0"/>
    <w:rsid w:val="007B3FD7"/>
    <w:rsid w:val="007B6AC2"/>
    <w:rsid w:val="007C7C25"/>
    <w:rsid w:val="007D0AC2"/>
    <w:rsid w:val="007D738A"/>
    <w:rsid w:val="007D7B44"/>
    <w:rsid w:val="007E0367"/>
    <w:rsid w:val="007E33B7"/>
    <w:rsid w:val="007F0039"/>
    <w:rsid w:val="00802F70"/>
    <w:rsid w:val="00805179"/>
    <w:rsid w:val="008138ED"/>
    <w:rsid w:val="0082714E"/>
    <w:rsid w:val="0082764D"/>
    <w:rsid w:val="00832391"/>
    <w:rsid w:val="00842A61"/>
    <w:rsid w:val="00851093"/>
    <w:rsid w:val="00855AD5"/>
    <w:rsid w:val="00863883"/>
    <w:rsid w:val="00866046"/>
    <w:rsid w:val="00867C36"/>
    <w:rsid w:val="0087387D"/>
    <w:rsid w:val="00884DF4"/>
    <w:rsid w:val="00887185"/>
    <w:rsid w:val="00890BF3"/>
    <w:rsid w:val="00895AAE"/>
    <w:rsid w:val="008A05C9"/>
    <w:rsid w:val="008A61E2"/>
    <w:rsid w:val="008B0D0E"/>
    <w:rsid w:val="008C24E4"/>
    <w:rsid w:val="008C4449"/>
    <w:rsid w:val="008D1128"/>
    <w:rsid w:val="008D3BCC"/>
    <w:rsid w:val="008D76AC"/>
    <w:rsid w:val="008E051F"/>
    <w:rsid w:val="008E0B44"/>
    <w:rsid w:val="009009B9"/>
    <w:rsid w:val="00901EAD"/>
    <w:rsid w:val="00902DE4"/>
    <w:rsid w:val="009106BF"/>
    <w:rsid w:val="00913315"/>
    <w:rsid w:val="00914B83"/>
    <w:rsid w:val="00931848"/>
    <w:rsid w:val="00935EAF"/>
    <w:rsid w:val="009403DB"/>
    <w:rsid w:val="00946799"/>
    <w:rsid w:val="009473F7"/>
    <w:rsid w:val="00953AE4"/>
    <w:rsid w:val="00960776"/>
    <w:rsid w:val="00967B16"/>
    <w:rsid w:val="0097020B"/>
    <w:rsid w:val="00970C65"/>
    <w:rsid w:val="009769F2"/>
    <w:rsid w:val="00976DFD"/>
    <w:rsid w:val="00977107"/>
    <w:rsid w:val="009772AE"/>
    <w:rsid w:val="00991B90"/>
    <w:rsid w:val="00993E4F"/>
    <w:rsid w:val="0099770A"/>
    <w:rsid w:val="009A17DF"/>
    <w:rsid w:val="009A4EE8"/>
    <w:rsid w:val="009B0718"/>
    <w:rsid w:val="009B357F"/>
    <w:rsid w:val="009B5630"/>
    <w:rsid w:val="009C04C1"/>
    <w:rsid w:val="009C1781"/>
    <w:rsid w:val="009C43EB"/>
    <w:rsid w:val="009D3442"/>
    <w:rsid w:val="009D38FE"/>
    <w:rsid w:val="009D736F"/>
    <w:rsid w:val="009E1B3A"/>
    <w:rsid w:val="009E2AF1"/>
    <w:rsid w:val="009E32BB"/>
    <w:rsid w:val="009E65D9"/>
    <w:rsid w:val="009F1294"/>
    <w:rsid w:val="009F542F"/>
    <w:rsid w:val="009F692B"/>
    <w:rsid w:val="00A03D38"/>
    <w:rsid w:val="00A05952"/>
    <w:rsid w:val="00A05BBA"/>
    <w:rsid w:val="00A116CB"/>
    <w:rsid w:val="00A219D4"/>
    <w:rsid w:val="00A2416F"/>
    <w:rsid w:val="00A252C6"/>
    <w:rsid w:val="00A25DAF"/>
    <w:rsid w:val="00A32127"/>
    <w:rsid w:val="00A36654"/>
    <w:rsid w:val="00A374DC"/>
    <w:rsid w:val="00A5745C"/>
    <w:rsid w:val="00A6351F"/>
    <w:rsid w:val="00A64EDF"/>
    <w:rsid w:val="00A76849"/>
    <w:rsid w:val="00A844A3"/>
    <w:rsid w:val="00A96AFD"/>
    <w:rsid w:val="00AA559E"/>
    <w:rsid w:val="00AB29F1"/>
    <w:rsid w:val="00AB5755"/>
    <w:rsid w:val="00AB6FDE"/>
    <w:rsid w:val="00AC3B0A"/>
    <w:rsid w:val="00AC75BF"/>
    <w:rsid w:val="00AD3383"/>
    <w:rsid w:val="00AD47F0"/>
    <w:rsid w:val="00AE2188"/>
    <w:rsid w:val="00AE3976"/>
    <w:rsid w:val="00AE7BA0"/>
    <w:rsid w:val="00AF297F"/>
    <w:rsid w:val="00AF3A18"/>
    <w:rsid w:val="00AF688B"/>
    <w:rsid w:val="00B01D80"/>
    <w:rsid w:val="00B024F7"/>
    <w:rsid w:val="00B1138E"/>
    <w:rsid w:val="00B12F67"/>
    <w:rsid w:val="00B1531C"/>
    <w:rsid w:val="00B15BCF"/>
    <w:rsid w:val="00B160DA"/>
    <w:rsid w:val="00B165F0"/>
    <w:rsid w:val="00B16DED"/>
    <w:rsid w:val="00B174DA"/>
    <w:rsid w:val="00B17661"/>
    <w:rsid w:val="00B269A2"/>
    <w:rsid w:val="00B35352"/>
    <w:rsid w:val="00B3659F"/>
    <w:rsid w:val="00B36BF7"/>
    <w:rsid w:val="00B526F2"/>
    <w:rsid w:val="00B566C0"/>
    <w:rsid w:val="00B57C2B"/>
    <w:rsid w:val="00B70A75"/>
    <w:rsid w:val="00B71A35"/>
    <w:rsid w:val="00B80D37"/>
    <w:rsid w:val="00B813D1"/>
    <w:rsid w:val="00B830A6"/>
    <w:rsid w:val="00B83E24"/>
    <w:rsid w:val="00B84217"/>
    <w:rsid w:val="00B852CA"/>
    <w:rsid w:val="00B914A0"/>
    <w:rsid w:val="00B94849"/>
    <w:rsid w:val="00B95C5F"/>
    <w:rsid w:val="00B95C77"/>
    <w:rsid w:val="00BA67FA"/>
    <w:rsid w:val="00BB7E3D"/>
    <w:rsid w:val="00BC3047"/>
    <w:rsid w:val="00BC6B1B"/>
    <w:rsid w:val="00BD154E"/>
    <w:rsid w:val="00BD7C0A"/>
    <w:rsid w:val="00BE5FF5"/>
    <w:rsid w:val="00C02EC2"/>
    <w:rsid w:val="00C059CD"/>
    <w:rsid w:val="00C11BFB"/>
    <w:rsid w:val="00C130F1"/>
    <w:rsid w:val="00C22587"/>
    <w:rsid w:val="00C2592C"/>
    <w:rsid w:val="00C314AA"/>
    <w:rsid w:val="00C42A0A"/>
    <w:rsid w:val="00C4548D"/>
    <w:rsid w:val="00C456A5"/>
    <w:rsid w:val="00C51FC5"/>
    <w:rsid w:val="00C61A45"/>
    <w:rsid w:val="00C64227"/>
    <w:rsid w:val="00C727B7"/>
    <w:rsid w:val="00C759EF"/>
    <w:rsid w:val="00C85DDE"/>
    <w:rsid w:val="00C94D9D"/>
    <w:rsid w:val="00CA1EEE"/>
    <w:rsid w:val="00CA54D9"/>
    <w:rsid w:val="00CA6BE6"/>
    <w:rsid w:val="00CB31AE"/>
    <w:rsid w:val="00CB77D2"/>
    <w:rsid w:val="00CD246F"/>
    <w:rsid w:val="00CE2DFA"/>
    <w:rsid w:val="00D01D46"/>
    <w:rsid w:val="00D05081"/>
    <w:rsid w:val="00D0602D"/>
    <w:rsid w:val="00D11429"/>
    <w:rsid w:val="00D11F17"/>
    <w:rsid w:val="00D14FB6"/>
    <w:rsid w:val="00D1736E"/>
    <w:rsid w:val="00D233DB"/>
    <w:rsid w:val="00D23C39"/>
    <w:rsid w:val="00D27CD5"/>
    <w:rsid w:val="00D3192C"/>
    <w:rsid w:val="00D324CA"/>
    <w:rsid w:val="00D32F58"/>
    <w:rsid w:val="00D3311E"/>
    <w:rsid w:val="00D353C9"/>
    <w:rsid w:val="00D37801"/>
    <w:rsid w:val="00D666B6"/>
    <w:rsid w:val="00D67CDC"/>
    <w:rsid w:val="00D7687B"/>
    <w:rsid w:val="00D77DF4"/>
    <w:rsid w:val="00D876E0"/>
    <w:rsid w:val="00D91B3C"/>
    <w:rsid w:val="00D92627"/>
    <w:rsid w:val="00D92D97"/>
    <w:rsid w:val="00D97737"/>
    <w:rsid w:val="00DA6B9D"/>
    <w:rsid w:val="00DB2474"/>
    <w:rsid w:val="00DC2F13"/>
    <w:rsid w:val="00DC4B09"/>
    <w:rsid w:val="00DC5C35"/>
    <w:rsid w:val="00DD16C8"/>
    <w:rsid w:val="00DD5659"/>
    <w:rsid w:val="00DD78B6"/>
    <w:rsid w:val="00DE1C1C"/>
    <w:rsid w:val="00DE44AA"/>
    <w:rsid w:val="00DF7EC7"/>
    <w:rsid w:val="00E00AA1"/>
    <w:rsid w:val="00E02AC0"/>
    <w:rsid w:val="00E07CAC"/>
    <w:rsid w:val="00E25073"/>
    <w:rsid w:val="00E30EBE"/>
    <w:rsid w:val="00E42D86"/>
    <w:rsid w:val="00E50403"/>
    <w:rsid w:val="00E523CA"/>
    <w:rsid w:val="00E54C72"/>
    <w:rsid w:val="00E62426"/>
    <w:rsid w:val="00E67234"/>
    <w:rsid w:val="00E67884"/>
    <w:rsid w:val="00E7768A"/>
    <w:rsid w:val="00E82392"/>
    <w:rsid w:val="00E849F8"/>
    <w:rsid w:val="00E85769"/>
    <w:rsid w:val="00E85DF2"/>
    <w:rsid w:val="00E942AB"/>
    <w:rsid w:val="00E95299"/>
    <w:rsid w:val="00E954D1"/>
    <w:rsid w:val="00EA789E"/>
    <w:rsid w:val="00EB081A"/>
    <w:rsid w:val="00EC162F"/>
    <w:rsid w:val="00EE0547"/>
    <w:rsid w:val="00EE3C66"/>
    <w:rsid w:val="00EE4D2E"/>
    <w:rsid w:val="00EE50AA"/>
    <w:rsid w:val="00EE5292"/>
    <w:rsid w:val="00EE5C80"/>
    <w:rsid w:val="00EE691E"/>
    <w:rsid w:val="00EE71E3"/>
    <w:rsid w:val="00EF1664"/>
    <w:rsid w:val="00EF1AFC"/>
    <w:rsid w:val="00F1040E"/>
    <w:rsid w:val="00F109F4"/>
    <w:rsid w:val="00F134CB"/>
    <w:rsid w:val="00F15235"/>
    <w:rsid w:val="00F15F37"/>
    <w:rsid w:val="00F36498"/>
    <w:rsid w:val="00F37300"/>
    <w:rsid w:val="00F431D0"/>
    <w:rsid w:val="00F53930"/>
    <w:rsid w:val="00F614C8"/>
    <w:rsid w:val="00F76A0D"/>
    <w:rsid w:val="00F80103"/>
    <w:rsid w:val="00F8010D"/>
    <w:rsid w:val="00F83A1D"/>
    <w:rsid w:val="00F860C2"/>
    <w:rsid w:val="00F965D9"/>
    <w:rsid w:val="00FB0BC3"/>
    <w:rsid w:val="00FB66BF"/>
    <w:rsid w:val="00FC344B"/>
    <w:rsid w:val="00FC3B46"/>
    <w:rsid w:val="00FC5300"/>
    <w:rsid w:val="00FE0D73"/>
    <w:rsid w:val="00FE652B"/>
    <w:rsid w:val="00FE7C24"/>
    <w:rsid w:val="00FF1B27"/>
    <w:rsid w:val="00FF6B75"/>
    <w:rsid w:val="00FF7445"/>
    <w:rsid w:val="010270F0"/>
    <w:rsid w:val="012B46D9"/>
    <w:rsid w:val="01ED48E9"/>
    <w:rsid w:val="0251315F"/>
    <w:rsid w:val="02830A6E"/>
    <w:rsid w:val="02877CBE"/>
    <w:rsid w:val="028871EC"/>
    <w:rsid w:val="02E048FD"/>
    <w:rsid w:val="03036715"/>
    <w:rsid w:val="035E1931"/>
    <w:rsid w:val="0365611B"/>
    <w:rsid w:val="036B22E3"/>
    <w:rsid w:val="03A34CD4"/>
    <w:rsid w:val="03FB73E0"/>
    <w:rsid w:val="044F21D4"/>
    <w:rsid w:val="0450305C"/>
    <w:rsid w:val="04A66D06"/>
    <w:rsid w:val="04DC7BC0"/>
    <w:rsid w:val="04ED10F3"/>
    <w:rsid w:val="05484B5E"/>
    <w:rsid w:val="05C5167B"/>
    <w:rsid w:val="05D535AE"/>
    <w:rsid w:val="05EFFF3D"/>
    <w:rsid w:val="06071A70"/>
    <w:rsid w:val="062720E3"/>
    <w:rsid w:val="06384369"/>
    <w:rsid w:val="063C678E"/>
    <w:rsid w:val="06432606"/>
    <w:rsid w:val="06647A1B"/>
    <w:rsid w:val="06693CF4"/>
    <w:rsid w:val="076516EC"/>
    <w:rsid w:val="080161AD"/>
    <w:rsid w:val="08C07EB3"/>
    <w:rsid w:val="08E7539F"/>
    <w:rsid w:val="08E92574"/>
    <w:rsid w:val="09033A1A"/>
    <w:rsid w:val="097A0364"/>
    <w:rsid w:val="097D4D2E"/>
    <w:rsid w:val="09E932C2"/>
    <w:rsid w:val="0A5D6F1A"/>
    <w:rsid w:val="0B006DB0"/>
    <w:rsid w:val="0B99304D"/>
    <w:rsid w:val="0BC079D6"/>
    <w:rsid w:val="0BC6191D"/>
    <w:rsid w:val="0C80658F"/>
    <w:rsid w:val="0C9C0346"/>
    <w:rsid w:val="0C9D7B11"/>
    <w:rsid w:val="0D421D11"/>
    <w:rsid w:val="0D995122"/>
    <w:rsid w:val="0EB03C81"/>
    <w:rsid w:val="0F2A1391"/>
    <w:rsid w:val="0F80334F"/>
    <w:rsid w:val="0FA77B1D"/>
    <w:rsid w:val="0FD845D7"/>
    <w:rsid w:val="100C5DBF"/>
    <w:rsid w:val="10647699"/>
    <w:rsid w:val="10687047"/>
    <w:rsid w:val="116D3121"/>
    <w:rsid w:val="11A85264"/>
    <w:rsid w:val="11C857A2"/>
    <w:rsid w:val="12606042"/>
    <w:rsid w:val="12761DBB"/>
    <w:rsid w:val="12C915FF"/>
    <w:rsid w:val="12E85D65"/>
    <w:rsid w:val="138E002A"/>
    <w:rsid w:val="138E570A"/>
    <w:rsid w:val="13D13A36"/>
    <w:rsid w:val="150A10DB"/>
    <w:rsid w:val="150C427B"/>
    <w:rsid w:val="153C0178"/>
    <w:rsid w:val="15D24898"/>
    <w:rsid w:val="15EF2893"/>
    <w:rsid w:val="16656079"/>
    <w:rsid w:val="16AB7654"/>
    <w:rsid w:val="16D17DE8"/>
    <w:rsid w:val="1720068D"/>
    <w:rsid w:val="17247918"/>
    <w:rsid w:val="17853719"/>
    <w:rsid w:val="17BD2FD8"/>
    <w:rsid w:val="181538D7"/>
    <w:rsid w:val="18DD2BDA"/>
    <w:rsid w:val="19F00CEF"/>
    <w:rsid w:val="1A7031FE"/>
    <w:rsid w:val="1AF81D29"/>
    <w:rsid w:val="1B05646C"/>
    <w:rsid w:val="1B43585D"/>
    <w:rsid w:val="1BE60DED"/>
    <w:rsid w:val="1BE92D15"/>
    <w:rsid w:val="1CBD77B5"/>
    <w:rsid w:val="1D2C42E1"/>
    <w:rsid w:val="1D3B214C"/>
    <w:rsid w:val="1DA149DA"/>
    <w:rsid w:val="1E070551"/>
    <w:rsid w:val="1E0C7038"/>
    <w:rsid w:val="1E4B4DFE"/>
    <w:rsid w:val="1E82168B"/>
    <w:rsid w:val="1ED028E2"/>
    <w:rsid w:val="1F2A1B2C"/>
    <w:rsid w:val="1F9B41CE"/>
    <w:rsid w:val="20101D23"/>
    <w:rsid w:val="20746BCC"/>
    <w:rsid w:val="211921E1"/>
    <w:rsid w:val="212658C3"/>
    <w:rsid w:val="213C5B1E"/>
    <w:rsid w:val="216F3ADD"/>
    <w:rsid w:val="218C05D0"/>
    <w:rsid w:val="21B04EA0"/>
    <w:rsid w:val="21DE65B0"/>
    <w:rsid w:val="22081996"/>
    <w:rsid w:val="222663EF"/>
    <w:rsid w:val="2254403F"/>
    <w:rsid w:val="22DA4D4A"/>
    <w:rsid w:val="239A28A2"/>
    <w:rsid w:val="23DA045B"/>
    <w:rsid w:val="23E059B1"/>
    <w:rsid w:val="24CA7207"/>
    <w:rsid w:val="25095DC6"/>
    <w:rsid w:val="25D35103"/>
    <w:rsid w:val="26333584"/>
    <w:rsid w:val="26A262CB"/>
    <w:rsid w:val="26C1758C"/>
    <w:rsid w:val="27060F70"/>
    <w:rsid w:val="27653EBC"/>
    <w:rsid w:val="277D71FB"/>
    <w:rsid w:val="27FF515E"/>
    <w:rsid w:val="293C37B9"/>
    <w:rsid w:val="2978425F"/>
    <w:rsid w:val="2996794B"/>
    <w:rsid w:val="29B92124"/>
    <w:rsid w:val="2A02461E"/>
    <w:rsid w:val="2A54389D"/>
    <w:rsid w:val="2BAE3457"/>
    <w:rsid w:val="2BFA29EA"/>
    <w:rsid w:val="2C2A08DD"/>
    <w:rsid w:val="2C301F85"/>
    <w:rsid w:val="2C860725"/>
    <w:rsid w:val="2D406FB8"/>
    <w:rsid w:val="2D6015AE"/>
    <w:rsid w:val="2D880D3B"/>
    <w:rsid w:val="2DB805A2"/>
    <w:rsid w:val="2DD2310E"/>
    <w:rsid w:val="2DD57888"/>
    <w:rsid w:val="2E935474"/>
    <w:rsid w:val="2EB232A8"/>
    <w:rsid w:val="2EC31840"/>
    <w:rsid w:val="2EE9417A"/>
    <w:rsid w:val="2F735D5B"/>
    <w:rsid w:val="2FAE3BD0"/>
    <w:rsid w:val="2FD2260F"/>
    <w:rsid w:val="2FDB42F2"/>
    <w:rsid w:val="300467DE"/>
    <w:rsid w:val="30150CEF"/>
    <w:rsid w:val="302F21B3"/>
    <w:rsid w:val="31411E31"/>
    <w:rsid w:val="3145213E"/>
    <w:rsid w:val="31C03A67"/>
    <w:rsid w:val="31C06506"/>
    <w:rsid w:val="31FF1AD6"/>
    <w:rsid w:val="32037786"/>
    <w:rsid w:val="325D3972"/>
    <w:rsid w:val="33677490"/>
    <w:rsid w:val="33B73662"/>
    <w:rsid w:val="344666A4"/>
    <w:rsid w:val="34A167A4"/>
    <w:rsid w:val="35077E0B"/>
    <w:rsid w:val="351B0FF3"/>
    <w:rsid w:val="35EA7C0D"/>
    <w:rsid w:val="3697172B"/>
    <w:rsid w:val="37254E67"/>
    <w:rsid w:val="373D34CC"/>
    <w:rsid w:val="375E5ED0"/>
    <w:rsid w:val="37690F2D"/>
    <w:rsid w:val="376B3965"/>
    <w:rsid w:val="377D712C"/>
    <w:rsid w:val="37CB4474"/>
    <w:rsid w:val="37D44691"/>
    <w:rsid w:val="37FFCF5E"/>
    <w:rsid w:val="38162AF2"/>
    <w:rsid w:val="386411D9"/>
    <w:rsid w:val="38826955"/>
    <w:rsid w:val="38831B02"/>
    <w:rsid w:val="38A26815"/>
    <w:rsid w:val="392220FD"/>
    <w:rsid w:val="39611556"/>
    <w:rsid w:val="39622176"/>
    <w:rsid w:val="3A916878"/>
    <w:rsid w:val="3B073D6A"/>
    <w:rsid w:val="3B3F0177"/>
    <w:rsid w:val="3BE00985"/>
    <w:rsid w:val="3C383EBF"/>
    <w:rsid w:val="3C636D2D"/>
    <w:rsid w:val="3CA556FE"/>
    <w:rsid w:val="3CB67A63"/>
    <w:rsid w:val="3D082BD6"/>
    <w:rsid w:val="3D613E8B"/>
    <w:rsid w:val="3DE21CB5"/>
    <w:rsid w:val="3E3E35B8"/>
    <w:rsid w:val="3EC0741E"/>
    <w:rsid w:val="3EE70A85"/>
    <w:rsid w:val="3EF891A1"/>
    <w:rsid w:val="3F7DFCA7"/>
    <w:rsid w:val="3F810BFE"/>
    <w:rsid w:val="3FA55852"/>
    <w:rsid w:val="3FFB469E"/>
    <w:rsid w:val="404D323E"/>
    <w:rsid w:val="407A4779"/>
    <w:rsid w:val="40AE28B8"/>
    <w:rsid w:val="40C86C7D"/>
    <w:rsid w:val="41444F50"/>
    <w:rsid w:val="42191A73"/>
    <w:rsid w:val="428017A0"/>
    <w:rsid w:val="429C45E0"/>
    <w:rsid w:val="42E0127D"/>
    <w:rsid w:val="43851699"/>
    <w:rsid w:val="43B15734"/>
    <w:rsid w:val="43C47272"/>
    <w:rsid w:val="43DD2C6A"/>
    <w:rsid w:val="44276E85"/>
    <w:rsid w:val="4436267B"/>
    <w:rsid w:val="4438755B"/>
    <w:rsid w:val="448F4104"/>
    <w:rsid w:val="44CF5498"/>
    <w:rsid w:val="44E85188"/>
    <w:rsid w:val="452B3161"/>
    <w:rsid w:val="467E56EB"/>
    <w:rsid w:val="46D955D2"/>
    <w:rsid w:val="47672D77"/>
    <w:rsid w:val="47BB15C5"/>
    <w:rsid w:val="47C43624"/>
    <w:rsid w:val="47D8565B"/>
    <w:rsid w:val="47E42C63"/>
    <w:rsid w:val="47EFD4F8"/>
    <w:rsid w:val="47FE0D1E"/>
    <w:rsid w:val="48B827A7"/>
    <w:rsid w:val="4945389A"/>
    <w:rsid w:val="497A7D9B"/>
    <w:rsid w:val="49A64278"/>
    <w:rsid w:val="49CD66B6"/>
    <w:rsid w:val="4A2A7F14"/>
    <w:rsid w:val="4A4A26C8"/>
    <w:rsid w:val="4A6C3FA4"/>
    <w:rsid w:val="4BC70595"/>
    <w:rsid w:val="4BD77F33"/>
    <w:rsid w:val="4BFF1416"/>
    <w:rsid w:val="4BFF8DEF"/>
    <w:rsid w:val="4C9253D5"/>
    <w:rsid w:val="4CE80B1D"/>
    <w:rsid w:val="4D0B7382"/>
    <w:rsid w:val="4D7074BB"/>
    <w:rsid w:val="4D9C2ADD"/>
    <w:rsid w:val="4DD209F0"/>
    <w:rsid w:val="4E4E7251"/>
    <w:rsid w:val="4E701438"/>
    <w:rsid w:val="4EBB7508"/>
    <w:rsid w:val="4F102255"/>
    <w:rsid w:val="4F553231"/>
    <w:rsid w:val="4F5E719D"/>
    <w:rsid w:val="4F6204F4"/>
    <w:rsid w:val="4FC35AB0"/>
    <w:rsid w:val="500C5CAF"/>
    <w:rsid w:val="50401A44"/>
    <w:rsid w:val="5072440E"/>
    <w:rsid w:val="50CF6F78"/>
    <w:rsid w:val="50D945BA"/>
    <w:rsid w:val="50DF66DE"/>
    <w:rsid w:val="520A36E7"/>
    <w:rsid w:val="52CC02F4"/>
    <w:rsid w:val="531F3F67"/>
    <w:rsid w:val="5343115E"/>
    <w:rsid w:val="53910F08"/>
    <w:rsid w:val="539F14EF"/>
    <w:rsid w:val="5454692B"/>
    <w:rsid w:val="57327DE6"/>
    <w:rsid w:val="57534D80"/>
    <w:rsid w:val="575B479A"/>
    <w:rsid w:val="577928B9"/>
    <w:rsid w:val="57D61530"/>
    <w:rsid w:val="581B327B"/>
    <w:rsid w:val="58617184"/>
    <w:rsid w:val="58630F5E"/>
    <w:rsid w:val="58EE2A19"/>
    <w:rsid w:val="59135F47"/>
    <w:rsid w:val="59910EB1"/>
    <w:rsid w:val="599D6E0F"/>
    <w:rsid w:val="59AF0FC1"/>
    <w:rsid w:val="5A467E03"/>
    <w:rsid w:val="5A6F6CFF"/>
    <w:rsid w:val="5AC52394"/>
    <w:rsid w:val="5B3320F6"/>
    <w:rsid w:val="5B67506D"/>
    <w:rsid w:val="5B9D66B7"/>
    <w:rsid w:val="5C7A7FE8"/>
    <w:rsid w:val="5D662175"/>
    <w:rsid w:val="5D6A563E"/>
    <w:rsid w:val="5DB11BE0"/>
    <w:rsid w:val="5DBE16D4"/>
    <w:rsid w:val="5DD97627"/>
    <w:rsid w:val="5DFF6D7C"/>
    <w:rsid w:val="5E0B413B"/>
    <w:rsid w:val="5E264F18"/>
    <w:rsid w:val="5E274473"/>
    <w:rsid w:val="5E5015B5"/>
    <w:rsid w:val="5E68566B"/>
    <w:rsid w:val="5EEE68A8"/>
    <w:rsid w:val="5F5FBE4E"/>
    <w:rsid w:val="5F6A5CCA"/>
    <w:rsid w:val="5F792B07"/>
    <w:rsid w:val="60093FDD"/>
    <w:rsid w:val="6073327A"/>
    <w:rsid w:val="60B966A0"/>
    <w:rsid w:val="60E447D6"/>
    <w:rsid w:val="610C2F5D"/>
    <w:rsid w:val="614307E5"/>
    <w:rsid w:val="615229BF"/>
    <w:rsid w:val="61547E9F"/>
    <w:rsid w:val="619D3FA6"/>
    <w:rsid w:val="624D0CF4"/>
    <w:rsid w:val="62804EDE"/>
    <w:rsid w:val="62EC7E17"/>
    <w:rsid w:val="64020D55"/>
    <w:rsid w:val="641A53B9"/>
    <w:rsid w:val="64362E0C"/>
    <w:rsid w:val="64704A60"/>
    <w:rsid w:val="659D0569"/>
    <w:rsid w:val="665D24B6"/>
    <w:rsid w:val="667C16BE"/>
    <w:rsid w:val="668054A4"/>
    <w:rsid w:val="66B63092"/>
    <w:rsid w:val="66F42283"/>
    <w:rsid w:val="67433B4C"/>
    <w:rsid w:val="675235A7"/>
    <w:rsid w:val="676208CA"/>
    <w:rsid w:val="679FE77F"/>
    <w:rsid w:val="67FC6953"/>
    <w:rsid w:val="685F0309"/>
    <w:rsid w:val="69950363"/>
    <w:rsid w:val="6A101B6F"/>
    <w:rsid w:val="6A4E5285"/>
    <w:rsid w:val="6A5016CA"/>
    <w:rsid w:val="6A602BA7"/>
    <w:rsid w:val="6A681F56"/>
    <w:rsid w:val="6AC156F9"/>
    <w:rsid w:val="6AC64E7F"/>
    <w:rsid w:val="6ACF705A"/>
    <w:rsid w:val="6BC43128"/>
    <w:rsid w:val="6C1813BD"/>
    <w:rsid w:val="6CDE124E"/>
    <w:rsid w:val="6D97DE63"/>
    <w:rsid w:val="6DFE85C8"/>
    <w:rsid w:val="6E2E19D5"/>
    <w:rsid w:val="6E7D0132"/>
    <w:rsid w:val="6ED97503"/>
    <w:rsid w:val="6EF17C1D"/>
    <w:rsid w:val="6F1B2FC8"/>
    <w:rsid w:val="6F4654F5"/>
    <w:rsid w:val="6FF792BF"/>
    <w:rsid w:val="6FFFF83F"/>
    <w:rsid w:val="70F612FE"/>
    <w:rsid w:val="71044BEF"/>
    <w:rsid w:val="71514895"/>
    <w:rsid w:val="71767F40"/>
    <w:rsid w:val="73F37D35"/>
    <w:rsid w:val="74426203"/>
    <w:rsid w:val="74DF614F"/>
    <w:rsid w:val="75084450"/>
    <w:rsid w:val="752D7DE2"/>
    <w:rsid w:val="75342401"/>
    <w:rsid w:val="75A77AAD"/>
    <w:rsid w:val="76133500"/>
    <w:rsid w:val="76767CB9"/>
    <w:rsid w:val="76A511D8"/>
    <w:rsid w:val="76F6230E"/>
    <w:rsid w:val="77715BE3"/>
    <w:rsid w:val="77913488"/>
    <w:rsid w:val="77FD51C0"/>
    <w:rsid w:val="77FF2DA3"/>
    <w:rsid w:val="78241584"/>
    <w:rsid w:val="788E4B85"/>
    <w:rsid w:val="78ED0223"/>
    <w:rsid w:val="78F022AF"/>
    <w:rsid w:val="790E47F3"/>
    <w:rsid w:val="793840FB"/>
    <w:rsid w:val="79EBD795"/>
    <w:rsid w:val="79FF4243"/>
    <w:rsid w:val="7A355557"/>
    <w:rsid w:val="7A3F4878"/>
    <w:rsid w:val="7A5231C3"/>
    <w:rsid w:val="7A59754F"/>
    <w:rsid w:val="7A5D3A5A"/>
    <w:rsid w:val="7A9A1A06"/>
    <w:rsid w:val="7B530BF5"/>
    <w:rsid w:val="7B7270D6"/>
    <w:rsid w:val="7B97C7FF"/>
    <w:rsid w:val="7BB15E08"/>
    <w:rsid w:val="7BFC38A2"/>
    <w:rsid w:val="7C3C06D3"/>
    <w:rsid w:val="7C5D431D"/>
    <w:rsid w:val="7C770846"/>
    <w:rsid w:val="7C7F0CC5"/>
    <w:rsid w:val="7CB513E4"/>
    <w:rsid w:val="7DCE31BE"/>
    <w:rsid w:val="7DD36C28"/>
    <w:rsid w:val="7DD8345A"/>
    <w:rsid w:val="7DFF8BCC"/>
    <w:rsid w:val="7E521C1D"/>
    <w:rsid w:val="7EAB564A"/>
    <w:rsid w:val="7EAE5261"/>
    <w:rsid w:val="7EF68568"/>
    <w:rsid w:val="7F2A44FA"/>
    <w:rsid w:val="7F7F73B9"/>
    <w:rsid w:val="7F875376"/>
    <w:rsid w:val="7FDF6378"/>
    <w:rsid w:val="7FE172A0"/>
    <w:rsid w:val="7FEE0623"/>
    <w:rsid w:val="7FF0DF2D"/>
    <w:rsid w:val="7FFE304D"/>
    <w:rsid w:val="7FFF4F1D"/>
    <w:rsid w:val="7FFFCF20"/>
    <w:rsid w:val="9DF98B2E"/>
    <w:rsid w:val="9F9BF656"/>
    <w:rsid w:val="9FF727B0"/>
    <w:rsid w:val="B65E59AA"/>
    <w:rsid w:val="B730CBF2"/>
    <w:rsid w:val="BDF318F1"/>
    <w:rsid w:val="BDFFCAF5"/>
    <w:rsid w:val="BE7FB6AB"/>
    <w:rsid w:val="BF5D379B"/>
    <w:rsid w:val="CE2DD5A7"/>
    <w:rsid w:val="D7970FBB"/>
    <w:rsid w:val="DBDED989"/>
    <w:rsid w:val="DBFD45FC"/>
    <w:rsid w:val="DDAF931F"/>
    <w:rsid w:val="DFD36BF2"/>
    <w:rsid w:val="DFFD8D59"/>
    <w:rsid w:val="DFFF5213"/>
    <w:rsid w:val="E22FFD3D"/>
    <w:rsid w:val="E3700B28"/>
    <w:rsid w:val="E9F90A32"/>
    <w:rsid w:val="ECB2BF33"/>
    <w:rsid w:val="EF2EECC9"/>
    <w:rsid w:val="EF3B566B"/>
    <w:rsid w:val="EF4F884E"/>
    <w:rsid w:val="EFDC7171"/>
    <w:rsid w:val="EFFD5A65"/>
    <w:rsid w:val="F5F3670A"/>
    <w:rsid w:val="F739CC70"/>
    <w:rsid w:val="F797FD97"/>
    <w:rsid w:val="F7B1AC9B"/>
    <w:rsid w:val="FB7BA792"/>
    <w:rsid w:val="FDFB82E2"/>
    <w:rsid w:val="FDFD3B03"/>
    <w:rsid w:val="FE17D21B"/>
    <w:rsid w:val="FEB7CC60"/>
    <w:rsid w:val="FEF978F6"/>
    <w:rsid w:val="FF61058F"/>
    <w:rsid w:val="FF6916A9"/>
    <w:rsid w:val="FFAF3AE9"/>
    <w:rsid w:val="FFDF07FA"/>
    <w:rsid w:val="FFE771F6"/>
    <w:rsid w:val="FFF13BA5"/>
    <w:rsid w:val="FFFD08EC"/>
    <w:rsid w:val="FFFFF2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qFormat="1" w:uiPriority="0" w:semiHidden="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nhideWhenUsed="0" w:uiPriority="99" w:semiHidden="0" w:name="Body Text First Indent"/>
    <w:lsdException w:qFormat="1"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4">
    <w:name w:val="heading 1"/>
    <w:basedOn w:val="1"/>
    <w:next w:val="1"/>
    <w:link w:val="27"/>
    <w:qFormat/>
    <w:uiPriority w:val="0"/>
    <w:pPr>
      <w:keepNext/>
      <w:keepLines/>
      <w:widowControl w:val="0"/>
      <w:spacing w:line="360" w:lineRule="auto"/>
      <w:jc w:val="both"/>
      <w:outlineLvl w:val="0"/>
    </w:pPr>
    <w:rPr>
      <w:rFonts w:eastAsia="仿宋_GB2312"/>
      <w:b/>
      <w:kern w:val="44"/>
      <w:sz w:val="32"/>
      <w:szCs w:val="22"/>
    </w:rPr>
  </w:style>
  <w:style w:type="paragraph" w:styleId="5">
    <w:name w:val="heading 2"/>
    <w:basedOn w:val="1"/>
    <w:next w:val="1"/>
    <w:link w:val="28"/>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29"/>
    <w:qFormat/>
    <w:uiPriority w:val="0"/>
    <w:pPr>
      <w:keepNext/>
      <w:keepLines/>
      <w:widowControl w:val="0"/>
      <w:spacing w:before="260" w:after="260" w:line="416" w:lineRule="auto"/>
      <w:jc w:val="both"/>
      <w:outlineLvl w:val="2"/>
    </w:pPr>
    <w:rPr>
      <w:b/>
      <w:bCs/>
      <w:kern w:val="2"/>
      <w:sz w:val="32"/>
      <w:szCs w:val="32"/>
    </w:rPr>
  </w:style>
  <w:style w:type="character" w:default="1" w:styleId="19">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styleId="2">
    <w:name w:val="Body Text First Indent"/>
    <w:basedOn w:val="3"/>
    <w:link w:val="26"/>
    <w:qFormat/>
    <w:uiPriority w:val="99"/>
    <w:pPr>
      <w:widowControl w:val="0"/>
      <w:ind w:firstLine="420" w:firstLineChars="100"/>
      <w:jc w:val="both"/>
    </w:pPr>
    <w:rPr>
      <w:kern w:val="2"/>
      <w:sz w:val="21"/>
    </w:rPr>
  </w:style>
  <w:style w:type="paragraph" w:styleId="3">
    <w:name w:val="Body Text"/>
    <w:basedOn w:val="1"/>
    <w:link w:val="25"/>
    <w:qFormat/>
    <w:uiPriority w:val="99"/>
    <w:pPr>
      <w:spacing w:after="120"/>
    </w:pPr>
  </w:style>
  <w:style w:type="paragraph" w:styleId="7">
    <w:name w:val="annotation subject"/>
    <w:basedOn w:val="8"/>
    <w:next w:val="8"/>
    <w:link w:val="31"/>
    <w:qFormat/>
    <w:uiPriority w:val="0"/>
    <w:rPr>
      <w:b/>
      <w:bCs/>
    </w:rPr>
  </w:style>
  <w:style w:type="paragraph" w:styleId="8">
    <w:name w:val="annotation text"/>
    <w:basedOn w:val="1"/>
    <w:link w:val="30"/>
    <w:qFormat/>
    <w:uiPriority w:val="0"/>
    <w:pPr>
      <w:widowControl w:val="0"/>
    </w:pPr>
    <w:rPr>
      <w:kern w:val="2"/>
      <w:sz w:val="21"/>
    </w:rPr>
  </w:style>
  <w:style w:type="paragraph" w:styleId="9">
    <w:name w:val="Body Text Indent"/>
    <w:basedOn w:val="1"/>
    <w:next w:val="10"/>
    <w:link w:val="32"/>
    <w:qFormat/>
    <w:uiPriority w:val="99"/>
    <w:pPr>
      <w:spacing w:after="120"/>
      <w:ind w:left="420" w:leftChars="200"/>
    </w:pPr>
    <w:rPr>
      <w:rFonts w:cs="宋体"/>
    </w:rPr>
  </w:style>
  <w:style w:type="paragraph" w:styleId="10">
    <w:name w:val="envelope return"/>
    <w:basedOn w:val="1"/>
    <w:unhideWhenUsed/>
    <w:qFormat/>
    <w:uiPriority w:val="0"/>
    <w:pPr>
      <w:snapToGrid w:val="0"/>
    </w:pPr>
    <w:rPr>
      <w:rFonts w:ascii="Arial" w:hAnsi="Arial"/>
    </w:rPr>
  </w:style>
  <w:style w:type="paragraph" w:styleId="11">
    <w:name w:val="toc 3"/>
    <w:basedOn w:val="1"/>
    <w:next w:val="1"/>
    <w:unhideWhenUsed/>
    <w:qFormat/>
    <w:uiPriority w:val="39"/>
    <w:pPr>
      <w:spacing w:after="100" w:line="276" w:lineRule="auto"/>
      <w:ind w:left="440"/>
    </w:pPr>
    <w:rPr>
      <w:rFonts w:ascii="Calibri" w:hAnsi="Calibri"/>
      <w:sz w:val="22"/>
      <w:szCs w:val="22"/>
    </w:rPr>
  </w:style>
  <w:style w:type="paragraph" w:styleId="12">
    <w:name w:val="Balloon Text"/>
    <w:basedOn w:val="1"/>
    <w:link w:val="33"/>
    <w:qFormat/>
    <w:uiPriority w:val="0"/>
    <w:rPr>
      <w:sz w:val="18"/>
      <w:szCs w:val="18"/>
    </w:rPr>
  </w:style>
  <w:style w:type="paragraph" w:styleId="13">
    <w:name w:val="footer"/>
    <w:basedOn w:val="1"/>
    <w:link w:val="34"/>
    <w:qFormat/>
    <w:uiPriority w:val="99"/>
    <w:pPr>
      <w:tabs>
        <w:tab w:val="center" w:pos="4153"/>
        <w:tab w:val="right" w:pos="8306"/>
      </w:tabs>
      <w:snapToGrid w:val="0"/>
    </w:pPr>
    <w:rPr>
      <w:sz w:val="18"/>
      <w:szCs w:val="18"/>
    </w:rPr>
  </w:style>
  <w:style w:type="paragraph" w:styleId="14">
    <w:name w:val="Body Text First Indent 2"/>
    <w:basedOn w:val="9"/>
    <w:unhideWhenUsed/>
    <w:qFormat/>
    <w:uiPriority w:val="0"/>
    <w:pPr>
      <w:ind w:firstLine="420" w:firstLineChars="200"/>
    </w:pPr>
  </w:style>
  <w:style w:type="paragraph" w:styleId="15">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spacing w:after="100" w:line="276" w:lineRule="auto"/>
    </w:pPr>
    <w:rPr>
      <w:rFonts w:ascii="Calibri" w:hAnsi="Calibri"/>
      <w:sz w:val="22"/>
      <w:szCs w:val="22"/>
    </w:rPr>
  </w:style>
  <w:style w:type="paragraph" w:styleId="17">
    <w:name w:val="toc 2"/>
    <w:basedOn w:val="1"/>
    <w:next w:val="1"/>
    <w:unhideWhenUsed/>
    <w:qFormat/>
    <w:uiPriority w:val="39"/>
    <w:pPr>
      <w:tabs>
        <w:tab w:val="right" w:leader="dot" w:pos="8302"/>
      </w:tabs>
      <w:spacing w:after="100" w:line="300" w:lineRule="exact"/>
      <w:ind w:left="221"/>
    </w:pPr>
    <w:rPr>
      <w:rFonts w:ascii="Calibri" w:hAnsi="Calibri"/>
      <w:sz w:val="22"/>
      <w:szCs w:val="22"/>
    </w:rPr>
  </w:style>
  <w:style w:type="paragraph" w:styleId="18">
    <w:name w:val="Normal (Web)"/>
    <w:basedOn w:val="1"/>
    <w:qFormat/>
    <w:uiPriority w:val="99"/>
  </w:style>
  <w:style w:type="character" w:styleId="20">
    <w:name w:val="FollowedHyperlink"/>
    <w:unhideWhenUsed/>
    <w:qFormat/>
    <w:uiPriority w:val="99"/>
    <w:rPr>
      <w:color w:val="800080"/>
      <w:u w:val="single"/>
    </w:rPr>
  </w:style>
  <w:style w:type="character" w:styleId="21">
    <w:name w:val="Emphasis"/>
    <w:basedOn w:val="19"/>
    <w:qFormat/>
    <w:uiPriority w:val="20"/>
  </w:style>
  <w:style w:type="character" w:styleId="22">
    <w:name w:val="Hyperlink"/>
    <w:qFormat/>
    <w:uiPriority w:val="99"/>
    <w:rPr>
      <w:color w:val="0000FF"/>
      <w:u w:val="single"/>
    </w:rPr>
  </w:style>
  <w:style w:type="character" w:styleId="23">
    <w:name w:val="annotation reference"/>
    <w:qFormat/>
    <w:uiPriority w:val="0"/>
    <w:rPr>
      <w:sz w:val="21"/>
      <w:szCs w:val="21"/>
    </w:rPr>
  </w:style>
  <w:style w:type="character" w:customStyle="1" w:styleId="25">
    <w:name w:val="正文文本 字符"/>
    <w:basedOn w:val="19"/>
    <w:link w:val="3"/>
    <w:qFormat/>
    <w:uiPriority w:val="99"/>
    <w:rPr>
      <w:sz w:val="24"/>
      <w:szCs w:val="24"/>
    </w:rPr>
  </w:style>
  <w:style w:type="character" w:customStyle="1" w:styleId="26">
    <w:name w:val="正文文本首行缩进 字符"/>
    <w:basedOn w:val="25"/>
    <w:link w:val="2"/>
    <w:qFormat/>
    <w:uiPriority w:val="99"/>
    <w:rPr>
      <w:kern w:val="2"/>
      <w:sz w:val="21"/>
      <w:szCs w:val="24"/>
    </w:rPr>
  </w:style>
  <w:style w:type="character" w:customStyle="1" w:styleId="27">
    <w:name w:val="标题 1 字符"/>
    <w:link w:val="4"/>
    <w:qFormat/>
    <w:uiPriority w:val="0"/>
    <w:rPr>
      <w:rFonts w:eastAsia="仿宋_GB2312"/>
      <w:b/>
      <w:kern w:val="44"/>
      <w:sz w:val="32"/>
      <w:szCs w:val="22"/>
    </w:rPr>
  </w:style>
  <w:style w:type="character" w:customStyle="1" w:styleId="28">
    <w:name w:val="标题 2 字符"/>
    <w:basedOn w:val="19"/>
    <w:link w:val="5"/>
    <w:semiHidden/>
    <w:qFormat/>
    <w:uiPriority w:val="0"/>
    <w:rPr>
      <w:rFonts w:asciiTheme="majorHAnsi" w:hAnsiTheme="majorHAnsi" w:eastAsiaTheme="majorEastAsia" w:cstheme="majorBidi"/>
      <w:b/>
      <w:bCs/>
      <w:sz w:val="32"/>
      <w:szCs w:val="32"/>
    </w:rPr>
  </w:style>
  <w:style w:type="character" w:customStyle="1" w:styleId="29">
    <w:name w:val="标题 3 字符"/>
    <w:basedOn w:val="19"/>
    <w:link w:val="6"/>
    <w:qFormat/>
    <w:uiPriority w:val="0"/>
    <w:rPr>
      <w:b/>
      <w:bCs/>
      <w:kern w:val="2"/>
      <w:sz w:val="32"/>
      <w:szCs w:val="32"/>
    </w:rPr>
  </w:style>
  <w:style w:type="character" w:customStyle="1" w:styleId="30">
    <w:name w:val="批注文字 字符"/>
    <w:link w:val="8"/>
    <w:qFormat/>
    <w:uiPriority w:val="0"/>
    <w:rPr>
      <w:kern w:val="2"/>
      <w:sz w:val="21"/>
      <w:szCs w:val="24"/>
    </w:rPr>
  </w:style>
  <w:style w:type="character" w:customStyle="1" w:styleId="31">
    <w:name w:val="批注主题 字符"/>
    <w:link w:val="7"/>
    <w:qFormat/>
    <w:uiPriority w:val="0"/>
    <w:rPr>
      <w:b/>
      <w:bCs/>
      <w:kern w:val="2"/>
      <w:sz w:val="21"/>
      <w:szCs w:val="24"/>
    </w:rPr>
  </w:style>
  <w:style w:type="character" w:customStyle="1" w:styleId="32">
    <w:name w:val="正文文本缩进 字符"/>
    <w:basedOn w:val="19"/>
    <w:link w:val="9"/>
    <w:qFormat/>
    <w:uiPriority w:val="99"/>
    <w:rPr>
      <w:rFonts w:cs="宋体"/>
      <w:sz w:val="24"/>
      <w:szCs w:val="24"/>
    </w:rPr>
  </w:style>
  <w:style w:type="character" w:customStyle="1" w:styleId="33">
    <w:name w:val="批注框文本 字符"/>
    <w:basedOn w:val="19"/>
    <w:link w:val="12"/>
    <w:qFormat/>
    <w:uiPriority w:val="0"/>
    <w:rPr>
      <w:sz w:val="18"/>
      <w:szCs w:val="18"/>
    </w:rPr>
  </w:style>
  <w:style w:type="character" w:customStyle="1" w:styleId="34">
    <w:name w:val="页脚 字符"/>
    <w:basedOn w:val="19"/>
    <w:link w:val="13"/>
    <w:qFormat/>
    <w:uiPriority w:val="99"/>
    <w:rPr>
      <w:sz w:val="18"/>
      <w:szCs w:val="18"/>
    </w:rPr>
  </w:style>
  <w:style w:type="character" w:customStyle="1" w:styleId="35">
    <w:name w:val="页眉 字符"/>
    <w:basedOn w:val="19"/>
    <w:link w:val="15"/>
    <w:qFormat/>
    <w:uiPriority w:val="0"/>
    <w:rPr>
      <w:sz w:val="18"/>
      <w:szCs w:val="18"/>
    </w:rPr>
  </w:style>
  <w:style w:type="paragraph" w:customStyle="1" w:styleId="36">
    <w:name w:val="p1"/>
    <w:basedOn w:val="1"/>
    <w:qFormat/>
    <w:uiPriority w:val="0"/>
    <w:pPr>
      <w:spacing w:line="380" w:lineRule="atLeast"/>
    </w:pPr>
    <w:rPr>
      <w:rFonts w:ascii="Helvetica Neue" w:hAnsi="Helvetica Neue" w:eastAsia="Helvetica Neue"/>
      <w:color w:val="000000"/>
      <w:sz w:val="26"/>
      <w:szCs w:val="26"/>
    </w:rPr>
  </w:style>
  <w:style w:type="paragraph" w:customStyle="1" w:styleId="37">
    <w:name w:val="列表段落1"/>
    <w:basedOn w:val="1"/>
    <w:unhideWhenUsed/>
    <w:qFormat/>
    <w:uiPriority w:val="34"/>
    <w:pPr>
      <w:ind w:firstLine="420" w:firstLineChars="200"/>
    </w:pPr>
  </w:style>
  <w:style w:type="character" w:customStyle="1" w:styleId="38">
    <w:name w:val="c41"/>
    <w:qFormat/>
    <w:uiPriority w:val="0"/>
    <w:rPr>
      <w:b/>
      <w:bCs/>
      <w:color w:val="F34824"/>
    </w:rPr>
  </w:style>
  <w:style w:type="character" w:customStyle="1" w:styleId="39">
    <w:name w:val="批注文字 Char1"/>
    <w:basedOn w:val="19"/>
    <w:qFormat/>
    <w:uiPriority w:val="0"/>
    <w:rPr>
      <w:sz w:val="24"/>
      <w:szCs w:val="24"/>
    </w:rPr>
  </w:style>
  <w:style w:type="character" w:customStyle="1" w:styleId="40">
    <w:name w:val="批注主题 Char1"/>
    <w:basedOn w:val="39"/>
    <w:qFormat/>
    <w:uiPriority w:val="0"/>
    <w:rPr>
      <w:b/>
      <w:bCs/>
      <w:sz w:val="24"/>
      <w:szCs w:val="24"/>
    </w:rPr>
  </w:style>
  <w:style w:type="paragraph" w:customStyle="1" w:styleId="41">
    <w:name w:val="列出段落1"/>
    <w:basedOn w:val="1"/>
    <w:qFormat/>
    <w:uiPriority w:val="0"/>
    <w:pPr>
      <w:widowControl w:val="0"/>
      <w:ind w:firstLine="420" w:firstLineChars="200"/>
      <w:jc w:val="both"/>
    </w:pPr>
    <w:rPr>
      <w:rFonts w:ascii="Calibri" w:hAnsi="Calibri"/>
      <w:kern w:val="2"/>
      <w:sz w:val="21"/>
      <w:szCs w:val="22"/>
    </w:rPr>
  </w:style>
  <w:style w:type="paragraph" w:customStyle="1" w:styleId="42">
    <w:name w:val="TOC 标题1"/>
    <w:basedOn w:val="4"/>
    <w:next w:val="1"/>
    <w:qFormat/>
    <w:uiPriority w:val="39"/>
    <w:pPr>
      <w:widowControl/>
      <w:spacing w:before="480" w:line="276" w:lineRule="auto"/>
      <w:jc w:val="left"/>
      <w:outlineLvl w:val="9"/>
    </w:pPr>
    <w:rPr>
      <w:rFonts w:ascii="Cambria" w:hAnsi="Cambria" w:eastAsia="宋体"/>
      <w:bCs/>
      <w:color w:val="365F91"/>
      <w:kern w:val="0"/>
      <w:sz w:val="28"/>
      <w:szCs w:val="28"/>
    </w:rPr>
  </w:style>
  <w:style w:type="character" w:customStyle="1" w:styleId="43">
    <w:name w:val="info-content-text"/>
    <w:basedOn w:val="19"/>
    <w:qFormat/>
    <w:uiPriority w:val="0"/>
  </w:style>
  <w:style w:type="paragraph" w:customStyle="1" w:styleId="44">
    <w:name w:val="info-content"/>
    <w:basedOn w:val="1"/>
    <w:qFormat/>
    <w:uiPriority w:val="0"/>
    <w:pPr>
      <w:spacing w:before="100" w:beforeAutospacing="1" w:after="100" w:afterAutospacing="1"/>
    </w:pPr>
    <w:rPr>
      <w:rFonts w:ascii="宋体" w:hAnsi="宋体" w:cs="宋体"/>
    </w:rPr>
  </w:style>
  <w:style w:type="paragraph" w:customStyle="1" w:styleId="45">
    <w:name w:val="修订1"/>
    <w:hidden/>
    <w:unhideWhenUsed/>
    <w:qFormat/>
    <w:uiPriority w:val="99"/>
    <w:rPr>
      <w:rFonts w:ascii="Times New Roman" w:hAnsi="Times New Roman" w:eastAsia="宋体" w:cs="Times New Roman"/>
      <w:sz w:val="24"/>
      <w:szCs w:val="24"/>
      <w:lang w:val="en-US" w:eastAsia="zh-CN" w:bidi="ar-SA"/>
    </w:rPr>
  </w:style>
  <w:style w:type="character" w:customStyle="1" w:styleId="46">
    <w:name w:val="font01"/>
    <w:basedOn w:val="19"/>
    <w:qFormat/>
    <w:uiPriority w:val="0"/>
    <w:rPr>
      <w:rFonts w:hint="eastAsia" w:ascii="宋体" w:hAnsi="宋体" w:eastAsia="宋体" w:cs="宋体"/>
      <w:color w:val="000000"/>
      <w:sz w:val="18"/>
      <w:szCs w:val="18"/>
      <w:u w:val="none"/>
    </w:rPr>
  </w:style>
  <w:style w:type="paragraph" w:customStyle="1" w:styleId="47">
    <w:name w:val="列表段落2"/>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5668</Words>
  <Characters>32312</Characters>
  <Lines>269</Lines>
  <Paragraphs>75</Paragraphs>
  <TotalTime>0</TotalTime>
  <ScaleCrop>false</ScaleCrop>
  <LinksUpToDate>false</LinksUpToDate>
  <CharactersWithSpaces>37905</CharactersWithSpaces>
  <Application>WPS Office_3.1.1.4956_F1E327BC-269C-435d-A152-05C5408002CA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2020-03-12T16:23:00Z</dcterms:created>
  <dc:creator>吴国军</dc:creator>
  <cp:lastModifiedBy>吴国军</cp:lastModifiedBy>
  <cp:lastPrinted>2020-03-19T15:39:00Z</cp:lastPrinted>
  <dcterms:modified xsi:type="dcterms:W3CDTF">2021-01-14T21:20:20Z</dcterms:modified>
  <cp:revision>146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2052-3.1.1.4956</vt:lpwstr>
  </property>
</Properties>
</file>