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both"/>
        <w:rPr>
          <w:rFonts w:ascii="宋体" w:hAnsi="宋体"/>
          <w:b/>
          <w:sz w:val="21"/>
          <w:szCs w:val="21"/>
        </w:rPr>
      </w:pPr>
    </w:p>
    <w:p>
      <w:pPr>
        <w:pStyle w:val="2"/>
        <w:rPr>
          <w:rFonts w:ascii="宋体" w:hAnsi="宋体"/>
          <w:b/>
          <w:sz w:val="21"/>
          <w:szCs w:val="21"/>
        </w:rPr>
      </w:pPr>
    </w:p>
    <w:p>
      <w:pPr>
        <w:pStyle w:val="2"/>
        <w:rPr>
          <w:rFonts w:ascii="宋体" w:hAnsi="宋体"/>
          <w:b/>
          <w:sz w:val="21"/>
          <w:szCs w:val="21"/>
        </w:rPr>
      </w:pPr>
    </w:p>
    <w:p>
      <w:pPr>
        <w:pStyle w:val="2"/>
        <w:rPr>
          <w:rFonts w:ascii="宋体" w:hAnsi="宋体"/>
          <w:b/>
          <w:sz w:val="21"/>
          <w:szCs w:val="21"/>
        </w:rPr>
      </w:pPr>
    </w:p>
    <w:p>
      <w:pPr>
        <w:pStyle w:val="2"/>
        <w:rPr>
          <w:rFonts w:ascii="宋体" w:hAnsi="宋体"/>
          <w:b/>
          <w:sz w:val="21"/>
          <w:szCs w:val="21"/>
        </w:rPr>
      </w:pPr>
    </w:p>
    <w:p>
      <w:pPr>
        <w:pStyle w:val="2"/>
        <w:ind w:firstLine="0" w:firstLineChars="0"/>
        <w:rPr>
          <w:rFonts w:ascii="宋体" w:hAnsi="宋体"/>
          <w:b/>
          <w:sz w:val="21"/>
          <w:szCs w:val="21"/>
        </w:rPr>
      </w:pPr>
    </w:p>
    <w:p>
      <w:pPr>
        <w:pStyle w:val="2"/>
        <w:ind w:firstLine="0" w:firstLineChars="0"/>
        <w:rPr>
          <w:rFonts w:ascii="宋体" w:hAnsi="宋体"/>
          <w:b/>
          <w:sz w:val="21"/>
          <w:szCs w:val="21"/>
        </w:rPr>
      </w:pPr>
    </w:p>
    <w:p>
      <w:pPr>
        <w:pStyle w:val="2"/>
        <w:ind w:firstLine="0" w:firstLineChars="0"/>
        <w:rPr>
          <w:rFonts w:ascii="宋体" w:hAnsi="宋体"/>
          <w:b/>
          <w:sz w:val="21"/>
          <w:szCs w:val="21"/>
        </w:rPr>
      </w:pPr>
    </w:p>
    <w:p>
      <w:pPr>
        <w:pStyle w:val="2"/>
        <w:ind w:firstLine="0" w:firstLineChars="0"/>
        <w:rPr>
          <w:rFonts w:ascii="宋体" w:hAnsi="宋体"/>
          <w:b/>
          <w:sz w:val="21"/>
          <w:szCs w:val="21"/>
        </w:rPr>
      </w:pPr>
    </w:p>
    <w:p>
      <w:pPr>
        <w:pStyle w:val="2"/>
        <w:ind w:firstLine="0" w:firstLineChars="0"/>
        <w:rPr>
          <w:rFonts w:ascii="宋体" w:hAnsi="宋体"/>
          <w:b/>
          <w:sz w:val="21"/>
          <w:szCs w:val="21"/>
        </w:rPr>
      </w:pPr>
    </w:p>
    <w:p>
      <w:pPr>
        <w:pStyle w:val="2"/>
        <w:ind w:firstLine="0" w:firstLineChars="0"/>
        <w:rPr>
          <w:rFonts w:ascii="宋体" w:hAnsi="宋体"/>
          <w:b/>
          <w:sz w:val="21"/>
          <w:szCs w:val="21"/>
        </w:rPr>
      </w:pPr>
    </w:p>
    <w:p>
      <w:pPr>
        <w:pStyle w:val="2"/>
        <w:ind w:firstLine="0" w:firstLineChars="0"/>
        <w:rPr>
          <w:rFonts w:ascii="宋体" w:hAnsi="宋体"/>
          <w:b/>
          <w:sz w:val="21"/>
          <w:szCs w:val="21"/>
        </w:rPr>
      </w:pPr>
    </w:p>
    <w:p>
      <w:pPr>
        <w:pStyle w:val="2"/>
        <w:ind w:firstLine="0" w:firstLineChars="0"/>
        <w:rPr>
          <w:rFonts w:ascii="宋体" w:hAnsi="宋体"/>
          <w:b/>
          <w:sz w:val="21"/>
          <w:szCs w:val="21"/>
        </w:rPr>
      </w:pPr>
    </w:p>
    <w:p>
      <w:pPr>
        <w:pStyle w:val="2"/>
        <w:ind w:firstLine="0" w:firstLineChars="0"/>
        <w:rPr>
          <w:rFonts w:ascii="宋体" w:hAnsi="宋体"/>
          <w:b/>
          <w:sz w:val="21"/>
          <w:szCs w:val="21"/>
        </w:rPr>
      </w:pPr>
    </w:p>
    <w:p>
      <w:pPr>
        <w:pStyle w:val="2"/>
        <w:ind w:firstLine="0" w:firstLineChars="0"/>
        <w:rPr>
          <w:rFonts w:ascii="宋体" w:hAnsi="宋体"/>
          <w:b/>
          <w:sz w:val="21"/>
          <w:szCs w:val="21"/>
        </w:rPr>
      </w:pPr>
    </w:p>
    <w:p>
      <w:pPr>
        <w:pStyle w:val="2"/>
        <w:ind w:firstLine="0" w:firstLineChars="0"/>
        <w:rPr>
          <w:rFonts w:ascii="宋体" w:hAnsi="宋体"/>
          <w:b/>
          <w:sz w:val="21"/>
          <w:szCs w:val="21"/>
        </w:rPr>
      </w:pPr>
    </w:p>
    <w:p>
      <w:pPr>
        <w:pStyle w:val="2"/>
        <w:ind w:firstLine="0" w:firstLineChars="0"/>
        <w:rPr>
          <w:rFonts w:ascii="宋体" w:hAnsi="宋体"/>
          <w:b/>
          <w:sz w:val="21"/>
          <w:szCs w:val="21"/>
        </w:rPr>
      </w:pPr>
    </w:p>
    <w:p>
      <w:pPr>
        <w:jc w:val="center"/>
        <w:rPr>
          <w:rFonts w:ascii="宋体" w:hAnsi="宋体"/>
          <w:b/>
          <w:sz w:val="36"/>
          <w:szCs w:val="36"/>
        </w:rPr>
      </w:pPr>
    </w:p>
    <w:p>
      <w:pPr>
        <w:pStyle w:val="2"/>
        <w:rPr>
          <w:rFonts w:ascii="宋体" w:hAnsi="宋体"/>
          <w:b/>
          <w:sz w:val="36"/>
          <w:szCs w:val="36"/>
        </w:rPr>
      </w:pPr>
    </w:p>
    <w:p>
      <w:pPr>
        <w:pStyle w:val="2"/>
        <w:rPr>
          <w:rFonts w:ascii="宋体" w:hAnsi="宋体"/>
          <w:b/>
          <w:sz w:val="36"/>
          <w:szCs w:val="36"/>
        </w:rPr>
      </w:pPr>
    </w:p>
    <w:p>
      <w:pPr>
        <w:jc w:val="center"/>
        <w:rPr>
          <w:rFonts w:ascii="宋体" w:hAnsi="宋体"/>
          <w:b/>
          <w:sz w:val="36"/>
          <w:szCs w:val="36"/>
        </w:rPr>
      </w:pPr>
      <w:r>
        <w:rPr>
          <w:rFonts w:hint="eastAsia" w:ascii="宋体" w:hAnsi="宋体"/>
          <w:b/>
          <w:sz w:val="36"/>
          <w:szCs w:val="36"/>
        </w:rPr>
        <w:t>中航信托</w:t>
      </w:r>
      <w:r>
        <w:rPr>
          <w:rFonts w:ascii="宋体" w:hAnsi="宋体"/>
          <w:b/>
          <w:sz w:val="36"/>
          <w:szCs w:val="36"/>
        </w:rPr>
        <w:t>-</w:t>
      </w:r>
      <w:r>
        <w:rPr>
          <w:rFonts w:hint="eastAsia" w:ascii="宋体" w:hAnsi="宋体"/>
          <w:b/>
          <w:sz w:val="36"/>
          <w:szCs w:val="36"/>
        </w:rPr>
        <w:t>天启【2020】352号红星苏州盛泽项目股权投资</w:t>
      </w:r>
      <w:r>
        <w:rPr>
          <w:rFonts w:ascii="宋体" w:hAnsi="宋体"/>
          <w:b/>
          <w:sz w:val="36"/>
          <w:szCs w:val="36"/>
        </w:rPr>
        <w:t>集合资金信托计划</w:t>
      </w:r>
    </w:p>
    <w:p>
      <w:pPr>
        <w:jc w:val="center"/>
        <w:rPr>
          <w:rFonts w:ascii="宋体" w:hAnsi="宋体" w:cs="宋体"/>
          <w:b/>
          <w:sz w:val="28"/>
          <w:szCs w:val="28"/>
        </w:rPr>
      </w:pPr>
      <w:r>
        <w:rPr>
          <w:rFonts w:hint="eastAsia" w:ascii="宋体" w:hAnsi="宋体" w:cs="宋体"/>
          <w:b/>
          <w:sz w:val="28"/>
          <w:szCs w:val="28"/>
        </w:rPr>
        <w:t>（中航信托·红星苏州盛泽</w:t>
      </w:r>
      <w:r>
        <w:rPr>
          <w:rFonts w:ascii="宋体" w:hAnsi="宋体" w:cs="宋体"/>
          <w:b/>
          <w:sz w:val="28"/>
          <w:szCs w:val="28"/>
        </w:rPr>
        <w:t>项目）</w:t>
      </w:r>
    </w:p>
    <w:p>
      <w:pPr>
        <w:jc w:val="center"/>
        <w:rPr>
          <w:rFonts w:ascii="宋体" w:hAnsi="宋体"/>
          <w:b/>
          <w:sz w:val="36"/>
          <w:szCs w:val="36"/>
        </w:rPr>
      </w:pPr>
    </w:p>
    <w:p>
      <w:pPr>
        <w:jc w:val="center"/>
        <w:rPr>
          <w:rFonts w:ascii="宋体" w:hAnsi="宋体"/>
          <w:b/>
          <w:sz w:val="32"/>
          <w:szCs w:val="32"/>
        </w:rPr>
      </w:pPr>
      <w:r>
        <w:rPr>
          <w:rFonts w:hint="eastAsia" w:ascii="宋体" w:hAnsi="宋体"/>
          <w:b/>
          <w:sz w:val="32"/>
          <w:szCs w:val="32"/>
        </w:rPr>
        <w:t>监管月报</w:t>
      </w:r>
    </w:p>
    <w:p>
      <w:pPr>
        <w:jc w:val="center"/>
        <w:rPr>
          <w:rFonts w:ascii="宋体" w:hAnsi="宋体"/>
          <w:bCs/>
          <w:sz w:val="32"/>
          <w:szCs w:val="32"/>
        </w:rPr>
      </w:pPr>
      <w:r>
        <w:rPr>
          <w:rFonts w:hint="eastAsia" w:ascii="宋体" w:hAnsi="宋体"/>
          <w:b/>
          <w:sz w:val="32"/>
          <w:szCs w:val="32"/>
        </w:rPr>
        <w:t>第11</w:t>
      </w:r>
      <w:r>
        <w:rPr>
          <w:rFonts w:ascii="宋体" w:hAnsi="宋体"/>
          <w:b/>
          <w:sz w:val="32"/>
          <w:szCs w:val="32"/>
        </w:rPr>
        <w:t>期</w:t>
      </w:r>
    </w:p>
    <w:p>
      <w:pPr>
        <w:spacing w:line="360" w:lineRule="auto"/>
        <w:jc w:val="center"/>
        <w:rPr>
          <w:rFonts w:ascii="宋体" w:hAnsi="宋体"/>
          <w:b/>
          <w:sz w:val="32"/>
          <w:szCs w:val="32"/>
        </w:rPr>
      </w:pPr>
      <w:r>
        <w:rPr>
          <w:rFonts w:hint="eastAsia" w:ascii="宋体" w:hAnsi="宋体"/>
          <w:b/>
          <w:sz w:val="32"/>
          <w:szCs w:val="32"/>
        </w:rPr>
        <w:t>（</w:t>
      </w:r>
      <w:r>
        <w:rPr>
          <w:rFonts w:ascii="宋体" w:hAnsi="宋体"/>
          <w:b/>
          <w:sz w:val="32"/>
          <w:szCs w:val="32"/>
        </w:rPr>
        <w:t xml:space="preserve"> 20</w:t>
      </w:r>
      <w:r>
        <w:rPr>
          <w:rFonts w:hint="eastAsia" w:ascii="宋体" w:hAnsi="宋体"/>
          <w:b/>
          <w:sz w:val="32"/>
          <w:szCs w:val="32"/>
        </w:rPr>
        <w:t>21</w:t>
      </w:r>
      <w:r>
        <w:rPr>
          <w:rFonts w:ascii="宋体" w:hAnsi="宋体"/>
          <w:b/>
          <w:sz w:val="32"/>
          <w:szCs w:val="32"/>
        </w:rPr>
        <w:t xml:space="preserve">年 </w:t>
      </w:r>
      <w:r>
        <w:rPr>
          <w:rFonts w:hint="eastAsia" w:ascii="宋体" w:hAnsi="宋体"/>
          <w:b/>
          <w:sz w:val="32"/>
          <w:szCs w:val="32"/>
        </w:rPr>
        <w:t>06</w:t>
      </w:r>
      <w:r>
        <w:rPr>
          <w:rFonts w:ascii="宋体" w:hAnsi="宋体"/>
          <w:b/>
          <w:sz w:val="32"/>
          <w:szCs w:val="32"/>
        </w:rPr>
        <w:t>月）</w:t>
      </w:r>
    </w:p>
    <w:p>
      <w:pPr>
        <w:spacing w:line="360" w:lineRule="auto"/>
        <w:jc w:val="center"/>
        <w:rPr>
          <w:rFonts w:ascii="宋体" w:hAnsi="宋体" w:cs="宋体"/>
          <w:b/>
          <w:sz w:val="30"/>
          <w:szCs w:val="30"/>
        </w:rPr>
      </w:pPr>
      <w:r>
        <w:rPr>
          <w:rFonts w:hint="eastAsia" w:ascii="宋体" w:hAnsi="宋体" w:cs="宋体"/>
          <w:b/>
          <w:sz w:val="30"/>
          <w:szCs w:val="30"/>
        </w:rPr>
        <w:t>编号：011</w:t>
      </w:r>
    </w:p>
    <w:p>
      <w:pPr>
        <w:pStyle w:val="2"/>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pStyle w:val="2"/>
        <w:ind w:firstLine="0" w:firstLineChars="0"/>
        <w:rPr>
          <w:rFonts w:ascii="宋体" w:hAnsi="宋体" w:cs="宋体"/>
          <w:sz w:val="21"/>
          <w:szCs w:val="21"/>
        </w:rPr>
      </w:pPr>
    </w:p>
    <w:p>
      <w:pPr>
        <w:jc w:val="both"/>
        <w:rPr>
          <w:rFonts w:ascii="宋体" w:hAnsi="宋体" w:cs="宋体"/>
          <w:sz w:val="21"/>
          <w:szCs w:val="21"/>
        </w:rPr>
      </w:pPr>
    </w:p>
    <w:p>
      <w:pPr>
        <w:jc w:val="center"/>
        <w:rPr>
          <w:rFonts w:ascii="宋体" w:hAnsi="宋体" w:cs="宋体"/>
          <w:sz w:val="21"/>
          <w:szCs w:val="21"/>
        </w:rPr>
      </w:pPr>
    </w:p>
    <w:p>
      <w:pPr>
        <w:ind w:left="240" w:leftChars="100"/>
        <w:rPr>
          <w:rFonts w:ascii="宋体" w:hAnsi="宋体" w:cs="宋体"/>
          <w:b/>
          <w:bCs/>
          <w:sz w:val="21"/>
          <w:szCs w:val="21"/>
        </w:rPr>
      </w:pPr>
      <w:r>
        <w:rPr>
          <w:rFonts w:hint="eastAsia" w:ascii="宋体" w:hAnsi="宋体" w:cs="宋体"/>
          <w:b/>
          <w:bCs/>
          <w:sz w:val="21"/>
          <w:szCs w:val="21"/>
        </w:rPr>
        <w:t>编制单位：北京康信君安资产管理有限公司</w:t>
      </w:r>
    </w:p>
    <w:p>
      <w:pPr>
        <w:ind w:left="240" w:leftChars="100"/>
        <w:rPr>
          <w:rFonts w:ascii="宋体" w:hAnsi="宋体" w:cs="宋体"/>
          <w:b/>
          <w:bCs/>
          <w:sz w:val="21"/>
          <w:szCs w:val="21"/>
        </w:rPr>
      </w:pPr>
      <w:r>
        <w:rPr>
          <w:rFonts w:hint="eastAsia" w:ascii="宋体" w:hAnsi="宋体" w:cs="宋体"/>
          <w:b/>
          <w:bCs/>
          <w:sz w:val="21"/>
          <w:szCs w:val="21"/>
        </w:rPr>
        <w:t>监管人员：范青杰</w:t>
      </w:r>
    </w:p>
    <w:p>
      <w:pPr>
        <w:ind w:left="240" w:leftChars="100"/>
        <w:rPr>
          <w:rFonts w:ascii="宋体" w:hAnsi="宋体" w:cs="宋体"/>
          <w:b/>
          <w:bCs/>
          <w:sz w:val="21"/>
          <w:szCs w:val="21"/>
        </w:rPr>
      </w:pPr>
      <w:r>
        <w:rPr>
          <w:rFonts w:hint="eastAsia" w:ascii="宋体" w:hAnsi="宋体" w:cs="宋体"/>
          <w:b/>
          <w:bCs/>
          <w:sz w:val="21"/>
          <w:szCs w:val="21"/>
        </w:rPr>
        <w:t>编制时间：2021年7月6日</w:t>
      </w:r>
    </w:p>
    <w:p>
      <w:pPr>
        <w:jc w:val="both"/>
        <w:rPr>
          <w:rFonts w:hint="eastAsia" w:ascii="宋体" w:hAnsi="宋体" w:cs="宋体"/>
          <w:b/>
          <w:bCs/>
          <w:sz w:val="21"/>
          <w:szCs w:val="21"/>
        </w:rPr>
      </w:pPr>
    </w:p>
    <w:p>
      <w:pPr>
        <w:jc w:val="center"/>
        <w:rPr>
          <w:rFonts w:hint="eastAsia" w:ascii="宋体" w:hAnsi="宋体" w:cs="宋体"/>
          <w:b/>
          <w:bCs/>
          <w:sz w:val="21"/>
          <w:szCs w:val="21"/>
        </w:rPr>
      </w:pPr>
    </w:p>
    <w:p>
      <w:pPr>
        <w:jc w:val="center"/>
        <w:rPr>
          <w:rFonts w:ascii="宋体" w:hAnsi="宋体" w:cs="宋体"/>
          <w:b/>
          <w:bCs/>
          <w:sz w:val="28"/>
          <w:szCs w:val="28"/>
        </w:rPr>
      </w:pPr>
      <w:r>
        <w:rPr>
          <w:rFonts w:hint="eastAsia" w:ascii="宋体" w:hAnsi="宋体" w:cs="宋体"/>
          <w:b/>
          <w:bCs/>
          <w:sz w:val="28"/>
          <w:szCs w:val="28"/>
        </w:rPr>
        <w:t>目</w:t>
      </w:r>
      <w:r>
        <w:rPr>
          <w:rFonts w:ascii="宋体" w:hAnsi="宋体" w:cs="宋体"/>
          <w:b/>
          <w:bCs/>
          <w:sz w:val="28"/>
          <w:szCs w:val="28"/>
        </w:rPr>
        <w:t xml:space="preserve">  </w:t>
      </w:r>
      <w:r>
        <w:rPr>
          <w:rFonts w:hint="eastAsia" w:ascii="宋体" w:hAnsi="宋体" w:cs="宋体"/>
          <w:b/>
          <w:bCs/>
          <w:sz w:val="28"/>
          <w:szCs w:val="28"/>
        </w:rPr>
        <w:t>录</w:t>
      </w:r>
    </w:p>
    <w:p>
      <w:pPr>
        <w:pStyle w:val="12"/>
        <w:keepNext w:val="0"/>
        <w:keepLines w:val="0"/>
        <w:pageBreakBefore w:val="0"/>
        <w:widowControl/>
        <w:tabs>
          <w:tab w:val="right" w:leader="dot" w:pos="9638"/>
        </w:tabs>
        <w:kinsoku/>
        <w:wordWrap/>
        <w:overflowPunct/>
        <w:topLinePunct w:val="0"/>
        <w:autoSpaceDE/>
        <w:autoSpaceDN/>
        <w:bidi w:val="0"/>
        <w:adjustRightInd/>
        <w:snapToGrid/>
        <w:spacing w:line="360" w:lineRule="auto"/>
        <w:jc w:val="both"/>
        <w:textAlignment w:val="auto"/>
      </w:pPr>
      <w:r>
        <w:rPr>
          <w:rFonts w:hint="eastAsia" w:ascii="Arial" w:hAnsi="Arial" w:cs="Arial"/>
          <w:sz w:val="21"/>
          <w:szCs w:val="21"/>
        </w:rPr>
        <w:fldChar w:fldCharType="begin"/>
      </w:r>
      <w:r>
        <w:rPr>
          <w:rFonts w:ascii="Arial" w:hAnsi="Arial" w:cs="Arial"/>
          <w:sz w:val="21"/>
          <w:szCs w:val="21"/>
        </w:rPr>
        <w:instrText xml:space="preserve"> TOC \o "1-3" \h \z \u </w:instrText>
      </w:r>
      <w:r>
        <w:rPr>
          <w:rFonts w:hint="eastAsia" w:ascii="Arial" w:hAnsi="Arial" w:cs="Arial"/>
          <w:sz w:val="21"/>
          <w:szCs w:val="21"/>
        </w:rPr>
        <w:fldChar w:fldCharType="separate"/>
      </w:r>
      <w:r>
        <w:rPr>
          <w:rFonts w:hint="eastAsia" w:ascii="Arial" w:hAnsi="Arial" w:cs="Arial"/>
          <w:szCs w:val="21"/>
        </w:rPr>
        <w:fldChar w:fldCharType="begin"/>
      </w:r>
      <w:r>
        <w:rPr>
          <w:rFonts w:hint="eastAsia" w:ascii="Arial" w:hAnsi="Arial" w:cs="Arial"/>
          <w:szCs w:val="21"/>
        </w:rPr>
        <w:instrText xml:space="preserve"> HYPERLINK \l _Toc22864 </w:instrText>
      </w:r>
      <w:r>
        <w:rPr>
          <w:rFonts w:hint="eastAsia" w:ascii="Arial" w:hAnsi="Arial" w:cs="Arial"/>
          <w:szCs w:val="21"/>
        </w:rPr>
        <w:fldChar w:fldCharType="separate"/>
      </w:r>
      <w:r>
        <w:rPr>
          <w:rFonts w:hint="eastAsia" w:ascii="宋体" w:hAnsi="宋体" w:eastAsia="宋体"/>
          <w:szCs w:val="21"/>
        </w:rPr>
        <w:t>一、项目基本情况介绍</w:t>
      </w:r>
      <w:r>
        <w:tab/>
      </w:r>
      <w:r>
        <w:fldChar w:fldCharType="begin"/>
      </w:r>
      <w:r>
        <w:instrText xml:space="preserve"> PAGEREF _Toc22864 \h </w:instrText>
      </w:r>
      <w:r>
        <w:fldChar w:fldCharType="separate"/>
      </w:r>
      <w:r>
        <w:t>8</w:t>
      </w:r>
      <w:r>
        <w:fldChar w:fldCharType="end"/>
      </w:r>
      <w:r>
        <w:rPr>
          <w:rFonts w:hint="eastAsia" w:ascii="Arial" w:hAnsi="Arial" w:cs="Arial"/>
          <w:szCs w:val="21"/>
        </w:rPr>
        <w:fldChar w:fldCharType="end"/>
      </w:r>
    </w:p>
    <w:p>
      <w:pPr>
        <w:pStyle w:val="12"/>
        <w:keepNext w:val="0"/>
        <w:keepLines w:val="0"/>
        <w:pageBreakBefore w:val="0"/>
        <w:widowControl/>
        <w:tabs>
          <w:tab w:val="right" w:leader="dot" w:pos="9638"/>
        </w:tabs>
        <w:kinsoku/>
        <w:wordWrap/>
        <w:overflowPunct/>
        <w:topLinePunct w:val="0"/>
        <w:autoSpaceDE/>
        <w:autoSpaceDN/>
        <w:bidi w:val="0"/>
        <w:adjustRightInd/>
        <w:snapToGrid/>
        <w:spacing w:line="360" w:lineRule="auto"/>
        <w:jc w:val="both"/>
        <w:textAlignment w:val="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_Toc29547 </w:instrText>
      </w:r>
      <w:r>
        <w:rPr>
          <w:rFonts w:hint="eastAsia" w:ascii="Arial" w:hAnsi="Arial" w:cs="Arial"/>
          <w:bCs/>
          <w:szCs w:val="21"/>
          <w:lang w:val="zh-CN"/>
        </w:rPr>
        <w:fldChar w:fldCharType="separate"/>
      </w:r>
      <w:r>
        <w:rPr>
          <w:rFonts w:hint="eastAsia" w:ascii="宋体" w:hAnsi="宋体" w:eastAsia="宋体"/>
          <w:szCs w:val="21"/>
        </w:rPr>
        <w:t>二、信托资金使用情况</w:t>
      </w:r>
      <w:r>
        <w:tab/>
      </w:r>
      <w:r>
        <w:fldChar w:fldCharType="begin"/>
      </w:r>
      <w:r>
        <w:instrText xml:space="preserve"> PAGEREF _Toc29547 \h </w:instrText>
      </w:r>
      <w:r>
        <w:fldChar w:fldCharType="separate"/>
      </w:r>
      <w:r>
        <w:t>9</w:t>
      </w:r>
      <w:r>
        <w:fldChar w:fldCharType="end"/>
      </w:r>
      <w:r>
        <w:rPr>
          <w:rFonts w:hint="eastAsia" w:ascii="Arial" w:hAnsi="Arial" w:cs="Arial"/>
          <w:bCs/>
          <w:szCs w:val="21"/>
          <w:lang w:val="zh-CN"/>
        </w:rPr>
        <w:fldChar w:fldCharType="end"/>
      </w:r>
    </w:p>
    <w:p>
      <w:pPr>
        <w:pStyle w:val="12"/>
        <w:keepNext w:val="0"/>
        <w:keepLines w:val="0"/>
        <w:pageBreakBefore w:val="0"/>
        <w:widowControl/>
        <w:tabs>
          <w:tab w:val="right" w:leader="dot" w:pos="9638"/>
        </w:tabs>
        <w:kinsoku/>
        <w:wordWrap/>
        <w:overflowPunct/>
        <w:topLinePunct w:val="0"/>
        <w:autoSpaceDE/>
        <w:autoSpaceDN/>
        <w:bidi w:val="0"/>
        <w:adjustRightInd/>
        <w:snapToGrid/>
        <w:spacing w:line="360" w:lineRule="auto"/>
        <w:jc w:val="both"/>
        <w:textAlignment w:val="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_Toc27241 </w:instrText>
      </w:r>
      <w:r>
        <w:rPr>
          <w:rFonts w:hint="eastAsia" w:ascii="Arial" w:hAnsi="Arial" w:cs="Arial"/>
          <w:bCs/>
          <w:szCs w:val="21"/>
          <w:lang w:val="zh-CN"/>
        </w:rPr>
        <w:fldChar w:fldCharType="separate"/>
      </w:r>
      <w:r>
        <w:rPr>
          <w:rFonts w:hint="eastAsia" w:ascii="宋体" w:hAnsi="宋体" w:eastAsia="宋体"/>
          <w:szCs w:val="21"/>
        </w:rPr>
        <w:t>三、项目证件办理情况</w:t>
      </w:r>
      <w:r>
        <w:tab/>
      </w:r>
      <w:r>
        <w:fldChar w:fldCharType="begin"/>
      </w:r>
      <w:r>
        <w:instrText xml:space="preserve"> PAGEREF _Toc27241 \h </w:instrText>
      </w:r>
      <w:r>
        <w:fldChar w:fldCharType="separate"/>
      </w:r>
      <w:r>
        <w:t>9</w:t>
      </w:r>
      <w:r>
        <w:fldChar w:fldCharType="end"/>
      </w:r>
      <w:r>
        <w:rPr>
          <w:rFonts w:hint="eastAsia" w:ascii="Arial" w:hAnsi="Arial" w:cs="Arial"/>
          <w:bCs/>
          <w:szCs w:val="21"/>
          <w:lang w:val="zh-CN"/>
        </w:rPr>
        <w:fldChar w:fldCharType="end"/>
      </w:r>
    </w:p>
    <w:p>
      <w:pPr>
        <w:pStyle w:val="12"/>
        <w:keepNext w:val="0"/>
        <w:keepLines w:val="0"/>
        <w:pageBreakBefore w:val="0"/>
        <w:widowControl/>
        <w:tabs>
          <w:tab w:val="right" w:leader="dot" w:pos="9638"/>
        </w:tabs>
        <w:kinsoku/>
        <w:wordWrap/>
        <w:overflowPunct/>
        <w:topLinePunct w:val="0"/>
        <w:autoSpaceDE/>
        <w:autoSpaceDN/>
        <w:bidi w:val="0"/>
        <w:adjustRightInd/>
        <w:snapToGrid/>
        <w:spacing w:line="360" w:lineRule="auto"/>
        <w:jc w:val="both"/>
        <w:textAlignment w:val="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_Toc20719 </w:instrText>
      </w:r>
      <w:r>
        <w:rPr>
          <w:rFonts w:hint="eastAsia" w:ascii="Arial" w:hAnsi="Arial" w:cs="Arial"/>
          <w:bCs/>
          <w:szCs w:val="21"/>
          <w:lang w:val="zh-CN"/>
        </w:rPr>
        <w:fldChar w:fldCharType="separate"/>
      </w:r>
      <w:r>
        <w:rPr>
          <w:rFonts w:hint="eastAsia" w:ascii="宋体" w:hAnsi="宋体" w:eastAsia="宋体"/>
          <w:szCs w:val="21"/>
        </w:rPr>
        <w:t>四、项目开发建设情况</w:t>
      </w:r>
      <w:r>
        <w:tab/>
      </w:r>
      <w:r>
        <w:fldChar w:fldCharType="begin"/>
      </w:r>
      <w:r>
        <w:instrText xml:space="preserve"> PAGEREF _Toc20719 \h </w:instrText>
      </w:r>
      <w:r>
        <w:fldChar w:fldCharType="separate"/>
      </w:r>
      <w:r>
        <w:t>10</w:t>
      </w:r>
      <w:r>
        <w:fldChar w:fldCharType="end"/>
      </w:r>
      <w:r>
        <w:rPr>
          <w:rFonts w:hint="eastAsia" w:ascii="Arial" w:hAnsi="Arial" w:cs="Arial"/>
          <w:bCs/>
          <w:szCs w:val="21"/>
          <w:lang w:val="zh-CN"/>
        </w:rPr>
        <w:fldChar w:fldCharType="end"/>
      </w:r>
    </w:p>
    <w:p>
      <w:pPr>
        <w:pStyle w:val="12"/>
        <w:keepNext w:val="0"/>
        <w:keepLines w:val="0"/>
        <w:pageBreakBefore w:val="0"/>
        <w:widowControl/>
        <w:tabs>
          <w:tab w:val="right" w:leader="dot" w:pos="9638"/>
        </w:tabs>
        <w:kinsoku/>
        <w:wordWrap/>
        <w:overflowPunct/>
        <w:topLinePunct w:val="0"/>
        <w:autoSpaceDE/>
        <w:autoSpaceDN/>
        <w:bidi w:val="0"/>
        <w:adjustRightInd/>
        <w:snapToGrid/>
        <w:spacing w:line="360" w:lineRule="auto"/>
        <w:jc w:val="both"/>
        <w:textAlignment w:val="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_Toc10380 </w:instrText>
      </w:r>
      <w:r>
        <w:rPr>
          <w:rFonts w:hint="eastAsia" w:ascii="Arial" w:hAnsi="Arial" w:cs="Arial"/>
          <w:bCs/>
          <w:szCs w:val="21"/>
          <w:lang w:val="zh-CN"/>
        </w:rPr>
        <w:fldChar w:fldCharType="separate"/>
      </w:r>
      <w:r>
        <w:rPr>
          <w:rFonts w:hint="eastAsia" w:ascii="宋体" w:hAnsi="宋体" w:eastAsia="宋体"/>
          <w:szCs w:val="21"/>
        </w:rPr>
        <w:t>五、项目合同及成本执行情况</w:t>
      </w:r>
      <w:r>
        <w:tab/>
      </w:r>
      <w:r>
        <w:fldChar w:fldCharType="begin"/>
      </w:r>
      <w:r>
        <w:instrText xml:space="preserve"> PAGEREF _Toc10380 \h </w:instrText>
      </w:r>
      <w:r>
        <w:fldChar w:fldCharType="separate"/>
      </w:r>
      <w:r>
        <w:t>11</w:t>
      </w:r>
      <w:r>
        <w:fldChar w:fldCharType="end"/>
      </w:r>
      <w:r>
        <w:rPr>
          <w:rFonts w:hint="eastAsia" w:ascii="Arial" w:hAnsi="Arial" w:cs="Arial"/>
          <w:bCs/>
          <w:szCs w:val="21"/>
          <w:lang w:val="zh-CN"/>
        </w:rPr>
        <w:fldChar w:fldCharType="end"/>
      </w:r>
    </w:p>
    <w:p>
      <w:pPr>
        <w:pStyle w:val="12"/>
        <w:keepNext w:val="0"/>
        <w:keepLines w:val="0"/>
        <w:pageBreakBefore w:val="0"/>
        <w:widowControl/>
        <w:tabs>
          <w:tab w:val="right" w:leader="dot" w:pos="9638"/>
        </w:tabs>
        <w:kinsoku/>
        <w:wordWrap/>
        <w:overflowPunct/>
        <w:topLinePunct w:val="0"/>
        <w:autoSpaceDE/>
        <w:autoSpaceDN/>
        <w:bidi w:val="0"/>
        <w:adjustRightInd/>
        <w:snapToGrid/>
        <w:spacing w:line="360" w:lineRule="auto"/>
        <w:jc w:val="both"/>
        <w:textAlignment w:val="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_Toc30483 </w:instrText>
      </w:r>
      <w:r>
        <w:rPr>
          <w:rFonts w:hint="eastAsia" w:ascii="Arial" w:hAnsi="Arial" w:cs="Arial"/>
          <w:bCs/>
          <w:szCs w:val="21"/>
          <w:lang w:val="zh-CN"/>
        </w:rPr>
        <w:fldChar w:fldCharType="separate"/>
      </w:r>
      <w:r>
        <w:rPr>
          <w:rFonts w:hint="eastAsia" w:ascii="宋体" w:hAnsi="宋体" w:eastAsia="宋体"/>
          <w:szCs w:val="21"/>
        </w:rPr>
        <w:t>六、项目销售情况统计</w:t>
      </w:r>
      <w:r>
        <w:tab/>
      </w:r>
      <w:r>
        <w:fldChar w:fldCharType="begin"/>
      </w:r>
      <w:r>
        <w:instrText xml:space="preserve"> PAGEREF _Toc30483 \h </w:instrText>
      </w:r>
      <w:r>
        <w:fldChar w:fldCharType="separate"/>
      </w:r>
      <w:r>
        <w:t>12</w:t>
      </w:r>
      <w:r>
        <w:fldChar w:fldCharType="end"/>
      </w:r>
      <w:r>
        <w:rPr>
          <w:rFonts w:hint="eastAsia" w:ascii="Arial" w:hAnsi="Arial" w:cs="Arial"/>
          <w:bCs/>
          <w:szCs w:val="21"/>
          <w:lang w:val="zh-CN"/>
        </w:rPr>
        <w:fldChar w:fldCharType="end"/>
      </w:r>
    </w:p>
    <w:p>
      <w:pPr>
        <w:pStyle w:val="12"/>
        <w:keepNext w:val="0"/>
        <w:keepLines w:val="0"/>
        <w:pageBreakBefore w:val="0"/>
        <w:widowControl/>
        <w:tabs>
          <w:tab w:val="right" w:leader="dot" w:pos="9638"/>
        </w:tabs>
        <w:kinsoku/>
        <w:wordWrap/>
        <w:overflowPunct/>
        <w:topLinePunct w:val="0"/>
        <w:autoSpaceDE/>
        <w:autoSpaceDN/>
        <w:bidi w:val="0"/>
        <w:adjustRightInd/>
        <w:snapToGrid/>
        <w:spacing w:line="360" w:lineRule="auto"/>
        <w:jc w:val="both"/>
        <w:textAlignment w:val="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_Toc26263 </w:instrText>
      </w:r>
      <w:r>
        <w:rPr>
          <w:rFonts w:hint="eastAsia" w:ascii="Arial" w:hAnsi="Arial" w:cs="Arial"/>
          <w:bCs/>
          <w:szCs w:val="21"/>
          <w:lang w:val="zh-CN"/>
        </w:rPr>
        <w:fldChar w:fldCharType="separate"/>
      </w:r>
      <w:r>
        <w:rPr>
          <w:rFonts w:hint="eastAsia" w:ascii="宋体" w:hAnsi="宋体" w:eastAsia="宋体"/>
          <w:szCs w:val="21"/>
        </w:rPr>
        <w:t>七、项目银行账户情况</w:t>
      </w:r>
      <w:r>
        <w:tab/>
      </w:r>
      <w:r>
        <w:fldChar w:fldCharType="begin"/>
      </w:r>
      <w:r>
        <w:instrText xml:space="preserve"> PAGEREF _Toc26263 \h </w:instrText>
      </w:r>
      <w:r>
        <w:fldChar w:fldCharType="separate"/>
      </w:r>
      <w:r>
        <w:t>13</w:t>
      </w:r>
      <w:r>
        <w:fldChar w:fldCharType="end"/>
      </w:r>
      <w:r>
        <w:rPr>
          <w:rFonts w:hint="eastAsia" w:ascii="Arial" w:hAnsi="Arial" w:cs="Arial"/>
          <w:bCs/>
          <w:szCs w:val="21"/>
          <w:lang w:val="zh-CN"/>
        </w:rPr>
        <w:fldChar w:fldCharType="end"/>
      </w:r>
    </w:p>
    <w:p>
      <w:pPr>
        <w:pStyle w:val="12"/>
        <w:keepNext w:val="0"/>
        <w:keepLines w:val="0"/>
        <w:pageBreakBefore w:val="0"/>
        <w:widowControl/>
        <w:tabs>
          <w:tab w:val="right" w:leader="dot" w:pos="9638"/>
        </w:tabs>
        <w:kinsoku/>
        <w:wordWrap/>
        <w:overflowPunct/>
        <w:topLinePunct w:val="0"/>
        <w:autoSpaceDE/>
        <w:autoSpaceDN/>
        <w:bidi w:val="0"/>
        <w:adjustRightInd/>
        <w:snapToGrid/>
        <w:spacing w:line="360" w:lineRule="auto"/>
        <w:jc w:val="both"/>
        <w:textAlignment w:val="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_Toc13616 </w:instrText>
      </w:r>
      <w:r>
        <w:rPr>
          <w:rFonts w:hint="eastAsia" w:ascii="Arial" w:hAnsi="Arial" w:cs="Arial"/>
          <w:bCs/>
          <w:szCs w:val="21"/>
          <w:lang w:val="zh-CN"/>
        </w:rPr>
        <w:fldChar w:fldCharType="separate"/>
      </w:r>
      <w:r>
        <w:rPr>
          <w:rFonts w:hint="eastAsia" w:ascii="宋体" w:hAnsi="宋体" w:eastAsia="宋体"/>
          <w:szCs w:val="21"/>
        </w:rPr>
        <w:t>八、资金收支情况</w:t>
      </w:r>
      <w:r>
        <w:tab/>
      </w:r>
      <w:r>
        <w:fldChar w:fldCharType="begin"/>
      </w:r>
      <w:r>
        <w:instrText xml:space="preserve"> PAGEREF _Toc13616 \h </w:instrText>
      </w:r>
      <w:r>
        <w:fldChar w:fldCharType="separate"/>
      </w:r>
      <w:r>
        <w:t>14</w:t>
      </w:r>
      <w:r>
        <w:fldChar w:fldCharType="end"/>
      </w:r>
      <w:r>
        <w:rPr>
          <w:rFonts w:hint="eastAsia" w:ascii="Arial" w:hAnsi="Arial" w:cs="Arial"/>
          <w:bCs/>
          <w:szCs w:val="21"/>
          <w:lang w:val="zh-CN"/>
        </w:rPr>
        <w:fldChar w:fldCharType="end"/>
      </w:r>
    </w:p>
    <w:p>
      <w:pPr>
        <w:pStyle w:val="12"/>
        <w:keepNext w:val="0"/>
        <w:keepLines w:val="0"/>
        <w:pageBreakBefore w:val="0"/>
        <w:widowControl/>
        <w:tabs>
          <w:tab w:val="right" w:leader="dot" w:pos="9638"/>
        </w:tabs>
        <w:kinsoku/>
        <w:wordWrap/>
        <w:overflowPunct/>
        <w:topLinePunct w:val="0"/>
        <w:autoSpaceDE/>
        <w:autoSpaceDN/>
        <w:bidi w:val="0"/>
        <w:adjustRightInd/>
        <w:snapToGrid/>
        <w:spacing w:line="360" w:lineRule="auto"/>
        <w:jc w:val="both"/>
        <w:textAlignment w:val="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_Toc9894 </w:instrText>
      </w:r>
      <w:r>
        <w:rPr>
          <w:rFonts w:hint="eastAsia" w:ascii="Arial" w:hAnsi="Arial" w:cs="Arial"/>
          <w:bCs/>
          <w:szCs w:val="21"/>
          <w:lang w:val="zh-CN"/>
        </w:rPr>
        <w:fldChar w:fldCharType="separate"/>
      </w:r>
      <w:r>
        <w:rPr>
          <w:rFonts w:hint="eastAsia" w:ascii="宋体" w:hAnsi="宋体" w:eastAsia="宋体"/>
          <w:szCs w:val="21"/>
        </w:rPr>
        <w:t>九、 项目开发贷及其他融资情况</w:t>
      </w:r>
      <w:r>
        <w:tab/>
      </w:r>
      <w:r>
        <w:fldChar w:fldCharType="begin"/>
      </w:r>
      <w:r>
        <w:instrText xml:space="preserve"> PAGEREF _Toc9894 \h </w:instrText>
      </w:r>
      <w:r>
        <w:fldChar w:fldCharType="separate"/>
      </w:r>
      <w:r>
        <w:t>27</w:t>
      </w:r>
      <w:r>
        <w:fldChar w:fldCharType="end"/>
      </w:r>
      <w:r>
        <w:rPr>
          <w:rFonts w:hint="eastAsia" w:ascii="Arial" w:hAnsi="Arial" w:cs="Arial"/>
          <w:bCs/>
          <w:szCs w:val="21"/>
          <w:lang w:val="zh-CN"/>
        </w:rPr>
        <w:fldChar w:fldCharType="end"/>
      </w:r>
    </w:p>
    <w:p>
      <w:pPr>
        <w:pStyle w:val="12"/>
        <w:keepNext w:val="0"/>
        <w:keepLines w:val="0"/>
        <w:pageBreakBefore w:val="0"/>
        <w:widowControl/>
        <w:tabs>
          <w:tab w:val="right" w:leader="dot" w:pos="9638"/>
        </w:tabs>
        <w:kinsoku/>
        <w:wordWrap/>
        <w:overflowPunct/>
        <w:topLinePunct w:val="0"/>
        <w:autoSpaceDE/>
        <w:autoSpaceDN/>
        <w:bidi w:val="0"/>
        <w:adjustRightInd/>
        <w:snapToGrid/>
        <w:spacing w:line="360" w:lineRule="auto"/>
        <w:jc w:val="both"/>
        <w:textAlignment w:val="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_Toc23668 </w:instrText>
      </w:r>
      <w:r>
        <w:rPr>
          <w:rFonts w:hint="eastAsia" w:ascii="Arial" w:hAnsi="Arial" w:cs="Arial"/>
          <w:bCs/>
          <w:szCs w:val="21"/>
          <w:lang w:val="zh-CN"/>
        </w:rPr>
        <w:fldChar w:fldCharType="separate"/>
      </w:r>
      <w:r>
        <w:rPr>
          <w:rFonts w:hint="eastAsia" w:ascii="宋体" w:hAnsi="宋体" w:eastAsia="宋体"/>
          <w:szCs w:val="21"/>
        </w:rPr>
        <w:t xml:space="preserve">十、 </w:t>
      </w:r>
      <w:r>
        <w:rPr>
          <w:rFonts w:hint="eastAsia" w:ascii="宋体" w:hAnsi="宋体" w:eastAsia="宋体"/>
          <w:szCs w:val="21"/>
          <w:highlight w:val="none"/>
        </w:rPr>
        <w:t>项目周边竞品情况分析</w:t>
      </w:r>
      <w:r>
        <w:tab/>
      </w:r>
      <w:r>
        <w:fldChar w:fldCharType="begin"/>
      </w:r>
      <w:r>
        <w:instrText xml:space="preserve"> PAGEREF _Toc23668 \h </w:instrText>
      </w:r>
      <w:r>
        <w:fldChar w:fldCharType="separate"/>
      </w:r>
      <w:r>
        <w:t>27</w:t>
      </w:r>
      <w:r>
        <w:fldChar w:fldCharType="end"/>
      </w:r>
      <w:r>
        <w:rPr>
          <w:rFonts w:hint="eastAsia" w:ascii="Arial" w:hAnsi="Arial" w:cs="Arial"/>
          <w:bCs/>
          <w:szCs w:val="21"/>
          <w:lang w:val="zh-CN"/>
        </w:rPr>
        <w:fldChar w:fldCharType="end"/>
      </w:r>
    </w:p>
    <w:p>
      <w:pPr>
        <w:pStyle w:val="12"/>
        <w:keepNext w:val="0"/>
        <w:keepLines w:val="0"/>
        <w:pageBreakBefore w:val="0"/>
        <w:widowControl/>
        <w:tabs>
          <w:tab w:val="right" w:leader="dot" w:pos="9638"/>
        </w:tabs>
        <w:kinsoku/>
        <w:wordWrap/>
        <w:overflowPunct/>
        <w:topLinePunct w:val="0"/>
        <w:autoSpaceDE/>
        <w:autoSpaceDN/>
        <w:bidi w:val="0"/>
        <w:adjustRightInd/>
        <w:snapToGrid/>
        <w:spacing w:line="360" w:lineRule="auto"/>
        <w:jc w:val="both"/>
        <w:textAlignment w:val="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_Toc30376 </w:instrText>
      </w:r>
      <w:r>
        <w:rPr>
          <w:rFonts w:hint="eastAsia" w:ascii="Arial" w:hAnsi="Arial" w:cs="Arial"/>
          <w:bCs/>
          <w:szCs w:val="21"/>
          <w:lang w:val="zh-CN"/>
        </w:rPr>
        <w:fldChar w:fldCharType="separate"/>
      </w:r>
      <w:r>
        <w:rPr>
          <w:rFonts w:hint="eastAsia" w:ascii="宋体" w:hAnsi="宋体" w:eastAsia="宋体"/>
          <w:szCs w:val="21"/>
        </w:rPr>
        <w:t>十一、区域市场情况分析</w:t>
      </w:r>
      <w:r>
        <w:tab/>
      </w:r>
      <w:r>
        <w:fldChar w:fldCharType="begin"/>
      </w:r>
      <w:r>
        <w:instrText xml:space="preserve"> PAGEREF _Toc30376 \h </w:instrText>
      </w:r>
      <w:r>
        <w:fldChar w:fldCharType="separate"/>
      </w:r>
      <w:r>
        <w:t>28</w:t>
      </w:r>
      <w:r>
        <w:fldChar w:fldCharType="end"/>
      </w:r>
      <w:r>
        <w:rPr>
          <w:rFonts w:hint="eastAsia" w:ascii="Arial" w:hAnsi="Arial" w:cs="Arial"/>
          <w:bCs/>
          <w:szCs w:val="21"/>
          <w:lang w:val="zh-CN"/>
        </w:rPr>
        <w:fldChar w:fldCharType="end"/>
      </w:r>
    </w:p>
    <w:p>
      <w:pPr>
        <w:pStyle w:val="12"/>
        <w:keepNext w:val="0"/>
        <w:keepLines w:val="0"/>
        <w:pageBreakBefore w:val="0"/>
        <w:widowControl/>
        <w:tabs>
          <w:tab w:val="right" w:leader="dot" w:pos="9638"/>
        </w:tabs>
        <w:kinsoku/>
        <w:wordWrap/>
        <w:overflowPunct/>
        <w:topLinePunct w:val="0"/>
        <w:autoSpaceDE/>
        <w:autoSpaceDN/>
        <w:bidi w:val="0"/>
        <w:adjustRightInd/>
        <w:snapToGrid/>
        <w:spacing w:line="360" w:lineRule="auto"/>
        <w:jc w:val="both"/>
        <w:textAlignment w:val="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_Toc9890 </w:instrText>
      </w:r>
      <w:r>
        <w:rPr>
          <w:rFonts w:hint="eastAsia" w:ascii="Arial" w:hAnsi="Arial" w:cs="Arial"/>
          <w:bCs/>
          <w:szCs w:val="21"/>
          <w:lang w:val="zh-CN"/>
        </w:rPr>
        <w:fldChar w:fldCharType="separate"/>
      </w:r>
      <w:r>
        <w:rPr>
          <w:rFonts w:hint="eastAsia" w:ascii="宋体" w:hAnsi="宋体" w:eastAsia="宋体"/>
          <w:szCs w:val="21"/>
        </w:rPr>
        <w:t>十一、 项目公司资金计划执行情况</w:t>
      </w:r>
      <w:r>
        <w:tab/>
      </w:r>
      <w:r>
        <w:fldChar w:fldCharType="begin"/>
      </w:r>
      <w:r>
        <w:instrText xml:space="preserve"> PAGEREF _Toc9890 \h </w:instrText>
      </w:r>
      <w:r>
        <w:fldChar w:fldCharType="separate"/>
      </w:r>
      <w:r>
        <w:t>30</w:t>
      </w:r>
      <w:r>
        <w:fldChar w:fldCharType="end"/>
      </w:r>
      <w:r>
        <w:rPr>
          <w:rFonts w:hint="eastAsia" w:ascii="Arial" w:hAnsi="Arial" w:cs="Arial"/>
          <w:bCs/>
          <w:szCs w:val="21"/>
          <w:lang w:val="zh-CN"/>
        </w:rPr>
        <w:fldChar w:fldCharType="end"/>
      </w:r>
    </w:p>
    <w:p>
      <w:pPr>
        <w:pStyle w:val="12"/>
        <w:keepNext w:val="0"/>
        <w:keepLines w:val="0"/>
        <w:pageBreakBefore w:val="0"/>
        <w:widowControl/>
        <w:tabs>
          <w:tab w:val="right" w:leader="dot" w:pos="9638"/>
        </w:tabs>
        <w:kinsoku/>
        <w:wordWrap/>
        <w:overflowPunct/>
        <w:topLinePunct w:val="0"/>
        <w:autoSpaceDE/>
        <w:autoSpaceDN/>
        <w:bidi w:val="0"/>
        <w:adjustRightInd/>
        <w:snapToGrid/>
        <w:spacing w:line="360" w:lineRule="auto"/>
        <w:jc w:val="both"/>
        <w:textAlignment w:val="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_Toc18080 </w:instrText>
      </w:r>
      <w:r>
        <w:rPr>
          <w:rFonts w:hint="eastAsia" w:ascii="Arial" w:hAnsi="Arial" w:cs="Arial"/>
          <w:bCs/>
          <w:szCs w:val="21"/>
          <w:lang w:val="zh-CN"/>
        </w:rPr>
        <w:fldChar w:fldCharType="separate"/>
      </w:r>
      <w:r>
        <w:rPr>
          <w:rFonts w:hint="eastAsia" w:ascii="宋体" w:hAnsi="宋体" w:eastAsia="宋体"/>
          <w:szCs w:val="21"/>
        </w:rPr>
        <w:t>十三、项目公司及SPV用印情况</w:t>
      </w:r>
      <w:r>
        <w:tab/>
      </w:r>
      <w:r>
        <w:fldChar w:fldCharType="begin"/>
      </w:r>
      <w:r>
        <w:instrText xml:space="preserve"> PAGEREF _Toc18080 \h </w:instrText>
      </w:r>
      <w:r>
        <w:fldChar w:fldCharType="separate"/>
      </w:r>
      <w:r>
        <w:t>31</w:t>
      </w:r>
      <w:r>
        <w:fldChar w:fldCharType="end"/>
      </w:r>
      <w:r>
        <w:rPr>
          <w:rFonts w:hint="eastAsia" w:ascii="Arial" w:hAnsi="Arial" w:cs="Arial"/>
          <w:bCs/>
          <w:szCs w:val="21"/>
          <w:lang w:val="zh-CN"/>
        </w:rPr>
        <w:fldChar w:fldCharType="end"/>
      </w:r>
    </w:p>
    <w:p>
      <w:pPr>
        <w:pStyle w:val="12"/>
        <w:keepNext w:val="0"/>
        <w:keepLines w:val="0"/>
        <w:pageBreakBefore w:val="0"/>
        <w:widowControl/>
        <w:tabs>
          <w:tab w:val="right" w:leader="dot" w:pos="9638"/>
        </w:tabs>
        <w:kinsoku/>
        <w:wordWrap/>
        <w:overflowPunct/>
        <w:topLinePunct w:val="0"/>
        <w:autoSpaceDE/>
        <w:autoSpaceDN/>
        <w:bidi w:val="0"/>
        <w:adjustRightInd/>
        <w:snapToGrid/>
        <w:spacing w:line="360" w:lineRule="auto"/>
        <w:jc w:val="both"/>
        <w:textAlignment w:val="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_Toc5079 </w:instrText>
      </w:r>
      <w:r>
        <w:rPr>
          <w:rFonts w:hint="eastAsia" w:ascii="Arial" w:hAnsi="Arial" w:cs="Arial"/>
          <w:bCs/>
          <w:szCs w:val="21"/>
          <w:lang w:val="zh-CN"/>
        </w:rPr>
        <w:fldChar w:fldCharType="separate"/>
      </w:r>
      <w:r>
        <w:rPr>
          <w:rFonts w:hint="eastAsia" w:ascii="宋体" w:hAnsi="宋体" w:eastAsia="宋体"/>
          <w:szCs w:val="21"/>
        </w:rPr>
        <w:t>十四、项目公司及SPV公司印章证照外出使用情况</w:t>
      </w:r>
      <w:r>
        <w:tab/>
      </w:r>
      <w:r>
        <w:fldChar w:fldCharType="begin"/>
      </w:r>
      <w:r>
        <w:instrText xml:space="preserve"> PAGEREF _Toc5079 \h </w:instrText>
      </w:r>
      <w:r>
        <w:fldChar w:fldCharType="separate"/>
      </w:r>
      <w:r>
        <w:t>31</w:t>
      </w:r>
      <w:r>
        <w:fldChar w:fldCharType="end"/>
      </w:r>
      <w:r>
        <w:rPr>
          <w:rFonts w:hint="eastAsia" w:ascii="Arial" w:hAnsi="Arial" w:cs="Arial"/>
          <w:bCs/>
          <w:szCs w:val="21"/>
          <w:lang w:val="zh-CN"/>
        </w:rPr>
        <w:fldChar w:fldCharType="end"/>
      </w:r>
    </w:p>
    <w:p>
      <w:pPr>
        <w:pStyle w:val="12"/>
        <w:keepNext w:val="0"/>
        <w:keepLines w:val="0"/>
        <w:pageBreakBefore w:val="0"/>
        <w:widowControl/>
        <w:tabs>
          <w:tab w:val="right" w:leader="dot" w:pos="9638"/>
        </w:tabs>
        <w:kinsoku/>
        <w:wordWrap/>
        <w:overflowPunct/>
        <w:topLinePunct w:val="0"/>
        <w:autoSpaceDE/>
        <w:autoSpaceDN/>
        <w:bidi w:val="0"/>
        <w:adjustRightInd/>
        <w:snapToGrid/>
        <w:spacing w:line="360" w:lineRule="auto"/>
        <w:jc w:val="both"/>
        <w:textAlignment w:val="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_Toc11727 </w:instrText>
      </w:r>
      <w:r>
        <w:rPr>
          <w:rFonts w:hint="eastAsia" w:ascii="Arial" w:hAnsi="Arial" w:cs="Arial"/>
          <w:bCs/>
          <w:szCs w:val="21"/>
          <w:lang w:val="zh-CN"/>
        </w:rPr>
        <w:fldChar w:fldCharType="separate"/>
      </w:r>
      <w:r>
        <w:rPr>
          <w:rFonts w:hint="eastAsia" w:ascii="宋体" w:hAnsi="宋体" w:eastAsia="宋体"/>
          <w:szCs w:val="21"/>
        </w:rPr>
        <w:t>十五、项目公司签约情况</w:t>
      </w:r>
      <w:r>
        <w:tab/>
      </w:r>
      <w:r>
        <w:fldChar w:fldCharType="begin"/>
      </w:r>
      <w:r>
        <w:instrText xml:space="preserve"> PAGEREF _Toc11727 \h </w:instrText>
      </w:r>
      <w:r>
        <w:fldChar w:fldCharType="separate"/>
      </w:r>
      <w:r>
        <w:t>31</w:t>
      </w:r>
      <w:r>
        <w:fldChar w:fldCharType="end"/>
      </w:r>
      <w:r>
        <w:rPr>
          <w:rFonts w:hint="eastAsia" w:ascii="Arial" w:hAnsi="Arial" w:cs="Arial"/>
          <w:bCs/>
          <w:szCs w:val="21"/>
          <w:lang w:val="zh-CN"/>
        </w:rPr>
        <w:fldChar w:fldCharType="end"/>
      </w:r>
    </w:p>
    <w:p>
      <w:pPr>
        <w:pStyle w:val="12"/>
        <w:keepNext w:val="0"/>
        <w:keepLines w:val="0"/>
        <w:pageBreakBefore w:val="0"/>
        <w:widowControl/>
        <w:tabs>
          <w:tab w:val="right" w:leader="dot" w:pos="9638"/>
        </w:tabs>
        <w:kinsoku/>
        <w:wordWrap/>
        <w:overflowPunct/>
        <w:topLinePunct w:val="0"/>
        <w:autoSpaceDE/>
        <w:autoSpaceDN/>
        <w:bidi w:val="0"/>
        <w:adjustRightInd/>
        <w:snapToGrid/>
        <w:spacing w:line="360" w:lineRule="auto"/>
        <w:jc w:val="both"/>
        <w:textAlignment w:val="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_Toc32638 </w:instrText>
      </w:r>
      <w:r>
        <w:rPr>
          <w:rFonts w:hint="eastAsia" w:ascii="Arial" w:hAnsi="Arial" w:cs="Arial"/>
          <w:bCs/>
          <w:szCs w:val="21"/>
          <w:lang w:val="zh-CN"/>
        </w:rPr>
        <w:fldChar w:fldCharType="separate"/>
      </w:r>
      <w:r>
        <w:rPr>
          <w:rFonts w:hint="eastAsia" w:ascii="宋体" w:hAnsi="宋体" w:eastAsia="宋体"/>
          <w:szCs w:val="21"/>
        </w:rPr>
        <w:t>十六、项目整体运行情况分析</w:t>
      </w:r>
      <w:r>
        <w:tab/>
      </w:r>
      <w:r>
        <w:fldChar w:fldCharType="begin"/>
      </w:r>
      <w:r>
        <w:instrText xml:space="preserve"> PAGEREF _Toc32638 \h </w:instrText>
      </w:r>
      <w:r>
        <w:fldChar w:fldCharType="separate"/>
      </w:r>
      <w:r>
        <w:t>31</w:t>
      </w:r>
      <w:r>
        <w:fldChar w:fldCharType="end"/>
      </w:r>
      <w:r>
        <w:rPr>
          <w:rFonts w:hint="eastAsia" w:ascii="Arial" w:hAnsi="Arial" w:cs="Arial"/>
          <w:bCs/>
          <w:szCs w:val="21"/>
          <w:lang w:val="zh-CN"/>
        </w:rPr>
        <w:fldChar w:fldCharType="end"/>
      </w:r>
    </w:p>
    <w:p>
      <w:pPr>
        <w:pStyle w:val="12"/>
        <w:keepNext w:val="0"/>
        <w:keepLines w:val="0"/>
        <w:pageBreakBefore w:val="0"/>
        <w:widowControl/>
        <w:tabs>
          <w:tab w:val="right" w:leader="dot" w:pos="9638"/>
        </w:tabs>
        <w:kinsoku/>
        <w:wordWrap/>
        <w:overflowPunct/>
        <w:topLinePunct w:val="0"/>
        <w:autoSpaceDE/>
        <w:autoSpaceDN/>
        <w:bidi w:val="0"/>
        <w:adjustRightInd/>
        <w:snapToGrid/>
        <w:spacing w:line="360" w:lineRule="auto"/>
        <w:jc w:val="both"/>
        <w:textAlignment w:val="auto"/>
      </w:pPr>
      <w:r>
        <w:rPr>
          <w:rFonts w:hint="eastAsia" w:ascii="Arial" w:hAnsi="Arial" w:cs="Arial"/>
          <w:bCs/>
          <w:szCs w:val="21"/>
          <w:lang w:val="zh-CN"/>
        </w:rPr>
        <w:fldChar w:fldCharType="begin"/>
      </w:r>
      <w:r>
        <w:rPr>
          <w:rFonts w:hint="eastAsia" w:ascii="Arial" w:hAnsi="Arial" w:cs="Arial"/>
          <w:bCs/>
          <w:szCs w:val="21"/>
          <w:lang w:val="zh-CN"/>
        </w:rPr>
        <w:instrText xml:space="preserve"> HYPERLINK \l _Toc32353 </w:instrText>
      </w:r>
      <w:r>
        <w:rPr>
          <w:rFonts w:hint="eastAsia" w:ascii="Arial" w:hAnsi="Arial" w:cs="Arial"/>
          <w:bCs/>
          <w:szCs w:val="21"/>
          <w:lang w:val="zh-CN"/>
        </w:rPr>
        <w:fldChar w:fldCharType="separate"/>
      </w:r>
      <w:r>
        <w:rPr>
          <w:rFonts w:hint="eastAsia" w:ascii="宋体" w:hAnsi="宋体"/>
          <w:bCs/>
          <w:szCs w:val="21"/>
        </w:rPr>
        <w:t>十七、附件</w:t>
      </w:r>
      <w:r>
        <w:tab/>
      </w:r>
      <w:r>
        <w:fldChar w:fldCharType="begin"/>
      </w:r>
      <w:r>
        <w:instrText xml:space="preserve"> PAGEREF _Toc32353 \h </w:instrText>
      </w:r>
      <w:r>
        <w:fldChar w:fldCharType="separate"/>
      </w:r>
      <w:r>
        <w:t>33</w:t>
      </w:r>
      <w:r>
        <w:fldChar w:fldCharType="end"/>
      </w:r>
      <w:r>
        <w:rPr>
          <w:rFonts w:hint="eastAsia" w:ascii="Arial" w:hAnsi="Arial" w:cs="Arial"/>
          <w:bCs/>
          <w:szCs w:val="21"/>
          <w:lang w:val="zh-CN"/>
        </w:rPr>
        <w:fldChar w:fldCharType="end"/>
      </w:r>
    </w:p>
    <w:p>
      <w:pPr>
        <w:spacing w:line="360" w:lineRule="auto"/>
        <w:ind w:left="720" w:leftChars="300"/>
        <w:rPr>
          <w:rFonts w:ascii="宋体" w:hAnsi="宋体"/>
          <w:b/>
          <w:bCs/>
          <w:sz w:val="21"/>
          <w:szCs w:val="21"/>
          <w:lang w:val="zh-CN"/>
        </w:rPr>
      </w:pPr>
      <w:r>
        <w:rPr>
          <w:rFonts w:hint="eastAsia" w:ascii="Arial" w:hAnsi="Arial" w:cs="Arial"/>
          <w:bCs/>
          <w:szCs w:val="21"/>
          <w:lang w:val="zh-CN"/>
        </w:rPr>
        <w:fldChar w:fldCharType="end"/>
      </w: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b/>
          <w:bCs/>
          <w:sz w:val="21"/>
          <w:szCs w:val="21"/>
          <w:lang w:val="zh-CN"/>
        </w:rPr>
      </w:pPr>
    </w:p>
    <w:p>
      <w:pPr>
        <w:rPr>
          <w:rFonts w:ascii="宋体" w:hAnsi="宋体"/>
          <w:sz w:val="21"/>
          <w:szCs w:val="21"/>
        </w:rPr>
      </w:pPr>
    </w:p>
    <w:p>
      <w:pPr>
        <w:jc w:val="center"/>
        <w:rPr>
          <w:rFonts w:ascii="宋体" w:hAnsi="宋体" w:cs="宋体"/>
          <w:b/>
          <w:bCs/>
          <w:sz w:val="21"/>
          <w:szCs w:val="21"/>
        </w:rPr>
      </w:pPr>
    </w:p>
    <w:p>
      <w:pPr>
        <w:pStyle w:val="16"/>
        <w:ind w:firstLine="0" w:firstLineChars="0"/>
        <w:rPr>
          <w:rFonts w:ascii="宋体" w:hAnsi="宋体" w:cs="宋体"/>
          <w:b/>
          <w:bCs/>
          <w:kern w:val="0"/>
          <w:szCs w:val="21"/>
        </w:rPr>
      </w:pPr>
      <w:bookmarkStart w:id="0" w:name="_Toc133693353"/>
    </w:p>
    <w:p>
      <w:pPr>
        <w:pStyle w:val="16"/>
        <w:ind w:firstLine="0" w:firstLineChars="0"/>
        <w:rPr>
          <w:rFonts w:ascii="宋体" w:hAnsi="宋体" w:cs="宋体"/>
          <w:b/>
          <w:bCs/>
          <w:kern w:val="0"/>
          <w:szCs w:val="21"/>
        </w:rPr>
      </w:pPr>
    </w:p>
    <w:p>
      <w:pPr>
        <w:pStyle w:val="16"/>
        <w:ind w:firstLine="0" w:firstLineChars="0"/>
        <w:rPr>
          <w:rFonts w:ascii="宋体" w:hAnsi="宋体" w:cs="宋体"/>
          <w:b/>
          <w:bCs/>
          <w:kern w:val="0"/>
          <w:szCs w:val="21"/>
        </w:rPr>
      </w:pPr>
    </w:p>
    <w:p>
      <w:pPr>
        <w:pStyle w:val="16"/>
        <w:ind w:firstLine="0" w:firstLineChars="0"/>
        <w:rPr>
          <w:rFonts w:ascii="宋体" w:hAnsi="宋体" w:cs="宋体"/>
          <w:b/>
          <w:bCs/>
          <w:kern w:val="0"/>
          <w:szCs w:val="21"/>
        </w:rPr>
      </w:pPr>
    </w:p>
    <w:p>
      <w:pPr>
        <w:pStyle w:val="16"/>
        <w:ind w:firstLine="0" w:firstLineChars="0"/>
        <w:rPr>
          <w:rFonts w:ascii="宋体" w:hAnsi="宋体" w:cs="宋体"/>
          <w:b/>
          <w:bCs/>
          <w:kern w:val="0"/>
          <w:szCs w:val="21"/>
        </w:rPr>
      </w:pPr>
    </w:p>
    <w:p>
      <w:pPr>
        <w:pStyle w:val="16"/>
        <w:ind w:firstLine="0" w:firstLineChars="0"/>
        <w:rPr>
          <w:rFonts w:ascii="宋体" w:hAnsi="宋体" w:cs="宋体"/>
          <w:b/>
          <w:bCs/>
          <w:kern w:val="0"/>
          <w:szCs w:val="21"/>
        </w:rPr>
      </w:pPr>
    </w:p>
    <w:p>
      <w:pPr>
        <w:pStyle w:val="16"/>
        <w:ind w:firstLine="0" w:firstLineChars="0"/>
        <w:rPr>
          <w:rFonts w:ascii="宋体" w:hAnsi="宋体" w:cs="宋体"/>
          <w:b/>
          <w:bCs/>
          <w:kern w:val="0"/>
          <w:szCs w:val="21"/>
        </w:rPr>
      </w:pPr>
    </w:p>
    <w:p>
      <w:pPr>
        <w:pStyle w:val="16"/>
        <w:ind w:firstLine="0" w:firstLineChars="0"/>
        <w:rPr>
          <w:rFonts w:ascii="宋体" w:hAnsi="宋体" w:cs="宋体"/>
          <w:b/>
          <w:bCs/>
          <w:szCs w:val="21"/>
        </w:rPr>
      </w:pPr>
      <w:r>
        <w:rPr>
          <w:rFonts w:hint="eastAsia" w:ascii="宋体" w:hAnsi="宋体" w:cs="宋体"/>
          <w:b/>
          <w:bCs/>
          <w:kern w:val="0"/>
          <w:szCs w:val="21"/>
        </w:rPr>
        <w:t>中航信托股份有限公司：</w:t>
      </w:r>
      <w:bookmarkEnd w:id="0"/>
      <w:r>
        <w:rPr>
          <w:rFonts w:ascii="宋体" w:hAnsi="宋体" w:cs="宋体"/>
          <w:b/>
          <w:bCs/>
          <w:szCs w:val="21"/>
        </w:rPr>
        <w:t xml:space="preserve"> </w:t>
      </w:r>
    </w:p>
    <w:p>
      <w:pPr>
        <w:pStyle w:val="16"/>
        <w:spacing w:line="360" w:lineRule="auto"/>
        <w:ind w:firstLineChars="200"/>
        <w:rPr>
          <w:rFonts w:ascii="宋体" w:hAnsi="宋体" w:cs="宋体"/>
          <w:kern w:val="0"/>
          <w:szCs w:val="21"/>
        </w:rPr>
      </w:pPr>
      <w:r>
        <w:rPr>
          <w:rFonts w:hint="eastAsia" w:ascii="宋体" w:hAnsi="宋体" w:cs="宋体"/>
          <w:kern w:val="0"/>
          <w:szCs w:val="21"/>
        </w:rPr>
        <w:t>受贵司委托，北京康信君安资产管理有限公司对苏州星盛房地产开发有限公司</w:t>
      </w:r>
      <w:r>
        <w:rPr>
          <w:rFonts w:ascii="宋体" w:hAnsi="宋体" w:cs="宋体"/>
          <w:kern w:val="0"/>
          <w:szCs w:val="21"/>
        </w:rPr>
        <w:t>开发建设位</w:t>
      </w:r>
      <w:r>
        <w:rPr>
          <w:rFonts w:hint="eastAsia" w:ascii="宋体" w:hAnsi="宋体" w:cs="宋体"/>
          <w:kern w:val="0"/>
          <w:szCs w:val="21"/>
        </w:rPr>
        <w:t>于江苏</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rPr>
        <w:t>省苏州市吴江高新区“红星苏州盛泽”</w:t>
      </w:r>
      <w:r>
        <w:rPr>
          <w:rFonts w:ascii="宋体" w:hAnsi="宋体" w:cs="宋体"/>
          <w:kern w:val="0"/>
          <w:szCs w:val="21"/>
        </w:rPr>
        <w:t>房地产项目</w:t>
      </w:r>
      <w:r>
        <w:rPr>
          <w:rFonts w:hint="eastAsia" w:ascii="宋体" w:hAnsi="宋体" w:cs="宋体"/>
          <w:kern w:val="0"/>
          <w:szCs w:val="21"/>
        </w:rPr>
        <w:t>提供投</w:t>
      </w:r>
      <w:r>
        <w:rPr>
          <w:rFonts w:ascii="宋体" w:hAnsi="宋体" w:cs="宋体"/>
          <w:kern w:val="0"/>
          <w:szCs w:val="21"/>
        </w:rPr>
        <w:t>后管理监管服务。</w:t>
      </w:r>
    </w:p>
    <w:p>
      <w:pPr>
        <w:pStyle w:val="16"/>
        <w:spacing w:line="360" w:lineRule="auto"/>
        <w:ind w:firstLineChars="200"/>
        <w:rPr>
          <w:rFonts w:ascii="宋体" w:hAnsi="宋体" w:cs="宋体"/>
          <w:kern w:val="0"/>
          <w:szCs w:val="21"/>
        </w:rPr>
      </w:pPr>
      <w:r>
        <w:rPr>
          <w:rFonts w:hint="eastAsia" w:ascii="宋体" w:hAnsi="宋体" w:cs="宋体"/>
          <w:kern w:val="0"/>
          <w:szCs w:val="21"/>
        </w:rPr>
        <w:t>根据贵司与我司签署的编号为</w:t>
      </w:r>
      <w:r>
        <w:rPr>
          <w:rFonts w:ascii="宋体" w:hAnsi="宋体" w:cs="宋体"/>
          <w:kern w:val="0"/>
          <w:szCs w:val="21"/>
        </w:rPr>
        <w:t xml:space="preserve">  </w:t>
      </w:r>
      <w:r>
        <w:rPr>
          <w:rFonts w:hint="eastAsia" w:ascii="宋体" w:hAnsi="宋体" w:cs="宋体"/>
          <w:kern w:val="0"/>
          <w:szCs w:val="21"/>
        </w:rPr>
        <w:t>AVICTC2020X0812-4</w:t>
      </w:r>
      <w:r>
        <w:rPr>
          <w:rFonts w:ascii="宋体" w:hAnsi="宋体" w:cs="宋体"/>
          <w:kern w:val="0"/>
          <w:szCs w:val="21"/>
        </w:rPr>
        <w:t xml:space="preserve"> </w:t>
      </w:r>
      <w:r>
        <w:rPr>
          <w:rFonts w:hint="eastAsia" w:ascii="宋体" w:hAnsi="宋体" w:cs="宋体"/>
          <w:kern w:val="0"/>
          <w:szCs w:val="21"/>
        </w:rPr>
        <w:t xml:space="preserve">《监管委托协议》约定，现就本期标的项目股东会/董事会议案情况、资金情况、印鉴及证照使用情况、项目证照办理情况、银行账户情况、合同签署及执行情况、工程进度情况、成本合约情况、销售进度情况、财务状况、项目存在的风险情况等方面，报告如下：  </w:t>
      </w:r>
    </w:p>
    <w:p>
      <w:pPr>
        <w:pStyle w:val="16"/>
        <w:ind w:firstLine="210"/>
        <w:rPr>
          <w:rFonts w:ascii="宋体" w:hAnsi="宋体" w:cs="宋体"/>
          <w:kern w:val="0"/>
          <w:szCs w:val="21"/>
        </w:rPr>
      </w:pPr>
      <w:r>
        <w:rPr>
          <w:rFonts w:hint="eastAsia" w:ascii="宋体" w:hAnsi="宋体" w:cs="宋体"/>
          <w:kern w:val="0"/>
          <w:szCs w:val="21"/>
        </w:rPr>
        <w:t>为方便阅读之目的，本报告中将部分名称简写为：</w:t>
      </w:r>
    </w:p>
    <w:p>
      <w:pPr>
        <w:pStyle w:val="16"/>
        <w:ind w:firstLine="210"/>
        <w:rPr>
          <w:rFonts w:ascii="宋体" w:hAnsi="宋体" w:cs="宋体"/>
          <w:kern w:val="0"/>
          <w:szCs w:val="21"/>
        </w:rPr>
      </w:pPr>
      <w:r>
        <w:rPr>
          <w:rFonts w:hint="eastAsia" w:ascii="宋体" w:hAnsi="宋体" w:cs="宋体"/>
          <w:kern w:val="0"/>
          <w:szCs w:val="21"/>
        </w:rPr>
        <w:t>•项目公司：苏州星盛房地产开发有限公司（纳入监管范围）</w:t>
      </w:r>
    </w:p>
    <w:p>
      <w:pPr>
        <w:pStyle w:val="16"/>
        <w:ind w:firstLine="210"/>
        <w:rPr>
          <w:rFonts w:ascii="宋体" w:hAnsi="宋体" w:cs="宋体"/>
          <w:kern w:val="0"/>
          <w:szCs w:val="21"/>
        </w:rPr>
      </w:pPr>
      <w:r>
        <w:rPr>
          <w:rFonts w:hint="eastAsia" w:ascii="宋体" w:hAnsi="宋体" w:cs="宋体"/>
          <w:kern w:val="0"/>
          <w:szCs w:val="21"/>
        </w:rPr>
        <w:t>•</w:t>
      </w:r>
      <w:r>
        <w:rPr>
          <w:rFonts w:ascii="宋体" w:hAnsi="宋体" w:cs="宋体"/>
          <w:kern w:val="0"/>
          <w:szCs w:val="21"/>
        </w:rPr>
        <w:t>SPV</w:t>
      </w:r>
      <w:r>
        <w:rPr>
          <w:rFonts w:hint="eastAsia" w:ascii="宋体" w:hAnsi="宋体" w:cs="宋体"/>
          <w:kern w:val="0"/>
          <w:szCs w:val="21"/>
        </w:rPr>
        <w:t>公司：</w:t>
      </w:r>
      <w:r>
        <w:rPr>
          <w:rFonts w:ascii="Arial" w:hAnsi="Arial" w:cs="Arial"/>
          <w:bCs/>
          <w:kern w:val="44"/>
          <w:szCs w:val="21"/>
        </w:rPr>
        <w:t>上海洛翊企业管理有限公司</w:t>
      </w:r>
    </w:p>
    <w:p>
      <w:pPr>
        <w:pStyle w:val="16"/>
        <w:ind w:firstLine="210"/>
        <w:rPr>
          <w:rFonts w:ascii="宋体" w:hAnsi="宋体" w:cs="宋体"/>
          <w:kern w:val="0"/>
          <w:szCs w:val="21"/>
        </w:rPr>
      </w:pPr>
      <w:r>
        <w:rPr>
          <w:rFonts w:hint="eastAsia" w:ascii="宋体" w:hAnsi="宋体" w:cs="宋体"/>
          <w:kern w:val="0"/>
          <w:szCs w:val="21"/>
        </w:rPr>
        <w:t>•中航信托：中航信托股份有限公司</w:t>
      </w:r>
    </w:p>
    <w:p>
      <w:pPr>
        <w:pStyle w:val="16"/>
        <w:ind w:firstLine="210"/>
        <w:rPr>
          <w:rFonts w:ascii="宋体" w:hAnsi="宋体" w:cs="宋体"/>
          <w:sz w:val="24"/>
          <w:lang w:val="zh-CN"/>
        </w:rPr>
      </w:pPr>
      <w:r>
        <w:rPr>
          <w:rFonts w:hint="eastAsia" w:ascii="宋体" w:hAnsi="宋体" w:cs="宋体"/>
          <w:kern w:val="0"/>
          <w:szCs w:val="21"/>
        </w:rPr>
        <w:t>•康信君安：北京康信君安资产管理有限公司</w:t>
      </w:r>
      <w:r>
        <w:rPr>
          <w:rFonts w:hint="eastAsia" w:ascii="宋体" w:hAnsi="宋体" w:cs="宋体"/>
          <w:sz w:val="24"/>
          <w:lang w:val="zh-CN"/>
        </w:rPr>
        <w:tab/>
      </w:r>
    </w:p>
    <w:p>
      <w:pPr>
        <w:jc w:val="center"/>
        <w:rPr>
          <w:rFonts w:ascii="宋体" w:hAnsi="宋体" w:cs="宋体"/>
          <w:b/>
          <w:bCs/>
          <w:sz w:val="21"/>
          <w:szCs w:val="21"/>
        </w:rPr>
      </w:pPr>
    </w:p>
    <w:p>
      <w:pPr>
        <w:rPr>
          <w:rFonts w:ascii="宋体" w:hAnsi="宋体" w:cs="宋体"/>
          <w:b/>
          <w:bCs/>
          <w:sz w:val="21"/>
          <w:szCs w:val="21"/>
        </w:rPr>
      </w:pPr>
      <w:r>
        <w:rPr>
          <w:rFonts w:ascii="宋体" w:hAnsi="宋体" w:cs="宋体"/>
          <w:b/>
          <w:bCs/>
          <w:sz w:val="21"/>
          <w:szCs w:val="21"/>
        </w:rPr>
        <w:br w:type="page"/>
      </w:r>
    </w:p>
    <w:p>
      <w:pPr>
        <w:jc w:val="center"/>
        <w:rPr>
          <w:rFonts w:ascii="宋体" w:hAnsi="宋体" w:cs="宋体"/>
          <w:b/>
          <w:bCs/>
          <w:sz w:val="21"/>
          <w:szCs w:val="21"/>
        </w:rPr>
      </w:pPr>
      <w:r>
        <w:rPr>
          <w:rFonts w:hint="eastAsia" w:ascii="宋体" w:hAnsi="宋体" w:cs="宋体"/>
          <w:b/>
          <w:bCs/>
          <w:sz w:val="21"/>
          <w:szCs w:val="21"/>
        </w:rPr>
        <w:t>摘</w:t>
      </w:r>
      <w:r>
        <w:rPr>
          <w:rFonts w:ascii="宋体" w:hAnsi="宋体" w:cs="宋体"/>
          <w:b/>
          <w:bCs/>
          <w:sz w:val="21"/>
          <w:szCs w:val="21"/>
        </w:rPr>
        <w:t xml:space="preserve">  </w:t>
      </w:r>
      <w:r>
        <w:rPr>
          <w:rFonts w:hint="eastAsia" w:ascii="宋体" w:hAnsi="宋体" w:cs="宋体"/>
          <w:b/>
          <w:bCs/>
          <w:sz w:val="21"/>
          <w:szCs w:val="21"/>
        </w:rPr>
        <w:t>要</w:t>
      </w:r>
    </w:p>
    <w:p>
      <w:pPr>
        <w:spacing w:line="360" w:lineRule="auto"/>
        <w:ind w:firstLine="422" w:firstLineChars="200"/>
        <w:jc w:val="both"/>
        <w:rPr>
          <w:rFonts w:ascii="宋体" w:hAnsi="宋体" w:cs="宋体"/>
          <w:b/>
          <w:bCs/>
          <w:sz w:val="21"/>
          <w:szCs w:val="21"/>
        </w:rPr>
      </w:pPr>
      <w:r>
        <w:rPr>
          <w:rFonts w:hint="eastAsia" w:ascii="宋体" w:hAnsi="宋体" w:cs="宋体"/>
          <w:b/>
          <w:bCs/>
          <w:sz w:val="21"/>
          <w:szCs w:val="21"/>
        </w:rPr>
        <w:t>（1）项目简况：</w:t>
      </w:r>
    </w:p>
    <w:tbl>
      <w:tblPr>
        <w:tblStyle w:val="17"/>
        <w:tblW w:w="9318" w:type="dxa"/>
        <w:jc w:val="center"/>
        <w:tblLayout w:type="fixed"/>
        <w:tblCellMar>
          <w:top w:w="0" w:type="dxa"/>
          <w:left w:w="0" w:type="dxa"/>
          <w:bottom w:w="0" w:type="dxa"/>
          <w:right w:w="0" w:type="dxa"/>
        </w:tblCellMar>
      </w:tblPr>
      <w:tblGrid>
        <w:gridCol w:w="2330"/>
        <w:gridCol w:w="1763"/>
        <w:gridCol w:w="2437"/>
        <w:gridCol w:w="2788"/>
      </w:tblGrid>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项目名称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sz w:val="18"/>
                <w:szCs w:val="18"/>
              </w:rPr>
              <w:t>中航信托·天启【2020】352号红星苏州盛泽项目</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业务部门</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sz w:val="18"/>
                <w:szCs w:val="18"/>
                <w:lang w:bidi="ar"/>
              </w:rPr>
              <w:t>不动产</w:t>
            </w:r>
            <w:r>
              <w:rPr>
                <w:rFonts w:hint="eastAsia" w:ascii="Arial" w:hAnsi="Arial" w:cs="Arial"/>
                <w:sz w:val="18"/>
                <w:szCs w:val="18"/>
                <w:lang w:bidi="ar"/>
              </w:rPr>
              <w:t>（</w:t>
            </w:r>
            <w:r>
              <w:rPr>
                <w:rFonts w:ascii="Arial" w:hAnsi="Arial" w:cs="Arial"/>
                <w:sz w:val="18"/>
                <w:szCs w:val="18"/>
                <w:lang w:bidi="ar"/>
              </w:rPr>
              <w:t>准）事业部</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项目成立日</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2020年7月</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项目总规模（万元）</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107</w:t>
            </w:r>
            <w:r>
              <w:rPr>
                <w:rFonts w:hint="eastAsia" w:ascii="Arial" w:hAnsi="Arial" w:cs="Arial"/>
                <w:color w:val="000000"/>
                <w:sz w:val="18"/>
                <w:szCs w:val="18"/>
              </w:rPr>
              <w:t>,</w:t>
            </w:r>
            <w:r>
              <w:rPr>
                <w:rFonts w:ascii="Arial" w:hAnsi="Arial" w:cs="Arial"/>
                <w:color w:val="000000"/>
                <w:sz w:val="18"/>
                <w:szCs w:val="18"/>
              </w:rPr>
              <w:t>700</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截至报告日已投放规模（万元）</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106</w:t>
            </w:r>
            <w:r>
              <w:rPr>
                <w:rFonts w:hint="eastAsia" w:ascii="Arial" w:hAnsi="Arial" w:cs="Arial"/>
                <w:color w:val="000000"/>
                <w:sz w:val="18"/>
                <w:szCs w:val="18"/>
              </w:rPr>
              <w:t>,</w:t>
            </w:r>
            <w:r>
              <w:rPr>
                <w:rFonts w:ascii="Arial" w:hAnsi="Arial" w:cs="Arial"/>
                <w:color w:val="000000"/>
                <w:sz w:val="18"/>
                <w:szCs w:val="18"/>
              </w:rPr>
              <w:t>900</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合作开发商/交易对手</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sz w:val="18"/>
                <w:szCs w:val="18"/>
              </w:rPr>
              <w:t>重庆红星美凯龙企业发展有限公司</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交易结构简述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bCs/>
                <w:sz w:val="18"/>
                <w:szCs w:val="18"/>
              </w:rPr>
              <w:t>10.77亿元以股+资本公积形式初始受让上海洛翊企业管理有限公司（下称：SPV公司）30%股权（在满足银行开发贷和政府的相应条件下，最终持有SPV公司70%股权），SPV公司收到资金后以增资+资本公积的形式投资到项目公司里，并持有项目公司95%股权；最终信托资金用于标的项目的开发建设和归还小股东（</w:t>
            </w:r>
            <w:r>
              <w:rPr>
                <w:rFonts w:ascii="Arial" w:hAnsi="Arial" w:cs="Arial"/>
                <w:sz w:val="18"/>
                <w:szCs w:val="18"/>
              </w:rPr>
              <w:t>江苏盛泽投资有限公司</w:t>
            </w:r>
            <w:r>
              <w:rPr>
                <w:rFonts w:ascii="Arial" w:hAnsi="Arial" w:cs="Arial"/>
                <w:bCs/>
                <w:sz w:val="18"/>
                <w:szCs w:val="18"/>
              </w:rPr>
              <w:t>）前期超额投入资金</w:t>
            </w:r>
            <w:r>
              <w:rPr>
                <w:rFonts w:ascii="Arial" w:hAnsi="Arial" w:cs="Arial"/>
                <w:sz w:val="18"/>
                <w:szCs w:val="18"/>
              </w:rPr>
              <w:t>。</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标的项目名称（案名）</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sz w:val="18"/>
                <w:szCs w:val="18"/>
              </w:rPr>
              <w:t>舜湖和风雅苑</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地址</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苏州市吴江区盛泽镇坛丘敦煌路818号</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项目业态及面积</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bCs/>
                <w:sz w:val="18"/>
                <w:szCs w:val="18"/>
              </w:rPr>
              <w:t>本项目占地面积为101,740.27㎡，总建筑面积为</w:t>
            </w:r>
            <w:r>
              <w:rPr>
                <w:rFonts w:hint="eastAsia" w:ascii="Arial" w:hAnsi="Arial" w:cs="Arial"/>
                <w:bCs/>
                <w:sz w:val="18"/>
                <w:szCs w:val="18"/>
              </w:rPr>
              <w:t>288,500.00</w:t>
            </w:r>
            <w:r>
              <w:rPr>
                <w:rFonts w:ascii="Arial" w:hAnsi="Arial" w:cs="Arial"/>
                <w:bCs/>
                <w:sz w:val="18"/>
                <w:szCs w:val="18"/>
              </w:rPr>
              <w:t>㎡，</w:t>
            </w:r>
            <w:r>
              <w:rPr>
                <w:rFonts w:hint="eastAsia" w:ascii="Arial" w:hAnsi="Arial" w:cs="Arial"/>
                <w:bCs/>
                <w:sz w:val="18"/>
                <w:szCs w:val="18"/>
              </w:rPr>
              <w:t>计容建筑面积为203,371.54</w:t>
            </w:r>
            <w:r>
              <w:rPr>
                <w:rFonts w:ascii="Arial" w:hAnsi="Arial" w:cs="Arial"/>
                <w:bCs/>
                <w:sz w:val="18"/>
                <w:szCs w:val="18"/>
              </w:rPr>
              <w:t>㎡</w:t>
            </w:r>
            <w:r>
              <w:rPr>
                <w:rFonts w:hint="eastAsia" w:ascii="Arial" w:hAnsi="Arial" w:cs="Arial"/>
                <w:bCs/>
                <w:sz w:val="18"/>
                <w:szCs w:val="18"/>
              </w:rPr>
              <w:t>，地下建筑面积为78,002.33</w:t>
            </w:r>
            <w:r>
              <w:rPr>
                <w:rFonts w:ascii="Arial" w:hAnsi="Arial" w:cs="Arial"/>
                <w:bCs/>
                <w:sz w:val="18"/>
                <w:szCs w:val="18"/>
              </w:rPr>
              <w:t>㎡</w:t>
            </w:r>
            <w:r>
              <w:rPr>
                <w:rFonts w:hint="eastAsia" w:ascii="Arial" w:hAnsi="Arial" w:cs="Arial"/>
                <w:bCs/>
                <w:sz w:val="18"/>
                <w:szCs w:val="18"/>
              </w:rPr>
              <w:t>，高层住宅</w:t>
            </w:r>
            <w:r>
              <w:rPr>
                <w:rFonts w:ascii="Arial" w:hAnsi="Arial" w:cs="Arial"/>
                <w:bCs/>
                <w:sz w:val="18"/>
                <w:szCs w:val="18"/>
              </w:rPr>
              <w:t>可售面积为</w:t>
            </w:r>
            <w:r>
              <w:rPr>
                <w:rFonts w:hint="eastAsia" w:ascii="Arial" w:hAnsi="Arial" w:cs="Arial"/>
                <w:bCs/>
                <w:sz w:val="18"/>
                <w:szCs w:val="18"/>
              </w:rPr>
              <w:t>210,498.00</w:t>
            </w:r>
            <w:r>
              <w:rPr>
                <w:rFonts w:ascii="Arial" w:hAnsi="Arial" w:cs="Arial"/>
                <w:bCs/>
                <w:sz w:val="18"/>
                <w:szCs w:val="18"/>
              </w:rPr>
              <w:t>㎡</w:t>
            </w:r>
            <w:r>
              <w:rPr>
                <w:rFonts w:hint="eastAsia" w:ascii="Arial" w:hAnsi="Arial" w:cs="Arial"/>
                <w:bCs/>
                <w:sz w:val="18"/>
                <w:szCs w:val="18"/>
              </w:rPr>
              <w:t>，机动车位共计2527个，地下车位共计2275个。</w:t>
            </w:r>
            <w:r>
              <w:rPr>
                <w:rFonts w:ascii="Arial" w:hAnsi="Arial" w:cs="Arial"/>
                <w:bCs/>
                <w:sz w:val="18"/>
                <w:szCs w:val="18"/>
              </w:rPr>
              <w:t>。</w:t>
            </w:r>
          </w:p>
        </w:tc>
      </w:tr>
    </w:tbl>
    <w:p>
      <w:pPr>
        <w:spacing w:line="360" w:lineRule="auto"/>
        <w:ind w:firstLine="420" w:firstLineChars="200"/>
        <w:jc w:val="both"/>
        <w:rPr>
          <w:rFonts w:ascii="Arial" w:hAnsi="Arial" w:cs="Arial"/>
          <w:sz w:val="21"/>
          <w:szCs w:val="21"/>
        </w:rPr>
      </w:pPr>
    </w:p>
    <w:p>
      <w:pPr>
        <w:spacing w:line="360" w:lineRule="auto"/>
        <w:ind w:firstLine="422" w:firstLineChars="200"/>
        <w:jc w:val="both"/>
        <w:rPr>
          <w:rFonts w:ascii="Arial" w:hAnsi="Arial" w:cs="Arial"/>
          <w:b/>
          <w:bCs/>
          <w:sz w:val="21"/>
          <w:szCs w:val="21"/>
        </w:rPr>
      </w:pPr>
      <w:r>
        <w:rPr>
          <w:rFonts w:hint="eastAsia" w:ascii="宋体" w:hAnsi="宋体" w:cs="宋体"/>
          <w:b/>
          <w:bCs/>
          <w:sz w:val="21"/>
          <w:szCs w:val="21"/>
        </w:rPr>
        <w:t>（2）监管交接情况：</w:t>
      </w:r>
    </w:p>
    <w:p>
      <w:pPr>
        <w:spacing w:line="360" w:lineRule="auto"/>
        <w:ind w:firstLine="420" w:firstLineChars="200"/>
        <w:jc w:val="both"/>
      </w:pPr>
      <w:r>
        <w:rPr>
          <w:rFonts w:hint="eastAsia" w:ascii="Arial" w:hAnsi="Arial" w:cs="Arial"/>
          <w:sz w:val="21"/>
          <w:szCs w:val="21"/>
        </w:rPr>
        <w:t>驻场时间：2020</w:t>
      </w:r>
      <w:r>
        <w:rPr>
          <w:rFonts w:ascii="Arial" w:hAnsi="Arial" w:cs="Arial"/>
          <w:sz w:val="21"/>
          <w:szCs w:val="21"/>
        </w:rPr>
        <w:t xml:space="preserve"> </w:t>
      </w:r>
      <w:r>
        <w:rPr>
          <w:rFonts w:hint="eastAsia" w:ascii="Arial" w:hAnsi="Arial" w:cs="Arial"/>
          <w:sz w:val="21"/>
          <w:szCs w:val="21"/>
        </w:rPr>
        <w:t>年</w:t>
      </w:r>
      <w:r>
        <w:rPr>
          <w:rFonts w:ascii="Arial" w:hAnsi="Arial" w:cs="Arial"/>
          <w:sz w:val="21"/>
          <w:szCs w:val="21"/>
        </w:rPr>
        <w:t xml:space="preserve"> </w:t>
      </w:r>
      <w:r>
        <w:rPr>
          <w:rFonts w:hint="eastAsia" w:ascii="Arial" w:hAnsi="Arial" w:cs="Arial"/>
          <w:sz w:val="21"/>
          <w:szCs w:val="21"/>
        </w:rPr>
        <w:t>7</w:t>
      </w:r>
      <w:r>
        <w:rPr>
          <w:rFonts w:ascii="Arial" w:hAnsi="Arial" w:cs="Arial"/>
          <w:sz w:val="21"/>
          <w:szCs w:val="21"/>
        </w:rPr>
        <w:t xml:space="preserve"> </w:t>
      </w:r>
      <w:r>
        <w:rPr>
          <w:rFonts w:hint="eastAsia" w:ascii="Arial" w:hAnsi="Arial" w:cs="Arial"/>
          <w:sz w:val="21"/>
          <w:szCs w:val="21"/>
        </w:rPr>
        <w:t>月 28</w:t>
      </w:r>
      <w:r>
        <w:rPr>
          <w:rFonts w:ascii="Arial" w:hAnsi="Arial" w:cs="Arial"/>
          <w:sz w:val="21"/>
          <w:szCs w:val="21"/>
        </w:rPr>
        <w:t xml:space="preserve"> </w:t>
      </w:r>
      <w:r>
        <w:rPr>
          <w:rFonts w:hint="eastAsia" w:ascii="Arial" w:hAnsi="Arial" w:cs="Arial"/>
          <w:sz w:val="21"/>
          <w:szCs w:val="21"/>
        </w:rPr>
        <w:t xml:space="preserve">日起   驻场人员：范青杰 </w:t>
      </w:r>
      <w:r>
        <w:rPr>
          <w:rFonts w:ascii="Arial" w:hAnsi="Arial" w:cs="Arial"/>
          <w:sz w:val="21"/>
          <w:szCs w:val="21"/>
        </w:rPr>
        <w:t xml:space="preserve">   </w:t>
      </w:r>
      <w:r>
        <w:rPr>
          <w:rFonts w:hint="eastAsia" w:ascii="Arial" w:hAnsi="Arial" w:cs="Arial"/>
          <w:sz w:val="21"/>
          <w:szCs w:val="21"/>
        </w:rPr>
        <w:t xml:space="preserve">  联系方式：15705201087</w:t>
      </w:r>
    </w:p>
    <w:tbl>
      <w:tblPr>
        <w:tblStyle w:val="17"/>
        <w:tblW w:w="9318" w:type="dxa"/>
        <w:jc w:val="center"/>
        <w:tblLayout w:type="fixed"/>
        <w:tblCellMar>
          <w:top w:w="0" w:type="dxa"/>
          <w:left w:w="0" w:type="dxa"/>
          <w:bottom w:w="0" w:type="dxa"/>
          <w:right w:w="0" w:type="dxa"/>
        </w:tblCellMar>
      </w:tblPr>
      <w:tblGrid>
        <w:gridCol w:w="1172"/>
        <w:gridCol w:w="1957"/>
        <w:gridCol w:w="2197"/>
        <w:gridCol w:w="2197"/>
        <w:gridCol w:w="6"/>
        <w:gridCol w:w="1789"/>
      </w:tblGrid>
      <w:tr>
        <w:tblPrEx>
          <w:tblCellMar>
            <w:top w:w="0" w:type="dxa"/>
            <w:left w:w="0" w:type="dxa"/>
            <w:bottom w:w="0" w:type="dxa"/>
            <w:right w:w="0" w:type="dxa"/>
          </w:tblCellMar>
        </w:tblPrEx>
        <w:trPr>
          <w:trHeight w:val="340" w:hRule="atLeast"/>
          <w:jc w:val="center"/>
        </w:trPr>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22"/>
                <w:szCs w:val="22"/>
              </w:rPr>
            </w:pPr>
            <w:r>
              <w:rPr>
                <w:rFonts w:ascii="Arial" w:hAnsi="Arial" w:cs="Arial"/>
                <w:color w:val="000000"/>
                <w:sz w:val="22"/>
                <w:szCs w:val="22"/>
                <w:lang w:bidi="ar"/>
              </w:rPr>
              <w:t>监管内容</w:t>
            </w:r>
          </w:p>
        </w:tc>
        <w:tc>
          <w:tcPr>
            <w:tcW w:w="8146" w:type="dxa"/>
            <w:gridSpan w:val="5"/>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股东会/董事会议案</w:t>
            </w:r>
            <w:r>
              <w:rPr>
                <w:rFonts w:ascii="Arial" w:hAnsi="Arial" w:cs="Arial"/>
                <w:color w:val="000000"/>
                <w:sz w:val="18"/>
                <w:szCs w:val="18"/>
                <w:lang w:bidi="ar"/>
              </w:rPr>
              <w:sym w:font="Wingdings 2" w:char="0052"/>
            </w:r>
            <w:r>
              <w:rPr>
                <w:rFonts w:ascii="Arial" w:hAnsi="Arial" w:cs="Arial"/>
                <w:color w:val="000000"/>
                <w:sz w:val="18"/>
                <w:szCs w:val="18"/>
                <w:lang w:bidi="ar"/>
              </w:rPr>
              <w:t>资金监管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印鉴监管 </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证照监管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账户监管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w:t>
            </w:r>
          </w:p>
          <w:p>
            <w:pPr>
              <w:textAlignment w:val="center"/>
              <w:rPr>
                <w:rFonts w:ascii="Arial" w:hAnsi="Arial" w:cs="Arial"/>
                <w:color w:val="000000"/>
                <w:sz w:val="22"/>
                <w:szCs w:val="22"/>
              </w:rPr>
            </w:pPr>
            <w:r>
              <w:rPr>
                <w:rFonts w:ascii="Arial" w:hAnsi="Arial" w:cs="Arial"/>
                <w:color w:val="000000"/>
                <w:sz w:val="18"/>
                <w:szCs w:val="18"/>
                <w:lang w:bidi="ar"/>
              </w:rPr>
              <w:t>合同监管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工程监管</w:t>
            </w:r>
            <w:r>
              <w:rPr>
                <w:rFonts w:ascii="Arial" w:hAnsi="Arial" w:cs="Arial"/>
                <w:color w:val="000000"/>
                <w:sz w:val="18"/>
                <w:szCs w:val="18"/>
                <w:lang w:bidi="ar"/>
              </w:rPr>
              <w:sym w:font="Wingdings 2" w:char="0052"/>
            </w:r>
            <w:r>
              <w:rPr>
                <w:rFonts w:ascii="Arial" w:hAnsi="Arial" w:cs="Arial"/>
                <w:color w:val="000000"/>
                <w:sz w:val="18"/>
                <w:szCs w:val="18"/>
                <w:lang w:bidi="ar"/>
              </w:rPr>
              <w:t>成本监管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财务监管</w:t>
            </w:r>
            <w:r>
              <w:rPr>
                <w:rFonts w:ascii="Arial" w:hAnsi="Arial" w:cs="Arial"/>
                <w:color w:val="000000"/>
                <w:sz w:val="18"/>
                <w:szCs w:val="18"/>
                <w:lang w:bidi="ar"/>
              </w:rPr>
              <w:sym w:font="Wingdings 2" w:char="0052"/>
            </w:r>
            <w:r>
              <w:rPr>
                <w:rFonts w:ascii="Arial" w:hAnsi="Arial" w:cs="Arial"/>
                <w:color w:val="000000"/>
                <w:sz w:val="18"/>
                <w:szCs w:val="18"/>
                <w:lang w:bidi="ar"/>
              </w:rPr>
              <w:t>销售进度监管</w:t>
            </w:r>
            <w:r>
              <w:rPr>
                <w:rFonts w:ascii="Arial" w:hAnsi="Arial" w:cs="Arial"/>
                <w:color w:val="000000"/>
                <w:sz w:val="18"/>
                <w:szCs w:val="18"/>
                <w:lang w:bidi="ar"/>
              </w:rPr>
              <w:sym w:font="Wingdings 2" w:char="0052"/>
            </w:r>
            <w:r>
              <w:rPr>
                <w:rFonts w:ascii="Arial" w:hAnsi="Arial" w:cs="Arial"/>
                <w:color w:val="000000"/>
                <w:sz w:val="18"/>
                <w:szCs w:val="18"/>
                <w:lang w:bidi="ar"/>
              </w:rPr>
              <w:t xml:space="preserve">  其他：</w:t>
            </w:r>
          </w:p>
        </w:tc>
      </w:tr>
      <w:tr>
        <w:tblPrEx>
          <w:tblCellMar>
            <w:top w:w="0" w:type="dxa"/>
            <w:left w:w="0" w:type="dxa"/>
            <w:bottom w:w="0" w:type="dxa"/>
            <w:right w:w="0" w:type="dxa"/>
          </w:tblCellMar>
        </w:tblPrEx>
        <w:trPr>
          <w:trHeight w:val="340" w:hRule="atLeast"/>
          <w:jc w:val="center"/>
        </w:trPr>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监管物品</w:t>
            </w:r>
          </w:p>
        </w:tc>
        <w:tc>
          <w:tcPr>
            <w:tcW w:w="635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在管物品</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lang w:bidi="ar"/>
              </w:rPr>
              <w:t>待管物品/待落实监管事项</w:t>
            </w: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印章</w:t>
            </w: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上海洛翊企业管理有限公司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78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法人章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ascii="Arial" w:hAnsi="Arial" w:cs="Arial"/>
                <w:color w:val="000000"/>
                <w:sz w:val="18"/>
                <w:szCs w:val="18"/>
              </w:rPr>
              <w:t>财务专用章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ascii="Arial" w:hAnsi="Arial" w:cs="Arial"/>
                <w:color w:val="000000"/>
                <w:sz w:val="18"/>
                <w:szCs w:val="18"/>
              </w:rPr>
              <w:t>发票专用章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法人章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发票专用章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合同专用章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人名章</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证照</w:t>
            </w: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上海洛翊企业管理有限公司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营业执照正、副本</w:t>
            </w:r>
          </w:p>
        </w:tc>
        <w:tc>
          <w:tcPr>
            <w:tcW w:w="178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基本存款账户信息</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营业执照正、副本</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基本存款账户信息</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1#地块</w:t>
            </w:r>
            <w:r>
              <w:rPr>
                <w:rFonts w:hint="eastAsia" w:ascii="Arial" w:hAnsi="Arial" w:cs="Arial"/>
                <w:color w:val="000000"/>
                <w:sz w:val="18"/>
                <w:szCs w:val="18"/>
                <w:lang w:bidi="ar"/>
              </w:rPr>
              <w:t>不动产权证书</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2#地块</w:t>
            </w:r>
            <w:r>
              <w:rPr>
                <w:rFonts w:hint="eastAsia" w:ascii="Arial" w:hAnsi="Arial" w:cs="Arial"/>
                <w:color w:val="000000"/>
                <w:sz w:val="18"/>
                <w:szCs w:val="18"/>
                <w:lang w:bidi="ar"/>
              </w:rPr>
              <w:t>不动产权证书</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1#地块建设用地规划许可证</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r>
              <w:rPr>
                <w:rFonts w:hint="eastAsia" w:ascii="Arial" w:hAnsi="Arial" w:cs="Arial"/>
                <w:color w:val="000000"/>
                <w:sz w:val="18"/>
                <w:szCs w:val="18"/>
                <w:lang w:bidi="ar"/>
              </w:rPr>
              <w:t>#地块</w:t>
            </w:r>
            <w:r>
              <w:rPr>
                <w:rFonts w:ascii="Arial" w:hAnsi="Arial" w:cs="Arial"/>
                <w:color w:val="000000"/>
                <w:sz w:val="18"/>
                <w:szCs w:val="18"/>
                <w:lang w:bidi="ar"/>
              </w:rPr>
              <w:t>建设用地规划许可证</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资质证书正、副本</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2#地块建设工程规划许可证</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1#地块建设工程规划许可证</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建设工程施工许可证1#地块三标段（电子版）</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建设工程施工许可证1#地块四标段（电子版）</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建设工程施工许可证2#地块一标段（电子版）</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建设工程施工许可证2#地块二标段（电子版）</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建设工程施工许可证2#地块一号楼（电子版）</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商品房预售许可证（</w:t>
            </w:r>
            <w:r>
              <w:rPr>
                <w:rFonts w:hint="eastAsia" w:ascii="Arial" w:hAnsi="Arial" w:cs="Arial"/>
                <w:color w:val="000000"/>
                <w:sz w:val="18"/>
                <w:szCs w:val="18"/>
                <w:lang w:bidi="ar"/>
              </w:rPr>
              <w:t>5#、7#、</w:t>
            </w:r>
            <w:r>
              <w:rPr>
                <w:rFonts w:ascii="Arial" w:hAnsi="Arial" w:cs="Arial"/>
                <w:color w:val="000000"/>
                <w:sz w:val="18"/>
                <w:szCs w:val="18"/>
                <w:lang w:bidi="ar"/>
              </w:rPr>
              <w:t>8#、9#、10#、11#）</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商品房预售许可证（</w:t>
            </w:r>
            <w:r>
              <w:rPr>
                <w:rFonts w:hint="eastAsia" w:ascii="Arial" w:hAnsi="Arial" w:cs="Arial"/>
                <w:color w:val="000000"/>
                <w:sz w:val="18"/>
                <w:szCs w:val="18"/>
                <w:lang w:bidi="ar"/>
              </w:rPr>
              <w:t>2#、3#、4#、6#</w:t>
            </w:r>
            <w:r>
              <w:rPr>
                <w:rFonts w:ascii="Arial" w:hAnsi="Arial" w:cs="Arial"/>
                <w:color w:val="000000"/>
                <w:sz w:val="18"/>
                <w:szCs w:val="18"/>
                <w:lang w:bidi="ar"/>
              </w:rPr>
              <w:t>）</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银行账户密钥</w:t>
            </w:r>
          </w:p>
        </w:tc>
        <w:tc>
          <w:tcPr>
            <w:tcW w:w="1957"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账户名：中国农业银行股份有限公司吴江盛泽支行</w:t>
            </w:r>
          </w:p>
          <w:p>
            <w:pPr>
              <w:textAlignment w:val="center"/>
              <w:rPr>
                <w:rFonts w:ascii="Arial" w:hAnsi="Arial" w:cs="Arial"/>
                <w:sz w:val="18"/>
                <w:szCs w:val="18"/>
              </w:rPr>
            </w:pPr>
            <w:r>
              <w:rPr>
                <w:rFonts w:ascii="Arial" w:hAnsi="Arial" w:cs="Arial"/>
                <w:sz w:val="18"/>
                <w:szCs w:val="18"/>
              </w:rPr>
              <w:t>账号：10544301040150760</w:t>
            </w:r>
          </w:p>
          <w:p>
            <w:pPr>
              <w:pStyle w:val="2"/>
              <w:ind w:firstLine="0" w:firstLineChars="0"/>
              <w:rPr>
                <w:rFonts w:ascii="Arial" w:hAnsi="Arial" w:cs="Arial"/>
                <w:sz w:val="18"/>
                <w:szCs w:val="18"/>
              </w:rPr>
            </w:pPr>
            <w:r>
              <w:rPr>
                <w:rFonts w:ascii="Arial" w:hAnsi="Arial" w:cs="Arial"/>
                <w:sz w:val="18"/>
                <w:szCs w:val="18"/>
              </w:rPr>
              <w:t>序列号：535701325230</w:t>
            </w:r>
          </w:p>
        </w:tc>
        <w:tc>
          <w:tcPr>
            <w:tcW w:w="178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sz w:val="18"/>
                <w:szCs w:val="18"/>
              </w:rPr>
            </w:pPr>
            <w:r>
              <w:rPr>
                <w:rFonts w:ascii="Arial" w:hAnsi="Arial" w:cs="Arial"/>
                <w:color w:val="000000"/>
                <w:sz w:val="18"/>
                <w:szCs w:val="18"/>
                <w:lang w:bidi="ar"/>
              </w:rPr>
              <w:t>账户名：江苏银行股份有限公司苏州盛泽支行</w:t>
            </w:r>
          </w:p>
          <w:p>
            <w:pPr>
              <w:textAlignment w:val="center"/>
              <w:rPr>
                <w:rFonts w:ascii="Arial" w:hAnsi="Arial" w:cs="Arial"/>
                <w:sz w:val="18"/>
                <w:szCs w:val="18"/>
              </w:rPr>
            </w:pPr>
            <w:r>
              <w:rPr>
                <w:rFonts w:ascii="Arial" w:hAnsi="Arial" w:cs="Arial"/>
                <w:sz w:val="18"/>
                <w:szCs w:val="18"/>
              </w:rPr>
              <w:t>账号：30390188000212079</w:t>
            </w:r>
          </w:p>
          <w:p>
            <w:pPr>
              <w:pStyle w:val="2"/>
              <w:ind w:firstLine="360"/>
              <w:rPr>
                <w:rFonts w:ascii="Arial" w:hAnsi="Arial" w:cs="Arial"/>
                <w:sz w:val="18"/>
                <w:szCs w:val="18"/>
              </w:rPr>
            </w:pPr>
            <w:r>
              <w:rPr>
                <w:rFonts w:hint="eastAsia" w:ascii="Arial" w:hAnsi="Arial" w:cs="Arial"/>
                <w:sz w:val="18"/>
                <w:szCs w:val="18"/>
              </w:rPr>
              <w:t xml:space="preserve">  30390188000211774</w:t>
            </w:r>
          </w:p>
          <w:p>
            <w:pPr>
              <w:pStyle w:val="2"/>
              <w:ind w:firstLine="360"/>
              <w:rPr>
                <w:rFonts w:ascii="Arial" w:hAnsi="Arial" w:cs="Arial"/>
                <w:sz w:val="18"/>
                <w:szCs w:val="18"/>
              </w:rPr>
            </w:pPr>
            <w:r>
              <w:rPr>
                <w:rFonts w:hint="eastAsia" w:ascii="Arial" w:hAnsi="Arial" w:cs="Arial"/>
                <w:sz w:val="18"/>
                <w:szCs w:val="18"/>
              </w:rPr>
              <w:t xml:space="preserve">  30390188000211692</w:t>
            </w:r>
          </w:p>
          <w:p>
            <w:pPr>
              <w:pStyle w:val="2"/>
              <w:ind w:firstLine="360"/>
              <w:rPr>
                <w:rFonts w:ascii="Arial" w:hAnsi="Arial" w:cs="Arial"/>
                <w:sz w:val="18"/>
                <w:szCs w:val="18"/>
              </w:rPr>
            </w:pPr>
            <w:r>
              <w:rPr>
                <w:rFonts w:hint="eastAsia" w:ascii="Arial" w:hAnsi="Arial" w:cs="Arial"/>
                <w:sz w:val="18"/>
                <w:szCs w:val="18"/>
              </w:rPr>
              <w:t xml:space="preserve">  30390188000211513</w:t>
            </w:r>
          </w:p>
          <w:p>
            <w:pPr>
              <w:pStyle w:val="2"/>
              <w:ind w:firstLine="360"/>
              <w:rPr>
                <w:rFonts w:ascii="Arial" w:hAnsi="Arial" w:cs="Arial"/>
                <w:sz w:val="18"/>
                <w:szCs w:val="18"/>
              </w:rPr>
            </w:pPr>
            <w:r>
              <w:rPr>
                <w:rFonts w:hint="eastAsia" w:ascii="Arial" w:hAnsi="Arial" w:cs="Arial"/>
                <w:sz w:val="18"/>
                <w:szCs w:val="18"/>
              </w:rPr>
              <w:t xml:space="preserve">  30390188000212407</w:t>
            </w:r>
          </w:p>
          <w:p>
            <w:pPr>
              <w:pStyle w:val="2"/>
              <w:ind w:firstLine="360"/>
              <w:rPr>
                <w:rFonts w:ascii="Arial" w:hAnsi="Arial" w:cs="Arial"/>
                <w:sz w:val="18"/>
                <w:szCs w:val="18"/>
              </w:rPr>
            </w:pPr>
            <w:r>
              <w:rPr>
                <w:rFonts w:hint="eastAsia" w:ascii="Arial" w:hAnsi="Arial" w:cs="Arial"/>
                <w:sz w:val="18"/>
                <w:szCs w:val="18"/>
              </w:rPr>
              <w:t xml:space="preserve">  30390188000218457</w:t>
            </w:r>
          </w:p>
          <w:p>
            <w:pPr>
              <w:pStyle w:val="2"/>
              <w:ind w:firstLine="540" w:firstLineChars="300"/>
              <w:rPr>
                <w:rFonts w:ascii="Arial" w:hAnsi="Arial" w:cs="Arial"/>
                <w:sz w:val="18"/>
                <w:szCs w:val="18"/>
              </w:rPr>
            </w:pPr>
            <w:r>
              <w:rPr>
                <w:rFonts w:hint="eastAsia" w:ascii="Arial" w:hAnsi="Arial" w:cs="Arial"/>
                <w:sz w:val="18"/>
                <w:szCs w:val="18"/>
              </w:rPr>
              <w:t>30390188000221343</w:t>
            </w:r>
          </w:p>
          <w:p>
            <w:pPr>
              <w:pStyle w:val="2"/>
              <w:ind w:firstLine="0" w:firstLineChars="0"/>
              <w:rPr>
                <w:rFonts w:ascii="Arial" w:hAnsi="Arial" w:cs="Arial"/>
                <w:sz w:val="18"/>
                <w:szCs w:val="18"/>
              </w:rPr>
            </w:pPr>
            <w:r>
              <w:rPr>
                <w:rFonts w:ascii="Arial" w:hAnsi="Arial" w:cs="Arial"/>
                <w:sz w:val="18"/>
                <w:szCs w:val="18"/>
              </w:rPr>
              <w:t>序列号：9004375653</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账户名：中国银行苏州吴越支行</w:t>
            </w:r>
          </w:p>
          <w:p>
            <w:pPr>
              <w:textAlignment w:val="center"/>
              <w:rPr>
                <w:rFonts w:ascii="Arial" w:hAnsi="Arial" w:cs="Arial"/>
                <w:sz w:val="18"/>
                <w:szCs w:val="18"/>
              </w:rPr>
            </w:pPr>
            <w:r>
              <w:rPr>
                <w:rFonts w:ascii="Arial" w:hAnsi="Arial" w:cs="Arial"/>
                <w:sz w:val="18"/>
                <w:szCs w:val="18"/>
              </w:rPr>
              <w:t>账号：485875639157</w:t>
            </w:r>
          </w:p>
          <w:p>
            <w:pPr>
              <w:textAlignment w:val="center"/>
              <w:rPr>
                <w:rFonts w:ascii="Arial" w:hAnsi="Arial" w:cs="Arial"/>
                <w:sz w:val="18"/>
                <w:szCs w:val="18"/>
              </w:rPr>
            </w:pPr>
            <w:r>
              <w:rPr>
                <w:rFonts w:ascii="Arial" w:hAnsi="Arial" w:cs="Arial"/>
                <w:sz w:val="18"/>
                <w:szCs w:val="18"/>
              </w:rPr>
              <w:t>序列号：955668N005154088</w:t>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账户名：工商银行盛泽舜湖支行</w:t>
            </w:r>
          </w:p>
          <w:p>
            <w:pPr>
              <w:textAlignment w:val="center"/>
              <w:rPr>
                <w:rFonts w:ascii="Arial" w:hAnsi="Arial" w:cs="Arial"/>
                <w:sz w:val="18"/>
                <w:szCs w:val="18"/>
              </w:rPr>
            </w:pPr>
            <w:r>
              <w:rPr>
                <w:rFonts w:ascii="Arial" w:hAnsi="Arial" w:cs="Arial"/>
                <w:sz w:val="18"/>
                <w:szCs w:val="18"/>
              </w:rPr>
              <w:t>账号：110290004132704</w:t>
            </w:r>
          </w:p>
          <w:p>
            <w:pPr>
              <w:pStyle w:val="2"/>
              <w:tabs>
                <w:tab w:val="center" w:pos="2190"/>
              </w:tabs>
              <w:ind w:firstLine="0" w:firstLineChars="0"/>
              <w:rPr>
                <w:rFonts w:ascii="Arial" w:hAnsi="Arial" w:cs="Arial"/>
                <w:sz w:val="18"/>
                <w:szCs w:val="18"/>
              </w:rPr>
            </w:pPr>
            <w:r>
              <w:rPr>
                <w:rFonts w:ascii="Arial" w:hAnsi="Arial" w:cs="Arial"/>
                <w:sz w:val="18"/>
                <w:szCs w:val="18"/>
              </w:rPr>
              <w:t>序列号：2826074557</w:t>
            </w:r>
            <w:r>
              <w:rPr>
                <w:rFonts w:hint="eastAsia" w:ascii="Arial" w:hAnsi="Arial" w:cs="Arial"/>
                <w:sz w:val="18"/>
                <w:szCs w:val="18"/>
              </w:rPr>
              <w:tab/>
            </w:r>
          </w:p>
        </w:tc>
        <w:tc>
          <w:tcPr>
            <w:tcW w:w="178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账户名：</w:t>
            </w:r>
            <w:r>
              <w:rPr>
                <w:rFonts w:hint="eastAsia" w:ascii="Arial" w:hAnsi="Arial" w:cs="Arial"/>
                <w:color w:val="000000"/>
                <w:sz w:val="18"/>
                <w:szCs w:val="18"/>
                <w:lang w:bidi="ar"/>
              </w:rPr>
              <w:t>浙商银行苏州吴江支行</w:t>
            </w:r>
          </w:p>
          <w:p>
            <w:pPr>
              <w:textAlignment w:val="center"/>
              <w:rPr>
                <w:rFonts w:ascii="Arial" w:hAnsi="Arial" w:cs="Arial"/>
                <w:sz w:val="18"/>
                <w:szCs w:val="18"/>
              </w:rPr>
            </w:pPr>
            <w:r>
              <w:rPr>
                <w:rFonts w:ascii="Arial" w:hAnsi="Arial" w:cs="Arial"/>
                <w:sz w:val="18"/>
                <w:szCs w:val="18"/>
              </w:rPr>
              <w:t>账号：</w:t>
            </w:r>
            <w:r>
              <w:rPr>
                <w:rFonts w:hint="eastAsia" w:ascii="Arial" w:hAnsi="Arial" w:cs="Arial"/>
                <w:sz w:val="18"/>
                <w:szCs w:val="18"/>
              </w:rPr>
              <w:t>3050020210120100080061</w:t>
            </w:r>
          </w:p>
          <w:p>
            <w:pPr>
              <w:pStyle w:val="2"/>
              <w:tabs>
                <w:tab w:val="center" w:pos="2190"/>
              </w:tabs>
              <w:ind w:firstLine="0" w:firstLineChars="0"/>
              <w:rPr>
                <w:rFonts w:ascii="Arial" w:hAnsi="Arial" w:cs="Arial"/>
                <w:sz w:val="18"/>
                <w:szCs w:val="18"/>
              </w:rPr>
            </w:pPr>
            <w:r>
              <w:rPr>
                <w:rFonts w:ascii="Arial" w:hAnsi="Arial" w:cs="Arial"/>
                <w:sz w:val="18"/>
                <w:szCs w:val="18"/>
              </w:rPr>
              <w:t>序列号：</w:t>
            </w:r>
            <w:r>
              <w:rPr>
                <w:rFonts w:hint="eastAsia" w:ascii="Arial" w:hAnsi="Arial" w:cs="Arial"/>
                <w:sz w:val="18"/>
                <w:szCs w:val="18"/>
              </w:rPr>
              <w:t>2000226364</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密码器</w:t>
            </w:r>
          </w:p>
        </w:tc>
        <w:tc>
          <w:tcPr>
            <w:tcW w:w="1957"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sz w:val="18"/>
                <w:szCs w:val="18"/>
              </w:rPr>
            </w:pPr>
            <w:r>
              <w:rPr>
                <w:rFonts w:ascii="Arial" w:hAnsi="Arial" w:cs="Arial"/>
                <w:color w:val="000000"/>
                <w:sz w:val="18"/>
                <w:szCs w:val="18"/>
              </w:rPr>
              <w:t>开户行：江苏银行股份有限公司苏州盛泽支行</w:t>
            </w:r>
            <w:r>
              <w:rPr>
                <w:rFonts w:ascii="Arial" w:hAnsi="Arial" w:cs="Arial"/>
                <w:sz w:val="18"/>
                <w:szCs w:val="18"/>
              </w:rPr>
              <w:t>账号：30390188000212079</w:t>
            </w:r>
          </w:p>
          <w:p>
            <w:pPr>
              <w:pStyle w:val="2"/>
              <w:ind w:firstLine="0" w:firstLineChars="0"/>
              <w:rPr>
                <w:rFonts w:ascii="Arial" w:hAnsi="Arial" w:cs="Arial"/>
                <w:sz w:val="18"/>
                <w:szCs w:val="18"/>
              </w:rPr>
            </w:pPr>
            <w:r>
              <w:rPr>
                <w:rFonts w:ascii="Arial" w:hAnsi="Arial" w:cs="Arial"/>
                <w:sz w:val="18"/>
                <w:szCs w:val="18"/>
              </w:rPr>
              <w:t>序列号：0443728726</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1957"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开户行：中国农业银行股份有限公司吴江盛泽支行</w:t>
            </w:r>
          </w:p>
          <w:p>
            <w:pPr>
              <w:rPr>
                <w:rFonts w:ascii="Arial" w:hAnsi="Arial" w:cs="Arial"/>
                <w:color w:val="000000"/>
                <w:sz w:val="18"/>
                <w:szCs w:val="18"/>
              </w:rPr>
            </w:pPr>
            <w:r>
              <w:rPr>
                <w:rFonts w:ascii="Arial" w:hAnsi="Arial" w:cs="Arial"/>
                <w:color w:val="000000"/>
                <w:sz w:val="18"/>
                <w:szCs w:val="18"/>
              </w:rPr>
              <w:t>账 号：10544301040150760</w:t>
            </w:r>
          </w:p>
          <w:p>
            <w:pPr>
              <w:rPr>
                <w:rFonts w:ascii="Arial" w:hAnsi="Arial" w:cs="Arial"/>
                <w:color w:val="000000"/>
                <w:sz w:val="18"/>
                <w:szCs w:val="18"/>
              </w:rPr>
            </w:pPr>
            <w:r>
              <w:rPr>
                <w:rFonts w:ascii="Arial" w:hAnsi="Arial" w:cs="Arial"/>
                <w:color w:val="000000"/>
                <w:sz w:val="18"/>
                <w:szCs w:val="18"/>
              </w:rPr>
              <w:t>序列号：535701325230</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1957"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开户行：</w:t>
            </w:r>
            <w:r>
              <w:rPr>
                <w:rFonts w:hint="eastAsia" w:ascii="Arial" w:hAnsi="Arial" w:cs="Arial"/>
                <w:color w:val="000000"/>
                <w:sz w:val="18"/>
                <w:szCs w:val="18"/>
              </w:rPr>
              <w:t>浙商银行苏州吴江支行</w:t>
            </w:r>
          </w:p>
          <w:p>
            <w:pPr>
              <w:rPr>
                <w:rFonts w:ascii="Arial" w:hAnsi="Arial" w:cs="Arial"/>
                <w:color w:val="000000"/>
                <w:sz w:val="18"/>
                <w:szCs w:val="18"/>
              </w:rPr>
            </w:pPr>
            <w:r>
              <w:rPr>
                <w:rFonts w:ascii="Arial" w:hAnsi="Arial" w:cs="Arial"/>
                <w:color w:val="000000"/>
                <w:sz w:val="18"/>
                <w:szCs w:val="18"/>
              </w:rPr>
              <w:t>账 号：</w:t>
            </w:r>
            <w:r>
              <w:rPr>
                <w:rFonts w:hint="eastAsia" w:ascii="Arial" w:hAnsi="Arial" w:cs="Arial"/>
                <w:color w:val="000000"/>
                <w:sz w:val="18"/>
                <w:szCs w:val="18"/>
              </w:rPr>
              <w:t>3050020210120100080061</w:t>
            </w:r>
          </w:p>
          <w:p>
            <w:pPr>
              <w:rPr>
                <w:rFonts w:ascii="Arial" w:hAnsi="Arial" w:cs="Arial"/>
                <w:color w:val="000000"/>
                <w:sz w:val="18"/>
                <w:szCs w:val="18"/>
              </w:rPr>
            </w:pPr>
          </w:p>
          <w:p>
            <w:pPr>
              <w:rPr>
                <w:rFonts w:ascii="Arial" w:hAnsi="Arial" w:cs="Arial"/>
                <w:color w:val="000000"/>
                <w:sz w:val="18"/>
                <w:szCs w:val="18"/>
              </w:rPr>
            </w:pPr>
            <w:r>
              <w:rPr>
                <w:rFonts w:ascii="Arial" w:hAnsi="Arial" w:cs="Arial"/>
                <w:color w:val="000000"/>
                <w:sz w:val="18"/>
                <w:szCs w:val="18"/>
              </w:rPr>
              <w:t>序列号：</w:t>
            </w:r>
            <w:r>
              <w:rPr>
                <w:rFonts w:hint="eastAsia" w:ascii="Arial" w:hAnsi="Arial" w:cs="Arial"/>
                <w:color w:val="000000"/>
                <w:sz w:val="18"/>
                <w:szCs w:val="18"/>
              </w:rPr>
              <w:t>0412916300</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lang w:bidi="ar"/>
              </w:rPr>
            </w:pP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lang w:bidi="ar"/>
              </w:rPr>
            </w:pPr>
            <w:r>
              <w:rPr>
                <w:rFonts w:ascii="Arial" w:hAnsi="Arial" w:cs="Arial"/>
                <w:color w:val="000000"/>
                <w:sz w:val="18"/>
                <w:szCs w:val="18"/>
                <w:lang w:bidi="ar"/>
              </w:rPr>
              <w:t>上海洛翊企业管理有限公司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sz w:val="18"/>
                <w:szCs w:val="18"/>
              </w:rPr>
            </w:pPr>
            <w:r>
              <w:rPr>
                <w:rFonts w:ascii="Arial" w:hAnsi="Arial" w:cs="Arial"/>
                <w:color w:val="000000"/>
                <w:sz w:val="18"/>
                <w:szCs w:val="18"/>
              </w:rPr>
              <w:t>开户行：中国工商银行股份有限公司上海市虹桥商务区支行</w:t>
            </w:r>
          </w:p>
          <w:p>
            <w:pPr>
              <w:rPr>
                <w:rFonts w:ascii="Arial" w:hAnsi="Arial" w:cs="Arial"/>
                <w:color w:val="000000"/>
                <w:sz w:val="18"/>
                <w:szCs w:val="18"/>
              </w:rPr>
            </w:pPr>
            <w:r>
              <w:rPr>
                <w:rFonts w:ascii="Arial" w:hAnsi="Arial" w:cs="Arial"/>
                <w:color w:val="000000"/>
                <w:sz w:val="18"/>
                <w:szCs w:val="18"/>
              </w:rPr>
              <w:t>账 号：1001328009100015895</w:t>
            </w:r>
          </w:p>
          <w:p>
            <w:pPr>
              <w:rPr>
                <w:rFonts w:ascii="Arial" w:hAnsi="Arial" w:cs="Arial"/>
                <w:color w:val="000000"/>
                <w:sz w:val="18"/>
                <w:szCs w:val="18"/>
              </w:rPr>
            </w:pPr>
            <w:r>
              <w:rPr>
                <w:rFonts w:ascii="Arial" w:hAnsi="Arial" w:cs="Arial"/>
                <w:color w:val="000000"/>
                <w:sz w:val="18"/>
                <w:szCs w:val="18"/>
              </w:rPr>
              <w:t>序列号：0412898974</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空白发票</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开户行：中国农业银行股份有限公司吴江盛泽支行</w:t>
            </w:r>
          </w:p>
          <w:p>
            <w:pPr>
              <w:rPr>
                <w:rFonts w:ascii="Arial" w:hAnsi="Arial" w:cs="Arial"/>
                <w:color w:val="000000"/>
                <w:sz w:val="18"/>
                <w:szCs w:val="18"/>
              </w:rPr>
            </w:pPr>
            <w:r>
              <w:rPr>
                <w:rFonts w:ascii="Arial" w:hAnsi="Arial" w:cs="Arial"/>
                <w:color w:val="000000"/>
                <w:sz w:val="18"/>
                <w:szCs w:val="18"/>
              </w:rPr>
              <w:t>票据号码：29155112-29155125</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854" w:hRule="atLeast"/>
          <w:jc w:val="center"/>
        </w:trPr>
        <w:tc>
          <w:tcPr>
            <w:tcW w:w="1172" w:type="dxa"/>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空白业务委托书</w:t>
            </w:r>
          </w:p>
        </w:tc>
        <w:tc>
          <w:tcPr>
            <w:tcW w:w="1957" w:type="dxa"/>
            <w:tcBorders>
              <w:top w:val="single" w:color="000000" w:sz="4" w:space="0"/>
              <w:left w:val="single" w:color="000000" w:sz="4" w:space="0"/>
              <w:bottom w:val="single" w:color="auto"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lang w:bidi="ar"/>
              </w:rPr>
              <w:t>上海洛翊企业管理有限公司</w:t>
            </w:r>
          </w:p>
        </w:tc>
        <w:tc>
          <w:tcPr>
            <w:tcW w:w="44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票据号码：沪B10215229-沪B10215250</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1172"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商品房预售系统密钥</w:t>
            </w:r>
          </w:p>
        </w:tc>
        <w:tc>
          <w:tcPr>
            <w:tcW w:w="1957" w:type="dxa"/>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lang w:bidi="ar"/>
              </w:rPr>
              <w:t>苏州星盛房地产开发有限公司</w:t>
            </w:r>
          </w:p>
        </w:tc>
        <w:tc>
          <w:tcPr>
            <w:tcW w:w="4400" w:type="dxa"/>
            <w:gridSpan w:val="3"/>
            <w:tcBorders>
              <w:top w:val="single" w:color="000000" w:sz="4" w:space="0"/>
              <w:left w:val="single" w:color="auto"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 xml:space="preserve">用户名：傅宇    </w:t>
            </w:r>
          </w:p>
        </w:tc>
        <w:tc>
          <w:tcPr>
            <w:tcW w:w="178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40" w:hRule="atLeast"/>
          <w:jc w:val="center"/>
        </w:trPr>
        <w:tc>
          <w:tcPr>
            <w:tcW w:w="31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sz w:val="22"/>
                <w:szCs w:val="22"/>
                <w:highlight w:val="yellow"/>
              </w:rPr>
            </w:pPr>
            <w:r>
              <w:rPr>
                <w:rFonts w:hint="eastAsia" w:ascii="Arial" w:hAnsi="Arial" w:cs="Arial"/>
                <w:color w:val="000000"/>
                <w:sz w:val="18"/>
                <w:szCs w:val="18"/>
                <w:lang w:bidi="ar"/>
              </w:rPr>
              <w:t>合同监管</w:t>
            </w:r>
          </w:p>
        </w:tc>
        <w:tc>
          <w:tcPr>
            <w:tcW w:w="439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宋体" w:hAnsi="宋体" w:cs="宋体"/>
                <w:color w:val="000000"/>
                <w:sz w:val="22"/>
                <w:szCs w:val="22"/>
                <w:highlight w:val="yellow"/>
              </w:rPr>
            </w:pPr>
            <w:r>
              <w:rPr>
                <w:rFonts w:hint="eastAsia" w:ascii="Arial" w:hAnsi="Arial" w:cs="Arial"/>
                <w:color w:val="000000"/>
                <w:sz w:val="18"/>
                <w:szCs w:val="18"/>
                <w:lang w:bidi="ar"/>
              </w:rPr>
              <w:t>进场前签署2份合同（土地合同），已建立台账，合同金额为155,662.61万，已付金额153,773.03万。</w:t>
            </w:r>
          </w:p>
        </w:tc>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宋体" w:hAnsi="宋体" w:cs="宋体"/>
                <w:color w:val="000000"/>
                <w:sz w:val="22"/>
                <w:szCs w:val="22"/>
                <w:highlight w:val="yellow"/>
              </w:rPr>
            </w:pPr>
          </w:p>
        </w:tc>
      </w:tr>
      <w:tr>
        <w:tblPrEx>
          <w:tblCellMar>
            <w:top w:w="0" w:type="dxa"/>
            <w:left w:w="0" w:type="dxa"/>
            <w:bottom w:w="0" w:type="dxa"/>
            <w:right w:w="0" w:type="dxa"/>
          </w:tblCellMar>
        </w:tblPrEx>
        <w:trPr>
          <w:trHeight w:val="340" w:hRule="atLeast"/>
          <w:jc w:val="center"/>
        </w:trPr>
        <w:tc>
          <w:tcPr>
            <w:tcW w:w="312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保险柜钥匙</w:t>
            </w:r>
          </w:p>
        </w:tc>
        <w:tc>
          <w:tcPr>
            <w:tcW w:w="21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项目公司、spv公司</w:t>
            </w:r>
          </w:p>
        </w:tc>
        <w:tc>
          <w:tcPr>
            <w:tcW w:w="219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主钥匙2把（驻场1把，驻场主管1把）</w:t>
            </w:r>
          </w:p>
        </w:tc>
        <w:tc>
          <w:tcPr>
            <w:tcW w:w="179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宋体" w:hAnsi="宋体" w:cs="宋体"/>
                <w:color w:val="000000"/>
                <w:sz w:val="22"/>
                <w:szCs w:val="22"/>
                <w:highlight w:val="yellow"/>
              </w:rPr>
            </w:pPr>
          </w:p>
        </w:tc>
      </w:tr>
    </w:tbl>
    <w:p>
      <w:pPr>
        <w:numPr>
          <w:ilvl w:val="0"/>
          <w:numId w:val="1"/>
        </w:numPr>
        <w:spacing w:line="360" w:lineRule="auto"/>
        <w:ind w:firstLine="422" w:firstLineChars="200"/>
        <w:jc w:val="both"/>
        <w:rPr>
          <w:rFonts w:ascii="宋体" w:hAnsi="宋体" w:cs="宋体"/>
          <w:b/>
          <w:bCs/>
          <w:sz w:val="21"/>
          <w:szCs w:val="21"/>
        </w:rPr>
      </w:pPr>
      <w:r>
        <w:rPr>
          <w:rFonts w:hint="eastAsia" w:ascii="宋体" w:hAnsi="宋体" w:cs="宋体"/>
          <w:b/>
          <w:bCs/>
          <w:sz w:val="21"/>
          <w:szCs w:val="21"/>
        </w:rPr>
        <w:t>项目重要节点跟踪：</w:t>
      </w:r>
    </w:p>
    <w:p>
      <w:pPr>
        <w:pStyle w:val="16"/>
        <w:ind w:firstLine="210"/>
        <w:rPr>
          <w:rFonts w:hint="eastAsia" w:ascii="Arial" w:hAnsi="Arial" w:cs="Arial"/>
          <w:szCs w:val="21"/>
        </w:rPr>
      </w:pPr>
      <w:r>
        <w:rPr>
          <w:rFonts w:hint="eastAsia" w:ascii="Arial" w:hAnsi="Arial" w:cs="Arial"/>
          <w:szCs w:val="21"/>
        </w:rPr>
        <w:t>①项目公司经营计划节点达成情况</w:t>
      </w:r>
    </w:p>
    <w:p>
      <w:pPr>
        <w:pStyle w:val="16"/>
        <w:ind w:firstLine="210"/>
        <w:rPr>
          <w:rFonts w:hint="eastAsia" w:ascii="Arial" w:hAnsi="Arial" w:cs="Arial"/>
          <w:szCs w:val="21"/>
        </w:rPr>
      </w:pPr>
    </w:p>
    <w:tbl>
      <w:tblPr>
        <w:tblStyle w:val="18"/>
        <w:tblW w:w="9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59"/>
        <w:gridCol w:w="1922"/>
        <w:gridCol w:w="1466"/>
        <w:gridCol w:w="3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jc w:val="center"/>
              <w:rPr>
                <w:rFonts w:ascii="Arial" w:hAnsi="Arial" w:cs="Arial"/>
                <w:b/>
                <w:bCs/>
                <w:sz w:val="18"/>
                <w:szCs w:val="18"/>
              </w:rPr>
            </w:pPr>
            <w:r>
              <w:rPr>
                <w:rFonts w:ascii="Arial" w:hAnsi="Arial" w:cs="Arial"/>
                <w:b/>
                <w:bCs/>
                <w:sz w:val="18"/>
                <w:szCs w:val="18"/>
              </w:rPr>
              <w:t>序号</w:t>
            </w:r>
          </w:p>
        </w:tc>
        <w:tc>
          <w:tcPr>
            <w:tcW w:w="1859" w:type="dxa"/>
            <w:vAlign w:val="center"/>
          </w:tcPr>
          <w:p>
            <w:pPr>
              <w:jc w:val="center"/>
              <w:rPr>
                <w:rFonts w:ascii="Arial" w:hAnsi="Arial" w:cs="Arial"/>
                <w:b/>
                <w:bCs/>
                <w:sz w:val="18"/>
                <w:szCs w:val="18"/>
              </w:rPr>
            </w:pPr>
            <w:r>
              <w:rPr>
                <w:rFonts w:ascii="Arial" w:hAnsi="Arial" w:cs="Arial"/>
                <w:b/>
                <w:bCs/>
                <w:sz w:val="18"/>
                <w:szCs w:val="18"/>
              </w:rPr>
              <w:t>时间节点</w:t>
            </w:r>
          </w:p>
        </w:tc>
        <w:tc>
          <w:tcPr>
            <w:tcW w:w="1922" w:type="dxa"/>
            <w:vAlign w:val="center"/>
          </w:tcPr>
          <w:p>
            <w:pPr>
              <w:jc w:val="center"/>
              <w:rPr>
                <w:rFonts w:ascii="Arial" w:hAnsi="Arial" w:cs="Arial"/>
                <w:b/>
                <w:bCs/>
                <w:sz w:val="18"/>
                <w:szCs w:val="18"/>
              </w:rPr>
            </w:pPr>
            <w:r>
              <w:rPr>
                <w:rFonts w:ascii="Arial" w:hAnsi="Arial" w:cs="Arial"/>
                <w:b/>
                <w:bCs/>
                <w:sz w:val="18"/>
                <w:szCs w:val="18"/>
              </w:rPr>
              <w:t>进度要求/计划</w:t>
            </w:r>
          </w:p>
        </w:tc>
        <w:tc>
          <w:tcPr>
            <w:tcW w:w="1466" w:type="dxa"/>
            <w:vAlign w:val="center"/>
          </w:tcPr>
          <w:p>
            <w:pPr>
              <w:jc w:val="center"/>
              <w:rPr>
                <w:rFonts w:ascii="Arial" w:hAnsi="Arial" w:cs="Arial"/>
                <w:b/>
                <w:bCs/>
                <w:sz w:val="18"/>
                <w:szCs w:val="18"/>
              </w:rPr>
            </w:pPr>
            <w:r>
              <w:rPr>
                <w:rFonts w:ascii="Arial" w:hAnsi="Arial" w:cs="Arial"/>
                <w:b/>
                <w:bCs/>
                <w:sz w:val="18"/>
                <w:szCs w:val="18"/>
              </w:rPr>
              <w:t>目前完成进度</w:t>
            </w:r>
          </w:p>
        </w:tc>
        <w:tc>
          <w:tcPr>
            <w:tcW w:w="3214" w:type="dxa"/>
            <w:vAlign w:val="center"/>
          </w:tcPr>
          <w:p>
            <w:pPr>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1</w:t>
            </w:r>
          </w:p>
        </w:tc>
        <w:tc>
          <w:tcPr>
            <w:tcW w:w="1859" w:type="dxa"/>
            <w:vAlign w:val="center"/>
          </w:tcPr>
          <w:p>
            <w:pPr>
              <w:jc w:val="center"/>
              <w:rPr>
                <w:rFonts w:ascii="Arial" w:hAnsi="Arial" w:cs="Arial"/>
                <w:b/>
                <w:bCs/>
                <w:sz w:val="18"/>
                <w:szCs w:val="18"/>
              </w:rPr>
            </w:pPr>
            <w:r>
              <w:rPr>
                <w:rFonts w:ascii="Arial" w:hAnsi="Arial" w:cs="Arial"/>
                <w:bCs/>
                <w:sz w:val="18"/>
                <w:szCs w:val="18"/>
              </w:rPr>
              <w:t>2020年7月</w:t>
            </w:r>
          </w:p>
        </w:tc>
        <w:tc>
          <w:tcPr>
            <w:tcW w:w="1922" w:type="dxa"/>
            <w:vAlign w:val="center"/>
          </w:tcPr>
          <w:p>
            <w:pPr>
              <w:jc w:val="center"/>
              <w:rPr>
                <w:rFonts w:ascii="Arial" w:hAnsi="Arial" w:cs="Arial"/>
                <w:b/>
                <w:bCs/>
                <w:sz w:val="18"/>
                <w:szCs w:val="18"/>
              </w:rPr>
            </w:pPr>
            <w:r>
              <w:rPr>
                <w:rFonts w:ascii="Arial" w:hAnsi="Arial" w:cs="Arial"/>
                <w:sz w:val="18"/>
                <w:szCs w:val="18"/>
              </w:rPr>
              <w:t>用地规划许可证</w:t>
            </w:r>
          </w:p>
        </w:tc>
        <w:tc>
          <w:tcPr>
            <w:tcW w:w="1466" w:type="dxa"/>
            <w:vAlign w:val="center"/>
          </w:tcPr>
          <w:p>
            <w:pPr>
              <w:jc w:val="center"/>
              <w:rPr>
                <w:rFonts w:ascii="Arial" w:hAnsi="Arial" w:cs="Arial"/>
                <w:sz w:val="18"/>
                <w:szCs w:val="18"/>
              </w:rPr>
            </w:pPr>
            <w:r>
              <w:rPr>
                <w:rStyle w:val="23"/>
                <w:rFonts w:ascii="Arial" w:hAnsi="Arial" w:cs="Arial"/>
                <w:sz w:val="18"/>
                <w:szCs w:val="18"/>
              </w:rPr>
              <w:t>已完成</w:t>
            </w:r>
          </w:p>
        </w:tc>
        <w:tc>
          <w:tcPr>
            <w:tcW w:w="3214" w:type="dxa"/>
            <w:vAlign w:val="center"/>
          </w:tcPr>
          <w:p>
            <w:pPr>
              <w:jc w:val="center"/>
              <w:rPr>
                <w:rFonts w:ascii="Arial" w:hAnsi="Arial" w:cs="Arial"/>
                <w:sz w:val="18"/>
                <w:szCs w:val="18"/>
              </w:rPr>
            </w:pPr>
            <w:r>
              <w:rPr>
                <w:rFonts w:ascii="Arial" w:hAnsi="Arial" w:cs="Arial"/>
                <w:sz w:val="18"/>
                <w:szCs w:val="18"/>
              </w:rPr>
              <w:t>1#地块：2020年7月20日</w:t>
            </w:r>
          </w:p>
          <w:p>
            <w:pPr>
              <w:jc w:val="center"/>
              <w:rPr>
                <w:rFonts w:ascii="Arial" w:hAnsi="Arial" w:cs="Arial"/>
                <w:b/>
                <w:bCs/>
                <w:sz w:val="18"/>
                <w:szCs w:val="18"/>
              </w:rPr>
            </w:pPr>
            <w:r>
              <w:rPr>
                <w:rFonts w:ascii="Arial" w:hAnsi="Arial" w:cs="Arial"/>
                <w:sz w:val="18"/>
                <w:szCs w:val="18"/>
              </w:rPr>
              <w:t>2#地块：2020年7月20日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2</w:t>
            </w:r>
          </w:p>
        </w:tc>
        <w:tc>
          <w:tcPr>
            <w:tcW w:w="1859" w:type="dxa"/>
            <w:vAlign w:val="center"/>
          </w:tcPr>
          <w:p>
            <w:pPr>
              <w:jc w:val="center"/>
              <w:rPr>
                <w:rFonts w:ascii="Arial" w:hAnsi="Arial" w:cs="Arial"/>
                <w:b/>
                <w:bCs/>
                <w:sz w:val="18"/>
                <w:szCs w:val="18"/>
              </w:rPr>
            </w:pPr>
            <w:r>
              <w:rPr>
                <w:rFonts w:ascii="Arial" w:hAnsi="Arial" w:cs="Arial"/>
                <w:bCs/>
                <w:sz w:val="18"/>
                <w:szCs w:val="18"/>
              </w:rPr>
              <w:t>2020年8月</w:t>
            </w:r>
          </w:p>
        </w:tc>
        <w:tc>
          <w:tcPr>
            <w:tcW w:w="1922" w:type="dxa"/>
            <w:vAlign w:val="center"/>
          </w:tcPr>
          <w:p>
            <w:pPr>
              <w:jc w:val="center"/>
              <w:rPr>
                <w:rFonts w:ascii="Arial" w:hAnsi="Arial" w:cs="Arial"/>
                <w:b/>
                <w:bCs/>
                <w:sz w:val="18"/>
                <w:szCs w:val="18"/>
              </w:rPr>
            </w:pPr>
            <w:r>
              <w:rPr>
                <w:rFonts w:ascii="Arial" w:hAnsi="Arial" w:cs="Arial"/>
                <w:sz w:val="18"/>
                <w:szCs w:val="18"/>
              </w:rPr>
              <w:t>不动产权证书</w:t>
            </w:r>
          </w:p>
        </w:tc>
        <w:tc>
          <w:tcPr>
            <w:tcW w:w="1466" w:type="dxa"/>
            <w:vAlign w:val="center"/>
          </w:tcPr>
          <w:p>
            <w:pPr>
              <w:jc w:val="center"/>
              <w:rPr>
                <w:rFonts w:ascii="Arial" w:hAnsi="Arial" w:cs="Arial"/>
                <w:sz w:val="18"/>
                <w:szCs w:val="18"/>
              </w:rPr>
            </w:pPr>
            <w:r>
              <w:rPr>
                <w:rStyle w:val="23"/>
                <w:rFonts w:ascii="Arial" w:hAnsi="Arial" w:cs="Arial"/>
                <w:sz w:val="18"/>
                <w:szCs w:val="18"/>
              </w:rPr>
              <w:t>已完成</w:t>
            </w:r>
          </w:p>
        </w:tc>
        <w:tc>
          <w:tcPr>
            <w:tcW w:w="3214" w:type="dxa"/>
            <w:vAlign w:val="center"/>
          </w:tcPr>
          <w:p>
            <w:pPr>
              <w:jc w:val="center"/>
              <w:rPr>
                <w:rFonts w:ascii="Arial" w:hAnsi="Arial" w:cs="Arial"/>
                <w:sz w:val="18"/>
                <w:szCs w:val="18"/>
              </w:rPr>
            </w:pPr>
            <w:r>
              <w:rPr>
                <w:rFonts w:ascii="Arial" w:hAnsi="Arial" w:cs="Arial"/>
                <w:sz w:val="18"/>
                <w:szCs w:val="18"/>
              </w:rPr>
              <w:t>1#地块：2020年7月30日</w:t>
            </w:r>
          </w:p>
          <w:p>
            <w:pPr>
              <w:jc w:val="center"/>
              <w:rPr>
                <w:rFonts w:ascii="Arial" w:hAnsi="Arial" w:cs="Arial"/>
                <w:b/>
                <w:bCs/>
                <w:sz w:val="18"/>
                <w:szCs w:val="18"/>
              </w:rPr>
            </w:pPr>
            <w:r>
              <w:rPr>
                <w:rFonts w:ascii="Arial" w:hAnsi="Arial" w:cs="Arial"/>
                <w:sz w:val="18"/>
                <w:szCs w:val="18"/>
              </w:rPr>
              <w:t>2#地块：2020年7月30日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3</w:t>
            </w:r>
          </w:p>
        </w:tc>
        <w:tc>
          <w:tcPr>
            <w:tcW w:w="1859" w:type="dxa"/>
            <w:vAlign w:val="center"/>
          </w:tcPr>
          <w:p>
            <w:pPr>
              <w:jc w:val="center"/>
              <w:rPr>
                <w:rFonts w:ascii="Arial" w:hAnsi="Arial" w:cs="Arial"/>
                <w:b/>
                <w:bCs/>
                <w:sz w:val="18"/>
                <w:szCs w:val="18"/>
              </w:rPr>
            </w:pPr>
            <w:r>
              <w:rPr>
                <w:rFonts w:ascii="Arial" w:hAnsi="Arial" w:cs="Arial"/>
                <w:bCs/>
                <w:sz w:val="18"/>
                <w:szCs w:val="18"/>
              </w:rPr>
              <w:t>2020年8月</w:t>
            </w:r>
          </w:p>
        </w:tc>
        <w:tc>
          <w:tcPr>
            <w:tcW w:w="1922" w:type="dxa"/>
            <w:vAlign w:val="center"/>
          </w:tcPr>
          <w:p>
            <w:pPr>
              <w:jc w:val="center"/>
              <w:rPr>
                <w:rFonts w:ascii="Arial" w:hAnsi="Arial" w:cs="Arial"/>
                <w:b/>
                <w:bCs/>
                <w:sz w:val="18"/>
                <w:szCs w:val="18"/>
              </w:rPr>
            </w:pPr>
            <w:r>
              <w:rPr>
                <w:rFonts w:ascii="Arial" w:hAnsi="Arial" w:cs="Arial"/>
                <w:sz w:val="18"/>
                <w:szCs w:val="18"/>
              </w:rPr>
              <w:t>工程规划许可证</w:t>
            </w:r>
          </w:p>
        </w:tc>
        <w:tc>
          <w:tcPr>
            <w:tcW w:w="1466" w:type="dxa"/>
            <w:vAlign w:val="center"/>
          </w:tcPr>
          <w:p>
            <w:pPr>
              <w:jc w:val="center"/>
              <w:rPr>
                <w:rFonts w:ascii="Arial" w:hAnsi="Arial" w:cs="Arial"/>
                <w:sz w:val="18"/>
                <w:szCs w:val="18"/>
              </w:rPr>
            </w:pPr>
            <w:r>
              <w:rPr>
                <w:rStyle w:val="23"/>
                <w:rFonts w:ascii="Arial" w:hAnsi="Arial" w:cs="Arial"/>
                <w:sz w:val="18"/>
                <w:szCs w:val="18"/>
              </w:rPr>
              <w:t>已完成</w:t>
            </w:r>
          </w:p>
        </w:tc>
        <w:tc>
          <w:tcPr>
            <w:tcW w:w="3214" w:type="dxa"/>
            <w:vAlign w:val="center"/>
          </w:tcPr>
          <w:p>
            <w:pPr>
              <w:jc w:val="center"/>
              <w:rPr>
                <w:rFonts w:ascii="Arial" w:hAnsi="Arial" w:cs="Arial"/>
                <w:sz w:val="18"/>
                <w:szCs w:val="18"/>
              </w:rPr>
            </w:pPr>
            <w:r>
              <w:rPr>
                <w:rFonts w:ascii="Arial" w:hAnsi="Arial" w:cs="Arial"/>
                <w:sz w:val="18"/>
                <w:szCs w:val="18"/>
              </w:rPr>
              <w:t>1#地块：2020年9月18日</w:t>
            </w:r>
          </w:p>
          <w:p>
            <w:pPr>
              <w:jc w:val="center"/>
              <w:rPr>
                <w:rFonts w:ascii="Arial" w:hAnsi="Arial" w:cs="Arial"/>
                <w:b/>
                <w:bCs/>
                <w:sz w:val="18"/>
                <w:szCs w:val="18"/>
              </w:rPr>
            </w:pPr>
            <w:r>
              <w:rPr>
                <w:rFonts w:ascii="Arial" w:hAnsi="Arial" w:cs="Arial"/>
                <w:sz w:val="18"/>
                <w:szCs w:val="18"/>
              </w:rPr>
              <w:t>2#地块：2020年9月3日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4</w:t>
            </w:r>
          </w:p>
        </w:tc>
        <w:tc>
          <w:tcPr>
            <w:tcW w:w="1859" w:type="dxa"/>
            <w:vAlign w:val="center"/>
          </w:tcPr>
          <w:p>
            <w:pPr>
              <w:jc w:val="center"/>
              <w:rPr>
                <w:rFonts w:ascii="Arial" w:hAnsi="Arial" w:cs="Arial"/>
                <w:b/>
                <w:bCs/>
                <w:sz w:val="18"/>
                <w:szCs w:val="18"/>
              </w:rPr>
            </w:pPr>
            <w:r>
              <w:rPr>
                <w:rFonts w:ascii="Arial" w:hAnsi="Arial" w:cs="Arial"/>
                <w:bCs/>
                <w:sz w:val="18"/>
                <w:szCs w:val="18"/>
              </w:rPr>
              <w:t>2020年8月</w:t>
            </w:r>
          </w:p>
        </w:tc>
        <w:tc>
          <w:tcPr>
            <w:tcW w:w="1922" w:type="dxa"/>
            <w:vAlign w:val="center"/>
          </w:tcPr>
          <w:p>
            <w:pPr>
              <w:jc w:val="center"/>
              <w:rPr>
                <w:rFonts w:ascii="Arial" w:hAnsi="Arial" w:cs="Arial"/>
                <w:b/>
                <w:bCs/>
                <w:sz w:val="18"/>
                <w:szCs w:val="18"/>
              </w:rPr>
            </w:pPr>
            <w:r>
              <w:rPr>
                <w:rFonts w:ascii="Arial" w:hAnsi="Arial" w:cs="Arial"/>
                <w:sz w:val="18"/>
                <w:szCs w:val="18"/>
              </w:rPr>
              <w:t>施工许可证</w:t>
            </w:r>
          </w:p>
        </w:tc>
        <w:tc>
          <w:tcPr>
            <w:tcW w:w="1466" w:type="dxa"/>
            <w:vAlign w:val="center"/>
          </w:tcPr>
          <w:p>
            <w:pPr>
              <w:jc w:val="center"/>
              <w:rPr>
                <w:rFonts w:ascii="Arial" w:hAnsi="Arial" w:cs="Arial"/>
                <w:sz w:val="18"/>
                <w:szCs w:val="18"/>
              </w:rPr>
            </w:pPr>
            <w:r>
              <w:rPr>
                <w:rStyle w:val="23"/>
                <w:rFonts w:ascii="Arial" w:hAnsi="Arial" w:cs="Arial"/>
                <w:sz w:val="18"/>
                <w:szCs w:val="18"/>
              </w:rPr>
              <w:t>已完成</w:t>
            </w:r>
          </w:p>
        </w:tc>
        <w:tc>
          <w:tcPr>
            <w:tcW w:w="3214" w:type="dxa"/>
            <w:vAlign w:val="center"/>
          </w:tcPr>
          <w:p>
            <w:pPr>
              <w:jc w:val="right"/>
              <w:rPr>
                <w:rFonts w:ascii="Arial" w:hAnsi="Arial" w:cs="Arial"/>
                <w:sz w:val="18"/>
                <w:szCs w:val="18"/>
              </w:rPr>
            </w:pPr>
            <w:r>
              <w:rPr>
                <w:rFonts w:ascii="Arial" w:hAnsi="Arial" w:cs="Arial"/>
                <w:sz w:val="18"/>
                <w:szCs w:val="18"/>
              </w:rPr>
              <w:t>1#地块：三标段2020年10月15日</w:t>
            </w:r>
          </w:p>
          <w:p>
            <w:pPr>
              <w:pStyle w:val="2"/>
              <w:ind w:firstLine="720" w:firstLineChars="400"/>
              <w:jc w:val="right"/>
              <w:rPr>
                <w:rFonts w:ascii="Arial" w:hAnsi="Arial" w:cs="Arial"/>
                <w:sz w:val="18"/>
                <w:szCs w:val="18"/>
              </w:rPr>
            </w:pPr>
            <w:r>
              <w:rPr>
                <w:rFonts w:ascii="Arial" w:hAnsi="Arial" w:cs="Arial"/>
                <w:sz w:val="18"/>
                <w:szCs w:val="18"/>
              </w:rPr>
              <w:t>四标段2020年10月16日</w:t>
            </w:r>
          </w:p>
          <w:p>
            <w:pPr>
              <w:jc w:val="right"/>
              <w:rPr>
                <w:rFonts w:ascii="Arial" w:hAnsi="Arial" w:cs="Arial"/>
                <w:sz w:val="18"/>
                <w:szCs w:val="18"/>
              </w:rPr>
            </w:pPr>
            <w:r>
              <w:rPr>
                <w:rFonts w:ascii="Arial" w:hAnsi="Arial" w:cs="Arial"/>
                <w:sz w:val="18"/>
                <w:szCs w:val="18"/>
              </w:rPr>
              <w:t>2#地块：一标段2020年9月17日</w:t>
            </w:r>
          </w:p>
          <w:p>
            <w:pPr>
              <w:pStyle w:val="2"/>
              <w:ind w:firstLine="900" w:firstLineChars="500"/>
              <w:jc w:val="right"/>
              <w:rPr>
                <w:rFonts w:ascii="Arial" w:hAnsi="Arial" w:cs="Arial"/>
                <w:sz w:val="18"/>
                <w:szCs w:val="18"/>
              </w:rPr>
            </w:pPr>
            <w:r>
              <w:rPr>
                <w:rFonts w:ascii="Arial" w:hAnsi="Arial" w:cs="Arial"/>
                <w:kern w:val="0"/>
                <w:sz w:val="18"/>
                <w:szCs w:val="18"/>
              </w:rPr>
              <w:t>二标段2020年9月21日</w:t>
            </w:r>
          </w:p>
          <w:p>
            <w:pPr>
              <w:jc w:val="right"/>
              <w:rPr>
                <w:rFonts w:ascii="Arial" w:hAnsi="Arial" w:cs="Arial"/>
                <w:b/>
                <w:bCs/>
                <w:sz w:val="18"/>
                <w:szCs w:val="18"/>
              </w:rPr>
            </w:pPr>
            <w:r>
              <w:rPr>
                <w:rFonts w:ascii="Arial" w:hAnsi="Arial" w:cs="Arial"/>
                <w:sz w:val="18"/>
                <w:szCs w:val="18"/>
              </w:rPr>
              <w:t>1号楼（售楼处）2020年11月5日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5</w:t>
            </w:r>
          </w:p>
        </w:tc>
        <w:tc>
          <w:tcPr>
            <w:tcW w:w="1859" w:type="dxa"/>
            <w:vAlign w:val="center"/>
          </w:tcPr>
          <w:p>
            <w:pPr>
              <w:jc w:val="center"/>
              <w:rPr>
                <w:rFonts w:ascii="Arial" w:hAnsi="Arial" w:cs="Arial"/>
                <w:b/>
                <w:bCs/>
                <w:sz w:val="18"/>
                <w:szCs w:val="18"/>
              </w:rPr>
            </w:pPr>
            <w:r>
              <w:rPr>
                <w:rFonts w:ascii="Arial" w:hAnsi="Arial" w:cs="Arial"/>
                <w:bCs/>
                <w:sz w:val="18"/>
                <w:szCs w:val="18"/>
              </w:rPr>
              <w:t>2020年8月</w:t>
            </w:r>
          </w:p>
        </w:tc>
        <w:tc>
          <w:tcPr>
            <w:tcW w:w="1922" w:type="dxa"/>
            <w:vAlign w:val="center"/>
          </w:tcPr>
          <w:p>
            <w:pPr>
              <w:jc w:val="center"/>
              <w:rPr>
                <w:rFonts w:ascii="Arial" w:hAnsi="Arial" w:cs="Arial"/>
                <w:b/>
                <w:bCs/>
                <w:sz w:val="18"/>
                <w:szCs w:val="18"/>
              </w:rPr>
            </w:pPr>
            <w:r>
              <w:rPr>
                <w:rFonts w:ascii="Arial" w:hAnsi="Arial" w:cs="Arial"/>
                <w:sz w:val="18"/>
                <w:szCs w:val="18"/>
              </w:rPr>
              <w:t>开工</w:t>
            </w:r>
          </w:p>
        </w:tc>
        <w:tc>
          <w:tcPr>
            <w:tcW w:w="1466" w:type="dxa"/>
            <w:vAlign w:val="center"/>
          </w:tcPr>
          <w:p>
            <w:pPr>
              <w:jc w:val="center"/>
              <w:rPr>
                <w:rFonts w:ascii="Arial" w:hAnsi="Arial" w:cs="Arial"/>
                <w:sz w:val="18"/>
                <w:szCs w:val="18"/>
              </w:rPr>
            </w:pPr>
            <w:r>
              <w:rPr>
                <w:rStyle w:val="23"/>
                <w:rFonts w:ascii="Arial" w:hAnsi="Arial" w:cs="Arial"/>
                <w:sz w:val="18"/>
                <w:szCs w:val="18"/>
              </w:rPr>
              <w:t>已完成</w:t>
            </w:r>
          </w:p>
        </w:tc>
        <w:tc>
          <w:tcPr>
            <w:tcW w:w="3214" w:type="dxa"/>
            <w:vAlign w:val="center"/>
          </w:tcPr>
          <w:p>
            <w:pPr>
              <w:jc w:val="center"/>
              <w:rPr>
                <w:rFonts w:ascii="Arial" w:hAnsi="Arial" w:cs="Arial"/>
                <w:b/>
                <w:bCs/>
                <w:sz w:val="18"/>
                <w:szCs w:val="18"/>
              </w:rPr>
            </w:pPr>
            <w:r>
              <w:rPr>
                <w:rFonts w:ascii="Arial" w:hAnsi="Arial" w:cs="Arial"/>
                <w:sz w:val="18"/>
                <w:szCs w:val="18"/>
              </w:rPr>
              <w:t>2020年8月16日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6</w:t>
            </w:r>
          </w:p>
        </w:tc>
        <w:tc>
          <w:tcPr>
            <w:tcW w:w="1859" w:type="dxa"/>
            <w:vAlign w:val="center"/>
          </w:tcPr>
          <w:p>
            <w:pPr>
              <w:jc w:val="center"/>
              <w:rPr>
                <w:rFonts w:ascii="Arial" w:hAnsi="Arial" w:cs="Arial"/>
                <w:bCs/>
                <w:sz w:val="18"/>
                <w:szCs w:val="18"/>
              </w:rPr>
            </w:pPr>
            <w:r>
              <w:rPr>
                <w:rFonts w:ascii="Arial" w:hAnsi="Arial" w:cs="Arial"/>
                <w:bCs/>
                <w:sz w:val="18"/>
                <w:szCs w:val="18"/>
              </w:rPr>
              <w:t>2020年12月</w:t>
            </w:r>
          </w:p>
        </w:tc>
        <w:tc>
          <w:tcPr>
            <w:tcW w:w="1922" w:type="dxa"/>
            <w:vAlign w:val="center"/>
          </w:tcPr>
          <w:p>
            <w:pPr>
              <w:jc w:val="center"/>
              <w:rPr>
                <w:rFonts w:ascii="Arial" w:hAnsi="Arial" w:cs="Arial"/>
                <w:sz w:val="18"/>
                <w:szCs w:val="18"/>
              </w:rPr>
            </w:pPr>
            <w:r>
              <w:rPr>
                <w:rFonts w:ascii="Arial" w:hAnsi="Arial" w:cs="Arial"/>
                <w:sz w:val="18"/>
                <w:szCs w:val="18"/>
              </w:rPr>
              <w:t>首次董事会召开</w:t>
            </w:r>
          </w:p>
        </w:tc>
        <w:tc>
          <w:tcPr>
            <w:tcW w:w="1466" w:type="dxa"/>
            <w:vAlign w:val="center"/>
          </w:tcPr>
          <w:p>
            <w:pPr>
              <w:jc w:val="center"/>
              <w:rPr>
                <w:rFonts w:ascii="Arial" w:hAnsi="Arial" w:cs="Arial"/>
                <w:sz w:val="18"/>
                <w:szCs w:val="18"/>
              </w:rPr>
            </w:pPr>
            <w:r>
              <w:rPr>
                <w:rStyle w:val="23"/>
                <w:rFonts w:ascii="Arial" w:hAnsi="Arial" w:cs="Arial"/>
                <w:sz w:val="18"/>
                <w:szCs w:val="18"/>
              </w:rPr>
              <w:t>已完成</w:t>
            </w:r>
          </w:p>
        </w:tc>
        <w:tc>
          <w:tcPr>
            <w:tcW w:w="3214" w:type="dxa"/>
            <w:vAlign w:val="center"/>
          </w:tcPr>
          <w:p>
            <w:pPr>
              <w:jc w:val="center"/>
              <w:rPr>
                <w:rFonts w:ascii="Arial" w:hAnsi="Arial" w:cs="Arial"/>
                <w:b/>
                <w:bCs/>
                <w:sz w:val="18"/>
                <w:szCs w:val="18"/>
              </w:rPr>
            </w:pPr>
            <w:r>
              <w:rPr>
                <w:rFonts w:ascii="Arial" w:hAnsi="Arial" w:cs="Arial"/>
                <w:sz w:val="18"/>
                <w:szCs w:val="18"/>
              </w:rPr>
              <w:t>2020年12月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7</w:t>
            </w:r>
          </w:p>
        </w:tc>
        <w:tc>
          <w:tcPr>
            <w:tcW w:w="1859" w:type="dxa"/>
            <w:vAlign w:val="center"/>
          </w:tcPr>
          <w:p>
            <w:pPr>
              <w:jc w:val="center"/>
              <w:rPr>
                <w:rFonts w:ascii="Arial" w:hAnsi="Arial" w:cs="Arial"/>
                <w:sz w:val="18"/>
                <w:szCs w:val="18"/>
              </w:rPr>
            </w:pPr>
            <w:r>
              <w:rPr>
                <w:rFonts w:ascii="Arial" w:hAnsi="Arial" w:cs="Arial"/>
                <w:bCs/>
                <w:sz w:val="18"/>
                <w:szCs w:val="18"/>
              </w:rPr>
              <w:t>2020年12月</w:t>
            </w:r>
          </w:p>
        </w:tc>
        <w:tc>
          <w:tcPr>
            <w:tcW w:w="1922" w:type="dxa"/>
            <w:vAlign w:val="center"/>
          </w:tcPr>
          <w:p>
            <w:pPr>
              <w:jc w:val="center"/>
              <w:rPr>
                <w:rFonts w:ascii="Arial" w:hAnsi="Arial" w:cs="Arial"/>
                <w:b/>
                <w:bCs/>
                <w:sz w:val="18"/>
                <w:szCs w:val="18"/>
              </w:rPr>
            </w:pPr>
            <w:r>
              <w:rPr>
                <w:rFonts w:ascii="Arial" w:hAnsi="Arial" w:cs="Arial"/>
                <w:sz w:val="18"/>
                <w:szCs w:val="18"/>
              </w:rPr>
              <w:t>达到预售条件</w:t>
            </w:r>
          </w:p>
        </w:tc>
        <w:tc>
          <w:tcPr>
            <w:tcW w:w="1466" w:type="dxa"/>
            <w:vAlign w:val="center"/>
          </w:tcPr>
          <w:p>
            <w:pPr>
              <w:jc w:val="center"/>
              <w:rPr>
                <w:rFonts w:ascii="Arial" w:hAnsi="Arial" w:cs="Arial"/>
                <w:sz w:val="18"/>
                <w:szCs w:val="18"/>
              </w:rPr>
            </w:pPr>
            <w:r>
              <w:rPr>
                <w:rStyle w:val="23"/>
                <w:rFonts w:ascii="Arial" w:hAnsi="Arial" w:cs="Arial"/>
                <w:sz w:val="18"/>
                <w:szCs w:val="18"/>
              </w:rPr>
              <w:t>已完成</w:t>
            </w:r>
          </w:p>
        </w:tc>
        <w:tc>
          <w:tcPr>
            <w:tcW w:w="3214" w:type="dxa"/>
            <w:vAlign w:val="center"/>
          </w:tcPr>
          <w:p>
            <w:pPr>
              <w:jc w:val="center"/>
              <w:rPr>
                <w:rFonts w:ascii="Arial" w:hAnsi="Arial" w:cs="Arial"/>
                <w:b/>
                <w:bCs/>
                <w:sz w:val="18"/>
                <w:szCs w:val="18"/>
              </w:rPr>
            </w:pPr>
            <w:r>
              <w:rPr>
                <w:rFonts w:ascii="Arial" w:hAnsi="Arial" w:cs="Arial"/>
                <w:sz w:val="18"/>
                <w:szCs w:val="18"/>
              </w:rPr>
              <w:t>2020年12月20日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8</w:t>
            </w:r>
          </w:p>
        </w:tc>
        <w:tc>
          <w:tcPr>
            <w:tcW w:w="1859" w:type="dxa"/>
            <w:vAlign w:val="center"/>
          </w:tcPr>
          <w:p>
            <w:pPr>
              <w:jc w:val="center"/>
              <w:rPr>
                <w:rFonts w:ascii="Arial" w:hAnsi="Arial" w:cs="Arial"/>
                <w:sz w:val="18"/>
                <w:szCs w:val="18"/>
              </w:rPr>
            </w:pPr>
            <w:r>
              <w:rPr>
                <w:rFonts w:ascii="Arial" w:hAnsi="Arial" w:cs="Arial"/>
                <w:bCs/>
                <w:sz w:val="18"/>
                <w:szCs w:val="18"/>
              </w:rPr>
              <w:t>2020年12月</w:t>
            </w:r>
          </w:p>
        </w:tc>
        <w:tc>
          <w:tcPr>
            <w:tcW w:w="1922" w:type="dxa"/>
            <w:vAlign w:val="center"/>
          </w:tcPr>
          <w:p>
            <w:pPr>
              <w:jc w:val="center"/>
              <w:rPr>
                <w:rFonts w:ascii="Arial" w:hAnsi="Arial" w:cs="Arial"/>
                <w:b/>
                <w:bCs/>
                <w:sz w:val="18"/>
                <w:szCs w:val="18"/>
              </w:rPr>
            </w:pPr>
            <w:r>
              <w:rPr>
                <w:rFonts w:ascii="Arial" w:hAnsi="Arial" w:cs="Arial"/>
                <w:sz w:val="18"/>
                <w:szCs w:val="18"/>
              </w:rPr>
              <w:t>预售证</w:t>
            </w:r>
          </w:p>
        </w:tc>
        <w:tc>
          <w:tcPr>
            <w:tcW w:w="1466" w:type="dxa"/>
            <w:vAlign w:val="center"/>
          </w:tcPr>
          <w:p>
            <w:pPr>
              <w:jc w:val="center"/>
              <w:rPr>
                <w:rFonts w:ascii="Arial" w:hAnsi="Arial" w:cs="Arial"/>
                <w:sz w:val="18"/>
                <w:szCs w:val="18"/>
              </w:rPr>
            </w:pPr>
            <w:r>
              <w:rPr>
                <w:rStyle w:val="23"/>
                <w:rFonts w:ascii="Arial" w:hAnsi="Arial" w:cs="Arial"/>
                <w:sz w:val="18"/>
                <w:szCs w:val="18"/>
              </w:rPr>
              <w:t>已完成</w:t>
            </w:r>
          </w:p>
        </w:tc>
        <w:tc>
          <w:tcPr>
            <w:tcW w:w="3214" w:type="dxa"/>
            <w:vAlign w:val="center"/>
          </w:tcPr>
          <w:p>
            <w:pPr>
              <w:jc w:val="center"/>
              <w:rPr>
                <w:rFonts w:ascii="Arial" w:hAnsi="Arial" w:cs="Arial"/>
                <w:b/>
                <w:bCs/>
                <w:sz w:val="18"/>
                <w:szCs w:val="18"/>
              </w:rPr>
            </w:pPr>
            <w:r>
              <w:rPr>
                <w:rFonts w:ascii="Arial" w:hAnsi="Arial" w:cs="Arial"/>
                <w:sz w:val="18"/>
                <w:szCs w:val="18"/>
              </w:rPr>
              <w:t>2020年12月25日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9</w:t>
            </w:r>
          </w:p>
        </w:tc>
        <w:tc>
          <w:tcPr>
            <w:tcW w:w="1859" w:type="dxa"/>
            <w:vAlign w:val="center"/>
          </w:tcPr>
          <w:p>
            <w:pPr>
              <w:jc w:val="center"/>
              <w:rPr>
                <w:rFonts w:ascii="Arial" w:hAnsi="Arial" w:cs="Arial"/>
                <w:sz w:val="18"/>
                <w:szCs w:val="18"/>
              </w:rPr>
            </w:pPr>
            <w:r>
              <w:rPr>
                <w:rFonts w:ascii="Arial" w:hAnsi="Arial" w:cs="Arial"/>
                <w:bCs/>
                <w:sz w:val="18"/>
                <w:szCs w:val="18"/>
              </w:rPr>
              <w:t>2020年12月</w:t>
            </w:r>
          </w:p>
        </w:tc>
        <w:tc>
          <w:tcPr>
            <w:tcW w:w="1922" w:type="dxa"/>
            <w:vAlign w:val="center"/>
          </w:tcPr>
          <w:p>
            <w:pPr>
              <w:jc w:val="center"/>
              <w:rPr>
                <w:rFonts w:ascii="Arial" w:hAnsi="Arial" w:cs="Arial"/>
                <w:b/>
                <w:bCs/>
                <w:sz w:val="18"/>
                <w:szCs w:val="18"/>
              </w:rPr>
            </w:pPr>
            <w:r>
              <w:rPr>
                <w:rFonts w:ascii="Arial" w:hAnsi="Arial" w:cs="Arial"/>
                <w:sz w:val="18"/>
                <w:szCs w:val="18"/>
              </w:rPr>
              <w:t>开盘</w:t>
            </w:r>
          </w:p>
        </w:tc>
        <w:tc>
          <w:tcPr>
            <w:tcW w:w="1466" w:type="dxa"/>
            <w:vAlign w:val="center"/>
          </w:tcPr>
          <w:p>
            <w:pPr>
              <w:jc w:val="center"/>
              <w:rPr>
                <w:rFonts w:ascii="Arial" w:hAnsi="Arial" w:cs="Arial"/>
                <w:sz w:val="18"/>
                <w:szCs w:val="18"/>
              </w:rPr>
            </w:pPr>
            <w:r>
              <w:rPr>
                <w:rStyle w:val="23"/>
                <w:rFonts w:ascii="Arial" w:hAnsi="Arial" w:cs="Arial"/>
                <w:sz w:val="18"/>
                <w:szCs w:val="18"/>
              </w:rPr>
              <w:t>已完成</w:t>
            </w:r>
          </w:p>
        </w:tc>
        <w:tc>
          <w:tcPr>
            <w:tcW w:w="3214" w:type="dxa"/>
            <w:vAlign w:val="center"/>
          </w:tcPr>
          <w:p>
            <w:pPr>
              <w:jc w:val="center"/>
              <w:rPr>
                <w:rFonts w:ascii="Arial" w:hAnsi="Arial" w:cs="Arial"/>
                <w:b/>
                <w:bCs/>
                <w:sz w:val="18"/>
                <w:szCs w:val="18"/>
              </w:rPr>
            </w:pPr>
            <w:r>
              <w:rPr>
                <w:rFonts w:ascii="Arial" w:hAnsi="Arial" w:cs="Arial"/>
                <w:sz w:val="18"/>
                <w:szCs w:val="18"/>
              </w:rPr>
              <w:t>2020年12月27日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10</w:t>
            </w:r>
          </w:p>
        </w:tc>
        <w:tc>
          <w:tcPr>
            <w:tcW w:w="1859" w:type="dxa"/>
            <w:vAlign w:val="center"/>
          </w:tcPr>
          <w:p>
            <w:pPr>
              <w:jc w:val="center"/>
              <w:rPr>
                <w:rFonts w:ascii="Arial" w:hAnsi="Arial" w:cs="Arial"/>
                <w:sz w:val="18"/>
                <w:szCs w:val="18"/>
              </w:rPr>
            </w:pPr>
            <w:r>
              <w:rPr>
                <w:rFonts w:ascii="Arial" w:hAnsi="Arial" w:cs="Arial"/>
                <w:bCs/>
                <w:sz w:val="18"/>
                <w:szCs w:val="18"/>
              </w:rPr>
              <w:t>2021年6月</w:t>
            </w:r>
          </w:p>
        </w:tc>
        <w:tc>
          <w:tcPr>
            <w:tcW w:w="1922" w:type="dxa"/>
            <w:vAlign w:val="center"/>
          </w:tcPr>
          <w:p>
            <w:pPr>
              <w:jc w:val="center"/>
              <w:rPr>
                <w:rFonts w:ascii="Arial" w:hAnsi="Arial" w:cs="Arial"/>
                <w:b/>
                <w:bCs/>
                <w:sz w:val="18"/>
                <w:szCs w:val="18"/>
              </w:rPr>
            </w:pPr>
            <w:r>
              <w:rPr>
                <w:rFonts w:hint="eastAsia" w:ascii="Arial" w:hAnsi="Arial" w:cs="Arial"/>
                <w:sz w:val="18"/>
                <w:szCs w:val="18"/>
              </w:rPr>
              <w:t>首开区</w:t>
            </w:r>
            <w:r>
              <w:rPr>
                <w:rFonts w:ascii="Arial" w:hAnsi="Arial" w:cs="Arial"/>
                <w:sz w:val="18"/>
                <w:szCs w:val="18"/>
              </w:rPr>
              <w:t>结构封顶</w:t>
            </w:r>
          </w:p>
        </w:tc>
        <w:tc>
          <w:tcPr>
            <w:tcW w:w="1466" w:type="dxa"/>
            <w:vAlign w:val="center"/>
          </w:tcPr>
          <w:p>
            <w:pPr>
              <w:jc w:val="center"/>
              <w:rPr>
                <w:rFonts w:ascii="Arial" w:hAnsi="Arial" w:cs="Arial"/>
                <w:sz w:val="18"/>
                <w:szCs w:val="18"/>
              </w:rPr>
            </w:pPr>
            <w:r>
              <w:rPr>
                <w:rFonts w:hint="eastAsia" w:ascii="Arial" w:hAnsi="Arial" w:cs="Arial"/>
                <w:sz w:val="18"/>
                <w:szCs w:val="18"/>
              </w:rPr>
              <w:t>已部分完成</w:t>
            </w:r>
          </w:p>
        </w:tc>
        <w:tc>
          <w:tcPr>
            <w:tcW w:w="3214" w:type="dxa"/>
            <w:vAlign w:val="center"/>
          </w:tcPr>
          <w:p>
            <w:pPr>
              <w:jc w:val="center"/>
              <w:rPr>
                <w:rFonts w:ascii="Arial" w:hAnsi="Arial" w:cs="Arial"/>
                <w:sz w:val="18"/>
                <w:szCs w:val="18"/>
              </w:rPr>
            </w:pPr>
            <w:r>
              <w:rPr>
                <w:rFonts w:hint="eastAsia" w:ascii="Arial" w:hAnsi="Arial" w:cs="Arial"/>
                <w:sz w:val="18"/>
                <w:szCs w:val="18"/>
              </w:rPr>
              <w:t>2021年6月12日（9#楼封顶）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11</w:t>
            </w:r>
          </w:p>
        </w:tc>
        <w:tc>
          <w:tcPr>
            <w:tcW w:w="1859" w:type="dxa"/>
            <w:vAlign w:val="center"/>
          </w:tcPr>
          <w:p>
            <w:pPr>
              <w:jc w:val="center"/>
              <w:rPr>
                <w:rFonts w:ascii="Arial" w:hAnsi="Arial" w:cs="Arial"/>
                <w:sz w:val="18"/>
                <w:szCs w:val="18"/>
              </w:rPr>
            </w:pPr>
            <w:r>
              <w:rPr>
                <w:rFonts w:ascii="Arial" w:hAnsi="Arial" w:cs="Arial"/>
                <w:bCs/>
                <w:sz w:val="18"/>
                <w:szCs w:val="18"/>
              </w:rPr>
              <w:t>2022年12月</w:t>
            </w:r>
          </w:p>
        </w:tc>
        <w:tc>
          <w:tcPr>
            <w:tcW w:w="1922" w:type="dxa"/>
            <w:vAlign w:val="center"/>
          </w:tcPr>
          <w:p>
            <w:pPr>
              <w:jc w:val="center"/>
              <w:rPr>
                <w:rFonts w:ascii="Arial" w:hAnsi="Arial" w:cs="Arial"/>
                <w:b/>
                <w:bCs/>
                <w:sz w:val="18"/>
                <w:szCs w:val="18"/>
              </w:rPr>
            </w:pPr>
            <w:r>
              <w:rPr>
                <w:rFonts w:ascii="Arial" w:hAnsi="Arial" w:cs="Arial"/>
                <w:sz w:val="18"/>
                <w:szCs w:val="18"/>
              </w:rPr>
              <w:t>竣工备案证</w:t>
            </w:r>
          </w:p>
        </w:tc>
        <w:tc>
          <w:tcPr>
            <w:tcW w:w="1466" w:type="dxa"/>
            <w:vAlign w:val="center"/>
          </w:tcPr>
          <w:p>
            <w:pPr>
              <w:jc w:val="center"/>
              <w:rPr>
                <w:rFonts w:ascii="Arial" w:hAnsi="Arial" w:cs="Arial"/>
                <w:sz w:val="18"/>
                <w:szCs w:val="18"/>
              </w:rPr>
            </w:pPr>
          </w:p>
        </w:tc>
        <w:tc>
          <w:tcPr>
            <w:tcW w:w="3214" w:type="dxa"/>
            <w:vAlign w:val="center"/>
          </w:tcPr>
          <w:p>
            <w:pPr>
              <w:spacing w:line="360" w:lineRule="auto"/>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bottom"/>
          </w:tcPr>
          <w:p>
            <w:pPr>
              <w:spacing w:line="360" w:lineRule="auto"/>
              <w:jc w:val="center"/>
              <w:rPr>
                <w:rFonts w:ascii="Arial" w:hAnsi="Arial" w:cs="Arial"/>
                <w:b/>
                <w:bCs/>
                <w:sz w:val="18"/>
                <w:szCs w:val="18"/>
              </w:rPr>
            </w:pPr>
            <w:r>
              <w:rPr>
                <w:rFonts w:ascii="Arial" w:hAnsi="Arial" w:cs="Arial"/>
                <w:b/>
                <w:bCs/>
                <w:sz w:val="18"/>
                <w:szCs w:val="18"/>
              </w:rPr>
              <w:t>12</w:t>
            </w:r>
          </w:p>
        </w:tc>
        <w:tc>
          <w:tcPr>
            <w:tcW w:w="1859" w:type="dxa"/>
            <w:vAlign w:val="center"/>
          </w:tcPr>
          <w:p>
            <w:pPr>
              <w:jc w:val="center"/>
              <w:rPr>
                <w:rFonts w:ascii="Arial" w:hAnsi="Arial" w:cs="Arial"/>
                <w:sz w:val="18"/>
                <w:szCs w:val="18"/>
              </w:rPr>
            </w:pPr>
            <w:r>
              <w:rPr>
                <w:rFonts w:ascii="Arial" w:hAnsi="Arial" w:cs="Arial"/>
                <w:bCs/>
                <w:sz w:val="18"/>
                <w:szCs w:val="18"/>
              </w:rPr>
              <w:t>2023年3月</w:t>
            </w:r>
          </w:p>
        </w:tc>
        <w:tc>
          <w:tcPr>
            <w:tcW w:w="1922" w:type="dxa"/>
            <w:vAlign w:val="center"/>
          </w:tcPr>
          <w:p>
            <w:pPr>
              <w:jc w:val="center"/>
              <w:rPr>
                <w:rFonts w:ascii="Arial" w:hAnsi="Arial" w:cs="Arial"/>
                <w:b/>
                <w:bCs/>
                <w:sz w:val="18"/>
                <w:szCs w:val="18"/>
              </w:rPr>
            </w:pPr>
            <w:r>
              <w:rPr>
                <w:rFonts w:ascii="Arial" w:hAnsi="Arial" w:cs="Arial"/>
                <w:sz w:val="18"/>
                <w:szCs w:val="18"/>
              </w:rPr>
              <w:t>交付证</w:t>
            </w:r>
          </w:p>
        </w:tc>
        <w:tc>
          <w:tcPr>
            <w:tcW w:w="1466" w:type="dxa"/>
            <w:vAlign w:val="center"/>
          </w:tcPr>
          <w:p>
            <w:pPr>
              <w:jc w:val="center"/>
              <w:rPr>
                <w:rFonts w:ascii="Arial" w:hAnsi="Arial" w:cs="Arial"/>
                <w:sz w:val="18"/>
                <w:szCs w:val="18"/>
              </w:rPr>
            </w:pPr>
          </w:p>
        </w:tc>
        <w:tc>
          <w:tcPr>
            <w:tcW w:w="3214" w:type="dxa"/>
            <w:vAlign w:val="center"/>
          </w:tcPr>
          <w:p>
            <w:pPr>
              <w:spacing w:line="360" w:lineRule="auto"/>
              <w:rPr>
                <w:rFonts w:ascii="Arial" w:hAnsi="Arial" w:cs="Arial"/>
                <w:b/>
                <w:bCs/>
                <w:sz w:val="18"/>
                <w:szCs w:val="18"/>
              </w:rPr>
            </w:pPr>
          </w:p>
        </w:tc>
      </w:tr>
    </w:tbl>
    <w:p>
      <w:pPr>
        <w:spacing w:line="360" w:lineRule="auto"/>
        <w:ind w:firstLine="420" w:firstLineChars="200"/>
        <w:jc w:val="both"/>
        <w:rPr>
          <w:rFonts w:ascii="Arial" w:hAnsi="Arial" w:cs="Arial"/>
          <w:sz w:val="21"/>
          <w:szCs w:val="21"/>
        </w:rPr>
      </w:pPr>
      <w:r>
        <w:rPr>
          <w:rFonts w:hint="eastAsia" w:ascii="Arial" w:hAnsi="Arial" w:cs="Arial"/>
          <w:sz w:val="21"/>
          <w:szCs w:val="21"/>
        </w:rPr>
        <w:t>②对赌节点达成情况</w:t>
      </w:r>
    </w:p>
    <w:tbl>
      <w:tblPr>
        <w:tblStyle w:val="18"/>
        <w:tblW w:w="9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59"/>
        <w:gridCol w:w="2664"/>
        <w:gridCol w:w="2812"/>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6" w:type="dxa"/>
          </w:tcPr>
          <w:p>
            <w:pPr>
              <w:spacing w:line="360" w:lineRule="auto"/>
              <w:jc w:val="center"/>
              <w:rPr>
                <w:rFonts w:ascii="Arial" w:hAnsi="Arial" w:cs="Arial"/>
                <w:b/>
                <w:bCs/>
                <w:sz w:val="18"/>
                <w:szCs w:val="18"/>
              </w:rPr>
            </w:pPr>
            <w:r>
              <w:rPr>
                <w:rFonts w:ascii="Arial" w:hAnsi="Arial" w:cs="Arial"/>
                <w:b/>
                <w:bCs/>
                <w:sz w:val="18"/>
                <w:szCs w:val="18"/>
              </w:rPr>
              <w:t>序号</w:t>
            </w:r>
          </w:p>
        </w:tc>
        <w:tc>
          <w:tcPr>
            <w:tcW w:w="1859" w:type="dxa"/>
          </w:tcPr>
          <w:p>
            <w:pPr>
              <w:spacing w:line="360" w:lineRule="auto"/>
              <w:jc w:val="center"/>
              <w:rPr>
                <w:rFonts w:ascii="Arial" w:hAnsi="Arial" w:cs="Arial"/>
                <w:b/>
                <w:bCs/>
                <w:sz w:val="18"/>
                <w:szCs w:val="18"/>
              </w:rPr>
            </w:pPr>
            <w:r>
              <w:rPr>
                <w:rFonts w:ascii="Arial" w:hAnsi="Arial" w:cs="Arial"/>
                <w:b/>
                <w:bCs/>
                <w:sz w:val="18"/>
                <w:szCs w:val="18"/>
              </w:rPr>
              <w:t>时间节点</w:t>
            </w:r>
          </w:p>
        </w:tc>
        <w:tc>
          <w:tcPr>
            <w:tcW w:w="2664" w:type="dxa"/>
          </w:tcPr>
          <w:p>
            <w:pPr>
              <w:spacing w:line="360" w:lineRule="auto"/>
              <w:jc w:val="center"/>
              <w:rPr>
                <w:rFonts w:ascii="Arial" w:hAnsi="Arial" w:cs="Arial"/>
                <w:b/>
                <w:bCs/>
                <w:sz w:val="18"/>
                <w:szCs w:val="18"/>
              </w:rPr>
            </w:pPr>
            <w:r>
              <w:rPr>
                <w:rFonts w:ascii="Arial" w:hAnsi="Arial" w:cs="Arial"/>
                <w:b/>
                <w:bCs/>
                <w:sz w:val="18"/>
                <w:szCs w:val="18"/>
              </w:rPr>
              <w:t>对赌要求</w:t>
            </w:r>
          </w:p>
        </w:tc>
        <w:tc>
          <w:tcPr>
            <w:tcW w:w="2812" w:type="dxa"/>
          </w:tcPr>
          <w:p>
            <w:pPr>
              <w:spacing w:line="360" w:lineRule="auto"/>
              <w:jc w:val="center"/>
              <w:rPr>
                <w:rFonts w:ascii="Arial" w:hAnsi="Arial" w:cs="Arial"/>
                <w:b/>
                <w:bCs/>
                <w:sz w:val="18"/>
                <w:szCs w:val="18"/>
              </w:rPr>
            </w:pPr>
            <w:r>
              <w:rPr>
                <w:rFonts w:ascii="Arial" w:hAnsi="Arial" w:cs="Arial"/>
                <w:b/>
                <w:bCs/>
                <w:sz w:val="18"/>
                <w:szCs w:val="18"/>
              </w:rPr>
              <w:t>实际达成情况</w:t>
            </w:r>
          </w:p>
        </w:tc>
        <w:tc>
          <w:tcPr>
            <w:tcW w:w="1126" w:type="dxa"/>
          </w:tcPr>
          <w:p>
            <w:pPr>
              <w:spacing w:line="360" w:lineRule="auto"/>
              <w:jc w:val="center"/>
              <w:rPr>
                <w:rFonts w:ascii="Arial" w:hAnsi="Arial" w:cs="Arial"/>
                <w:b/>
                <w:bCs/>
                <w:sz w:val="18"/>
                <w:szCs w:val="18"/>
              </w:rPr>
            </w:pPr>
            <w:r>
              <w:rPr>
                <w:rFonts w:ascii="Arial" w:hAnsi="Arial" w:cs="Arial"/>
                <w:b/>
                <w:bCs/>
                <w:sz w:val="18"/>
                <w:szCs w:val="18"/>
              </w:rPr>
              <w:t>应对方案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6" w:type="dxa"/>
          </w:tcPr>
          <w:p>
            <w:pPr>
              <w:spacing w:line="360" w:lineRule="auto"/>
              <w:jc w:val="center"/>
              <w:rPr>
                <w:rFonts w:ascii="Arial" w:hAnsi="Arial" w:cs="Arial"/>
                <w:b/>
                <w:bCs/>
                <w:sz w:val="18"/>
                <w:szCs w:val="18"/>
              </w:rPr>
            </w:pPr>
            <w:r>
              <w:rPr>
                <w:rFonts w:ascii="Arial" w:hAnsi="Arial" w:cs="Arial"/>
                <w:b/>
                <w:bCs/>
                <w:sz w:val="18"/>
                <w:szCs w:val="18"/>
              </w:rPr>
              <w:t>1</w:t>
            </w:r>
          </w:p>
        </w:tc>
        <w:tc>
          <w:tcPr>
            <w:tcW w:w="1859" w:type="dxa"/>
          </w:tcPr>
          <w:p>
            <w:pPr>
              <w:spacing w:line="360" w:lineRule="auto"/>
              <w:jc w:val="center"/>
              <w:rPr>
                <w:rFonts w:ascii="Arial" w:hAnsi="Arial" w:cs="Arial"/>
                <w:sz w:val="18"/>
                <w:szCs w:val="18"/>
              </w:rPr>
            </w:pPr>
            <w:r>
              <w:rPr>
                <w:rFonts w:ascii="Arial" w:hAnsi="Arial" w:cs="Arial"/>
                <w:bCs/>
                <w:sz w:val="18"/>
                <w:szCs w:val="18"/>
              </w:rPr>
              <w:t>2021年6月30日</w:t>
            </w:r>
          </w:p>
        </w:tc>
        <w:tc>
          <w:tcPr>
            <w:tcW w:w="2664" w:type="dxa"/>
          </w:tcPr>
          <w:p>
            <w:pPr>
              <w:spacing w:line="360" w:lineRule="auto"/>
              <w:jc w:val="center"/>
              <w:rPr>
                <w:rFonts w:ascii="Arial" w:hAnsi="Arial" w:cs="Arial"/>
                <w:sz w:val="18"/>
                <w:szCs w:val="18"/>
              </w:rPr>
            </w:pPr>
            <w:r>
              <w:rPr>
                <w:rFonts w:ascii="Arial" w:hAnsi="Arial" w:cs="Arial"/>
                <w:sz w:val="18"/>
                <w:szCs w:val="18"/>
              </w:rPr>
              <w:t>需在该时间前开始预售</w:t>
            </w:r>
          </w:p>
        </w:tc>
        <w:tc>
          <w:tcPr>
            <w:tcW w:w="2812" w:type="dxa"/>
          </w:tcPr>
          <w:p>
            <w:pPr>
              <w:spacing w:line="360" w:lineRule="auto"/>
              <w:jc w:val="center"/>
              <w:rPr>
                <w:rFonts w:ascii="Arial" w:hAnsi="Arial" w:cs="Arial"/>
                <w:sz w:val="18"/>
                <w:szCs w:val="18"/>
              </w:rPr>
            </w:pPr>
            <w:r>
              <w:rPr>
                <w:rFonts w:ascii="Arial" w:hAnsi="Arial" w:cs="Arial"/>
                <w:sz w:val="18"/>
                <w:szCs w:val="18"/>
              </w:rPr>
              <w:t>已于2020年12月27日预售</w:t>
            </w:r>
          </w:p>
        </w:tc>
        <w:tc>
          <w:tcPr>
            <w:tcW w:w="1126" w:type="dxa"/>
          </w:tcPr>
          <w:p>
            <w:pPr>
              <w:spacing w:line="360" w:lineRule="auto"/>
              <w:jc w:val="center"/>
              <w:rPr>
                <w:rFonts w:ascii="Arial" w:hAnsi="Arial" w:cs="Arial"/>
                <w:b/>
                <w:bCs/>
                <w:sz w:val="18"/>
                <w:szCs w:val="18"/>
              </w:rPr>
            </w:pPr>
          </w:p>
        </w:tc>
      </w:tr>
    </w:tbl>
    <w:p>
      <w:pPr>
        <w:spacing w:line="360" w:lineRule="auto"/>
        <w:jc w:val="both"/>
        <w:rPr>
          <w:rFonts w:ascii="宋体" w:hAnsi="宋体" w:cs="宋体"/>
          <w:b/>
          <w:bCs/>
          <w:sz w:val="21"/>
          <w:szCs w:val="21"/>
        </w:rPr>
      </w:pPr>
      <w:r>
        <w:rPr>
          <w:rFonts w:hint="eastAsia" w:ascii="宋体" w:hAnsi="宋体" w:cs="宋体"/>
          <w:b/>
          <w:bCs/>
          <w:sz w:val="21"/>
          <w:szCs w:val="21"/>
        </w:rPr>
        <w:t>（4）其他增信或风控措施落实：</w:t>
      </w:r>
    </w:p>
    <w:tbl>
      <w:tblPr>
        <w:tblStyle w:val="18"/>
        <w:tblW w:w="9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59"/>
        <w:gridCol w:w="2260"/>
        <w:gridCol w:w="2260"/>
        <w:gridCol w:w="2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序号</w:t>
            </w:r>
          </w:p>
        </w:tc>
        <w:tc>
          <w:tcPr>
            <w:tcW w:w="1859" w:type="dxa"/>
            <w:vAlign w:val="center"/>
          </w:tcPr>
          <w:p>
            <w:pPr>
              <w:spacing w:line="360" w:lineRule="auto"/>
              <w:jc w:val="center"/>
              <w:rPr>
                <w:rFonts w:ascii="Arial" w:hAnsi="Arial" w:cs="Arial"/>
                <w:b/>
                <w:bCs/>
                <w:sz w:val="18"/>
                <w:szCs w:val="18"/>
              </w:rPr>
            </w:pPr>
            <w:r>
              <w:rPr>
                <w:rFonts w:ascii="Arial" w:hAnsi="Arial" w:cs="Arial"/>
                <w:b/>
                <w:bCs/>
                <w:sz w:val="18"/>
                <w:szCs w:val="18"/>
              </w:rPr>
              <w:t>事项/措施</w:t>
            </w:r>
          </w:p>
        </w:tc>
        <w:tc>
          <w:tcPr>
            <w:tcW w:w="2260" w:type="dxa"/>
            <w:vAlign w:val="center"/>
          </w:tcPr>
          <w:p>
            <w:pPr>
              <w:spacing w:line="360" w:lineRule="auto"/>
              <w:jc w:val="center"/>
              <w:rPr>
                <w:rFonts w:ascii="Arial" w:hAnsi="Arial" w:cs="Arial"/>
                <w:b/>
                <w:bCs/>
                <w:sz w:val="18"/>
                <w:szCs w:val="18"/>
              </w:rPr>
            </w:pPr>
            <w:r>
              <w:rPr>
                <w:rFonts w:ascii="Arial" w:hAnsi="Arial" w:cs="Arial"/>
                <w:b/>
                <w:bCs/>
                <w:sz w:val="18"/>
                <w:szCs w:val="18"/>
              </w:rPr>
              <w:t>办理要求</w:t>
            </w:r>
          </w:p>
        </w:tc>
        <w:tc>
          <w:tcPr>
            <w:tcW w:w="2260" w:type="dxa"/>
            <w:vAlign w:val="center"/>
          </w:tcPr>
          <w:p>
            <w:pPr>
              <w:spacing w:line="360" w:lineRule="auto"/>
              <w:jc w:val="center"/>
              <w:rPr>
                <w:rFonts w:ascii="Arial" w:hAnsi="Arial" w:cs="Arial"/>
                <w:b/>
                <w:bCs/>
                <w:sz w:val="18"/>
                <w:szCs w:val="18"/>
              </w:rPr>
            </w:pPr>
            <w:r>
              <w:rPr>
                <w:rFonts w:ascii="Arial" w:hAnsi="Arial" w:cs="Arial"/>
                <w:b/>
                <w:bCs/>
                <w:sz w:val="18"/>
                <w:szCs w:val="18"/>
              </w:rPr>
              <w:t>目前完成进度</w:t>
            </w:r>
          </w:p>
        </w:tc>
        <w:tc>
          <w:tcPr>
            <w:tcW w:w="2082" w:type="dxa"/>
            <w:vAlign w:val="center"/>
          </w:tcPr>
          <w:p>
            <w:pPr>
              <w:spacing w:line="360" w:lineRule="auto"/>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sz w:val="18"/>
                <w:szCs w:val="18"/>
              </w:rPr>
              <w:t>1</w:t>
            </w:r>
          </w:p>
        </w:tc>
        <w:tc>
          <w:tcPr>
            <w:tcW w:w="1859" w:type="dxa"/>
            <w:vAlign w:val="center"/>
          </w:tcPr>
          <w:p>
            <w:pPr>
              <w:spacing w:line="360" w:lineRule="auto"/>
              <w:jc w:val="center"/>
              <w:rPr>
                <w:rFonts w:ascii="Arial" w:hAnsi="Arial" w:cs="Arial"/>
                <w:sz w:val="18"/>
                <w:szCs w:val="18"/>
              </w:rPr>
            </w:pPr>
            <w:r>
              <w:rPr>
                <w:rFonts w:ascii="Arial" w:hAnsi="Arial" w:cs="Arial"/>
                <w:sz w:val="18"/>
                <w:szCs w:val="18"/>
              </w:rPr>
              <w:t>上海洛翊企业管理有限公司70%股权质押</w:t>
            </w:r>
          </w:p>
        </w:tc>
        <w:tc>
          <w:tcPr>
            <w:tcW w:w="2260" w:type="dxa"/>
            <w:vAlign w:val="center"/>
          </w:tcPr>
          <w:p>
            <w:pPr>
              <w:spacing w:line="360" w:lineRule="auto"/>
              <w:jc w:val="center"/>
              <w:rPr>
                <w:rFonts w:ascii="Arial" w:hAnsi="Arial" w:cs="Arial"/>
                <w:sz w:val="18"/>
                <w:szCs w:val="18"/>
              </w:rPr>
            </w:pPr>
            <w:r>
              <w:rPr>
                <w:rFonts w:ascii="Arial" w:hAnsi="Arial" w:cs="Arial"/>
                <w:sz w:val="18"/>
                <w:szCs w:val="18"/>
              </w:rPr>
              <w:t>信托计划成立之前</w:t>
            </w:r>
          </w:p>
        </w:tc>
        <w:tc>
          <w:tcPr>
            <w:tcW w:w="2260" w:type="dxa"/>
            <w:vAlign w:val="center"/>
          </w:tcPr>
          <w:p>
            <w:pPr>
              <w:spacing w:line="360" w:lineRule="auto"/>
              <w:jc w:val="center"/>
              <w:rPr>
                <w:rFonts w:ascii="Arial" w:hAnsi="Arial" w:cs="Arial"/>
                <w:sz w:val="18"/>
                <w:szCs w:val="18"/>
              </w:rPr>
            </w:pPr>
            <w:r>
              <w:rPr>
                <w:rFonts w:ascii="Arial" w:hAnsi="Arial" w:cs="Arial"/>
                <w:sz w:val="18"/>
                <w:szCs w:val="18"/>
              </w:rPr>
              <w:t>办理完毕</w:t>
            </w:r>
          </w:p>
        </w:tc>
        <w:tc>
          <w:tcPr>
            <w:tcW w:w="2082" w:type="dxa"/>
            <w:vAlign w:val="center"/>
          </w:tcPr>
          <w:p>
            <w:pPr>
              <w:spacing w:line="360" w:lineRule="auto"/>
              <w:jc w:val="center"/>
              <w:rPr>
                <w:rFonts w:ascii="Arial" w:hAnsi="Arial" w:cs="Arial"/>
                <w:sz w:val="18"/>
                <w:szCs w:val="18"/>
              </w:rPr>
            </w:pPr>
          </w:p>
        </w:tc>
      </w:tr>
    </w:tbl>
    <w:p>
      <w:pPr>
        <w:numPr>
          <w:ilvl w:val="-1"/>
          <w:numId w:val="0"/>
        </w:numPr>
        <w:spacing w:before="164" w:beforeLines="50" w:line="360" w:lineRule="auto"/>
        <w:ind w:firstLine="422" w:firstLineChars="200"/>
        <w:jc w:val="both"/>
        <w:rPr>
          <w:rFonts w:hint="eastAsia" w:ascii="Arial" w:hAnsi="Arial" w:cs="Arial"/>
          <w:b/>
          <w:bCs/>
          <w:sz w:val="21"/>
          <w:szCs w:val="21"/>
        </w:rPr>
      </w:pPr>
      <w:r>
        <w:rPr>
          <w:rFonts w:hint="eastAsia" w:ascii="Arial" w:hAnsi="Arial" w:cs="Arial"/>
          <w:b/>
          <w:bCs/>
          <w:sz w:val="21"/>
          <w:szCs w:val="21"/>
        </w:rPr>
        <w:t>（5）销售情况</w:t>
      </w:r>
    </w:p>
    <w:p>
      <w:pPr>
        <w:spacing w:line="360" w:lineRule="auto"/>
        <w:ind w:firstLine="420" w:firstLineChars="200"/>
        <w:rPr>
          <w:rFonts w:ascii="Arial" w:hAnsi="Arial" w:cs="Arial"/>
          <w:sz w:val="21"/>
          <w:szCs w:val="21"/>
        </w:rPr>
      </w:pPr>
      <w:r>
        <w:rPr>
          <w:rFonts w:ascii="Arial" w:hAnsi="Arial" w:cs="Arial"/>
          <w:sz w:val="21"/>
          <w:szCs w:val="21"/>
        </w:rPr>
        <w:t>本月销售房源</w:t>
      </w:r>
      <w:r>
        <w:rPr>
          <w:rFonts w:hint="eastAsia" w:ascii="Arial" w:hAnsi="Arial" w:cs="Arial"/>
          <w:sz w:val="21"/>
          <w:szCs w:val="21"/>
        </w:rPr>
        <w:t>64套，销售面积9,205.56</w:t>
      </w:r>
      <w:r>
        <w:rPr>
          <w:rFonts w:ascii="Arial" w:hAnsi="Arial" w:cs="Arial"/>
          <w:sz w:val="21"/>
          <w:szCs w:val="21"/>
        </w:rPr>
        <w:t>㎡</w:t>
      </w:r>
      <w:r>
        <w:rPr>
          <w:rFonts w:hint="eastAsia" w:ascii="Arial" w:hAnsi="Arial" w:cs="Arial"/>
          <w:sz w:val="21"/>
          <w:szCs w:val="21"/>
        </w:rPr>
        <w:t>，</w:t>
      </w:r>
      <w:r>
        <w:rPr>
          <w:rFonts w:ascii="Arial" w:hAnsi="Arial" w:cs="Arial"/>
          <w:sz w:val="21"/>
          <w:szCs w:val="21"/>
        </w:rPr>
        <w:t>收到销售回款</w:t>
      </w:r>
      <w:r>
        <w:rPr>
          <w:rFonts w:hint="eastAsia" w:ascii="Arial" w:hAnsi="Arial" w:cs="Arial"/>
          <w:sz w:val="21"/>
          <w:szCs w:val="21"/>
        </w:rPr>
        <w:t>15,860.50</w:t>
      </w:r>
      <w:r>
        <w:rPr>
          <w:rFonts w:ascii="Arial" w:hAnsi="Arial" w:cs="Arial"/>
          <w:sz w:val="21"/>
          <w:szCs w:val="21"/>
        </w:rPr>
        <w:t>万元，</w:t>
      </w:r>
      <w:r>
        <w:rPr>
          <w:rFonts w:hint="eastAsia" w:ascii="Arial" w:hAnsi="Arial" w:cs="Arial"/>
          <w:sz w:val="21"/>
          <w:szCs w:val="21"/>
        </w:rPr>
        <w:t>2020年12月27日</w:t>
      </w:r>
      <w:r>
        <w:rPr>
          <w:rFonts w:ascii="Arial" w:hAnsi="Arial" w:cs="Arial"/>
          <w:sz w:val="21"/>
          <w:szCs w:val="21"/>
        </w:rPr>
        <w:t>首次开盘306套房源，</w:t>
      </w:r>
      <w:r>
        <w:rPr>
          <w:rFonts w:hint="eastAsia" w:ascii="Arial" w:hAnsi="Arial" w:cs="Arial"/>
          <w:sz w:val="21"/>
          <w:szCs w:val="21"/>
        </w:rPr>
        <w:t>2021年4月17日加推136套，2021年5月29日加推172套，2021年6月19日加推房源76套。截至报告提交日，已取得预售证房源766套，面积为109,895.78平方米，已推出房源690套，面积</w:t>
      </w:r>
      <w:r>
        <w:rPr>
          <w:rFonts w:ascii="Arial" w:hAnsi="Arial" w:cs="Arial"/>
          <w:sz w:val="21"/>
          <w:szCs w:val="21"/>
        </w:rPr>
        <w:t>99,066.16</w:t>
      </w:r>
      <w:r>
        <w:rPr>
          <w:rFonts w:hint="eastAsia" w:ascii="Arial" w:hAnsi="Arial" w:cs="Arial"/>
          <w:sz w:val="21"/>
          <w:szCs w:val="21"/>
        </w:rPr>
        <w:t>㎡。截至6月底，累计认购签约562套，其中认购16套，签约546套</w:t>
      </w:r>
      <w:r>
        <w:rPr>
          <w:rFonts w:ascii="Arial" w:hAnsi="Arial" w:cs="Arial"/>
          <w:sz w:val="21"/>
          <w:szCs w:val="21"/>
        </w:rPr>
        <w:t>。车位未开售。</w:t>
      </w:r>
      <w:r>
        <w:rPr>
          <w:rFonts w:hint="eastAsia" w:ascii="Arial" w:hAnsi="Arial" w:cs="Arial"/>
          <w:sz w:val="21"/>
          <w:szCs w:val="21"/>
        </w:rPr>
        <w:t>开盘</w:t>
      </w:r>
      <w:r>
        <w:rPr>
          <w:rFonts w:hint="eastAsia" w:ascii="Arial" w:hAnsi="Arial" w:cs="Arial"/>
          <w:color w:val="000000"/>
          <w:sz w:val="21"/>
          <w:szCs w:val="21"/>
        </w:rPr>
        <w:t>去化率81.45</w:t>
      </w:r>
      <w:r>
        <w:rPr>
          <w:rFonts w:ascii="Arial" w:hAnsi="Arial" w:cs="Arial"/>
          <w:color w:val="000000"/>
          <w:sz w:val="21"/>
          <w:szCs w:val="21"/>
        </w:rPr>
        <w:t>%</w:t>
      </w:r>
      <w:r>
        <w:rPr>
          <w:rFonts w:hint="eastAsia" w:ascii="Arial" w:hAnsi="Arial" w:cs="Arial"/>
          <w:color w:val="000000"/>
          <w:sz w:val="21"/>
          <w:szCs w:val="21"/>
        </w:rPr>
        <w:t>，月均销售94套，总体销售去化符合第一次董事会决议的商业计划。</w:t>
      </w:r>
    </w:p>
    <w:p>
      <w:pPr>
        <w:numPr>
          <w:ilvl w:val="0"/>
          <w:numId w:val="2"/>
        </w:numPr>
        <w:spacing w:line="360" w:lineRule="auto"/>
        <w:ind w:firstLine="422" w:firstLineChars="200"/>
        <w:jc w:val="both"/>
        <w:rPr>
          <w:rFonts w:ascii="Arial" w:hAnsi="Arial" w:cs="Arial"/>
          <w:b/>
          <w:bCs/>
          <w:sz w:val="21"/>
          <w:szCs w:val="21"/>
        </w:rPr>
      </w:pPr>
      <w:r>
        <w:rPr>
          <w:rFonts w:hint="eastAsia" w:ascii="Arial" w:hAnsi="Arial" w:cs="Arial"/>
          <w:b/>
          <w:bCs/>
          <w:sz w:val="21"/>
          <w:szCs w:val="21"/>
        </w:rPr>
        <w:t>四证审批</w:t>
      </w:r>
    </w:p>
    <w:p>
      <w:pPr>
        <w:spacing w:line="360" w:lineRule="auto"/>
        <w:ind w:firstLine="420" w:firstLineChars="200"/>
        <w:jc w:val="both"/>
      </w:pPr>
      <w:r>
        <w:rPr>
          <w:rFonts w:hint="eastAsia" w:ascii="Arial" w:hAnsi="Arial" w:cs="Arial"/>
          <w:color w:val="000000"/>
          <w:sz w:val="21"/>
          <w:szCs w:val="21"/>
        </w:rPr>
        <w:t>本月无四证审批发生。截至报告提交日，已取得</w:t>
      </w:r>
      <w:r>
        <w:rPr>
          <w:rFonts w:ascii="Arial" w:hAnsi="Arial" w:cs="Arial"/>
          <w:color w:val="000000"/>
          <w:sz w:val="21"/>
          <w:szCs w:val="21"/>
        </w:rPr>
        <w:t>1#</w:t>
      </w:r>
      <w:r>
        <w:rPr>
          <w:rFonts w:hint="eastAsia" w:ascii="Arial" w:hAnsi="Arial" w:cs="Arial"/>
          <w:color w:val="000000"/>
          <w:sz w:val="21"/>
          <w:szCs w:val="21"/>
        </w:rPr>
        <w:t>、</w:t>
      </w:r>
      <w:r>
        <w:rPr>
          <w:rFonts w:ascii="Arial" w:hAnsi="Arial" w:cs="Arial"/>
          <w:color w:val="000000"/>
          <w:sz w:val="21"/>
          <w:szCs w:val="21"/>
        </w:rPr>
        <w:t>2#</w:t>
      </w:r>
      <w:r>
        <w:rPr>
          <w:rFonts w:hint="eastAsia" w:ascii="Arial" w:hAnsi="Arial" w:cs="Arial"/>
          <w:color w:val="000000"/>
          <w:sz w:val="21"/>
          <w:szCs w:val="21"/>
        </w:rPr>
        <w:t>地块不动产权证书、用地规划许可证、工程规划许可证、施工许可证，预售证（</w:t>
      </w:r>
      <w:r>
        <w:rPr>
          <w:rFonts w:ascii="Arial" w:hAnsi="Arial" w:cs="Arial"/>
          <w:color w:val="000000"/>
          <w:sz w:val="21"/>
          <w:szCs w:val="21"/>
        </w:rPr>
        <w:t>2#</w:t>
      </w:r>
      <w:r>
        <w:rPr>
          <w:rFonts w:hint="eastAsia" w:ascii="Arial" w:hAnsi="Arial" w:cs="Arial"/>
          <w:color w:val="000000"/>
          <w:sz w:val="21"/>
          <w:szCs w:val="21"/>
        </w:rPr>
        <w:t>地块2、3、4、5、6、7、</w:t>
      </w:r>
      <w:r>
        <w:rPr>
          <w:rFonts w:ascii="Arial" w:hAnsi="Arial" w:cs="Arial"/>
          <w:color w:val="000000"/>
          <w:sz w:val="21"/>
          <w:szCs w:val="21"/>
        </w:rPr>
        <w:t>8</w:t>
      </w:r>
      <w:r>
        <w:rPr>
          <w:rFonts w:hint="eastAsia" w:ascii="Arial" w:hAnsi="Arial" w:cs="Arial"/>
          <w:color w:val="000000"/>
          <w:sz w:val="21"/>
          <w:szCs w:val="21"/>
        </w:rPr>
        <w:t>、</w:t>
      </w:r>
      <w:r>
        <w:rPr>
          <w:rFonts w:ascii="Arial" w:hAnsi="Arial" w:cs="Arial"/>
          <w:color w:val="000000"/>
          <w:sz w:val="21"/>
          <w:szCs w:val="21"/>
        </w:rPr>
        <w:t>9</w:t>
      </w:r>
      <w:r>
        <w:rPr>
          <w:rFonts w:hint="eastAsia" w:ascii="Arial" w:hAnsi="Arial" w:cs="Arial"/>
          <w:color w:val="000000"/>
          <w:sz w:val="21"/>
          <w:szCs w:val="21"/>
        </w:rPr>
        <w:t>、</w:t>
      </w:r>
      <w:r>
        <w:rPr>
          <w:rFonts w:ascii="Arial" w:hAnsi="Arial" w:cs="Arial"/>
          <w:color w:val="000000"/>
          <w:sz w:val="21"/>
          <w:szCs w:val="21"/>
        </w:rPr>
        <w:t>10</w:t>
      </w:r>
      <w:r>
        <w:rPr>
          <w:rFonts w:hint="eastAsia" w:ascii="Arial" w:hAnsi="Arial" w:cs="Arial"/>
          <w:color w:val="000000"/>
          <w:sz w:val="21"/>
          <w:szCs w:val="21"/>
        </w:rPr>
        <w:t>、</w:t>
      </w:r>
      <w:r>
        <w:rPr>
          <w:rFonts w:ascii="Arial" w:hAnsi="Arial" w:cs="Arial"/>
          <w:color w:val="000000"/>
          <w:sz w:val="21"/>
          <w:szCs w:val="21"/>
        </w:rPr>
        <w:t>11#</w:t>
      </w:r>
      <w:r>
        <w:rPr>
          <w:rFonts w:hint="eastAsia" w:ascii="Arial" w:hAnsi="Arial" w:cs="Arial"/>
          <w:color w:val="000000"/>
          <w:sz w:val="21"/>
          <w:szCs w:val="21"/>
        </w:rPr>
        <w:t>）。除</w:t>
      </w:r>
      <w:r>
        <w:rPr>
          <w:rFonts w:ascii="Arial" w:hAnsi="Arial" w:cs="Arial"/>
          <w:color w:val="000000"/>
          <w:sz w:val="21"/>
          <w:szCs w:val="21"/>
        </w:rPr>
        <w:t>1#</w:t>
      </w:r>
      <w:r>
        <w:rPr>
          <w:rFonts w:hint="eastAsia" w:ascii="Arial" w:hAnsi="Arial" w:cs="Arial"/>
          <w:color w:val="000000"/>
          <w:sz w:val="21"/>
          <w:szCs w:val="21"/>
        </w:rPr>
        <w:t>地块预售证外，均已办理完成。办理进度符合第一次董事会决议的商业计划节点要求。</w:t>
      </w:r>
    </w:p>
    <w:p>
      <w:pPr>
        <w:numPr>
          <w:ilvl w:val="0"/>
          <w:numId w:val="2"/>
        </w:numPr>
        <w:spacing w:line="360" w:lineRule="auto"/>
        <w:ind w:firstLine="422" w:firstLineChars="200"/>
        <w:jc w:val="both"/>
        <w:rPr>
          <w:rFonts w:ascii="Arial" w:hAnsi="Arial" w:cs="Arial"/>
          <w:b/>
          <w:bCs/>
          <w:sz w:val="21"/>
          <w:szCs w:val="21"/>
        </w:rPr>
      </w:pPr>
      <w:r>
        <w:rPr>
          <w:rFonts w:hint="eastAsia" w:ascii="Arial" w:hAnsi="Arial" w:cs="Arial"/>
          <w:b/>
          <w:bCs/>
          <w:sz w:val="21"/>
          <w:szCs w:val="21"/>
        </w:rPr>
        <w:t>工程进度</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首批推盘区最高施工至22层；其它货量区：</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 xml:space="preserve">①2#地块（一期）一标段8#十八层结构梁板钢筋安装，腰梁以下墙体2-8层，腰梁以上墙体2-8层，构造柱2-6层；11#二十层结构墙柱钢筋安装，腰梁以下墙体2-8层，腰梁以上墙体2-7层，构造柱2-6层；5#十二层结构叠合板安装；6#九层墙柱钢筋安装；3#八层砼待浇筑；二标段9#屋面构架砼浇筑完成，腰梁以下2-8层，腰梁以上2-5层，构造柱2-4层；10#二十二层结构排架搭设完成，腰梁以下2-8层，腰梁以上2-4层，构造柱2-4层；4#十一层结构梁板钢筋安装、7#十二层面砼待浇筑，2#八层砼待浇筑。 </w:t>
      </w:r>
    </w:p>
    <w:p>
      <w:pPr>
        <w:spacing w:line="360" w:lineRule="auto"/>
        <w:ind w:firstLine="420" w:firstLineChars="200"/>
        <w:jc w:val="both"/>
        <w:rPr>
          <w:rFonts w:ascii="Arial" w:hAnsi="Arial" w:cs="Arial"/>
          <w:sz w:val="21"/>
          <w:szCs w:val="21"/>
        </w:rPr>
      </w:pPr>
      <w:r>
        <w:rPr>
          <w:rFonts w:hint="eastAsia" w:ascii="Arial" w:hAnsi="Arial" w:cs="Arial"/>
          <w:color w:val="000000"/>
          <w:sz w:val="21"/>
          <w:szCs w:val="21"/>
        </w:rPr>
        <w:t>②1#地块（二期）1#楼东侧双轴围护已完成；2#楼坑中坑及主楼边双轴施工完成；地库桩基完成95%；6#、8#楼土方开挖完成30%。总体工程进度符合第一次董事会的商业计划进度要求。</w:t>
      </w:r>
    </w:p>
    <w:p>
      <w:pPr>
        <w:numPr>
          <w:ilvl w:val="0"/>
          <w:numId w:val="2"/>
        </w:numPr>
        <w:spacing w:line="360" w:lineRule="auto"/>
        <w:ind w:firstLine="422" w:firstLineChars="200"/>
        <w:jc w:val="both"/>
        <w:rPr>
          <w:rFonts w:ascii="Arial" w:hAnsi="Arial" w:cs="Arial"/>
          <w:sz w:val="21"/>
          <w:szCs w:val="21"/>
        </w:rPr>
      </w:pPr>
      <w:r>
        <w:rPr>
          <w:rFonts w:hint="eastAsia" w:ascii="Arial" w:hAnsi="Arial" w:cs="Arial"/>
          <w:b/>
          <w:bCs/>
          <w:sz w:val="21"/>
          <w:szCs w:val="21"/>
        </w:rPr>
        <w:t>资金收支</w:t>
      </w:r>
    </w:p>
    <w:p>
      <w:pPr>
        <w:spacing w:line="360" w:lineRule="auto"/>
        <w:ind w:firstLine="420" w:firstLineChars="200"/>
        <w:rPr>
          <w:rFonts w:ascii="Arial" w:hAnsi="Arial" w:cs="Arial"/>
          <w:color w:val="000000"/>
          <w:sz w:val="21"/>
          <w:szCs w:val="21"/>
        </w:rPr>
      </w:pPr>
      <w:r>
        <w:rPr>
          <w:rFonts w:ascii="Arial" w:hAnsi="Arial" w:cs="Arial"/>
          <w:color w:val="000000"/>
          <w:sz w:val="21"/>
          <w:szCs w:val="21"/>
        </w:rPr>
        <w:t>本月项目公司资金流入</w:t>
      </w:r>
      <w:r>
        <w:rPr>
          <w:rFonts w:hint="eastAsia" w:ascii="Arial" w:hAnsi="Arial" w:cs="Arial"/>
          <w:color w:val="000000"/>
          <w:sz w:val="21"/>
          <w:szCs w:val="21"/>
        </w:rPr>
        <w:t>16,090.49</w:t>
      </w:r>
      <w:r>
        <w:rPr>
          <w:rFonts w:ascii="Arial" w:hAnsi="Arial" w:cs="Arial"/>
          <w:color w:val="000000"/>
          <w:sz w:val="21"/>
          <w:szCs w:val="21"/>
        </w:rPr>
        <w:t>万元，其中销售回款</w:t>
      </w:r>
      <w:r>
        <w:rPr>
          <w:rFonts w:hint="eastAsia" w:ascii="Arial" w:hAnsi="Arial" w:cs="Arial"/>
          <w:color w:val="000000"/>
          <w:sz w:val="21"/>
          <w:szCs w:val="21"/>
        </w:rPr>
        <w:t>15,860.50</w:t>
      </w:r>
      <w:r>
        <w:rPr>
          <w:rFonts w:ascii="Arial" w:hAnsi="Arial" w:cs="Arial"/>
          <w:color w:val="000000"/>
          <w:sz w:val="21"/>
          <w:szCs w:val="21"/>
        </w:rPr>
        <w:t>万元，投标保证金</w:t>
      </w:r>
      <w:r>
        <w:rPr>
          <w:rFonts w:hint="eastAsia" w:ascii="Arial" w:hAnsi="Arial" w:cs="Arial"/>
          <w:color w:val="000000"/>
          <w:sz w:val="21"/>
          <w:szCs w:val="21"/>
        </w:rPr>
        <w:t>160.00</w:t>
      </w:r>
      <w:r>
        <w:rPr>
          <w:rFonts w:ascii="Arial" w:hAnsi="Arial" w:cs="Arial"/>
          <w:color w:val="000000"/>
          <w:sz w:val="21"/>
          <w:szCs w:val="21"/>
        </w:rPr>
        <w:t>万元，</w:t>
      </w:r>
      <w:r>
        <w:rPr>
          <w:rFonts w:hint="eastAsia" w:ascii="Arial" w:hAnsi="Arial" w:cs="Arial"/>
          <w:color w:val="000000"/>
          <w:sz w:val="21"/>
          <w:szCs w:val="21"/>
        </w:rPr>
        <w:t>其他69.99万元(银行结息及出售商务车款)</w:t>
      </w:r>
      <w:r>
        <w:rPr>
          <w:rFonts w:ascii="Arial" w:hAnsi="Arial" w:cs="Arial"/>
          <w:color w:val="000000"/>
          <w:sz w:val="21"/>
          <w:szCs w:val="21"/>
        </w:rPr>
        <w:t>；本月项目公司资金支出</w:t>
      </w:r>
      <w:r>
        <w:rPr>
          <w:rFonts w:hint="eastAsia" w:ascii="Arial" w:hAnsi="Arial" w:cs="Arial"/>
          <w:color w:val="000000"/>
          <w:sz w:val="21"/>
          <w:szCs w:val="21"/>
        </w:rPr>
        <w:t>8,562.96</w:t>
      </w:r>
      <w:r>
        <w:rPr>
          <w:rFonts w:ascii="Arial" w:hAnsi="Arial" w:cs="Arial"/>
          <w:color w:val="000000"/>
          <w:sz w:val="21"/>
          <w:szCs w:val="21"/>
        </w:rPr>
        <w:t>万元，其中前期费用</w:t>
      </w:r>
      <w:r>
        <w:rPr>
          <w:rFonts w:hint="eastAsia" w:ascii="Arial" w:hAnsi="Arial" w:cs="Arial"/>
          <w:color w:val="000000"/>
          <w:sz w:val="21"/>
          <w:szCs w:val="21"/>
        </w:rPr>
        <w:t xml:space="preserve">61.16 </w:t>
      </w:r>
      <w:r>
        <w:rPr>
          <w:rFonts w:ascii="Arial" w:hAnsi="Arial" w:cs="Arial"/>
          <w:color w:val="000000"/>
          <w:sz w:val="21"/>
          <w:szCs w:val="21"/>
        </w:rPr>
        <w:t>万元，</w:t>
      </w:r>
      <w:r>
        <w:rPr>
          <w:rFonts w:hint="eastAsia" w:ascii="Arial" w:hAnsi="Arial" w:cs="Arial"/>
          <w:color w:val="000000"/>
          <w:sz w:val="21"/>
          <w:szCs w:val="21"/>
        </w:rPr>
        <w:t>建安费用1,475.48万元，</w:t>
      </w:r>
      <w:r>
        <w:rPr>
          <w:rFonts w:ascii="Arial" w:hAnsi="Arial" w:cs="Arial"/>
          <w:color w:val="000000"/>
          <w:sz w:val="21"/>
          <w:szCs w:val="21"/>
        </w:rPr>
        <w:t>营销费用</w:t>
      </w:r>
      <w:r>
        <w:rPr>
          <w:rFonts w:hint="eastAsia" w:ascii="Arial" w:hAnsi="Arial" w:cs="Arial"/>
          <w:color w:val="000000"/>
          <w:sz w:val="21"/>
          <w:szCs w:val="21"/>
        </w:rPr>
        <w:t xml:space="preserve">135.53 </w:t>
      </w:r>
      <w:r>
        <w:rPr>
          <w:rFonts w:ascii="Arial" w:hAnsi="Arial" w:cs="Arial"/>
          <w:color w:val="000000"/>
          <w:sz w:val="21"/>
          <w:szCs w:val="21"/>
        </w:rPr>
        <w:t>万元，管理费用</w:t>
      </w:r>
      <w:r>
        <w:rPr>
          <w:rFonts w:hint="eastAsia" w:ascii="Arial" w:hAnsi="Arial" w:cs="Arial"/>
          <w:color w:val="000000"/>
          <w:sz w:val="21"/>
          <w:szCs w:val="21"/>
        </w:rPr>
        <w:t xml:space="preserve">87.69 </w:t>
      </w:r>
      <w:r>
        <w:rPr>
          <w:rFonts w:ascii="Arial" w:hAnsi="Arial" w:cs="Arial"/>
          <w:color w:val="000000"/>
          <w:sz w:val="21"/>
          <w:szCs w:val="21"/>
        </w:rPr>
        <w:t>万元，财务费用</w:t>
      </w:r>
      <w:r>
        <w:rPr>
          <w:rFonts w:hint="eastAsia" w:ascii="Arial" w:hAnsi="Arial" w:cs="Arial"/>
          <w:color w:val="000000"/>
          <w:sz w:val="21"/>
          <w:szCs w:val="21"/>
        </w:rPr>
        <w:t xml:space="preserve">1,431.69 </w:t>
      </w:r>
      <w:r>
        <w:rPr>
          <w:rFonts w:ascii="Arial" w:hAnsi="Arial" w:cs="Arial"/>
          <w:color w:val="000000"/>
          <w:sz w:val="21"/>
          <w:szCs w:val="21"/>
        </w:rPr>
        <w:t>万元</w:t>
      </w:r>
      <w:r>
        <w:rPr>
          <w:rFonts w:hint="eastAsia" w:ascii="Arial" w:hAnsi="Arial" w:cs="Arial"/>
          <w:color w:val="000000"/>
          <w:sz w:val="21"/>
          <w:szCs w:val="21"/>
        </w:rPr>
        <w:t>(包含2021年第二季度开发贷利息）</w:t>
      </w:r>
      <w:r>
        <w:rPr>
          <w:rFonts w:ascii="Arial" w:hAnsi="Arial" w:cs="Arial"/>
          <w:color w:val="000000"/>
          <w:sz w:val="21"/>
          <w:szCs w:val="21"/>
        </w:rPr>
        <w:t>，税费</w:t>
      </w:r>
      <w:r>
        <w:rPr>
          <w:rFonts w:hint="eastAsia" w:ascii="Arial" w:hAnsi="Arial" w:cs="Arial"/>
          <w:color w:val="000000"/>
          <w:sz w:val="21"/>
          <w:szCs w:val="21"/>
        </w:rPr>
        <w:t xml:space="preserve">424.09 </w:t>
      </w:r>
      <w:r>
        <w:rPr>
          <w:rFonts w:ascii="Arial" w:hAnsi="Arial" w:cs="Arial"/>
          <w:color w:val="000000"/>
          <w:sz w:val="21"/>
          <w:szCs w:val="21"/>
        </w:rPr>
        <w:t>万元，</w:t>
      </w:r>
      <w:r>
        <w:rPr>
          <w:rFonts w:hint="eastAsia" w:ascii="Arial" w:hAnsi="Arial" w:cs="Arial"/>
          <w:color w:val="000000"/>
          <w:sz w:val="21"/>
          <w:szCs w:val="21"/>
        </w:rPr>
        <w:t>退投标保证金150.00 万元，往来款4,797.32万元（支付中航利益分配）</w:t>
      </w:r>
      <w:r>
        <w:rPr>
          <w:rFonts w:ascii="Arial" w:hAnsi="Arial" w:cs="Arial"/>
          <w:color w:val="000000"/>
          <w:sz w:val="21"/>
          <w:szCs w:val="21"/>
        </w:rPr>
        <w:t>；所有账户余额</w:t>
      </w:r>
      <w:r>
        <w:rPr>
          <w:rFonts w:hint="eastAsia" w:ascii="Arial" w:hAnsi="Arial" w:cs="Arial"/>
          <w:color w:val="000000"/>
          <w:sz w:val="21"/>
          <w:szCs w:val="21"/>
        </w:rPr>
        <w:t>46,640.80</w:t>
      </w:r>
      <w:r>
        <w:rPr>
          <w:rFonts w:ascii="Arial" w:hAnsi="Arial" w:cs="Arial"/>
          <w:color w:val="000000"/>
          <w:sz w:val="21"/>
          <w:szCs w:val="21"/>
        </w:rPr>
        <w:t>万元，其中受限资金</w:t>
      </w:r>
      <w:r>
        <w:rPr>
          <w:rFonts w:hint="eastAsia" w:ascii="Arial" w:hAnsi="Arial" w:cs="Arial"/>
          <w:color w:val="000000"/>
          <w:sz w:val="21"/>
          <w:szCs w:val="21"/>
        </w:rPr>
        <w:t>36,557.20</w:t>
      </w:r>
      <w:r>
        <w:rPr>
          <w:rFonts w:ascii="Arial" w:hAnsi="Arial" w:cs="Arial"/>
          <w:color w:val="000000"/>
          <w:sz w:val="21"/>
          <w:szCs w:val="21"/>
        </w:rPr>
        <w:t>万元。本月</w:t>
      </w:r>
      <w:r>
        <w:rPr>
          <w:rFonts w:hint="eastAsia" w:ascii="Arial" w:hAnsi="Arial" w:cs="Arial"/>
          <w:color w:val="000000"/>
          <w:sz w:val="21"/>
          <w:szCs w:val="21"/>
        </w:rPr>
        <w:t>未发生</w:t>
      </w:r>
      <w:r>
        <w:rPr>
          <w:rFonts w:ascii="Arial" w:hAnsi="Arial" w:cs="Arial"/>
          <w:color w:val="000000"/>
          <w:sz w:val="21"/>
          <w:szCs w:val="21"/>
        </w:rPr>
        <w:t>股东方资金回笼</w:t>
      </w:r>
      <w:r>
        <w:rPr>
          <w:rFonts w:hint="eastAsia" w:ascii="Arial" w:hAnsi="Arial" w:cs="Arial"/>
          <w:color w:val="000000"/>
          <w:sz w:val="21"/>
          <w:szCs w:val="21"/>
        </w:rPr>
        <w:t>事项。</w:t>
      </w:r>
    </w:p>
    <w:p>
      <w:pPr>
        <w:numPr>
          <w:ilvl w:val="0"/>
          <w:numId w:val="2"/>
        </w:numPr>
        <w:spacing w:line="360" w:lineRule="auto"/>
        <w:ind w:firstLine="422" w:firstLineChars="200"/>
        <w:jc w:val="both"/>
        <w:rPr>
          <w:rFonts w:ascii="宋体" w:hAnsi="宋体" w:cs="宋体"/>
          <w:color w:val="000000"/>
          <w:sz w:val="21"/>
          <w:szCs w:val="21"/>
        </w:rPr>
      </w:pPr>
      <w:r>
        <w:rPr>
          <w:rFonts w:hint="eastAsia" w:ascii="Arial" w:hAnsi="Arial" w:cs="Arial"/>
          <w:b/>
          <w:bCs/>
          <w:sz w:val="21"/>
          <w:szCs w:val="21"/>
        </w:rPr>
        <w:t>成本合约</w:t>
      </w:r>
    </w:p>
    <w:p>
      <w:pPr>
        <w:spacing w:line="360" w:lineRule="auto"/>
        <w:ind w:firstLine="420" w:firstLineChars="200"/>
        <w:rPr>
          <w:rFonts w:ascii="Arial" w:hAnsi="Arial" w:cs="Arial"/>
          <w:sz w:val="21"/>
          <w:szCs w:val="21"/>
        </w:rPr>
      </w:pPr>
      <w:r>
        <w:rPr>
          <w:rFonts w:hint="eastAsia" w:ascii="Arial" w:hAnsi="Arial" w:cs="Arial"/>
          <w:color w:val="000000"/>
          <w:sz w:val="21"/>
          <w:szCs w:val="21"/>
        </w:rPr>
        <w:t>项目开发成本累计投入170,432.26 万元（包含非合同付款），占开发成本总预算的59.33</w:t>
      </w:r>
      <w:r>
        <w:rPr>
          <w:rFonts w:ascii="Arial" w:hAnsi="Arial" w:cs="Arial"/>
          <w:color w:val="000000"/>
          <w:sz w:val="21"/>
          <w:szCs w:val="21"/>
        </w:rPr>
        <w:t>%</w:t>
      </w:r>
      <w:r>
        <w:rPr>
          <w:rFonts w:hint="eastAsia" w:ascii="Arial" w:hAnsi="Arial" w:cs="Arial"/>
          <w:color w:val="000000"/>
          <w:sz w:val="21"/>
          <w:szCs w:val="21"/>
        </w:rPr>
        <w:t>，未发生成本超支及与进度不符情况；项目本月签署11份成本类合同，签订合同金额为1,750.18万元，累计</w:t>
      </w:r>
      <w:r>
        <w:rPr>
          <w:rFonts w:hint="eastAsia" w:ascii="Arial" w:hAnsi="Arial" w:cs="Arial"/>
          <w:sz w:val="21"/>
          <w:szCs w:val="21"/>
        </w:rPr>
        <w:t>成本</w:t>
      </w:r>
      <w:r>
        <w:rPr>
          <w:rFonts w:hint="eastAsia" w:ascii="Arial" w:hAnsi="Arial" w:cs="Arial"/>
          <w:color w:val="000000"/>
          <w:sz w:val="21"/>
          <w:szCs w:val="21"/>
        </w:rPr>
        <w:t>合同金额（含已发生的无合同成本）211,569.74 万元，占开发成本总预算的73.66</w:t>
      </w:r>
      <w:r>
        <w:rPr>
          <w:rFonts w:ascii="Arial" w:hAnsi="Arial" w:cs="Arial"/>
          <w:color w:val="000000"/>
          <w:sz w:val="21"/>
          <w:szCs w:val="21"/>
        </w:rPr>
        <w:t>%</w:t>
      </w:r>
      <w:r>
        <w:rPr>
          <w:rFonts w:hint="eastAsia" w:ascii="Arial" w:hAnsi="Arial" w:cs="Arial"/>
          <w:color w:val="000000"/>
          <w:sz w:val="21"/>
          <w:szCs w:val="21"/>
        </w:rPr>
        <w:t>，未超预算。</w:t>
      </w:r>
    </w:p>
    <w:p>
      <w:pPr>
        <w:spacing w:line="360" w:lineRule="auto"/>
        <w:ind w:firstLine="422" w:firstLineChars="200"/>
        <w:rPr>
          <w:rFonts w:ascii="宋体" w:hAnsi="宋体" w:cs="宋体"/>
          <w:b/>
          <w:bCs/>
          <w:color w:val="000000"/>
          <w:sz w:val="21"/>
          <w:szCs w:val="21"/>
        </w:rPr>
      </w:pPr>
      <w:r>
        <w:rPr>
          <w:rFonts w:hint="eastAsia" w:ascii="宋体" w:hAnsi="宋体" w:cs="宋体"/>
          <w:b/>
          <w:bCs/>
          <w:color w:val="000000"/>
          <w:sz w:val="21"/>
          <w:szCs w:val="21"/>
        </w:rPr>
        <w:t>（10）项目开发贷及其他融资</w:t>
      </w:r>
    </w:p>
    <w:p>
      <w:pPr>
        <w:spacing w:line="360" w:lineRule="auto"/>
        <w:ind w:firstLine="420" w:firstLineChars="200"/>
        <w:rPr>
          <w:rFonts w:ascii="Arial" w:hAnsi="Arial" w:cs="Arial"/>
          <w:color w:val="000000"/>
          <w:sz w:val="21"/>
          <w:szCs w:val="21"/>
        </w:rPr>
      </w:pPr>
      <w:r>
        <w:rPr>
          <w:rFonts w:hint="eastAsia" w:ascii="宋体" w:hAnsi="宋体" w:cs="宋体"/>
          <w:color w:val="000000"/>
          <w:sz w:val="21"/>
          <w:szCs w:val="21"/>
        </w:rPr>
        <w:t>项</w:t>
      </w:r>
      <w:r>
        <w:rPr>
          <w:rFonts w:hint="eastAsia" w:ascii="Arial" w:hAnsi="Arial" w:cs="Arial"/>
          <w:color w:val="000000"/>
          <w:sz w:val="21"/>
          <w:szCs w:val="21"/>
        </w:rPr>
        <w:t>目公司于</w:t>
      </w:r>
      <w:r>
        <w:rPr>
          <w:rFonts w:ascii="Arial" w:hAnsi="Arial" w:cs="Arial"/>
          <w:color w:val="000000"/>
          <w:sz w:val="21"/>
          <w:szCs w:val="21"/>
        </w:rPr>
        <w:t>2020</w:t>
      </w:r>
      <w:r>
        <w:rPr>
          <w:rFonts w:hint="eastAsia" w:ascii="Arial" w:hAnsi="Arial" w:cs="Arial"/>
          <w:color w:val="000000"/>
          <w:sz w:val="21"/>
          <w:szCs w:val="21"/>
        </w:rPr>
        <w:t>年</w:t>
      </w:r>
      <w:r>
        <w:rPr>
          <w:rFonts w:ascii="Arial" w:hAnsi="Arial" w:cs="Arial"/>
          <w:color w:val="000000"/>
          <w:sz w:val="21"/>
          <w:szCs w:val="21"/>
        </w:rPr>
        <w:t>12</w:t>
      </w:r>
      <w:r>
        <w:rPr>
          <w:rFonts w:hint="eastAsia" w:ascii="Arial" w:hAnsi="Arial" w:cs="Arial"/>
          <w:color w:val="000000"/>
          <w:sz w:val="21"/>
          <w:szCs w:val="21"/>
        </w:rPr>
        <w:t>月</w:t>
      </w:r>
      <w:r>
        <w:rPr>
          <w:rFonts w:ascii="Arial" w:hAnsi="Arial" w:cs="Arial"/>
          <w:color w:val="000000"/>
          <w:sz w:val="21"/>
          <w:szCs w:val="21"/>
        </w:rPr>
        <w:t>16</w:t>
      </w:r>
      <w:r>
        <w:rPr>
          <w:rFonts w:hint="eastAsia" w:ascii="Arial" w:hAnsi="Arial" w:cs="Arial"/>
          <w:color w:val="000000"/>
          <w:sz w:val="21"/>
          <w:szCs w:val="21"/>
        </w:rPr>
        <w:t>日与江苏银行签订开发贷合同，项目公司自愿将苏（</w:t>
      </w:r>
      <w:r>
        <w:rPr>
          <w:rFonts w:ascii="Arial" w:hAnsi="Arial" w:cs="Arial"/>
          <w:color w:val="000000"/>
          <w:sz w:val="21"/>
          <w:szCs w:val="21"/>
        </w:rPr>
        <w:t>2020</w:t>
      </w:r>
      <w:r>
        <w:rPr>
          <w:rFonts w:hint="eastAsia" w:ascii="Arial" w:hAnsi="Arial" w:cs="Arial"/>
          <w:color w:val="000000"/>
          <w:sz w:val="21"/>
          <w:szCs w:val="21"/>
        </w:rPr>
        <w:t>）苏州市吴江区不动产权第</w:t>
      </w:r>
      <w:r>
        <w:rPr>
          <w:rFonts w:ascii="Arial" w:hAnsi="Arial" w:cs="Arial"/>
          <w:color w:val="000000"/>
          <w:sz w:val="21"/>
          <w:szCs w:val="21"/>
        </w:rPr>
        <w:t>9032627</w:t>
      </w:r>
      <w:r>
        <w:rPr>
          <w:rFonts w:hint="eastAsia" w:ascii="Arial" w:hAnsi="Arial" w:cs="Arial"/>
          <w:color w:val="000000"/>
          <w:sz w:val="21"/>
          <w:szCs w:val="21"/>
        </w:rPr>
        <w:t>号、苏（</w:t>
      </w:r>
      <w:r>
        <w:rPr>
          <w:rFonts w:ascii="Arial" w:hAnsi="Arial" w:cs="Arial"/>
          <w:color w:val="000000"/>
          <w:sz w:val="21"/>
          <w:szCs w:val="21"/>
        </w:rPr>
        <w:t>2020</w:t>
      </w:r>
      <w:r>
        <w:rPr>
          <w:rFonts w:hint="eastAsia" w:ascii="Arial" w:hAnsi="Arial" w:cs="Arial"/>
          <w:color w:val="000000"/>
          <w:sz w:val="21"/>
          <w:szCs w:val="21"/>
        </w:rPr>
        <w:t>）苏州市吴江区不动产权第</w:t>
      </w:r>
      <w:r>
        <w:rPr>
          <w:rFonts w:ascii="Arial" w:hAnsi="Arial" w:cs="Arial"/>
          <w:color w:val="000000"/>
          <w:sz w:val="21"/>
          <w:szCs w:val="21"/>
        </w:rPr>
        <w:t>9032632</w:t>
      </w:r>
      <w:r>
        <w:rPr>
          <w:rFonts w:hint="eastAsia" w:ascii="Arial" w:hAnsi="Arial" w:cs="Arial"/>
          <w:color w:val="000000"/>
          <w:sz w:val="21"/>
          <w:szCs w:val="21"/>
        </w:rPr>
        <w:t>号作为抵押物向江苏银行申请开发贷，贷款总金额不超过</w:t>
      </w:r>
      <w:r>
        <w:rPr>
          <w:rFonts w:ascii="Arial" w:hAnsi="Arial" w:cs="Arial"/>
          <w:color w:val="000000"/>
          <w:sz w:val="21"/>
          <w:szCs w:val="21"/>
        </w:rPr>
        <w:t>15</w:t>
      </w:r>
      <w:r>
        <w:rPr>
          <w:rFonts w:hint="eastAsia" w:ascii="Arial" w:hAnsi="Arial" w:cs="Arial"/>
          <w:color w:val="000000"/>
          <w:sz w:val="21"/>
          <w:szCs w:val="21"/>
        </w:rPr>
        <w:t>亿元，分批次放款，于</w:t>
      </w:r>
      <w:r>
        <w:rPr>
          <w:rFonts w:ascii="Arial" w:hAnsi="Arial" w:cs="Arial"/>
          <w:color w:val="000000"/>
          <w:sz w:val="21"/>
          <w:szCs w:val="21"/>
        </w:rPr>
        <w:t>2020</w:t>
      </w:r>
      <w:r>
        <w:rPr>
          <w:rFonts w:hint="eastAsia" w:ascii="Arial" w:hAnsi="Arial" w:cs="Arial"/>
          <w:color w:val="000000"/>
          <w:sz w:val="21"/>
          <w:szCs w:val="21"/>
        </w:rPr>
        <w:t>年</w:t>
      </w:r>
      <w:r>
        <w:rPr>
          <w:rFonts w:ascii="Arial" w:hAnsi="Arial" w:cs="Arial"/>
          <w:color w:val="000000"/>
          <w:sz w:val="21"/>
          <w:szCs w:val="21"/>
        </w:rPr>
        <w:t>12</w:t>
      </w:r>
      <w:r>
        <w:rPr>
          <w:rFonts w:hint="eastAsia" w:ascii="Arial" w:hAnsi="Arial" w:cs="Arial"/>
          <w:color w:val="000000"/>
          <w:sz w:val="21"/>
          <w:szCs w:val="21"/>
        </w:rPr>
        <w:t>月</w:t>
      </w:r>
      <w:r>
        <w:rPr>
          <w:rFonts w:ascii="Arial" w:hAnsi="Arial" w:cs="Arial"/>
          <w:color w:val="000000"/>
          <w:sz w:val="21"/>
          <w:szCs w:val="21"/>
        </w:rPr>
        <w:t>24</w:t>
      </w:r>
      <w:r>
        <w:rPr>
          <w:rFonts w:hint="eastAsia" w:ascii="Arial" w:hAnsi="Arial" w:cs="Arial"/>
          <w:color w:val="000000"/>
          <w:sz w:val="21"/>
          <w:szCs w:val="21"/>
        </w:rPr>
        <w:t>日放款</w:t>
      </w:r>
      <w:r>
        <w:rPr>
          <w:rFonts w:ascii="Arial" w:hAnsi="Arial" w:cs="Arial"/>
          <w:color w:val="000000"/>
          <w:sz w:val="21"/>
          <w:szCs w:val="21"/>
        </w:rPr>
        <w:t>5</w:t>
      </w:r>
      <w:r>
        <w:rPr>
          <w:rFonts w:hint="eastAsia" w:ascii="Arial" w:hAnsi="Arial" w:cs="Arial"/>
          <w:color w:val="000000"/>
          <w:sz w:val="21"/>
          <w:szCs w:val="21"/>
        </w:rPr>
        <w:t>亿元，</w:t>
      </w:r>
      <w:r>
        <w:rPr>
          <w:rFonts w:ascii="Arial" w:hAnsi="Arial" w:cs="Arial"/>
          <w:color w:val="000000"/>
          <w:sz w:val="21"/>
          <w:szCs w:val="21"/>
        </w:rPr>
        <w:t>2021</w:t>
      </w:r>
      <w:r>
        <w:rPr>
          <w:rFonts w:hint="eastAsia" w:ascii="Arial" w:hAnsi="Arial" w:cs="Arial"/>
          <w:color w:val="000000"/>
          <w:sz w:val="21"/>
          <w:szCs w:val="21"/>
        </w:rPr>
        <w:t>年</w:t>
      </w:r>
      <w:r>
        <w:rPr>
          <w:rFonts w:ascii="Arial" w:hAnsi="Arial" w:cs="Arial"/>
          <w:color w:val="000000"/>
          <w:sz w:val="21"/>
          <w:szCs w:val="21"/>
        </w:rPr>
        <w:t>1</w:t>
      </w:r>
      <w:r>
        <w:rPr>
          <w:rFonts w:hint="eastAsia" w:ascii="Arial" w:hAnsi="Arial" w:cs="Arial"/>
          <w:color w:val="000000"/>
          <w:sz w:val="21"/>
          <w:szCs w:val="21"/>
        </w:rPr>
        <w:t>月</w:t>
      </w:r>
      <w:r>
        <w:rPr>
          <w:rFonts w:ascii="Arial" w:hAnsi="Arial" w:cs="Arial"/>
          <w:color w:val="000000"/>
          <w:sz w:val="21"/>
          <w:szCs w:val="21"/>
        </w:rPr>
        <w:t>22</w:t>
      </w:r>
      <w:r>
        <w:rPr>
          <w:rFonts w:hint="eastAsia" w:ascii="Arial" w:hAnsi="Arial" w:cs="Arial"/>
          <w:color w:val="000000"/>
          <w:sz w:val="21"/>
          <w:szCs w:val="21"/>
        </w:rPr>
        <w:t>日放款</w:t>
      </w:r>
      <w:r>
        <w:rPr>
          <w:rFonts w:ascii="Arial" w:hAnsi="Arial" w:cs="Arial"/>
          <w:color w:val="000000"/>
          <w:sz w:val="21"/>
          <w:szCs w:val="21"/>
        </w:rPr>
        <w:t>3</w:t>
      </w:r>
      <w:r>
        <w:rPr>
          <w:rFonts w:hint="eastAsia" w:ascii="Arial" w:hAnsi="Arial" w:cs="Arial"/>
          <w:color w:val="000000"/>
          <w:sz w:val="21"/>
          <w:szCs w:val="21"/>
        </w:rPr>
        <w:t>亿元，本月未发生开发贷放款、还款事项。截至本</w:t>
      </w:r>
      <w:r>
        <w:rPr>
          <w:rFonts w:hint="eastAsia" w:ascii="Arial" w:hAnsi="Arial" w:cs="Arial"/>
          <w:sz w:val="21"/>
          <w:szCs w:val="21"/>
        </w:rPr>
        <w:t>月底</w:t>
      </w:r>
      <w:r>
        <w:rPr>
          <w:rFonts w:hint="eastAsia" w:ascii="Arial" w:hAnsi="Arial" w:cs="Arial"/>
          <w:color w:val="000000"/>
          <w:sz w:val="21"/>
          <w:szCs w:val="21"/>
        </w:rPr>
        <w:t>，项目未发生商业承兑以及商业保理等形式的融资。</w:t>
      </w:r>
    </w:p>
    <w:p>
      <w:pPr>
        <w:spacing w:line="360" w:lineRule="auto"/>
        <w:ind w:firstLine="422" w:firstLineChars="200"/>
        <w:rPr>
          <w:rFonts w:ascii="宋体" w:hAnsi="宋体" w:cs="宋体"/>
          <w:b/>
          <w:bCs/>
          <w:color w:val="000000"/>
          <w:sz w:val="21"/>
          <w:szCs w:val="21"/>
        </w:rPr>
      </w:pPr>
      <w:r>
        <w:rPr>
          <w:rFonts w:hint="eastAsia" w:ascii="宋体" w:hAnsi="宋体" w:cs="宋体"/>
          <w:b/>
          <w:bCs/>
          <w:color w:val="000000"/>
          <w:sz w:val="21"/>
          <w:szCs w:val="21"/>
        </w:rPr>
        <w:t>（11）其他重大事件及存在的风险情况披露：</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①2021年6月19日加推3#楼，加推面积10,829.62 平方米，加推套数为76套（预售证已于5月27日取得）。</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②受预抵押政策影响，</w:t>
      </w:r>
      <w:r>
        <w:rPr>
          <w:rFonts w:ascii="Arial" w:hAnsi="Arial" w:cs="Arial"/>
          <w:color w:val="000000"/>
          <w:sz w:val="21"/>
          <w:szCs w:val="21"/>
        </w:rPr>
        <w:t>2021</w:t>
      </w:r>
      <w:r>
        <w:rPr>
          <w:rFonts w:hint="eastAsia" w:ascii="Arial" w:hAnsi="Arial" w:cs="Arial"/>
          <w:color w:val="000000"/>
          <w:sz w:val="21"/>
          <w:szCs w:val="21"/>
        </w:rPr>
        <w:t>年</w:t>
      </w:r>
      <w:r>
        <w:rPr>
          <w:rFonts w:ascii="Arial" w:hAnsi="Arial" w:cs="Arial"/>
          <w:color w:val="000000"/>
          <w:sz w:val="21"/>
          <w:szCs w:val="21"/>
        </w:rPr>
        <w:t>1</w:t>
      </w:r>
      <w:r>
        <w:rPr>
          <w:rFonts w:hint="eastAsia" w:ascii="Arial" w:hAnsi="Arial" w:cs="Arial"/>
          <w:color w:val="000000"/>
          <w:sz w:val="21"/>
          <w:szCs w:val="21"/>
        </w:rPr>
        <w:t>月</w:t>
      </w:r>
      <w:r>
        <w:rPr>
          <w:rFonts w:ascii="Arial" w:hAnsi="Arial" w:cs="Arial"/>
          <w:color w:val="000000"/>
          <w:sz w:val="21"/>
          <w:szCs w:val="21"/>
        </w:rPr>
        <w:t>28</w:t>
      </w:r>
      <w:r>
        <w:rPr>
          <w:rFonts w:hint="eastAsia" w:ascii="Arial" w:hAnsi="Arial" w:cs="Arial"/>
          <w:color w:val="000000"/>
          <w:sz w:val="21"/>
          <w:szCs w:val="21"/>
        </w:rPr>
        <w:t>日之后备案的合同，江苏银行按揭放款已暂时停止，放款将在归还江苏银行相应楼栋开发贷后继续。</w:t>
      </w:r>
    </w:p>
    <w:p>
      <w:pPr>
        <w:pStyle w:val="2"/>
        <w:rPr>
          <w:rFonts w:ascii="Arial" w:hAnsi="Arial" w:cs="Arial"/>
          <w:color w:val="000000"/>
          <w:kern w:val="0"/>
          <w:szCs w:val="21"/>
        </w:rPr>
      </w:pPr>
    </w:p>
    <w:p>
      <w:pPr>
        <w:pStyle w:val="2"/>
      </w:pPr>
    </w:p>
    <w:p>
      <w:pPr>
        <w:spacing w:line="360" w:lineRule="auto"/>
        <w:ind w:firstLine="420" w:firstLineChars="200"/>
        <w:rPr>
          <w:rFonts w:ascii="宋体" w:hAnsi="宋体" w:cs="宋体"/>
          <w:color w:val="000000"/>
          <w:sz w:val="21"/>
          <w:szCs w:val="21"/>
        </w:rPr>
      </w:pPr>
    </w:p>
    <w:p>
      <w:pPr>
        <w:spacing w:line="360" w:lineRule="auto"/>
        <w:ind w:firstLine="420" w:firstLineChars="200"/>
        <w:rPr>
          <w:rFonts w:ascii="宋体" w:hAnsi="宋体" w:cs="宋体"/>
          <w:color w:val="000000"/>
          <w:sz w:val="21"/>
          <w:szCs w:val="21"/>
        </w:rPr>
      </w:pPr>
      <w:r>
        <w:rPr>
          <w:rFonts w:hint="eastAsia" w:ascii="宋体" w:hAnsi="宋体" w:cs="宋体"/>
          <w:color w:val="000000"/>
          <w:sz w:val="21"/>
          <w:szCs w:val="21"/>
        </w:rPr>
        <w:br w:type="page"/>
      </w:r>
    </w:p>
    <w:p>
      <w:pPr>
        <w:jc w:val="center"/>
        <w:rPr>
          <w:rFonts w:ascii="宋体" w:hAnsi="宋体" w:cs="宋体"/>
          <w:b/>
          <w:bCs/>
          <w:sz w:val="21"/>
          <w:szCs w:val="21"/>
        </w:rPr>
      </w:pPr>
      <w:r>
        <w:rPr>
          <w:rFonts w:hint="eastAsia" w:ascii="宋体" w:hAnsi="宋体" w:cs="宋体"/>
          <w:b/>
          <w:bCs/>
          <w:sz w:val="21"/>
          <w:szCs w:val="21"/>
        </w:rPr>
        <w:t>中航信托·红星苏州盛泽</w:t>
      </w:r>
      <w:r>
        <w:rPr>
          <w:rFonts w:ascii="宋体" w:hAnsi="宋体" w:cs="宋体"/>
          <w:b/>
          <w:bCs/>
          <w:sz w:val="21"/>
          <w:szCs w:val="21"/>
        </w:rPr>
        <w:t>项目</w:t>
      </w:r>
    </w:p>
    <w:p>
      <w:pPr>
        <w:jc w:val="center"/>
        <w:rPr>
          <w:rFonts w:ascii="宋体" w:hAnsi="宋体" w:cs="宋体"/>
          <w:b/>
          <w:bCs/>
          <w:sz w:val="21"/>
          <w:szCs w:val="21"/>
        </w:rPr>
      </w:pPr>
      <w:r>
        <w:rPr>
          <w:rFonts w:hint="eastAsia" w:ascii="宋体" w:hAnsi="宋体" w:cs="宋体"/>
          <w:b/>
          <w:bCs/>
          <w:sz w:val="21"/>
          <w:szCs w:val="21"/>
        </w:rPr>
        <w:t>监管月报</w:t>
      </w:r>
    </w:p>
    <w:p>
      <w:pPr>
        <w:pStyle w:val="3"/>
        <w:rPr>
          <w:rFonts w:ascii="宋体" w:hAnsi="宋体" w:eastAsia="宋体"/>
          <w:sz w:val="21"/>
          <w:szCs w:val="21"/>
        </w:rPr>
      </w:pPr>
      <w:bookmarkStart w:id="1" w:name="_Toc19865"/>
      <w:bookmarkStart w:id="2" w:name="_Toc22864"/>
      <w:r>
        <w:rPr>
          <w:rFonts w:hint="eastAsia" w:ascii="宋体" w:hAnsi="宋体" w:eastAsia="宋体"/>
          <w:sz w:val="21"/>
          <w:szCs w:val="21"/>
        </w:rPr>
        <w:t>一、项目基本情况介绍</w:t>
      </w:r>
      <w:bookmarkEnd w:id="1"/>
      <w:bookmarkEnd w:id="2"/>
    </w:p>
    <w:p>
      <w:pPr>
        <w:spacing w:line="360" w:lineRule="auto"/>
        <w:ind w:firstLine="420" w:firstLineChars="200"/>
        <w:rPr>
          <w:rFonts w:ascii="Arial" w:hAnsi="Arial" w:cs="Arial"/>
          <w:sz w:val="21"/>
          <w:szCs w:val="21"/>
        </w:rPr>
      </w:pPr>
      <w:r>
        <w:rPr>
          <w:rFonts w:hint="eastAsia" w:ascii="Arial" w:hAnsi="Arial" w:cs="Arial"/>
          <w:sz w:val="21"/>
          <w:szCs w:val="21"/>
        </w:rPr>
        <w:t>项目公司即苏州星盛房地产开发有限公司由上海洛翊企业管理有限公司与江苏盛泽投资有限公司分别持股95</w:t>
      </w:r>
      <w:r>
        <w:rPr>
          <w:rFonts w:ascii="Arial" w:hAnsi="Arial" w:cs="Arial"/>
          <w:sz w:val="21"/>
          <w:szCs w:val="21"/>
        </w:rPr>
        <w:t>%</w:t>
      </w:r>
      <w:r>
        <w:rPr>
          <w:rFonts w:hint="eastAsia" w:ascii="Arial" w:hAnsi="Arial" w:cs="Arial"/>
          <w:sz w:val="21"/>
          <w:szCs w:val="21"/>
        </w:rPr>
        <w:t>、5</w:t>
      </w:r>
      <w:r>
        <w:rPr>
          <w:rFonts w:ascii="Arial" w:hAnsi="Arial" w:cs="Arial"/>
          <w:sz w:val="21"/>
          <w:szCs w:val="21"/>
        </w:rPr>
        <w:t>%</w:t>
      </w:r>
      <w:r>
        <w:rPr>
          <w:rFonts w:hint="eastAsia" w:ascii="Arial" w:hAnsi="Arial" w:cs="Arial"/>
          <w:sz w:val="21"/>
          <w:szCs w:val="21"/>
        </w:rPr>
        <w:t>。</w:t>
      </w:r>
    </w:p>
    <w:p>
      <w:pPr>
        <w:spacing w:line="360" w:lineRule="auto"/>
        <w:ind w:firstLine="420" w:firstLineChars="200"/>
        <w:rPr>
          <w:rFonts w:ascii="Arial" w:hAnsi="Arial" w:cs="Arial"/>
          <w:szCs w:val="21"/>
        </w:rPr>
      </w:pPr>
      <w:r>
        <w:rPr>
          <w:rFonts w:hint="eastAsia" w:ascii="Arial" w:hAnsi="Arial" w:cs="Arial"/>
          <w:sz w:val="21"/>
          <w:szCs w:val="21"/>
        </w:rPr>
        <w:t>上海洛翊企业管理有限公司成立于</w:t>
      </w:r>
      <w:r>
        <w:rPr>
          <w:rFonts w:ascii="Arial" w:hAnsi="Arial" w:cs="Arial"/>
          <w:sz w:val="21"/>
          <w:szCs w:val="21"/>
        </w:rPr>
        <w:t>2020</w:t>
      </w:r>
      <w:r>
        <w:rPr>
          <w:rFonts w:hint="eastAsia" w:ascii="Arial" w:hAnsi="Arial" w:cs="Arial"/>
          <w:sz w:val="21"/>
          <w:szCs w:val="21"/>
        </w:rPr>
        <w:t>年</w:t>
      </w:r>
      <w:r>
        <w:rPr>
          <w:rFonts w:ascii="Arial" w:hAnsi="Arial" w:cs="Arial"/>
          <w:sz w:val="21"/>
          <w:szCs w:val="21"/>
        </w:rPr>
        <w:t>06</w:t>
      </w:r>
      <w:r>
        <w:rPr>
          <w:rFonts w:hint="eastAsia" w:ascii="Arial" w:hAnsi="Arial" w:cs="Arial"/>
          <w:sz w:val="21"/>
          <w:szCs w:val="21"/>
        </w:rPr>
        <w:t>月</w:t>
      </w:r>
      <w:r>
        <w:rPr>
          <w:rFonts w:ascii="Arial" w:hAnsi="Arial" w:cs="Arial"/>
          <w:sz w:val="21"/>
          <w:szCs w:val="21"/>
        </w:rPr>
        <w:t>09</w:t>
      </w:r>
      <w:r>
        <w:rPr>
          <w:rFonts w:hint="eastAsia" w:ascii="Arial" w:hAnsi="Arial" w:cs="Arial"/>
          <w:sz w:val="21"/>
          <w:szCs w:val="21"/>
        </w:rPr>
        <w:t>日，现法定代表人为郭大宇，注册资本为</w:t>
      </w:r>
      <w:r>
        <w:rPr>
          <w:rFonts w:ascii="Arial" w:hAnsi="Arial" w:cs="Arial"/>
          <w:sz w:val="21"/>
          <w:szCs w:val="21"/>
        </w:rPr>
        <w:t>2000</w:t>
      </w:r>
      <w:r>
        <w:rPr>
          <w:rFonts w:hint="eastAsia" w:ascii="Arial" w:hAnsi="Arial" w:cs="Arial"/>
          <w:sz w:val="21"/>
          <w:szCs w:val="21"/>
        </w:rPr>
        <w:t>万元人民币，注册地址为上海市崇明区新村乡耀州路</w:t>
      </w:r>
      <w:r>
        <w:rPr>
          <w:rFonts w:ascii="Arial" w:hAnsi="Arial" w:cs="Arial"/>
          <w:sz w:val="21"/>
          <w:szCs w:val="21"/>
        </w:rPr>
        <w:t>741</w:t>
      </w:r>
      <w:r>
        <w:rPr>
          <w:rFonts w:hint="eastAsia" w:ascii="Arial" w:hAnsi="Arial" w:cs="Arial"/>
          <w:sz w:val="21"/>
          <w:szCs w:val="21"/>
        </w:rPr>
        <w:t>号</w:t>
      </w:r>
      <w:r>
        <w:rPr>
          <w:rFonts w:ascii="Arial" w:hAnsi="Arial" w:cs="Arial"/>
          <w:sz w:val="21"/>
          <w:szCs w:val="21"/>
        </w:rPr>
        <w:t>(</w:t>
      </w:r>
      <w:r>
        <w:rPr>
          <w:rFonts w:hint="eastAsia" w:ascii="Arial" w:hAnsi="Arial" w:cs="Arial"/>
          <w:sz w:val="21"/>
          <w:szCs w:val="21"/>
        </w:rPr>
        <w:t>上海新村经济小区</w:t>
      </w:r>
      <w:r>
        <w:rPr>
          <w:rFonts w:ascii="Arial" w:hAnsi="Arial" w:cs="Arial"/>
          <w:sz w:val="21"/>
          <w:szCs w:val="21"/>
        </w:rPr>
        <w:t>)</w:t>
      </w:r>
      <w:r>
        <w:rPr>
          <w:rFonts w:hint="eastAsia" w:ascii="Arial" w:hAnsi="Arial" w:cs="Arial"/>
          <w:sz w:val="21"/>
          <w:szCs w:val="21"/>
        </w:rPr>
        <w:t>，该公司由常州红星美凯龙置业有限公司和中航信托股份有限公司分别持股70</w:t>
      </w:r>
      <w:r>
        <w:rPr>
          <w:rFonts w:ascii="Arial" w:hAnsi="Arial" w:cs="Arial"/>
          <w:sz w:val="21"/>
          <w:szCs w:val="21"/>
        </w:rPr>
        <w:t>%</w:t>
      </w:r>
      <w:r>
        <w:rPr>
          <w:rFonts w:hint="eastAsia" w:ascii="Arial" w:hAnsi="Arial" w:cs="Arial"/>
          <w:sz w:val="21"/>
          <w:szCs w:val="21"/>
        </w:rPr>
        <w:t>、30</w:t>
      </w:r>
      <w:r>
        <w:rPr>
          <w:rFonts w:ascii="Arial" w:hAnsi="Arial" w:cs="Arial"/>
          <w:sz w:val="21"/>
          <w:szCs w:val="21"/>
        </w:rPr>
        <w:t>%</w:t>
      </w:r>
      <w:r>
        <w:rPr>
          <w:rFonts w:hint="eastAsia" w:ascii="Arial" w:hAnsi="Arial" w:cs="Arial"/>
          <w:sz w:val="21"/>
          <w:szCs w:val="21"/>
        </w:rPr>
        <w:t>。</w:t>
      </w:r>
    </w:p>
    <w:p>
      <w:pPr>
        <w:spacing w:line="360" w:lineRule="auto"/>
        <w:ind w:firstLine="420" w:firstLineChars="200"/>
        <w:rPr>
          <w:rFonts w:ascii="Arial" w:hAnsi="Arial" w:cs="Arial"/>
          <w:sz w:val="21"/>
          <w:szCs w:val="21"/>
        </w:rPr>
      </w:pPr>
      <w:r>
        <w:rPr>
          <w:rFonts w:hint="eastAsia" w:ascii="Arial" w:hAnsi="Arial" w:cs="Arial"/>
          <w:sz w:val="21"/>
          <w:szCs w:val="21"/>
        </w:rPr>
        <w:t>江苏盛泽投资有限公司成立于</w:t>
      </w:r>
      <w:r>
        <w:rPr>
          <w:rFonts w:ascii="Arial" w:hAnsi="Arial" w:cs="Arial"/>
          <w:sz w:val="21"/>
          <w:szCs w:val="21"/>
        </w:rPr>
        <w:t>2010</w:t>
      </w:r>
      <w:r>
        <w:rPr>
          <w:rFonts w:hint="eastAsia" w:ascii="Arial" w:hAnsi="Arial" w:cs="Arial"/>
          <w:sz w:val="21"/>
          <w:szCs w:val="21"/>
        </w:rPr>
        <w:t>年</w:t>
      </w:r>
      <w:r>
        <w:rPr>
          <w:rFonts w:ascii="Arial" w:hAnsi="Arial" w:cs="Arial"/>
          <w:sz w:val="21"/>
          <w:szCs w:val="21"/>
        </w:rPr>
        <w:t>05</w:t>
      </w:r>
      <w:r>
        <w:rPr>
          <w:rFonts w:hint="eastAsia" w:ascii="Arial" w:hAnsi="Arial" w:cs="Arial"/>
          <w:sz w:val="21"/>
          <w:szCs w:val="21"/>
        </w:rPr>
        <w:t>月</w:t>
      </w:r>
      <w:r>
        <w:rPr>
          <w:rFonts w:ascii="Arial" w:hAnsi="Arial" w:cs="Arial"/>
          <w:sz w:val="21"/>
          <w:szCs w:val="21"/>
        </w:rPr>
        <w:t>13</w:t>
      </w:r>
      <w:r>
        <w:rPr>
          <w:rFonts w:hint="eastAsia" w:ascii="Arial" w:hAnsi="Arial" w:cs="Arial"/>
          <w:sz w:val="21"/>
          <w:szCs w:val="21"/>
        </w:rPr>
        <w:t>日，现法定代表人为罗玉坤，注册资本为</w:t>
      </w:r>
      <w:r>
        <w:rPr>
          <w:rFonts w:ascii="Arial" w:hAnsi="Arial" w:cs="Arial"/>
          <w:sz w:val="21"/>
          <w:szCs w:val="21"/>
        </w:rPr>
        <w:t>673793.78</w:t>
      </w:r>
      <w:r>
        <w:rPr>
          <w:rFonts w:hint="eastAsia" w:ascii="Arial" w:hAnsi="Arial" w:cs="Arial"/>
          <w:sz w:val="21"/>
          <w:szCs w:val="21"/>
        </w:rPr>
        <w:t>万元人民币，企业地址位于苏州市吴江区盛泽镇市场西路北侧</w:t>
      </w:r>
      <w:r>
        <w:rPr>
          <w:rFonts w:ascii="Arial" w:hAnsi="Arial" w:cs="Arial"/>
          <w:sz w:val="21"/>
          <w:szCs w:val="21"/>
        </w:rPr>
        <w:t>(</w:t>
      </w:r>
      <w:r>
        <w:rPr>
          <w:rFonts w:hint="eastAsia" w:ascii="Arial" w:hAnsi="Arial" w:cs="Arial"/>
          <w:sz w:val="21"/>
          <w:szCs w:val="21"/>
        </w:rPr>
        <w:t>舜湖西路</w:t>
      </w:r>
      <w:r>
        <w:rPr>
          <w:rFonts w:ascii="Arial" w:hAnsi="Arial" w:cs="Arial"/>
          <w:sz w:val="21"/>
          <w:szCs w:val="21"/>
        </w:rPr>
        <w:t>2099</w:t>
      </w:r>
      <w:r>
        <w:rPr>
          <w:rFonts w:hint="eastAsia" w:ascii="Arial" w:hAnsi="Arial" w:cs="Arial"/>
          <w:sz w:val="21"/>
          <w:szCs w:val="21"/>
        </w:rPr>
        <w:t>号</w:t>
      </w:r>
      <w:r>
        <w:rPr>
          <w:rFonts w:ascii="Arial" w:hAnsi="Arial" w:cs="Arial"/>
          <w:sz w:val="21"/>
          <w:szCs w:val="21"/>
        </w:rPr>
        <w:t>)</w:t>
      </w:r>
      <w:r>
        <w:rPr>
          <w:rFonts w:hint="eastAsia" w:ascii="Arial" w:hAnsi="Arial" w:cs="Arial"/>
          <w:sz w:val="21"/>
          <w:szCs w:val="21"/>
        </w:rPr>
        <w:t>，该公司由吴江市盛泽镇集体资产经营公司</w:t>
      </w:r>
      <w:r>
        <w:rPr>
          <w:rFonts w:ascii="Arial" w:hAnsi="Arial" w:cs="Arial"/>
          <w:sz w:val="21"/>
          <w:szCs w:val="21"/>
        </w:rPr>
        <w:t>100%</w:t>
      </w:r>
      <w:r>
        <w:rPr>
          <w:rFonts w:hint="eastAsia" w:ascii="Arial" w:hAnsi="Arial" w:cs="Arial"/>
          <w:sz w:val="21"/>
          <w:szCs w:val="21"/>
        </w:rPr>
        <w:t>持股。</w:t>
      </w:r>
    </w:p>
    <w:p>
      <w:pPr>
        <w:pStyle w:val="2"/>
        <w:jc w:val="center"/>
      </w:pPr>
      <w:r>
        <w:drawing>
          <wp:inline distT="0" distB="0" distL="0" distR="0">
            <wp:extent cx="4469130" cy="3394710"/>
            <wp:effectExtent l="0" t="0" r="7620" b="0"/>
            <wp:docPr id="9" name="图片 9" descr="C:\Users\ADMINI~1\AppData\Local\Temp\1625722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162572230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467623" cy="3393749"/>
                    </a:xfrm>
                    <a:prstGeom prst="rect">
                      <a:avLst/>
                    </a:prstGeom>
                    <a:noFill/>
                    <a:ln>
                      <a:noFill/>
                    </a:ln>
                  </pic:spPr>
                </pic:pic>
              </a:graphicData>
            </a:graphic>
          </wp:inline>
        </w:drawing>
      </w:r>
    </w:p>
    <w:p>
      <w:pPr>
        <w:spacing w:line="360" w:lineRule="auto"/>
        <w:ind w:firstLine="420" w:firstLineChars="200"/>
        <w:jc w:val="both"/>
        <w:rPr>
          <w:rFonts w:ascii="Arial" w:hAnsi="Arial" w:cs="Arial"/>
          <w:sz w:val="21"/>
          <w:szCs w:val="21"/>
        </w:rPr>
      </w:pPr>
      <w:r>
        <w:rPr>
          <w:rFonts w:hint="eastAsia" w:ascii="Arial" w:hAnsi="Arial" w:cs="Arial"/>
          <w:sz w:val="21"/>
          <w:szCs w:val="21"/>
        </w:rPr>
        <w:t>标的项目现对外推广名为“红星苏州盛泽天铂项目”，坐落于江苏省苏州市吴江高新区，项目四至为绸都大道西侧、市场西路北侧、舜湖西路南侧、福州路东侧。</w:t>
      </w:r>
      <w:r>
        <w:rPr>
          <w:rFonts w:ascii="Arial" w:hAnsi="Arial" w:cs="Arial"/>
          <w:sz w:val="21"/>
          <w:szCs w:val="21"/>
        </w:rPr>
        <w:t>1#</w:t>
      </w:r>
      <w:r>
        <w:rPr>
          <w:rFonts w:hint="eastAsia" w:ascii="Arial" w:hAnsi="Arial" w:cs="Arial"/>
          <w:sz w:val="21"/>
          <w:szCs w:val="21"/>
        </w:rPr>
        <w:t>、</w:t>
      </w:r>
      <w:r>
        <w:rPr>
          <w:rFonts w:ascii="Arial" w:hAnsi="Arial" w:cs="Arial"/>
          <w:sz w:val="21"/>
          <w:szCs w:val="21"/>
        </w:rPr>
        <w:t>2#</w:t>
      </w:r>
      <w:r>
        <w:rPr>
          <w:rFonts w:hint="eastAsia" w:ascii="Arial" w:hAnsi="Arial" w:cs="Arial"/>
          <w:sz w:val="21"/>
          <w:szCs w:val="21"/>
        </w:rPr>
        <w:t>地块用地性质均为城镇住宅用地。</w:t>
      </w:r>
      <w:r>
        <w:rPr>
          <w:rFonts w:ascii="Arial" w:hAnsi="Arial" w:cs="Arial"/>
          <w:sz w:val="21"/>
          <w:szCs w:val="21"/>
        </w:rPr>
        <w:t>2#</w:t>
      </w:r>
      <w:r>
        <w:rPr>
          <w:rFonts w:hint="eastAsia" w:ascii="Arial" w:hAnsi="Arial" w:cs="Arial"/>
          <w:sz w:val="21"/>
          <w:szCs w:val="21"/>
        </w:rPr>
        <w:t>地块总用地面积</w:t>
      </w:r>
      <w:r>
        <w:rPr>
          <w:rFonts w:ascii="Arial" w:hAnsi="Arial" w:cs="Arial"/>
          <w:sz w:val="21"/>
          <w:szCs w:val="21"/>
        </w:rPr>
        <w:t>52</w:t>
      </w:r>
      <w:r>
        <w:rPr>
          <w:rFonts w:hint="eastAsia" w:ascii="Arial" w:hAnsi="Arial" w:cs="Arial"/>
          <w:sz w:val="21"/>
          <w:szCs w:val="21"/>
        </w:rPr>
        <w:t>,</w:t>
      </w:r>
      <w:r>
        <w:rPr>
          <w:rFonts w:ascii="Arial" w:hAnsi="Arial" w:cs="Arial"/>
          <w:sz w:val="21"/>
          <w:szCs w:val="21"/>
        </w:rPr>
        <w:t>752.31</w:t>
      </w:r>
      <w:r>
        <w:rPr>
          <w:rFonts w:hint="eastAsia" w:ascii="Arial" w:hAnsi="Arial" w:cs="Arial"/>
          <w:sz w:val="21"/>
          <w:szCs w:val="21"/>
        </w:rPr>
        <w:t>平方米，总规划建筑面积150,694.43平方米，其中计容建筑面积105,427.79平方米，容积率</w:t>
      </w:r>
      <w:r>
        <w:rPr>
          <w:rFonts w:ascii="Arial" w:hAnsi="Arial" w:cs="Arial"/>
          <w:sz w:val="21"/>
          <w:szCs w:val="21"/>
        </w:rPr>
        <w:t>1.999</w:t>
      </w:r>
      <w:r>
        <w:rPr>
          <w:rFonts w:hint="eastAsia" w:ascii="Arial" w:hAnsi="Arial" w:cs="Arial"/>
          <w:sz w:val="21"/>
          <w:szCs w:val="21"/>
        </w:rPr>
        <w:t>，建筑密度</w:t>
      </w:r>
      <w:r>
        <w:rPr>
          <w:rFonts w:ascii="Arial" w:hAnsi="Arial" w:cs="Arial"/>
          <w:sz w:val="21"/>
          <w:szCs w:val="21"/>
        </w:rPr>
        <w:t>11.89%</w:t>
      </w:r>
      <w:r>
        <w:rPr>
          <w:rFonts w:hint="eastAsia" w:ascii="Arial" w:hAnsi="Arial" w:cs="Arial"/>
          <w:sz w:val="21"/>
          <w:szCs w:val="21"/>
        </w:rPr>
        <w:t>，绿地率</w:t>
      </w:r>
      <w:r>
        <w:rPr>
          <w:rFonts w:ascii="Arial" w:hAnsi="Arial" w:cs="Arial"/>
          <w:sz w:val="21"/>
          <w:szCs w:val="21"/>
        </w:rPr>
        <w:t>35.54%</w:t>
      </w:r>
      <w:r>
        <w:rPr>
          <w:rFonts w:hint="eastAsia" w:ascii="Arial" w:hAnsi="Arial" w:cs="Arial"/>
          <w:sz w:val="21"/>
          <w:szCs w:val="21"/>
        </w:rPr>
        <w:t>。包含物业用房面积</w:t>
      </w:r>
      <w:r>
        <w:rPr>
          <w:rFonts w:ascii="Arial" w:hAnsi="Arial" w:cs="Arial"/>
          <w:sz w:val="21"/>
          <w:szCs w:val="21"/>
        </w:rPr>
        <w:t>836.89</w:t>
      </w:r>
      <w:r>
        <w:rPr>
          <w:rFonts w:hint="eastAsia" w:ascii="Arial" w:hAnsi="Arial" w:cs="Arial"/>
          <w:sz w:val="21"/>
          <w:szCs w:val="21"/>
        </w:rPr>
        <w:t>平方米，社区用房面积</w:t>
      </w:r>
      <w:r>
        <w:rPr>
          <w:rFonts w:ascii="Arial" w:hAnsi="Arial" w:cs="Arial"/>
          <w:sz w:val="21"/>
          <w:szCs w:val="21"/>
        </w:rPr>
        <w:t>628.08</w:t>
      </w:r>
      <w:r>
        <w:rPr>
          <w:rFonts w:hint="eastAsia" w:ascii="Arial" w:hAnsi="Arial" w:cs="Arial"/>
          <w:sz w:val="21"/>
          <w:szCs w:val="21"/>
        </w:rPr>
        <w:t>平方米。</w:t>
      </w:r>
      <w:r>
        <w:rPr>
          <w:rFonts w:ascii="Arial" w:hAnsi="Arial" w:cs="Arial"/>
          <w:sz w:val="21"/>
          <w:szCs w:val="21"/>
        </w:rPr>
        <w:t>2#</w:t>
      </w:r>
      <w:r>
        <w:rPr>
          <w:rFonts w:hint="eastAsia" w:ascii="Arial" w:hAnsi="Arial" w:cs="Arial"/>
          <w:sz w:val="21"/>
          <w:szCs w:val="21"/>
        </w:rPr>
        <w:t>地块机动车位共计</w:t>
      </w:r>
      <w:r>
        <w:rPr>
          <w:rFonts w:ascii="Arial" w:hAnsi="Arial" w:cs="Arial"/>
          <w:sz w:val="21"/>
          <w:szCs w:val="21"/>
        </w:rPr>
        <w:t>131</w:t>
      </w:r>
      <w:r>
        <w:rPr>
          <w:rFonts w:hint="eastAsia" w:ascii="Arial" w:hAnsi="Arial" w:cs="Arial"/>
          <w:sz w:val="21"/>
          <w:szCs w:val="21"/>
        </w:rPr>
        <w:t>7个，其中地面机动车位</w:t>
      </w:r>
      <w:r>
        <w:rPr>
          <w:rFonts w:ascii="Arial" w:hAnsi="Arial" w:cs="Arial"/>
          <w:sz w:val="21"/>
          <w:szCs w:val="21"/>
        </w:rPr>
        <w:t>131</w:t>
      </w:r>
      <w:r>
        <w:rPr>
          <w:rFonts w:hint="eastAsia" w:ascii="Arial" w:hAnsi="Arial" w:cs="Arial"/>
          <w:sz w:val="21"/>
          <w:szCs w:val="21"/>
        </w:rPr>
        <w:t>辆（含访客车位），地下机动车位</w:t>
      </w:r>
      <w:r>
        <w:rPr>
          <w:rFonts w:ascii="Arial" w:hAnsi="Arial" w:cs="Arial"/>
          <w:sz w:val="21"/>
          <w:szCs w:val="21"/>
        </w:rPr>
        <w:t>118</w:t>
      </w:r>
      <w:r>
        <w:rPr>
          <w:rFonts w:hint="eastAsia" w:ascii="Arial" w:hAnsi="Arial" w:cs="Arial"/>
          <w:sz w:val="21"/>
          <w:szCs w:val="21"/>
        </w:rPr>
        <w:t>6个（含充电车位</w:t>
      </w:r>
      <w:r>
        <w:rPr>
          <w:rFonts w:ascii="Arial" w:hAnsi="Arial" w:cs="Arial"/>
          <w:sz w:val="21"/>
          <w:szCs w:val="21"/>
        </w:rPr>
        <w:t>132</w:t>
      </w:r>
      <w:r>
        <w:rPr>
          <w:rFonts w:hint="eastAsia" w:ascii="Arial" w:hAnsi="Arial" w:cs="Arial"/>
          <w:sz w:val="21"/>
          <w:szCs w:val="21"/>
        </w:rPr>
        <w:t>个）。</w:t>
      </w:r>
      <w:r>
        <w:rPr>
          <w:rFonts w:ascii="Arial" w:hAnsi="Arial" w:cs="Arial"/>
          <w:sz w:val="21"/>
          <w:szCs w:val="21"/>
        </w:rPr>
        <w:t>1#</w:t>
      </w:r>
      <w:r>
        <w:rPr>
          <w:rFonts w:hint="eastAsia" w:ascii="Arial" w:hAnsi="Arial" w:cs="Arial"/>
          <w:sz w:val="21"/>
          <w:szCs w:val="21"/>
        </w:rPr>
        <w:t>地块总用地面积</w:t>
      </w:r>
      <w:r>
        <w:rPr>
          <w:rFonts w:ascii="Arial" w:hAnsi="Arial" w:cs="Arial"/>
          <w:sz w:val="21"/>
          <w:szCs w:val="21"/>
        </w:rPr>
        <w:t>48</w:t>
      </w:r>
      <w:r>
        <w:rPr>
          <w:rFonts w:hint="eastAsia" w:ascii="Arial" w:hAnsi="Arial" w:cs="Arial"/>
          <w:sz w:val="21"/>
          <w:szCs w:val="21"/>
        </w:rPr>
        <w:t>,</w:t>
      </w:r>
      <w:r>
        <w:rPr>
          <w:rFonts w:ascii="Arial" w:hAnsi="Arial" w:cs="Arial"/>
          <w:sz w:val="21"/>
          <w:szCs w:val="21"/>
        </w:rPr>
        <w:t>987.96</w:t>
      </w:r>
      <w:r>
        <w:rPr>
          <w:rFonts w:hint="eastAsia" w:ascii="Arial" w:hAnsi="Arial" w:cs="Arial"/>
          <w:sz w:val="21"/>
          <w:szCs w:val="21"/>
        </w:rPr>
        <w:t>平方米，总规划建筑面积137,805.90平方米，其中计容建筑面积97,943.75平方米，容积率</w:t>
      </w:r>
      <w:r>
        <w:rPr>
          <w:rFonts w:ascii="Arial" w:hAnsi="Arial" w:cs="Arial"/>
          <w:sz w:val="21"/>
          <w:szCs w:val="21"/>
        </w:rPr>
        <w:t>1.999</w:t>
      </w:r>
      <w:r>
        <w:rPr>
          <w:rFonts w:hint="eastAsia" w:ascii="Arial" w:hAnsi="Arial" w:cs="Arial"/>
          <w:sz w:val="21"/>
          <w:szCs w:val="21"/>
        </w:rPr>
        <w:t>，建筑密度</w:t>
      </w:r>
      <w:r>
        <w:rPr>
          <w:rFonts w:ascii="Arial" w:hAnsi="Arial" w:cs="Arial"/>
          <w:sz w:val="21"/>
          <w:szCs w:val="21"/>
        </w:rPr>
        <w:t>9.99%</w:t>
      </w:r>
      <w:r>
        <w:rPr>
          <w:rFonts w:hint="eastAsia" w:ascii="Arial" w:hAnsi="Arial" w:cs="Arial"/>
          <w:sz w:val="21"/>
          <w:szCs w:val="21"/>
        </w:rPr>
        <w:t>，绿地率</w:t>
      </w:r>
      <w:r>
        <w:rPr>
          <w:rFonts w:ascii="Arial" w:hAnsi="Arial" w:cs="Arial"/>
          <w:sz w:val="21"/>
          <w:szCs w:val="21"/>
        </w:rPr>
        <w:t>35.39%</w:t>
      </w:r>
      <w:r>
        <w:rPr>
          <w:rFonts w:hint="eastAsia" w:ascii="Arial" w:hAnsi="Arial" w:cs="Arial"/>
          <w:sz w:val="21"/>
          <w:szCs w:val="21"/>
        </w:rPr>
        <w:t>，包含物业用房</w:t>
      </w:r>
      <w:r>
        <w:rPr>
          <w:rFonts w:ascii="Arial" w:hAnsi="Arial" w:cs="Arial"/>
          <w:sz w:val="21"/>
          <w:szCs w:val="21"/>
        </w:rPr>
        <w:t>731.77</w:t>
      </w:r>
      <w:r>
        <w:rPr>
          <w:rFonts w:hint="eastAsia" w:ascii="Arial" w:hAnsi="Arial" w:cs="Arial"/>
          <w:sz w:val="21"/>
          <w:szCs w:val="21"/>
        </w:rPr>
        <w:t>平方米。</w:t>
      </w:r>
      <w:r>
        <w:rPr>
          <w:rFonts w:ascii="Arial" w:hAnsi="Arial" w:cs="Arial"/>
          <w:sz w:val="21"/>
          <w:szCs w:val="21"/>
        </w:rPr>
        <w:t>1#</w:t>
      </w:r>
      <w:r>
        <w:rPr>
          <w:rFonts w:hint="eastAsia" w:ascii="Arial" w:hAnsi="Arial" w:cs="Arial"/>
          <w:sz w:val="21"/>
          <w:szCs w:val="21"/>
        </w:rPr>
        <w:t>地块机动车位共计</w:t>
      </w:r>
      <w:r>
        <w:rPr>
          <w:rFonts w:ascii="Arial" w:hAnsi="Arial" w:cs="Arial"/>
          <w:sz w:val="21"/>
          <w:szCs w:val="21"/>
        </w:rPr>
        <w:t>12</w:t>
      </w:r>
      <w:r>
        <w:rPr>
          <w:rFonts w:hint="eastAsia" w:ascii="Arial" w:hAnsi="Arial" w:cs="Arial"/>
          <w:sz w:val="21"/>
          <w:szCs w:val="21"/>
        </w:rPr>
        <w:t>10个（含访客车位</w:t>
      </w:r>
      <w:r>
        <w:rPr>
          <w:rFonts w:ascii="Arial" w:hAnsi="Arial" w:cs="Arial"/>
          <w:sz w:val="21"/>
          <w:szCs w:val="21"/>
        </w:rPr>
        <w:t>24</w:t>
      </w:r>
      <w:r>
        <w:rPr>
          <w:rFonts w:hint="eastAsia" w:ascii="Arial" w:hAnsi="Arial" w:cs="Arial"/>
          <w:sz w:val="21"/>
          <w:szCs w:val="21"/>
        </w:rPr>
        <w:t>个），其中地面机动车位</w:t>
      </w:r>
      <w:r>
        <w:rPr>
          <w:rFonts w:ascii="Arial" w:hAnsi="Arial" w:cs="Arial"/>
          <w:sz w:val="21"/>
          <w:szCs w:val="21"/>
        </w:rPr>
        <w:t>12</w:t>
      </w:r>
      <w:r>
        <w:rPr>
          <w:rFonts w:hint="eastAsia" w:ascii="Arial" w:hAnsi="Arial" w:cs="Arial"/>
          <w:sz w:val="21"/>
          <w:szCs w:val="21"/>
        </w:rPr>
        <w:t>1辆，地下机动车位</w:t>
      </w:r>
      <w:r>
        <w:rPr>
          <w:rFonts w:ascii="Arial" w:hAnsi="Arial" w:cs="Arial"/>
          <w:sz w:val="21"/>
          <w:szCs w:val="21"/>
        </w:rPr>
        <w:t>108</w:t>
      </w:r>
      <w:r>
        <w:rPr>
          <w:rFonts w:hint="eastAsia" w:ascii="Arial" w:hAnsi="Arial" w:cs="Arial"/>
          <w:sz w:val="21"/>
          <w:szCs w:val="21"/>
        </w:rPr>
        <w:t>9个（含充电车位</w:t>
      </w:r>
      <w:r>
        <w:rPr>
          <w:rFonts w:ascii="Arial" w:hAnsi="Arial" w:cs="Arial"/>
          <w:sz w:val="21"/>
          <w:szCs w:val="21"/>
        </w:rPr>
        <w:t>121</w:t>
      </w:r>
      <w:r>
        <w:rPr>
          <w:rFonts w:hint="eastAsia" w:ascii="Arial" w:hAnsi="Arial" w:cs="Arial"/>
          <w:sz w:val="21"/>
          <w:szCs w:val="21"/>
        </w:rPr>
        <w:t>个）。</w:t>
      </w:r>
    </w:p>
    <w:p>
      <w:pPr>
        <w:ind w:firstLine="422" w:firstLineChars="200"/>
        <w:jc w:val="center"/>
        <w:rPr>
          <w:rStyle w:val="23"/>
        </w:rPr>
      </w:pPr>
      <w:r>
        <w:rPr>
          <w:rFonts w:hint="eastAsia" w:ascii="宋体" w:hAnsi="宋体" w:cs="宋体"/>
          <w:b/>
          <w:sz w:val="21"/>
          <w:szCs w:val="21"/>
        </w:rPr>
        <w:t>表一：项目各项经济指标</w:t>
      </w:r>
    </w:p>
    <w:tbl>
      <w:tblPr>
        <w:tblStyle w:val="17"/>
        <w:tblW w:w="9475" w:type="dxa"/>
        <w:tblInd w:w="91" w:type="dxa"/>
        <w:tblLayout w:type="autofit"/>
        <w:tblCellMar>
          <w:top w:w="0" w:type="dxa"/>
          <w:left w:w="108" w:type="dxa"/>
          <w:bottom w:w="0" w:type="dxa"/>
          <w:right w:w="108" w:type="dxa"/>
        </w:tblCellMar>
      </w:tblPr>
      <w:tblGrid>
        <w:gridCol w:w="1062"/>
        <w:gridCol w:w="2688"/>
        <w:gridCol w:w="1700"/>
        <w:gridCol w:w="2012"/>
        <w:gridCol w:w="2013"/>
      </w:tblGrid>
      <w:tr>
        <w:tblPrEx>
          <w:tblCellMar>
            <w:top w:w="0" w:type="dxa"/>
            <w:left w:w="108" w:type="dxa"/>
            <w:bottom w:w="0" w:type="dxa"/>
            <w:right w:w="108" w:type="dxa"/>
          </w:tblCellMar>
        </w:tblPrEx>
        <w:trPr>
          <w:trHeight w:val="493" w:hRule="atLeast"/>
          <w:tblHeader/>
        </w:trPr>
        <w:tc>
          <w:tcPr>
            <w:tcW w:w="9475" w:type="dxa"/>
            <w:gridSpan w:val="5"/>
            <w:tcBorders>
              <w:top w:val="single" w:color="000000" w:sz="4" w:space="0"/>
              <w:left w:val="single" w:color="000000" w:sz="4" w:space="0"/>
              <w:bottom w:val="single" w:color="000000" w:sz="4" w:space="0"/>
              <w:right w:val="single" w:color="000000" w:sz="4" w:space="0"/>
            </w:tcBorders>
            <w:shd w:val="clear" w:color="auto" w:fill="4F81BD"/>
            <w:vAlign w:val="center"/>
          </w:tcPr>
          <w:p>
            <w:pPr>
              <w:spacing w:line="360" w:lineRule="auto"/>
              <w:ind w:firstLine="360" w:firstLineChars="200"/>
              <w:rPr>
                <w:rFonts w:ascii="Arial" w:hAnsi="Arial" w:cs="Arial"/>
                <w:bCs/>
                <w:sz w:val="18"/>
                <w:szCs w:val="18"/>
              </w:rPr>
            </w:pPr>
            <w:r>
              <w:rPr>
                <w:rFonts w:ascii="Arial" w:hAnsi="Arial" w:cs="Arial"/>
                <w:bCs/>
                <w:sz w:val="18"/>
                <w:szCs w:val="18"/>
              </w:rPr>
              <w:t>经济技术指标汇总表</w:t>
            </w:r>
          </w:p>
        </w:tc>
      </w:tr>
      <w:tr>
        <w:tblPrEx>
          <w:tblCellMar>
            <w:top w:w="0" w:type="dxa"/>
            <w:left w:w="108" w:type="dxa"/>
            <w:bottom w:w="0" w:type="dxa"/>
            <w:right w:w="108" w:type="dxa"/>
          </w:tblCellMar>
        </w:tblPrEx>
        <w:trPr>
          <w:trHeight w:val="341"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ascii="Arial" w:hAnsi="Arial" w:cs="Arial"/>
                <w:bCs/>
                <w:sz w:val="18"/>
                <w:szCs w:val="18"/>
              </w:rPr>
              <w:t>项目</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ascii="Arial" w:hAnsi="Arial" w:cs="Arial"/>
                <w:bCs/>
                <w:sz w:val="18"/>
                <w:szCs w:val="18"/>
              </w:rPr>
              <w:t>汇总</w:t>
            </w:r>
            <w:r>
              <w:rPr>
                <w:rFonts w:hint="eastAsia" w:ascii="Arial" w:hAnsi="Arial" w:cs="Arial"/>
                <w:bCs/>
                <w:sz w:val="18"/>
                <w:szCs w:val="18"/>
              </w:rPr>
              <w:t>（</w:t>
            </w:r>
            <w:r>
              <w:rPr>
                <w:rFonts w:hint="eastAsia" w:ascii="宋体" w:hAnsi="宋体" w:cs="宋体"/>
                <w:bCs/>
                <w:sz w:val="18"/>
                <w:szCs w:val="18"/>
              </w:rPr>
              <w:t>㎡</w:t>
            </w:r>
            <w:r>
              <w:rPr>
                <w:rFonts w:hint="eastAsia" w:ascii="Arial" w:hAnsi="Arial" w:cs="Arial"/>
                <w:bCs/>
                <w:sz w:val="18"/>
                <w:szCs w:val="18"/>
              </w:rPr>
              <w:t>）</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1#地块（</w:t>
            </w:r>
            <w:r>
              <w:rPr>
                <w:rFonts w:hint="eastAsia" w:ascii="宋体" w:hAnsi="宋体" w:cs="宋体"/>
                <w:bCs/>
                <w:sz w:val="18"/>
                <w:szCs w:val="18"/>
              </w:rPr>
              <w:t>㎡</w:t>
            </w:r>
            <w:r>
              <w:rPr>
                <w:rFonts w:hint="eastAsia" w:ascii="Arial" w:hAnsi="Arial" w:cs="Arial"/>
                <w:bCs/>
                <w:sz w:val="18"/>
                <w:szCs w:val="18"/>
              </w:rPr>
              <w:t>）</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2#地块（</w:t>
            </w:r>
            <w:r>
              <w:rPr>
                <w:rFonts w:hint="eastAsia" w:ascii="宋体" w:hAnsi="宋体" w:cs="宋体"/>
                <w:bCs/>
                <w:sz w:val="18"/>
                <w:szCs w:val="18"/>
              </w:rPr>
              <w:t>㎡</w:t>
            </w:r>
            <w:r>
              <w:rPr>
                <w:rFonts w:hint="eastAsia" w:ascii="Arial" w:hAnsi="Arial" w:cs="Arial"/>
                <w:bCs/>
                <w:sz w:val="18"/>
                <w:szCs w:val="18"/>
              </w:rPr>
              <w:t>）</w:t>
            </w:r>
          </w:p>
        </w:tc>
      </w:tr>
      <w:tr>
        <w:tblPrEx>
          <w:tblCellMar>
            <w:top w:w="0" w:type="dxa"/>
            <w:left w:w="108" w:type="dxa"/>
            <w:bottom w:w="0" w:type="dxa"/>
            <w:right w:w="108" w:type="dxa"/>
          </w:tblCellMar>
        </w:tblPrEx>
        <w:trPr>
          <w:trHeight w:val="285"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ascii="Arial" w:hAnsi="Arial" w:cs="Arial"/>
                <w:bCs/>
                <w:sz w:val="18"/>
                <w:szCs w:val="18"/>
              </w:rPr>
              <w:t>占地面积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101</w:t>
            </w:r>
            <w:r>
              <w:rPr>
                <w:rFonts w:hint="eastAsia" w:ascii="Arial" w:hAnsi="Arial" w:cs="Arial"/>
                <w:color w:val="000000"/>
                <w:sz w:val="18"/>
                <w:szCs w:val="18"/>
                <w:lang w:bidi="ar"/>
              </w:rPr>
              <w:t>,</w:t>
            </w:r>
            <w:r>
              <w:rPr>
                <w:rFonts w:ascii="Arial" w:hAnsi="Arial" w:cs="Arial"/>
                <w:color w:val="000000"/>
                <w:sz w:val="18"/>
                <w:szCs w:val="18"/>
                <w:lang w:bidi="ar"/>
              </w:rPr>
              <w:t>740.3</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48</w:t>
            </w:r>
            <w:r>
              <w:rPr>
                <w:rFonts w:hint="eastAsia" w:ascii="Arial" w:hAnsi="Arial" w:cs="Arial"/>
                <w:color w:val="000000"/>
                <w:sz w:val="18"/>
                <w:szCs w:val="18"/>
                <w:lang w:bidi="ar"/>
              </w:rPr>
              <w:t>,</w:t>
            </w:r>
            <w:r>
              <w:rPr>
                <w:rFonts w:ascii="Arial" w:hAnsi="Arial" w:cs="Arial"/>
                <w:color w:val="000000"/>
                <w:sz w:val="18"/>
                <w:szCs w:val="18"/>
                <w:lang w:bidi="ar"/>
              </w:rPr>
              <w:t>987.96</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52</w:t>
            </w:r>
            <w:r>
              <w:rPr>
                <w:rFonts w:hint="eastAsia" w:ascii="Arial" w:hAnsi="Arial" w:cs="Arial"/>
                <w:color w:val="000000"/>
                <w:sz w:val="18"/>
                <w:szCs w:val="18"/>
                <w:lang w:bidi="ar"/>
              </w:rPr>
              <w:t>,</w:t>
            </w:r>
            <w:r>
              <w:rPr>
                <w:rFonts w:ascii="Arial" w:hAnsi="Arial" w:cs="Arial"/>
                <w:color w:val="000000"/>
                <w:sz w:val="18"/>
                <w:szCs w:val="18"/>
                <w:lang w:bidi="ar"/>
              </w:rPr>
              <w:t>752.31</w:t>
            </w:r>
          </w:p>
        </w:tc>
      </w:tr>
      <w:tr>
        <w:tblPrEx>
          <w:tblCellMar>
            <w:top w:w="0" w:type="dxa"/>
            <w:left w:w="108" w:type="dxa"/>
            <w:bottom w:w="0" w:type="dxa"/>
            <w:right w:w="108" w:type="dxa"/>
          </w:tblCellMar>
        </w:tblPrEx>
        <w:trPr>
          <w:trHeight w:val="390"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ascii="Arial" w:hAnsi="Arial" w:cs="Arial"/>
                <w:bCs/>
                <w:sz w:val="18"/>
                <w:szCs w:val="18"/>
              </w:rPr>
              <w:t>总建筑面积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color w:val="000000"/>
                <w:sz w:val="18"/>
                <w:szCs w:val="18"/>
              </w:rPr>
            </w:pPr>
            <w:r>
              <w:rPr>
                <w:rFonts w:ascii="Arial" w:hAnsi="Arial" w:cs="Arial"/>
                <w:color w:val="000000"/>
                <w:sz w:val="18"/>
                <w:szCs w:val="18"/>
                <w:lang w:bidi="ar"/>
              </w:rPr>
              <w:t>288</w:t>
            </w:r>
            <w:r>
              <w:rPr>
                <w:rFonts w:hint="eastAsia" w:ascii="Arial" w:hAnsi="Arial" w:cs="Arial"/>
                <w:color w:val="000000"/>
                <w:sz w:val="18"/>
                <w:szCs w:val="18"/>
                <w:lang w:bidi="ar"/>
              </w:rPr>
              <w:t>,</w:t>
            </w:r>
            <w:r>
              <w:rPr>
                <w:rFonts w:ascii="Arial" w:hAnsi="Arial" w:cs="Arial"/>
                <w:color w:val="000000"/>
                <w:sz w:val="18"/>
                <w:szCs w:val="18"/>
                <w:lang w:bidi="ar"/>
              </w:rPr>
              <w:t>500.33</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137</w:t>
            </w:r>
            <w:r>
              <w:rPr>
                <w:rFonts w:hint="eastAsia" w:ascii="Arial" w:hAnsi="Arial" w:cs="Arial"/>
                <w:color w:val="000000"/>
                <w:sz w:val="18"/>
                <w:szCs w:val="18"/>
                <w:lang w:bidi="ar"/>
              </w:rPr>
              <w:t>,</w:t>
            </w:r>
            <w:r>
              <w:rPr>
                <w:rFonts w:ascii="Arial" w:hAnsi="Arial" w:cs="Arial"/>
                <w:color w:val="000000"/>
                <w:sz w:val="18"/>
                <w:szCs w:val="18"/>
                <w:lang w:bidi="ar"/>
              </w:rPr>
              <w:t>805.9</w:t>
            </w:r>
            <w:r>
              <w:rPr>
                <w:rFonts w:hint="eastAsia" w:ascii="Arial" w:hAnsi="Arial" w:cs="Arial"/>
                <w:color w:val="000000"/>
                <w:sz w:val="18"/>
                <w:szCs w:val="18"/>
                <w:lang w:bidi="ar"/>
              </w:rPr>
              <w:t>0</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150</w:t>
            </w:r>
            <w:r>
              <w:rPr>
                <w:rFonts w:hint="eastAsia" w:ascii="Arial" w:hAnsi="Arial" w:cs="Arial"/>
                <w:color w:val="000000"/>
                <w:sz w:val="18"/>
                <w:szCs w:val="18"/>
                <w:lang w:bidi="ar"/>
              </w:rPr>
              <w:t>,</w:t>
            </w:r>
            <w:r>
              <w:rPr>
                <w:rFonts w:ascii="Arial" w:hAnsi="Arial" w:cs="Arial"/>
                <w:color w:val="000000"/>
                <w:sz w:val="18"/>
                <w:szCs w:val="18"/>
                <w:lang w:bidi="ar"/>
              </w:rPr>
              <w:t>694.43</w:t>
            </w:r>
          </w:p>
        </w:tc>
      </w:tr>
      <w:tr>
        <w:tblPrEx>
          <w:tblCellMar>
            <w:top w:w="0" w:type="dxa"/>
            <w:left w:w="108" w:type="dxa"/>
            <w:bottom w:w="0" w:type="dxa"/>
            <w:right w:w="108" w:type="dxa"/>
          </w:tblCellMar>
        </w:tblPrEx>
        <w:trPr>
          <w:trHeight w:val="270" w:hRule="atLeast"/>
        </w:trPr>
        <w:tc>
          <w:tcPr>
            <w:tcW w:w="106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其中</w:t>
            </w:r>
          </w:p>
        </w:tc>
        <w:tc>
          <w:tcPr>
            <w:tcW w:w="268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jc w:val="center"/>
              <w:rPr>
                <w:rFonts w:ascii="Arial" w:hAnsi="Arial" w:cs="Arial"/>
                <w:bCs/>
                <w:sz w:val="18"/>
                <w:szCs w:val="18"/>
              </w:rPr>
            </w:pPr>
            <w:r>
              <w:rPr>
                <w:rFonts w:hint="eastAsia" w:ascii="Arial" w:hAnsi="Arial" w:cs="Arial"/>
                <w:bCs/>
                <w:sz w:val="18"/>
                <w:szCs w:val="18"/>
              </w:rPr>
              <w:t>地上建筑面积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210</w:t>
            </w:r>
            <w:r>
              <w:rPr>
                <w:rFonts w:hint="eastAsia" w:ascii="Arial" w:hAnsi="Arial" w:cs="Arial"/>
                <w:color w:val="000000"/>
                <w:sz w:val="18"/>
                <w:szCs w:val="18"/>
                <w:lang w:bidi="ar"/>
              </w:rPr>
              <w:t>,</w:t>
            </w:r>
            <w:r>
              <w:rPr>
                <w:rFonts w:ascii="Arial" w:hAnsi="Arial" w:cs="Arial"/>
                <w:color w:val="000000"/>
                <w:sz w:val="18"/>
                <w:szCs w:val="18"/>
                <w:lang w:bidi="ar"/>
              </w:rPr>
              <w:t>498</w:t>
            </w:r>
            <w:r>
              <w:rPr>
                <w:rFonts w:hint="eastAsia" w:ascii="Arial" w:hAnsi="Arial" w:cs="Arial"/>
                <w:color w:val="000000"/>
                <w:sz w:val="18"/>
                <w:szCs w:val="18"/>
                <w:lang w:bidi="ar"/>
              </w:rPr>
              <w:t>.00</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101</w:t>
            </w:r>
            <w:r>
              <w:rPr>
                <w:rFonts w:hint="eastAsia" w:ascii="Arial" w:hAnsi="Arial" w:cs="Arial"/>
                <w:color w:val="000000"/>
                <w:sz w:val="18"/>
                <w:szCs w:val="18"/>
                <w:lang w:bidi="ar"/>
              </w:rPr>
              <w:t>,</w:t>
            </w:r>
            <w:r>
              <w:rPr>
                <w:rFonts w:ascii="Arial" w:hAnsi="Arial" w:cs="Arial"/>
                <w:color w:val="000000"/>
                <w:sz w:val="18"/>
                <w:szCs w:val="18"/>
                <w:lang w:bidi="ar"/>
              </w:rPr>
              <w:t>019.21</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109</w:t>
            </w:r>
            <w:r>
              <w:rPr>
                <w:rFonts w:hint="eastAsia" w:ascii="Arial" w:hAnsi="Arial" w:cs="Arial"/>
                <w:color w:val="000000"/>
                <w:sz w:val="18"/>
                <w:szCs w:val="18"/>
                <w:lang w:bidi="ar"/>
              </w:rPr>
              <w:t>,</w:t>
            </w:r>
            <w:r>
              <w:rPr>
                <w:rFonts w:ascii="Arial" w:hAnsi="Arial" w:cs="Arial"/>
                <w:color w:val="000000"/>
                <w:sz w:val="18"/>
                <w:szCs w:val="18"/>
                <w:lang w:bidi="ar"/>
              </w:rPr>
              <w:t>478.79</w:t>
            </w:r>
          </w:p>
        </w:tc>
      </w:tr>
      <w:tr>
        <w:tblPrEx>
          <w:tblCellMar>
            <w:top w:w="0" w:type="dxa"/>
            <w:left w:w="108" w:type="dxa"/>
            <w:bottom w:w="0" w:type="dxa"/>
            <w:right w:w="108" w:type="dxa"/>
          </w:tblCellMar>
        </w:tblPrEx>
        <w:trPr>
          <w:trHeight w:val="270"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p>
        </w:tc>
        <w:tc>
          <w:tcPr>
            <w:tcW w:w="2688" w:type="dxa"/>
            <w:tcBorders>
              <w:top w:val="nil"/>
              <w:left w:val="single" w:color="000000" w:sz="4" w:space="0"/>
              <w:bottom w:val="nil"/>
              <w:right w:val="single" w:color="000000" w:sz="4" w:space="0"/>
            </w:tcBorders>
            <w:shd w:val="clear" w:color="auto" w:fill="FFFFFF" w:themeFill="background1"/>
            <w:vAlign w:val="center"/>
          </w:tcPr>
          <w:p>
            <w:pPr>
              <w:spacing w:line="360" w:lineRule="auto"/>
              <w:jc w:val="center"/>
              <w:rPr>
                <w:rFonts w:ascii="Arial" w:hAnsi="Arial" w:cs="Arial"/>
                <w:bCs/>
                <w:sz w:val="18"/>
                <w:szCs w:val="18"/>
              </w:rPr>
            </w:pPr>
            <w:r>
              <w:rPr>
                <w:rFonts w:hint="eastAsia" w:ascii="Arial" w:hAnsi="Arial" w:cs="Arial"/>
                <w:bCs/>
                <w:sz w:val="18"/>
                <w:szCs w:val="18"/>
              </w:rPr>
              <w:t>地下建筑面积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78</w:t>
            </w:r>
            <w:r>
              <w:rPr>
                <w:rFonts w:hint="eastAsia" w:ascii="Arial" w:hAnsi="Arial" w:cs="Arial"/>
                <w:color w:val="000000"/>
                <w:sz w:val="18"/>
                <w:szCs w:val="18"/>
                <w:lang w:bidi="ar"/>
              </w:rPr>
              <w:t>,</w:t>
            </w:r>
            <w:r>
              <w:rPr>
                <w:rFonts w:ascii="Arial" w:hAnsi="Arial" w:cs="Arial"/>
                <w:color w:val="000000"/>
                <w:sz w:val="18"/>
                <w:szCs w:val="18"/>
                <w:lang w:bidi="ar"/>
              </w:rPr>
              <w:t>005.33</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36</w:t>
            </w:r>
            <w:r>
              <w:rPr>
                <w:rFonts w:hint="eastAsia" w:ascii="Arial" w:hAnsi="Arial" w:cs="Arial"/>
                <w:color w:val="000000"/>
                <w:sz w:val="18"/>
                <w:szCs w:val="18"/>
                <w:lang w:bidi="ar"/>
              </w:rPr>
              <w:t>,</w:t>
            </w:r>
            <w:r>
              <w:rPr>
                <w:rFonts w:ascii="Arial" w:hAnsi="Arial" w:cs="Arial"/>
                <w:color w:val="000000"/>
                <w:sz w:val="18"/>
                <w:szCs w:val="18"/>
                <w:lang w:bidi="ar"/>
              </w:rPr>
              <w:t>789.69</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41</w:t>
            </w:r>
            <w:r>
              <w:rPr>
                <w:rFonts w:hint="eastAsia" w:ascii="Arial" w:hAnsi="Arial" w:cs="Arial"/>
                <w:color w:val="000000"/>
                <w:sz w:val="18"/>
                <w:szCs w:val="18"/>
                <w:lang w:bidi="ar"/>
              </w:rPr>
              <w:t>,</w:t>
            </w:r>
            <w:r>
              <w:rPr>
                <w:rFonts w:ascii="Arial" w:hAnsi="Arial" w:cs="Arial"/>
                <w:color w:val="000000"/>
                <w:sz w:val="18"/>
                <w:szCs w:val="18"/>
                <w:lang w:bidi="ar"/>
              </w:rPr>
              <w:t>215.64</w:t>
            </w:r>
          </w:p>
        </w:tc>
      </w:tr>
      <w:tr>
        <w:tblPrEx>
          <w:tblCellMar>
            <w:top w:w="0" w:type="dxa"/>
            <w:left w:w="108" w:type="dxa"/>
            <w:bottom w:w="0" w:type="dxa"/>
            <w:right w:w="108" w:type="dxa"/>
          </w:tblCellMar>
        </w:tblPrEx>
        <w:trPr>
          <w:trHeight w:val="270"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计容面积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宋体" w:hAnsi="宋体" w:cs="宋体"/>
                <w:color w:val="000000"/>
                <w:sz w:val="18"/>
                <w:szCs w:val="18"/>
              </w:rPr>
            </w:pPr>
            <w:r>
              <w:rPr>
                <w:rFonts w:ascii="Arial" w:hAnsi="Arial" w:cs="Arial"/>
                <w:color w:val="000000"/>
                <w:sz w:val="18"/>
                <w:szCs w:val="18"/>
                <w:lang w:bidi="ar"/>
              </w:rPr>
              <w:t>203</w:t>
            </w:r>
            <w:r>
              <w:rPr>
                <w:rFonts w:hint="eastAsia" w:ascii="Arial" w:hAnsi="Arial" w:cs="Arial"/>
                <w:color w:val="000000"/>
                <w:sz w:val="18"/>
                <w:szCs w:val="18"/>
                <w:lang w:bidi="ar"/>
              </w:rPr>
              <w:t>,</w:t>
            </w:r>
            <w:r>
              <w:rPr>
                <w:rFonts w:ascii="Arial" w:hAnsi="Arial" w:cs="Arial"/>
                <w:color w:val="000000"/>
                <w:sz w:val="18"/>
                <w:szCs w:val="18"/>
                <w:lang w:bidi="ar"/>
              </w:rPr>
              <w:t>371.54</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97</w:t>
            </w:r>
            <w:r>
              <w:rPr>
                <w:rFonts w:hint="eastAsia" w:ascii="Arial" w:hAnsi="Arial" w:cs="Arial"/>
                <w:color w:val="000000"/>
                <w:sz w:val="18"/>
                <w:szCs w:val="18"/>
                <w:lang w:bidi="ar"/>
              </w:rPr>
              <w:t>,</w:t>
            </w:r>
            <w:r>
              <w:rPr>
                <w:rFonts w:ascii="Arial" w:hAnsi="Arial" w:cs="Arial"/>
                <w:color w:val="000000"/>
                <w:sz w:val="18"/>
                <w:szCs w:val="18"/>
                <w:lang w:bidi="ar"/>
              </w:rPr>
              <w:t>943.75</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105</w:t>
            </w:r>
            <w:r>
              <w:rPr>
                <w:rFonts w:hint="eastAsia" w:ascii="Arial" w:hAnsi="Arial" w:cs="Arial"/>
                <w:color w:val="000000"/>
                <w:sz w:val="18"/>
                <w:szCs w:val="18"/>
                <w:lang w:bidi="ar"/>
              </w:rPr>
              <w:t>,</w:t>
            </w:r>
            <w:r>
              <w:rPr>
                <w:rFonts w:ascii="Arial" w:hAnsi="Arial" w:cs="Arial"/>
                <w:color w:val="000000"/>
                <w:sz w:val="18"/>
                <w:szCs w:val="18"/>
                <w:lang w:bidi="ar"/>
              </w:rPr>
              <w:t>427.79</w:t>
            </w:r>
          </w:p>
        </w:tc>
      </w:tr>
      <w:tr>
        <w:tblPrEx>
          <w:tblCellMar>
            <w:top w:w="0" w:type="dxa"/>
            <w:left w:w="108" w:type="dxa"/>
            <w:bottom w:w="0" w:type="dxa"/>
            <w:right w:w="108" w:type="dxa"/>
          </w:tblCellMar>
        </w:tblPrEx>
        <w:trPr>
          <w:trHeight w:val="270"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jc w:val="center"/>
              <w:rPr>
                <w:rFonts w:ascii="Arial" w:hAnsi="Arial" w:cs="Arial"/>
                <w:bCs/>
                <w:sz w:val="18"/>
                <w:szCs w:val="18"/>
              </w:rPr>
            </w:pPr>
            <w:r>
              <w:rPr>
                <w:rFonts w:hint="eastAsia" w:ascii="Arial" w:hAnsi="Arial" w:cs="Arial"/>
                <w:bCs/>
                <w:sz w:val="18"/>
                <w:szCs w:val="18"/>
              </w:rPr>
              <w:t>可售面积</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210</w:t>
            </w:r>
            <w:r>
              <w:rPr>
                <w:rFonts w:hint="eastAsia" w:ascii="Arial" w:hAnsi="Arial" w:cs="Arial"/>
                <w:color w:val="000000"/>
                <w:sz w:val="18"/>
                <w:szCs w:val="18"/>
                <w:lang w:bidi="ar"/>
              </w:rPr>
              <w:t>,</w:t>
            </w:r>
            <w:r>
              <w:rPr>
                <w:rFonts w:ascii="Arial" w:hAnsi="Arial" w:cs="Arial"/>
                <w:color w:val="000000"/>
                <w:sz w:val="18"/>
                <w:szCs w:val="18"/>
                <w:lang w:bidi="ar"/>
              </w:rPr>
              <w:t>498</w:t>
            </w:r>
            <w:r>
              <w:rPr>
                <w:rFonts w:hint="eastAsia" w:ascii="Arial" w:hAnsi="Arial" w:cs="Arial"/>
                <w:color w:val="000000"/>
                <w:sz w:val="18"/>
                <w:szCs w:val="18"/>
                <w:lang w:bidi="ar"/>
              </w:rPr>
              <w:t>.00</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101</w:t>
            </w:r>
            <w:r>
              <w:rPr>
                <w:rFonts w:hint="eastAsia" w:ascii="Arial" w:hAnsi="Arial" w:cs="Arial"/>
                <w:color w:val="000000"/>
                <w:sz w:val="18"/>
                <w:szCs w:val="18"/>
                <w:lang w:bidi="ar"/>
              </w:rPr>
              <w:t>,</w:t>
            </w:r>
            <w:r>
              <w:rPr>
                <w:rFonts w:ascii="Arial" w:hAnsi="Arial" w:cs="Arial"/>
                <w:color w:val="000000"/>
                <w:sz w:val="18"/>
                <w:szCs w:val="18"/>
                <w:lang w:bidi="ar"/>
              </w:rPr>
              <w:t>019.21</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109</w:t>
            </w:r>
            <w:r>
              <w:rPr>
                <w:rFonts w:hint="eastAsia" w:ascii="Arial" w:hAnsi="Arial" w:cs="Arial"/>
                <w:color w:val="000000"/>
                <w:sz w:val="18"/>
                <w:szCs w:val="18"/>
                <w:lang w:bidi="ar"/>
              </w:rPr>
              <w:t>,</w:t>
            </w:r>
            <w:r>
              <w:rPr>
                <w:rFonts w:ascii="Arial" w:hAnsi="Arial" w:cs="Arial"/>
                <w:color w:val="000000"/>
                <w:sz w:val="18"/>
                <w:szCs w:val="18"/>
                <w:lang w:bidi="ar"/>
              </w:rPr>
              <w:t>478.79</w:t>
            </w:r>
          </w:p>
        </w:tc>
      </w:tr>
      <w:tr>
        <w:tblPrEx>
          <w:tblCellMar>
            <w:top w:w="0" w:type="dxa"/>
            <w:left w:w="108" w:type="dxa"/>
            <w:bottom w:w="0" w:type="dxa"/>
            <w:right w:w="108" w:type="dxa"/>
          </w:tblCellMar>
        </w:tblPrEx>
        <w:trPr>
          <w:trHeight w:val="270"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容积率</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1.999</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1.999</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1.999</w:t>
            </w:r>
          </w:p>
        </w:tc>
      </w:tr>
      <w:tr>
        <w:tblPrEx>
          <w:tblCellMar>
            <w:top w:w="0" w:type="dxa"/>
            <w:left w:w="108" w:type="dxa"/>
            <w:bottom w:w="0" w:type="dxa"/>
            <w:right w:w="108" w:type="dxa"/>
          </w:tblCellMar>
        </w:tblPrEx>
        <w:trPr>
          <w:trHeight w:val="270" w:hRule="atLeast"/>
        </w:trPr>
        <w:tc>
          <w:tcPr>
            <w:tcW w:w="3750"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机动车停车位</w:t>
            </w:r>
            <w:r>
              <w:rPr>
                <w:rFonts w:hint="eastAsia" w:ascii="Arial" w:hAnsi="Arial" w:cs="Arial"/>
                <w:bCs/>
                <w:sz w:val="18"/>
                <w:szCs w:val="18"/>
              </w:rPr>
              <w:t>（个）</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2527</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1210</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1317</w:t>
            </w:r>
          </w:p>
        </w:tc>
      </w:tr>
      <w:tr>
        <w:tblPrEx>
          <w:tblCellMar>
            <w:top w:w="0" w:type="dxa"/>
            <w:left w:w="108" w:type="dxa"/>
            <w:bottom w:w="0" w:type="dxa"/>
            <w:right w:w="108" w:type="dxa"/>
          </w:tblCellMar>
        </w:tblPrEx>
        <w:trPr>
          <w:trHeight w:val="270" w:hRule="atLeast"/>
        </w:trPr>
        <w:tc>
          <w:tcPr>
            <w:tcW w:w="106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其中</w:t>
            </w:r>
          </w:p>
        </w:tc>
        <w:tc>
          <w:tcPr>
            <w:tcW w:w="268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地上车位</w:t>
            </w:r>
            <w:r>
              <w:rPr>
                <w:rFonts w:hint="eastAsia" w:ascii="Arial" w:hAnsi="Arial" w:cs="Arial"/>
                <w:bCs/>
                <w:sz w:val="18"/>
                <w:szCs w:val="18"/>
              </w:rPr>
              <w:t>(个）</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252</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121</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131</w:t>
            </w:r>
          </w:p>
        </w:tc>
      </w:tr>
      <w:tr>
        <w:tblPrEx>
          <w:tblCellMar>
            <w:top w:w="0" w:type="dxa"/>
            <w:left w:w="108" w:type="dxa"/>
            <w:bottom w:w="0" w:type="dxa"/>
            <w:right w:w="108" w:type="dxa"/>
          </w:tblCellMar>
        </w:tblPrEx>
        <w:trPr>
          <w:trHeight w:val="270" w:hRule="atLeast"/>
        </w:trPr>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p>
        </w:tc>
        <w:tc>
          <w:tcPr>
            <w:tcW w:w="268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360" w:lineRule="auto"/>
              <w:ind w:firstLine="360" w:firstLineChars="200"/>
              <w:rPr>
                <w:rFonts w:ascii="Arial" w:hAnsi="Arial" w:cs="Arial"/>
                <w:bCs/>
                <w:sz w:val="18"/>
                <w:szCs w:val="18"/>
              </w:rPr>
            </w:pPr>
            <w:r>
              <w:rPr>
                <w:rFonts w:ascii="Arial" w:hAnsi="Arial" w:cs="Arial"/>
                <w:bCs/>
                <w:sz w:val="18"/>
                <w:szCs w:val="18"/>
              </w:rPr>
              <w:t>地下停车位</w:t>
            </w:r>
            <w:r>
              <w:rPr>
                <w:rFonts w:hint="eastAsia" w:ascii="Arial" w:hAnsi="Arial" w:cs="Arial"/>
                <w:bCs/>
                <w:sz w:val="18"/>
                <w:szCs w:val="18"/>
              </w:rPr>
              <w:t>（个）</w:t>
            </w:r>
          </w:p>
        </w:tc>
        <w:tc>
          <w:tcPr>
            <w:tcW w:w="170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2275</w:t>
            </w:r>
          </w:p>
        </w:tc>
        <w:tc>
          <w:tcPr>
            <w:tcW w:w="201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1089</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360" w:firstLineChars="200"/>
              <w:jc w:val="center"/>
              <w:textAlignment w:val="center"/>
              <w:rPr>
                <w:rFonts w:ascii="Arial" w:hAnsi="Arial" w:cs="Arial"/>
                <w:bCs/>
                <w:sz w:val="18"/>
                <w:szCs w:val="18"/>
              </w:rPr>
            </w:pPr>
            <w:r>
              <w:rPr>
                <w:rFonts w:ascii="Arial" w:hAnsi="Arial" w:cs="Arial"/>
                <w:color w:val="000000"/>
                <w:sz w:val="18"/>
                <w:szCs w:val="18"/>
                <w:lang w:bidi="ar"/>
              </w:rPr>
              <w:t>1186</w:t>
            </w:r>
          </w:p>
        </w:tc>
      </w:tr>
    </w:tbl>
    <w:p>
      <w:pPr>
        <w:pStyle w:val="2"/>
        <w:ind w:firstLine="0" w:firstLineChars="0"/>
      </w:pPr>
    </w:p>
    <w:p>
      <w:pPr>
        <w:ind w:firstLine="420" w:firstLineChars="200"/>
        <w:rPr>
          <w:rFonts w:ascii="宋体" w:hAnsi="宋体" w:cs="宋体"/>
          <w:bCs/>
          <w:sz w:val="21"/>
          <w:szCs w:val="21"/>
        </w:rPr>
      </w:pPr>
      <w:r>
        <w:rPr>
          <w:rFonts w:hint="eastAsia" w:ascii="宋体" w:hAnsi="宋体" w:cs="宋体"/>
          <w:bCs/>
          <w:sz w:val="21"/>
          <w:szCs w:val="21"/>
        </w:rPr>
        <w:t>注：数据来源于已取得的建设工程规划许可证，其中可售面积数据来源于首次董事会版经济技术指标汇总表。</w:t>
      </w:r>
    </w:p>
    <w:p>
      <w:pPr>
        <w:pStyle w:val="3"/>
        <w:rPr>
          <w:rFonts w:ascii="宋体" w:hAnsi="宋体" w:eastAsia="宋体"/>
          <w:sz w:val="21"/>
          <w:szCs w:val="21"/>
        </w:rPr>
      </w:pPr>
      <w:bookmarkStart w:id="3" w:name="_Toc18294"/>
      <w:bookmarkStart w:id="4" w:name="_Toc29547"/>
      <w:r>
        <w:rPr>
          <w:rFonts w:hint="eastAsia" w:ascii="宋体" w:hAnsi="宋体" w:eastAsia="宋体"/>
          <w:sz w:val="21"/>
          <w:szCs w:val="21"/>
        </w:rPr>
        <w:t>二、信托资金使用情况</w:t>
      </w:r>
      <w:bookmarkEnd w:id="3"/>
      <w:bookmarkEnd w:id="4"/>
    </w:p>
    <w:p>
      <w:pPr>
        <w:ind w:firstLine="422" w:firstLineChars="200"/>
        <w:jc w:val="center"/>
        <w:rPr>
          <w:rFonts w:ascii="宋体" w:hAnsi="宋体" w:eastAsia="宋体"/>
          <w:sz w:val="21"/>
          <w:szCs w:val="21"/>
        </w:rPr>
      </w:pPr>
      <w:r>
        <w:rPr>
          <w:rFonts w:hint="eastAsia" w:ascii="宋体" w:hAnsi="宋体" w:cs="宋体"/>
          <w:b/>
          <w:sz w:val="21"/>
          <w:szCs w:val="21"/>
        </w:rPr>
        <w:t>表二：信托资金使用情况</w:t>
      </w:r>
    </w:p>
    <w:tbl>
      <w:tblPr>
        <w:tblStyle w:val="17"/>
        <w:tblW w:w="9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323"/>
        <w:gridCol w:w="1613"/>
        <w:gridCol w:w="1437"/>
        <w:gridCol w:w="1450"/>
        <w:gridCol w:w="15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jc w:val="center"/>
        </w:trPr>
        <w:tc>
          <w:tcPr>
            <w:tcW w:w="104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32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时间</w:t>
            </w:r>
          </w:p>
        </w:tc>
        <w:tc>
          <w:tcPr>
            <w:tcW w:w="161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信托出资金额</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（万元）</w:t>
            </w:r>
          </w:p>
        </w:tc>
        <w:tc>
          <w:tcPr>
            <w:tcW w:w="1437"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信托累计出资金额（万元）</w:t>
            </w:r>
          </w:p>
        </w:tc>
        <w:tc>
          <w:tcPr>
            <w:tcW w:w="145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已使用金额</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（万元）</w:t>
            </w:r>
          </w:p>
        </w:tc>
        <w:tc>
          <w:tcPr>
            <w:tcW w:w="155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用途</w:t>
            </w:r>
          </w:p>
        </w:tc>
        <w:tc>
          <w:tcPr>
            <w:tcW w:w="814"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04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2020/7/31</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19,120.00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19,120.00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19,120.00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sz w:val="18"/>
                <w:szCs w:val="18"/>
              </w:rPr>
            </w:pPr>
            <w:r>
              <w:rPr>
                <w:rFonts w:ascii="Arial" w:hAnsi="Arial" w:cs="Arial"/>
                <w:sz w:val="18"/>
                <w:szCs w:val="18"/>
              </w:rPr>
              <w:t>2</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2020/8/3</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11,790.00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30,910.00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11,790.00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sz w:val="18"/>
                <w:szCs w:val="18"/>
              </w:rPr>
            </w:pPr>
            <w:r>
              <w:rPr>
                <w:rFonts w:ascii="Arial" w:hAnsi="Arial" w:cs="Arial"/>
                <w:sz w:val="18"/>
                <w:szCs w:val="18"/>
              </w:rPr>
              <w:t>3</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2020/8/7</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21,600.00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52,510.00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2,160.00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2020/8/11</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16,570.00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69,080.00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16,570.00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0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2020/8/14</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18,070.00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87,150.00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18,070.00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2020/8/18</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8,660.00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95,810.00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8,660.00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2020/8/21</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5,999.00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101,809.00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5,999.00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323" w:type="dxa"/>
            <w:vAlign w:val="center"/>
          </w:tcPr>
          <w:p>
            <w:pPr>
              <w:jc w:val="center"/>
              <w:textAlignment w:val="bottom"/>
              <w:rPr>
                <w:rFonts w:ascii="Arial" w:hAnsi="Arial" w:cs="Arial"/>
                <w:color w:val="000000"/>
                <w:sz w:val="18"/>
                <w:szCs w:val="18"/>
                <w:lang w:bidi="ar"/>
              </w:rPr>
            </w:pPr>
            <w:r>
              <w:rPr>
                <w:rFonts w:ascii="Arial" w:hAnsi="Arial" w:cs="Arial"/>
                <w:color w:val="000000"/>
                <w:sz w:val="18"/>
                <w:szCs w:val="18"/>
                <w:lang w:bidi="ar"/>
              </w:rPr>
              <w:t>2020/8/28</w:t>
            </w:r>
          </w:p>
        </w:tc>
        <w:tc>
          <w:tcPr>
            <w:tcW w:w="1613"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5,091.00</w:t>
            </w:r>
          </w:p>
        </w:tc>
        <w:tc>
          <w:tcPr>
            <w:tcW w:w="1437"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106,900.00</w:t>
            </w:r>
          </w:p>
        </w:tc>
        <w:tc>
          <w:tcPr>
            <w:tcW w:w="1450" w:type="dxa"/>
            <w:vAlign w:val="center"/>
          </w:tcPr>
          <w:p>
            <w:pPr>
              <w:jc w:val="right"/>
              <w:textAlignment w:val="bottom"/>
              <w:rPr>
                <w:rFonts w:ascii="Arial" w:hAnsi="Arial" w:cs="Arial"/>
                <w:color w:val="000000"/>
                <w:sz w:val="18"/>
                <w:szCs w:val="18"/>
                <w:lang w:bidi="ar"/>
              </w:rPr>
            </w:pPr>
            <w:r>
              <w:rPr>
                <w:rFonts w:ascii="Arial" w:hAnsi="Arial" w:cs="Arial"/>
                <w:color w:val="000000"/>
                <w:sz w:val="18"/>
                <w:szCs w:val="18"/>
                <w:lang w:bidi="ar"/>
              </w:rPr>
              <w:t>5,091.00</w:t>
            </w:r>
          </w:p>
        </w:tc>
        <w:tc>
          <w:tcPr>
            <w:tcW w:w="155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置换洛翊股权及归还小股东</w:t>
            </w: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43" w:type="dxa"/>
            <w:vAlign w:val="center"/>
          </w:tcPr>
          <w:p>
            <w:pPr>
              <w:widowControl w:val="0"/>
              <w:jc w:val="center"/>
              <w:textAlignment w:val="center"/>
              <w:rPr>
                <w:rFonts w:ascii="Arial" w:hAnsi="Arial" w:cs="Arial"/>
                <w:color w:val="000000"/>
                <w:sz w:val="18"/>
                <w:szCs w:val="18"/>
                <w:lang w:bidi="ar"/>
              </w:rPr>
            </w:pPr>
          </w:p>
        </w:tc>
        <w:tc>
          <w:tcPr>
            <w:tcW w:w="132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16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106,900.00</w:t>
            </w:r>
          </w:p>
        </w:tc>
        <w:tc>
          <w:tcPr>
            <w:tcW w:w="1437"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450"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106,900.00</w:t>
            </w:r>
          </w:p>
        </w:tc>
        <w:tc>
          <w:tcPr>
            <w:tcW w:w="1550" w:type="dxa"/>
            <w:vAlign w:val="center"/>
          </w:tcPr>
          <w:p>
            <w:pPr>
              <w:jc w:val="center"/>
              <w:textAlignment w:val="center"/>
              <w:rPr>
                <w:rFonts w:ascii="Arial" w:hAnsi="Arial" w:cs="Arial"/>
                <w:color w:val="000000"/>
                <w:sz w:val="18"/>
                <w:szCs w:val="18"/>
                <w:lang w:bidi="ar"/>
              </w:rPr>
            </w:pPr>
          </w:p>
        </w:tc>
        <w:tc>
          <w:tcPr>
            <w:tcW w:w="8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0.00</w:t>
            </w:r>
          </w:p>
        </w:tc>
      </w:tr>
    </w:tbl>
    <w:p>
      <w:pPr>
        <w:pStyle w:val="3"/>
        <w:rPr>
          <w:rFonts w:ascii="宋体" w:hAnsi="宋体" w:eastAsia="宋体"/>
          <w:sz w:val="21"/>
          <w:szCs w:val="21"/>
        </w:rPr>
      </w:pPr>
      <w:bookmarkStart w:id="5" w:name="_Toc27241"/>
      <w:bookmarkStart w:id="6" w:name="_Toc25617"/>
      <w:r>
        <w:rPr>
          <w:rFonts w:hint="eastAsia" w:ascii="宋体" w:hAnsi="宋体" w:eastAsia="宋体"/>
          <w:sz w:val="21"/>
          <w:szCs w:val="21"/>
        </w:rPr>
        <w:t>三、项目证件办理情况</w:t>
      </w:r>
      <w:bookmarkEnd w:id="5"/>
      <w:bookmarkEnd w:id="6"/>
    </w:p>
    <w:p>
      <w:pPr>
        <w:jc w:val="center"/>
        <w:rPr>
          <w:rFonts w:ascii="宋体" w:hAnsi="宋体" w:cs="宋体"/>
          <w:b/>
          <w:bCs/>
          <w:color w:val="000000"/>
          <w:sz w:val="21"/>
          <w:szCs w:val="21"/>
        </w:rPr>
      </w:pPr>
      <w:r>
        <w:rPr>
          <w:rFonts w:hint="eastAsia" w:ascii="宋体" w:hAnsi="宋体" w:cs="宋体"/>
          <w:b/>
          <w:bCs/>
          <w:color w:val="000000"/>
          <w:sz w:val="21"/>
          <w:szCs w:val="21"/>
        </w:rPr>
        <w:t>表三：项目五证办理情况</w:t>
      </w:r>
    </w:p>
    <w:tbl>
      <w:tblPr>
        <w:tblStyle w:val="17"/>
        <w:tblW w:w="9715" w:type="dxa"/>
        <w:jc w:val="center"/>
        <w:tblLayout w:type="fixed"/>
        <w:tblCellMar>
          <w:top w:w="0" w:type="dxa"/>
          <w:left w:w="108" w:type="dxa"/>
          <w:bottom w:w="0" w:type="dxa"/>
          <w:right w:w="108" w:type="dxa"/>
        </w:tblCellMar>
      </w:tblPr>
      <w:tblGrid>
        <w:gridCol w:w="1599"/>
        <w:gridCol w:w="1275"/>
        <w:gridCol w:w="2268"/>
        <w:gridCol w:w="1701"/>
        <w:gridCol w:w="2483"/>
        <w:gridCol w:w="389"/>
      </w:tblGrid>
      <w:tr>
        <w:tblPrEx>
          <w:tblCellMar>
            <w:top w:w="0" w:type="dxa"/>
            <w:left w:w="108" w:type="dxa"/>
            <w:bottom w:w="0" w:type="dxa"/>
            <w:right w:w="108" w:type="dxa"/>
          </w:tblCellMar>
        </w:tblPrEx>
        <w:trPr>
          <w:trHeight w:val="532" w:hRule="atLeast"/>
          <w:tblHeader/>
          <w:jc w:val="center"/>
        </w:trPr>
        <w:tc>
          <w:tcPr>
            <w:tcW w:w="159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五证</w:t>
            </w:r>
          </w:p>
        </w:tc>
        <w:tc>
          <w:tcPr>
            <w:tcW w:w="354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1#地块</w:t>
            </w:r>
          </w:p>
        </w:tc>
        <w:tc>
          <w:tcPr>
            <w:tcW w:w="418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2#地块</w:t>
            </w:r>
          </w:p>
        </w:tc>
        <w:tc>
          <w:tcPr>
            <w:tcW w:w="38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备注</w:t>
            </w:r>
          </w:p>
        </w:tc>
      </w:tr>
      <w:tr>
        <w:tblPrEx>
          <w:tblCellMar>
            <w:top w:w="0" w:type="dxa"/>
            <w:left w:w="108" w:type="dxa"/>
            <w:bottom w:w="0" w:type="dxa"/>
            <w:right w:w="108" w:type="dxa"/>
          </w:tblCellMar>
        </w:tblPrEx>
        <w:trPr>
          <w:trHeight w:val="546" w:hRule="atLeast"/>
          <w:tblHeader/>
          <w:jc w:val="center"/>
        </w:trPr>
        <w:tc>
          <w:tcPr>
            <w:tcW w:w="159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取证时间</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证书编号</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取证时间</w:t>
            </w:r>
          </w:p>
        </w:tc>
        <w:tc>
          <w:tcPr>
            <w:tcW w:w="24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证书编号</w:t>
            </w:r>
          </w:p>
        </w:tc>
        <w:tc>
          <w:tcPr>
            <w:tcW w:w="38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p>
        </w:tc>
      </w:tr>
      <w:tr>
        <w:tblPrEx>
          <w:tblCellMar>
            <w:top w:w="0" w:type="dxa"/>
            <w:left w:w="108" w:type="dxa"/>
            <w:bottom w:w="0" w:type="dxa"/>
            <w:right w:w="108" w:type="dxa"/>
          </w:tblCellMar>
        </w:tblPrEx>
        <w:trPr>
          <w:trHeight w:val="546" w:hRule="atLeast"/>
          <w:jc w:val="center"/>
        </w:trPr>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不动产权证书</w:t>
            </w:r>
          </w:p>
        </w:tc>
        <w:tc>
          <w:tcPr>
            <w:tcW w:w="1275"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2020-07-30</w:t>
            </w:r>
          </w:p>
        </w:tc>
        <w:tc>
          <w:tcPr>
            <w:tcW w:w="226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苏（2020）苏州市吴江区不动产权第9032627号</w:t>
            </w:r>
          </w:p>
        </w:tc>
        <w:tc>
          <w:tcPr>
            <w:tcW w:w="1701"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2020-07-30</w:t>
            </w:r>
          </w:p>
        </w:tc>
        <w:tc>
          <w:tcPr>
            <w:tcW w:w="2483"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苏（2020）苏州市吴江区不动产权第9032632号</w:t>
            </w:r>
          </w:p>
        </w:tc>
        <w:tc>
          <w:tcPr>
            <w:tcW w:w="389"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48" w:hRule="atLeast"/>
          <w:jc w:val="center"/>
        </w:trPr>
        <w:tc>
          <w:tcPr>
            <w:tcW w:w="1599"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建设用地规划许可证</w:t>
            </w:r>
          </w:p>
        </w:tc>
        <w:tc>
          <w:tcPr>
            <w:tcW w:w="1275"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2020-07-20</w:t>
            </w:r>
          </w:p>
        </w:tc>
        <w:tc>
          <w:tcPr>
            <w:tcW w:w="2268"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地字第320509202001081号</w:t>
            </w:r>
          </w:p>
        </w:tc>
        <w:tc>
          <w:tcPr>
            <w:tcW w:w="1701"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2020-07-20</w:t>
            </w:r>
          </w:p>
        </w:tc>
        <w:tc>
          <w:tcPr>
            <w:tcW w:w="2483"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地字第320509202001082号</w:t>
            </w:r>
          </w:p>
        </w:tc>
        <w:tc>
          <w:tcPr>
            <w:tcW w:w="389"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43" w:hRule="atLeast"/>
          <w:jc w:val="center"/>
        </w:trPr>
        <w:tc>
          <w:tcPr>
            <w:tcW w:w="1599"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建设工程规划许可证</w:t>
            </w:r>
          </w:p>
        </w:tc>
        <w:tc>
          <w:tcPr>
            <w:tcW w:w="1275"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2020-09-18</w:t>
            </w:r>
          </w:p>
        </w:tc>
        <w:tc>
          <w:tcPr>
            <w:tcW w:w="2268"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建字第320509202000129号</w:t>
            </w:r>
          </w:p>
        </w:tc>
        <w:tc>
          <w:tcPr>
            <w:tcW w:w="1701"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2020-09-03</w:t>
            </w:r>
          </w:p>
        </w:tc>
        <w:tc>
          <w:tcPr>
            <w:tcW w:w="2483"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建字第320509202000122号</w:t>
            </w:r>
          </w:p>
        </w:tc>
        <w:tc>
          <w:tcPr>
            <w:tcW w:w="389"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50" w:hRule="atLeast"/>
          <w:jc w:val="center"/>
        </w:trPr>
        <w:tc>
          <w:tcPr>
            <w:tcW w:w="1599"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建筑工程施工许可证</w:t>
            </w:r>
          </w:p>
        </w:tc>
        <w:tc>
          <w:tcPr>
            <w:tcW w:w="1275"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三标段2020-10-15</w:t>
            </w:r>
          </w:p>
          <w:p>
            <w:pPr>
              <w:jc w:val="center"/>
              <w:rPr>
                <w:rFonts w:ascii="Arial" w:hAnsi="Arial" w:cs="Arial"/>
                <w:color w:val="000000"/>
                <w:sz w:val="18"/>
                <w:szCs w:val="18"/>
              </w:rPr>
            </w:pPr>
            <w:r>
              <w:rPr>
                <w:rFonts w:ascii="Arial" w:hAnsi="Arial" w:cs="Arial"/>
                <w:color w:val="000000"/>
                <w:sz w:val="18"/>
                <w:szCs w:val="18"/>
              </w:rPr>
              <w:t>四标段2020-10-16</w:t>
            </w:r>
          </w:p>
        </w:tc>
        <w:tc>
          <w:tcPr>
            <w:tcW w:w="2268"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三标段320509202010150101</w:t>
            </w:r>
          </w:p>
          <w:p>
            <w:pPr>
              <w:jc w:val="center"/>
              <w:rPr>
                <w:rFonts w:ascii="Arial" w:hAnsi="Arial" w:cs="Arial"/>
                <w:color w:val="000000"/>
                <w:sz w:val="18"/>
                <w:szCs w:val="18"/>
              </w:rPr>
            </w:pPr>
            <w:r>
              <w:rPr>
                <w:rFonts w:ascii="Arial" w:hAnsi="Arial" w:cs="Arial"/>
                <w:color w:val="000000"/>
                <w:sz w:val="18"/>
                <w:szCs w:val="18"/>
              </w:rPr>
              <w:t>四标段320509202010160401</w:t>
            </w:r>
          </w:p>
        </w:tc>
        <w:tc>
          <w:tcPr>
            <w:tcW w:w="1701"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一标段2020-09-17</w:t>
            </w:r>
          </w:p>
          <w:p>
            <w:pPr>
              <w:jc w:val="center"/>
              <w:rPr>
                <w:rFonts w:ascii="Arial" w:hAnsi="Arial" w:cs="Arial"/>
                <w:color w:val="000000"/>
                <w:sz w:val="18"/>
                <w:szCs w:val="18"/>
              </w:rPr>
            </w:pPr>
            <w:r>
              <w:rPr>
                <w:rFonts w:ascii="Arial" w:hAnsi="Arial" w:cs="Arial"/>
                <w:color w:val="000000"/>
                <w:sz w:val="18"/>
                <w:szCs w:val="18"/>
              </w:rPr>
              <w:t>二标段2020-09-21</w:t>
            </w:r>
          </w:p>
          <w:p>
            <w:pPr>
              <w:jc w:val="center"/>
              <w:rPr>
                <w:rFonts w:ascii="Arial" w:hAnsi="Arial" w:cs="Arial"/>
                <w:color w:val="000000"/>
                <w:sz w:val="18"/>
                <w:szCs w:val="18"/>
              </w:rPr>
            </w:pPr>
            <w:r>
              <w:rPr>
                <w:rFonts w:ascii="Arial" w:hAnsi="Arial" w:cs="Arial"/>
                <w:color w:val="000000"/>
                <w:sz w:val="18"/>
                <w:szCs w:val="18"/>
              </w:rPr>
              <w:t>1号楼（售楼处）2020-11-05</w:t>
            </w:r>
          </w:p>
        </w:tc>
        <w:tc>
          <w:tcPr>
            <w:tcW w:w="2483"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一标段320509202009170101</w:t>
            </w:r>
          </w:p>
          <w:p>
            <w:pPr>
              <w:jc w:val="center"/>
              <w:rPr>
                <w:rFonts w:ascii="Arial" w:hAnsi="Arial" w:cs="Arial"/>
                <w:color w:val="000000"/>
                <w:sz w:val="18"/>
                <w:szCs w:val="18"/>
              </w:rPr>
            </w:pPr>
            <w:r>
              <w:rPr>
                <w:rFonts w:ascii="Arial" w:hAnsi="Arial" w:cs="Arial"/>
                <w:color w:val="000000"/>
                <w:sz w:val="18"/>
                <w:szCs w:val="18"/>
              </w:rPr>
              <w:t>二标段320509202009210201</w:t>
            </w:r>
          </w:p>
          <w:p>
            <w:pPr>
              <w:jc w:val="center"/>
              <w:rPr>
                <w:rFonts w:ascii="Arial" w:hAnsi="Arial" w:cs="Arial"/>
                <w:color w:val="000000"/>
                <w:sz w:val="18"/>
                <w:szCs w:val="18"/>
              </w:rPr>
            </w:pPr>
            <w:r>
              <w:rPr>
                <w:rFonts w:ascii="Arial" w:hAnsi="Arial" w:cs="Arial"/>
                <w:color w:val="000000"/>
                <w:sz w:val="18"/>
                <w:szCs w:val="18"/>
              </w:rPr>
              <w:t>1号楼（售楼处）320509202011050101</w:t>
            </w:r>
          </w:p>
        </w:tc>
        <w:tc>
          <w:tcPr>
            <w:tcW w:w="389"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98" w:hRule="atLeast"/>
          <w:jc w:val="center"/>
        </w:trPr>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商品房预售许可证</w:t>
            </w:r>
          </w:p>
        </w:tc>
        <w:tc>
          <w:tcPr>
            <w:tcW w:w="1275"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w:t>
            </w:r>
          </w:p>
        </w:tc>
        <w:tc>
          <w:tcPr>
            <w:tcW w:w="226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尚未取得</w:t>
            </w:r>
          </w:p>
        </w:tc>
        <w:tc>
          <w:tcPr>
            <w:tcW w:w="1701"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2020-12-25</w:t>
            </w:r>
          </w:p>
        </w:tc>
        <w:tc>
          <w:tcPr>
            <w:tcW w:w="2483"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苏房预吴江〔2020〕384号(8#9#10#11#楼)</w:t>
            </w:r>
          </w:p>
        </w:tc>
        <w:tc>
          <w:tcPr>
            <w:tcW w:w="389"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98" w:hRule="atLeast"/>
          <w:jc w:val="center"/>
        </w:trPr>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商品房预售许可证</w:t>
            </w:r>
          </w:p>
        </w:tc>
        <w:tc>
          <w:tcPr>
            <w:tcW w:w="1275"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w:t>
            </w:r>
          </w:p>
        </w:tc>
        <w:tc>
          <w:tcPr>
            <w:tcW w:w="226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尚未取得</w:t>
            </w:r>
          </w:p>
        </w:tc>
        <w:tc>
          <w:tcPr>
            <w:tcW w:w="1701"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2021-4-14</w:t>
            </w:r>
          </w:p>
        </w:tc>
        <w:tc>
          <w:tcPr>
            <w:tcW w:w="2483"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苏房预吴江〔2021〕055号（5#7#楼）</w:t>
            </w:r>
          </w:p>
        </w:tc>
        <w:tc>
          <w:tcPr>
            <w:tcW w:w="389"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98" w:hRule="atLeast"/>
          <w:jc w:val="center"/>
        </w:trPr>
        <w:tc>
          <w:tcPr>
            <w:tcW w:w="159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商品房预售许可证</w:t>
            </w:r>
          </w:p>
        </w:tc>
        <w:tc>
          <w:tcPr>
            <w:tcW w:w="1275"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w:t>
            </w:r>
          </w:p>
        </w:tc>
        <w:tc>
          <w:tcPr>
            <w:tcW w:w="2268"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尚未取得</w:t>
            </w:r>
          </w:p>
        </w:tc>
        <w:tc>
          <w:tcPr>
            <w:tcW w:w="1701"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2021-5-26</w:t>
            </w:r>
          </w:p>
        </w:tc>
        <w:tc>
          <w:tcPr>
            <w:tcW w:w="2483"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苏房预吴江[2021]097号</w:t>
            </w:r>
            <w:r>
              <w:rPr>
                <w:rFonts w:ascii="Arial" w:hAnsi="Arial" w:cs="Arial"/>
                <w:color w:val="000000"/>
                <w:sz w:val="18"/>
                <w:szCs w:val="18"/>
              </w:rPr>
              <w:t>(</w:t>
            </w:r>
            <w:r>
              <w:rPr>
                <w:rFonts w:hint="eastAsia" w:ascii="Arial" w:hAnsi="Arial" w:cs="Arial"/>
                <w:color w:val="000000"/>
                <w:sz w:val="18"/>
                <w:szCs w:val="18"/>
              </w:rPr>
              <w:t>2</w:t>
            </w:r>
            <w:r>
              <w:rPr>
                <w:rFonts w:ascii="Arial" w:hAnsi="Arial" w:cs="Arial"/>
                <w:color w:val="000000"/>
                <w:sz w:val="18"/>
                <w:szCs w:val="18"/>
              </w:rPr>
              <w:t>#</w:t>
            </w:r>
            <w:r>
              <w:rPr>
                <w:rFonts w:hint="eastAsia" w:ascii="Arial" w:hAnsi="Arial" w:cs="Arial"/>
                <w:color w:val="000000"/>
                <w:sz w:val="18"/>
                <w:szCs w:val="18"/>
              </w:rPr>
              <w:t>3</w:t>
            </w:r>
            <w:r>
              <w:rPr>
                <w:rFonts w:ascii="Arial" w:hAnsi="Arial" w:cs="Arial"/>
                <w:color w:val="000000"/>
                <w:sz w:val="18"/>
                <w:szCs w:val="18"/>
              </w:rPr>
              <w:t>#</w:t>
            </w:r>
            <w:r>
              <w:rPr>
                <w:rFonts w:hint="eastAsia" w:ascii="Arial" w:hAnsi="Arial" w:cs="Arial"/>
                <w:color w:val="000000"/>
                <w:sz w:val="18"/>
                <w:szCs w:val="18"/>
              </w:rPr>
              <w:t>4</w:t>
            </w:r>
            <w:r>
              <w:rPr>
                <w:rFonts w:ascii="Arial" w:hAnsi="Arial" w:cs="Arial"/>
                <w:color w:val="000000"/>
                <w:sz w:val="18"/>
                <w:szCs w:val="18"/>
              </w:rPr>
              <w:t>#</w:t>
            </w:r>
            <w:r>
              <w:rPr>
                <w:rFonts w:hint="eastAsia" w:ascii="Arial" w:hAnsi="Arial" w:cs="Arial"/>
                <w:color w:val="000000"/>
                <w:sz w:val="18"/>
                <w:szCs w:val="18"/>
              </w:rPr>
              <w:t>6</w:t>
            </w:r>
            <w:r>
              <w:rPr>
                <w:rFonts w:ascii="Arial" w:hAnsi="Arial" w:cs="Arial"/>
                <w:color w:val="000000"/>
                <w:sz w:val="18"/>
                <w:szCs w:val="18"/>
              </w:rPr>
              <w:t>#楼)</w:t>
            </w:r>
          </w:p>
        </w:tc>
        <w:tc>
          <w:tcPr>
            <w:tcW w:w="389"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p>
        </w:tc>
      </w:tr>
    </w:tbl>
    <w:p>
      <w:pPr>
        <w:spacing w:line="360" w:lineRule="auto"/>
        <w:ind w:firstLine="422" w:firstLineChars="200"/>
        <w:rPr>
          <w:rFonts w:ascii="Arial" w:hAnsi="Arial" w:cs="Arial"/>
          <w:szCs w:val="21"/>
        </w:rPr>
      </w:pPr>
      <w:r>
        <w:rPr>
          <w:rFonts w:hint="eastAsia" w:ascii="宋体" w:hAnsi="宋体" w:cs="宋体"/>
          <w:b/>
          <w:bCs/>
          <w:color w:val="000000"/>
          <w:sz w:val="21"/>
          <w:szCs w:val="21"/>
        </w:rPr>
        <w:t>说明：</w:t>
      </w:r>
      <w:r>
        <w:rPr>
          <w:rFonts w:ascii="Arial" w:hAnsi="Arial" w:cs="Arial"/>
          <w:sz w:val="21"/>
          <w:szCs w:val="21"/>
        </w:rPr>
        <w:t>以上证书均存放在共管保险柜，其中施工许可证为电子版。</w:t>
      </w:r>
    </w:p>
    <w:p>
      <w:pPr>
        <w:pStyle w:val="3"/>
        <w:rPr>
          <w:rFonts w:ascii="宋体" w:hAnsi="宋体" w:eastAsia="宋体"/>
          <w:sz w:val="21"/>
          <w:szCs w:val="21"/>
        </w:rPr>
      </w:pPr>
      <w:bookmarkStart w:id="7" w:name="_Toc26913"/>
      <w:bookmarkStart w:id="8" w:name="_Toc20719"/>
      <w:r>
        <w:rPr>
          <w:rFonts w:hint="eastAsia" w:ascii="宋体" w:hAnsi="宋体" w:eastAsia="宋体"/>
          <w:sz w:val="21"/>
          <w:szCs w:val="21"/>
        </w:rPr>
        <w:t>四、项目开发建设情况</w:t>
      </w:r>
      <w:bookmarkEnd w:id="7"/>
      <w:bookmarkEnd w:id="8"/>
    </w:p>
    <w:p>
      <w:pPr>
        <w:spacing w:line="360" w:lineRule="auto"/>
        <w:ind w:firstLine="422" w:firstLineChars="200"/>
        <w:rPr>
          <w:rFonts w:ascii="宋体" w:hAnsi="宋体" w:cs="宋体"/>
          <w:b/>
          <w:bCs/>
          <w:color w:val="000000"/>
          <w:sz w:val="21"/>
          <w:szCs w:val="21"/>
        </w:rPr>
      </w:pPr>
      <w:r>
        <w:rPr>
          <w:rFonts w:hint="eastAsia" w:ascii="宋体" w:hAnsi="宋体" w:cs="宋体"/>
          <w:b/>
          <w:sz w:val="21"/>
          <w:szCs w:val="21"/>
        </w:rPr>
        <w:t>4.1项目开发进和计划：</w:t>
      </w:r>
      <w:r>
        <w:rPr>
          <w:rFonts w:hint="eastAsia" w:ascii="Arial" w:hAnsi="Arial" w:cs="Arial"/>
          <w:sz w:val="21"/>
          <w:szCs w:val="21"/>
        </w:rPr>
        <w:t>本项目共</w:t>
      </w:r>
      <w:r>
        <w:rPr>
          <w:rFonts w:ascii="Arial" w:hAnsi="Arial" w:cs="Arial"/>
          <w:sz w:val="21"/>
          <w:szCs w:val="21"/>
        </w:rPr>
        <w:t>1#</w:t>
      </w:r>
      <w:r>
        <w:rPr>
          <w:rFonts w:hint="eastAsia" w:ascii="Arial" w:hAnsi="Arial" w:cs="Arial"/>
          <w:sz w:val="21"/>
          <w:szCs w:val="21"/>
        </w:rPr>
        <w:t>、</w:t>
      </w:r>
      <w:r>
        <w:rPr>
          <w:rFonts w:ascii="Arial" w:hAnsi="Arial" w:cs="Arial"/>
          <w:sz w:val="21"/>
          <w:szCs w:val="21"/>
        </w:rPr>
        <w:t>2#</w:t>
      </w:r>
      <w:r>
        <w:rPr>
          <w:rFonts w:hint="eastAsia" w:ascii="Arial" w:hAnsi="Arial" w:cs="Arial"/>
          <w:sz w:val="21"/>
          <w:szCs w:val="21"/>
        </w:rPr>
        <w:t>两个地块，分两期开发，拟分为</w:t>
      </w:r>
      <w:r>
        <w:rPr>
          <w:rFonts w:ascii="Arial" w:hAnsi="Arial" w:cs="Arial"/>
          <w:sz w:val="21"/>
          <w:szCs w:val="21"/>
        </w:rPr>
        <w:t>4</w:t>
      </w:r>
      <w:r>
        <w:rPr>
          <w:rFonts w:hint="eastAsia" w:ascii="Arial" w:hAnsi="Arial" w:cs="Arial"/>
          <w:sz w:val="21"/>
          <w:szCs w:val="21"/>
        </w:rPr>
        <w:t>个标段，一期</w:t>
      </w:r>
      <w:r>
        <w:rPr>
          <w:rFonts w:ascii="Arial" w:hAnsi="Arial" w:cs="Arial"/>
          <w:sz w:val="21"/>
          <w:szCs w:val="21"/>
        </w:rPr>
        <w:t>2#</w:t>
      </w:r>
      <w:r>
        <w:rPr>
          <w:rFonts w:hint="eastAsia" w:ascii="Arial" w:hAnsi="Arial" w:cs="Arial"/>
          <w:sz w:val="21"/>
          <w:szCs w:val="21"/>
        </w:rPr>
        <w:t>地块两个标段计划同时开工，首批次预售楼栋为</w:t>
      </w:r>
      <w:r>
        <w:rPr>
          <w:rFonts w:ascii="Arial" w:hAnsi="Arial" w:cs="Arial"/>
          <w:sz w:val="21"/>
          <w:szCs w:val="21"/>
        </w:rPr>
        <w:t>8</w:t>
      </w:r>
      <w:r>
        <w:rPr>
          <w:rFonts w:hint="eastAsia" w:ascii="Arial" w:hAnsi="Arial" w:cs="Arial"/>
          <w:sz w:val="21"/>
          <w:szCs w:val="21"/>
        </w:rPr>
        <w:t>、</w:t>
      </w:r>
      <w:r>
        <w:rPr>
          <w:rFonts w:ascii="Arial" w:hAnsi="Arial" w:cs="Arial"/>
          <w:sz w:val="21"/>
          <w:szCs w:val="21"/>
        </w:rPr>
        <w:t>9</w:t>
      </w:r>
      <w:r>
        <w:rPr>
          <w:rFonts w:hint="eastAsia" w:ascii="Arial" w:hAnsi="Arial" w:cs="Arial"/>
          <w:sz w:val="21"/>
          <w:szCs w:val="21"/>
        </w:rPr>
        <w:t>、</w:t>
      </w:r>
      <w:r>
        <w:rPr>
          <w:rFonts w:ascii="Arial" w:hAnsi="Arial" w:cs="Arial"/>
          <w:sz w:val="21"/>
          <w:szCs w:val="21"/>
        </w:rPr>
        <w:t>10</w:t>
      </w:r>
      <w:r>
        <w:rPr>
          <w:rFonts w:hint="eastAsia" w:ascii="Arial" w:hAnsi="Arial" w:cs="Arial"/>
          <w:sz w:val="21"/>
          <w:szCs w:val="21"/>
        </w:rPr>
        <w:t>、</w:t>
      </w:r>
      <w:r>
        <w:rPr>
          <w:rFonts w:ascii="Arial" w:hAnsi="Arial" w:cs="Arial"/>
          <w:sz w:val="21"/>
          <w:szCs w:val="21"/>
        </w:rPr>
        <w:t>11</w:t>
      </w:r>
      <w:r>
        <w:rPr>
          <w:rFonts w:hint="eastAsia" w:ascii="Arial" w:hAnsi="Arial" w:cs="Arial"/>
          <w:sz w:val="21"/>
          <w:szCs w:val="21"/>
        </w:rPr>
        <w:t>号楼，已于</w:t>
      </w:r>
      <w:r>
        <w:rPr>
          <w:rFonts w:ascii="Arial" w:hAnsi="Arial" w:cs="Arial"/>
          <w:sz w:val="21"/>
          <w:szCs w:val="21"/>
        </w:rPr>
        <w:t>2020</w:t>
      </w:r>
      <w:r>
        <w:rPr>
          <w:rFonts w:hint="eastAsia" w:ascii="Arial" w:hAnsi="Arial" w:cs="Arial"/>
          <w:sz w:val="21"/>
          <w:szCs w:val="21"/>
        </w:rPr>
        <w:t>年</w:t>
      </w:r>
      <w:r>
        <w:rPr>
          <w:rFonts w:ascii="Arial" w:hAnsi="Arial" w:cs="Arial"/>
          <w:sz w:val="21"/>
          <w:szCs w:val="21"/>
        </w:rPr>
        <w:t>12</w:t>
      </w:r>
      <w:r>
        <w:rPr>
          <w:rFonts w:hint="eastAsia" w:ascii="Arial" w:hAnsi="Arial" w:cs="Arial"/>
          <w:sz w:val="21"/>
          <w:szCs w:val="21"/>
        </w:rPr>
        <w:t>月</w:t>
      </w:r>
      <w:r>
        <w:rPr>
          <w:rFonts w:ascii="Arial" w:hAnsi="Arial" w:cs="Arial"/>
          <w:sz w:val="21"/>
          <w:szCs w:val="21"/>
        </w:rPr>
        <w:t>27</w:t>
      </w:r>
      <w:r>
        <w:rPr>
          <w:rFonts w:hint="eastAsia" w:ascii="Arial" w:hAnsi="Arial" w:cs="Arial"/>
          <w:sz w:val="21"/>
          <w:szCs w:val="21"/>
        </w:rPr>
        <w:t>日开盘，2021年4月17日，</w:t>
      </w:r>
      <w:r>
        <w:rPr>
          <w:rFonts w:ascii="Arial" w:hAnsi="Arial" w:cs="Arial"/>
          <w:sz w:val="21"/>
          <w:szCs w:val="21"/>
        </w:rPr>
        <w:t>2#</w:t>
      </w:r>
      <w:r>
        <w:rPr>
          <w:rFonts w:hint="eastAsia" w:ascii="Arial" w:hAnsi="Arial" w:cs="Arial"/>
          <w:sz w:val="21"/>
          <w:szCs w:val="21"/>
        </w:rPr>
        <w:t>地块</w:t>
      </w:r>
      <w:r>
        <w:rPr>
          <w:rFonts w:ascii="Arial" w:hAnsi="Arial" w:cs="Arial"/>
          <w:sz w:val="21"/>
          <w:szCs w:val="21"/>
        </w:rPr>
        <w:t>5#</w:t>
      </w:r>
      <w:r>
        <w:rPr>
          <w:rFonts w:hint="eastAsia" w:ascii="Arial" w:hAnsi="Arial" w:cs="Arial"/>
          <w:sz w:val="21"/>
          <w:szCs w:val="21"/>
        </w:rPr>
        <w:t>、</w:t>
      </w:r>
      <w:r>
        <w:rPr>
          <w:rFonts w:ascii="Arial" w:hAnsi="Arial" w:cs="Arial"/>
          <w:sz w:val="21"/>
          <w:szCs w:val="21"/>
        </w:rPr>
        <w:t>7#</w:t>
      </w:r>
      <w:r>
        <w:rPr>
          <w:rFonts w:hint="eastAsia" w:ascii="Arial" w:hAnsi="Arial" w:cs="Arial"/>
          <w:sz w:val="21"/>
          <w:szCs w:val="21"/>
        </w:rPr>
        <w:t>楼开盘,2021年5月29日，2#地块4#、6#开盘，2021年6月19日，2#地3#楼开盘。</w:t>
      </w:r>
      <w:r>
        <w:rPr>
          <w:rFonts w:ascii="Arial" w:hAnsi="Arial" w:cs="Arial"/>
          <w:sz w:val="21"/>
          <w:szCs w:val="21"/>
        </w:rPr>
        <w:t>2021</w:t>
      </w:r>
      <w:r>
        <w:rPr>
          <w:rFonts w:hint="eastAsia" w:ascii="Arial" w:hAnsi="Arial" w:cs="Arial"/>
          <w:sz w:val="21"/>
          <w:szCs w:val="21"/>
        </w:rPr>
        <w:t>年</w:t>
      </w:r>
      <w:r>
        <w:rPr>
          <w:rFonts w:ascii="Arial" w:hAnsi="Arial" w:cs="Arial"/>
          <w:sz w:val="21"/>
          <w:szCs w:val="21"/>
        </w:rPr>
        <w:t>6</w:t>
      </w:r>
      <w:r>
        <w:rPr>
          <w:rFonts w:hint="eastAsia" w:ascii="Arial" w:hAnsi="Arial" w:cs="Arial"/>
          <w:sz w:val="21"/>
          <w:szCs w:val="21"/>
        </w:rPr>
        <w:t>月首开区部分楼栋已结构封顶，预计</w:t>
      </w:r>
      <w:r>
        <w:rPr>
          <w:rFonts w:ascii="Arial" w:hAnsi="Arial" w:cs="Arial"/>
          <w:sz w:val="21"/>
          <w:szCs w:val="21"/>
        </w:rPr>
        <w:t>2023</w:t>
      </w:r>
      <w:r>
        <w:rPr>
          <w:rFonts w:hint="eastAsia" w:ascii="Arial" w:hAnsi="Arial" w:cs="Arial"/>
          <w:sz w:val="21"/>
          <w:szCs w:val="21"/>
        </w:rPr>
        <w:t>年</w:t>
      </w:r>
      <w:r>
        <w:rPr>
          <w:rFonts w:ascii="Arial" w:hAnsi="Arial" w:cs="Arial"/>
          <w:sz w:val="21"/>
          <w:szCs w:val="21"/>
        </w:rPr>
        <w:t>6</w:t>
      </w:r>
      <w:r>
        <w:rPr>
          <w:rFonts w:hint="eastAsia" w:ascii="Arial" w:hAnsi="Arial" w:cs="Arial"/>
          <w:sz w:val="21"/>
          <w:szCs w:val="21"/>
        </w:rPr>
        <w:t>月首开区竣工备案。</w:t>
      </w:r>
    </w:p>
    <w:p>
      <w:pPr>
        <w:jc w:val="center"/>
        <w:rPr>
          <w:rFonts w:ascii="宋体" w:hAnsi="宋体" w:cs="宋体"/>
          <w:b/>
          <w:bCs/>
          <w:sz w:val="21"/>
          <w:szCs w:val="21"/>
        </w:rPr>
      </w:pPr>
      <w:r>
        <w:rPr>
          <w:rFonts w:hint="eastAsia" w:ascii="宋体" w:hAnsi="宋体" w:cs="宋体"/>
          <w:b/>
          <w:bCs/>
          <w:color w:val="000000"/>
          <w:sz w:val="21"/>
          <w:szCs w:val="21"/>
        </w:rPr>
        <w:t>表四：</w:t>
      </w:r>
      <w:r>
        <w:rPr>
          <w:rFonts w:hint="eastAsia" w:ascii="宋体" w:hAnsi="宋体" w:cs="宋体"/>
          <w:b/>
          <w:bCs/>
          <w:sz w:val="21"/>
          <w:szCs w:val="21"/>
        </w:rPr>
        <w:t>项目施工进度计划</w:t>
      </w:r>
    </w:p>
    <w:p>
      <w:pPr>
        <w:jc w:val="center"/>
        <w:rPr>
          <w:rFonts w:ascii="宋体" w:hAnsi="宋体" w:cs="宋体"/>
          <w:b/>
          <w:bCs/>
          <w:color w:val="000000"/>
          <w:sz w:val="21"/>
          <w:szCs w:val="21"/>
        </w:rPr>
      </w:pPr>
    </w:p>
    <w:tbl>
      <w:tblPr>
        <w:tblStyle w:val="17"/>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180"/>
        <w:gridCol w:w="2268"/>
        <w:gridCol w:w="2672"/>
        <w:gridCol w:w="2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9639" w:type="dxa"/>
            <w:gridSpan w:val="5"/>
            <w:shd w:val="clear" w:color="auto" w:fill="auto"/>
            <w:noWrap/>
            <w:vAlign w:val="center"/>
          </w:tcPr>
          <w:p>
            <w:pPr>
              <w:jc w:val="center"/>
              <w:rPr>
                <w:rFonts w:ascii="Arial" w:hAnsi="Arial" w:cs="Arial"/>
                <w:b/>
                <w:bCs/>
                <w:color w:val="000000"/>
                <w:sz w:val="18"/>
                <w:szCs w:val="18"/>
              </w:rPr>
            </w:pPr>
            <w:bookmarkStart w:id="9" w:name="_Toc7421"/>
            <w:r>
              <w:rPr>
                <w:rFonts w:ascii="Arial" w:hAnsi="Arial" w:cs="Arial"/>
                <w:b/>
                <w:bCs/>
                <w:color w:val="000000"/>
                <w:sz w:val="18"/>
                <w:szCs w:val="18"/>
              </w:rPr>
              <w:t>苏州红星盛泽项目（1期）工程进度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947" w:type="dxa"/>
            <w:vMerge w:val="restar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180" w:type="dxa"/>
            <w:vMerge w:val="restart"/>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楼栋</w:t>
            </w:r>
          </w:p>
        </w:tc>
        <w:tc>
          <w:tcPr>
            <w:tcW w:w="7512" w:type="dxa"/>
            <w:gridSpan w:val="3"/>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进度情况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947" w:type="dxa"/>
            <w:vMerge w:val="continue"/>
            <w:vAlign w:val="center"/>
          </w:tcPr>
          <w:p>
            <w:pPr>
              <w:rPr>
                <w:rFonts w:ascii="Arial" w:hAnsi="Arial" w:cs="Arial"/>
                <w:b/>
                <w:bCs/>
                <w:color w:val="000000"/>
                <w:sz w:val="18"/>
                <w:szCs w:val="18"/>
              </w:rPr>
            </w:pPr>
          </w:p>
        </w:tc>
        <w:tc>
          <w:tcPr>
            <w:tcW w:w="1180" w:type="dxa"/>
            <w:vMerge w:val="continue"/>
            <w:vAlign w:val="center"/>
          </w:tcPr>
          <w:p>
            <w:pPr>
              <w:rPr>
                <w:rFonts w:ascii="Arial" w:hAnsi="Arial" w:cs="Arial"/>
                <w:b/>
                <w:bCs/>
                <w:color w:val="000000"/>
                <w:sz w:val="18"/>
                <w:szCs w:val="18"/>
              </w:rPr>
            </w:pPr>
          </w:p>
        </w:tc>
        <w:tc>
          <w:tcPr>
            <w:tcW w:w="2268"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上</w:t>
            </w:r>
            <w:r>
              <w:rPr>
                <w:rFonts w:hint="eastAsia" w:ascii="Arial" w:hAnsi="Arial" w:cs="Arial"/>
                <w:b/>
                <w:bCs/>
                <w:color w:val="000000"/>
                <w:sz w:val="18"/>
                <w:szCs w:val="18"/>
              </w:rPr>
              <w:t>月</w:t>
            </w:r>
            <w:r>
              <w:rPr>
                <w:rFonts w:ascii="Arial" w:hAnsi="Arial" w:cs="Arial"/>
                <w:b/>
                <w:bCs/>
                <w:color w:val="000000"/>
                <w:sz w:val="18"/>
                <w:szCs w:val="18"/>
              </w:rPr>
              <w:t>完成</w:t>
            </w:r>
          </w:p>
        </w:tc>
        <w:tc>
          <w:tcPr>
            <w:tcW w:w="2672"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本</w:t>
            </w:r>
            <w:r>
              <w:rPr>
                <w:rFonts w:hint="eastAsia" w:ascii="Arial" w:hAnsi="Arial" w:cs="Arial"/>
                <w:b/>
                <w:bCs/>
                <w:color w:val="000000"/>
                <w:sz w:val="18"/>
                <w:szCs w:val="18"/>
              </w:rPr>
              <w:t>月</w:t>
            </w:r>
            <w:r>
              <w:rPr>
                <w:rFonts w:ascii="Arial" w:hAnsi="Arial" w:cs="Arial"/>
                <w:b/>
                <w:bCs/>
                <w:color w:val="000000"/>
                <w:sz w:val="18"/>
                <w:szCs w:val="18"/>
              </w:rPr>
              <w:t>进度</w:t>
            </w:r>
          </w:p>
        </w:tc>
        <w:tc>
          <w:tcPr>
            <w:tcW w:w="2572"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下</w:t>
            </w:r>
            <w:r>
              <w:rPr>
                <w:rFonts w:hint="eastAsia" w:ascii="Arial" w:hAnsi="Arial" w:cs="Arial"/>
                <w:b/>
                <w:bCs/>
                <w:color w:val="000000"/>
                <w:sz w:val="18"/>
                <w:szCs w:val="18"/>
              </w:rPr>
              <w:t>月</w:t>
            </w:r>
            <w:r>
              <w:rPr>
                <w:rFonts w:ascii="Arial" w:hAnsi="Arial" w:cs="Arial"/>
                <w:b/>
                <w:bCs/>
                <w:color w:val="000000"/>
                <w:sz w:val="18"/>
                <w:szCs w:val="18"/>
              </w:rPr>
              <w:t>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1#楼（售楼处）</w:t>
            </w:r>
          </w:p>
        </w:tc>
        <w:tc>
          <w:tcPr>
            <w:tcW w:w="2268"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无</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bCs/>
                <w:kern w:val="44"/>
                <w:sz w:val="18"/>
                <w:szCs w:val="18"/>
              </w:rPr>
              <w:t>无</w:t>
            </w:r>
          </w:p>
        </w:tc>
        <w:tc>
          <w:tcPr>
            <w:tcW w:w="2572" w:type="dxa"/>
            <w:shd w:val="clear" w:color="auto" w:fill="auto"/>
            <w:vAlign w:val="center"/>
          </w:tcPr>
          <w:p>
            <w:pPr>
              <w:jc w:val="center"/>
              <w:rPr>
                <w:rFonts w:ascii="Arial" w:hAnsi="Arial" w:cs="Arial"/>
                <w:bCs/>
                <w:kern w:val="44"/>
                <w:sz w:val="18"/>
                <w:szCs w:val="18"/>
              </w:rPr>
            </w:pPr>
            <w:r>
              <w:rPr>
                <w:rFonts w:ascii="Arial" w:hAnsi="Arial" w:cs="Arial"/>
                <w:bCs/>
                <w:kern w:val="44"/>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2#楼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sz w:val="18"/>
                <w:szCs w:val="18"/>
              </w:rPr>
              <w:t>四层结构平板铺设</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sz w:val="18"/>
                <w:szCs w:val="18"/>
              </w:rPr>
              <w:t>八层砼待浇筑</w:t>
            </w:r>
          </w:p>
        </w:tc>
        <w:tc>
          <w:tcPr>
            <w:tcW w:w="2572" w:type="dxa"/>
            <w:shd w:val="clear" w:color="auto" w:fill="auto"/>
            <w:vAlign w:val="center"/>
          </w:tcPr>
          <w:p>
            <w:pPr>
              <w:jc w:val="center"/>
              <w:rPr>
                <w:rFonts w:hint="eastAsia" w:ascii="Arial" w:hAnsi="Arial" w:eastAsia="宋体" w:cs="Arial"/>
                <w:sz w:val="18"/>
                <w:szCs w:val="18"/>
                <w:lang w:val="en-US" w:eastAsia="zh-CN"/>
              </w:rPr>
            </w:pPr>
            <w:r>
              <w:rPr>
                <w:rFonts w:hint="eastAsia" w:ascii="Arial" w:hAnsi="Arial" w:cs="Arial"/>
                <w:sz w:val="18"/>
                <w:szCs w:val="18"/>
                <w:lang w:val="en-US" w:eastAsia="zh-CN"/>
              </w:rPr>
              <w:t>十一层结构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3#楼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sz w:val="18"/>
                <w:szCs w:val="18"/>
              </w:rPr>
              <w:t>五层结构平板铺设</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sz w:val="18"/>
                <w:szCs w:val="18"/>
              </w:rPr>
              <w:t>八层砼待浇筑</w:t>
            </w:r>
          </w:p>
        </w:tc>
        <w:tc>
          <w:tcPr>
            <w:tcW w:w="2572" w:type="dxa"/>
            <w:shd w:val="clear" w:color="auto" w:fill="auto"/>
            <w:vAlign w:val="center"/>
          </w:tcPr>
          <w:p>
            <w:pPr>
              <w:jc w:val="center"/>
              <w:rPr>
                <w:rFonts w:ascii="Arial" w:hAnsi="Arial" w:cs="Arial"/>
                <w:sz w:val="18"/>
                <w:szCs w:val="18"/>
              </w:rPr>
            </w:pPr>
            <w:r>
              <w:rPr>
                <w:rFonts w:hint="eastAsia" w:ascii="Arial" w:hAnsi="Arial" w:cs="Arial"/>
                <w:sz w:val="18"/>
                <w:szCs w:val="18"/>
                <w:vertAlign w:val="baseline"/>
                <w:lang w:val="en-US" w:eastAsia="zh-CN"/>
              </w:rPr>
              <w:t>十一层结构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4#楼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sz w:val="18"/>
                <w:szCs w:val="18"/>
              </w:rPr>
              <w:t>八层墙柱封模</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sz w:val="18"/>
                <w:szCs w:val="18"/>
              </w:rPr>
              <w:t>十一层结构梁板钢筋安装</w:t>
            </w:r>
          </w:p>
        </w:tc>
        <w:tc>
          <w:tcPr>
            <w:tcW w:w="2572" w:type="dxa"/>
            <w:shd w:val="clear" w:color="auto" w:fill="auto"/>
            <w:vAlign w:val="center"/>
          </w:tcPr>
          <w:p>
            <w:pPr>
              <w:jc w:val="center"/>
              <w:rPr>
                <w:rFonts w:hint="eastAsia" w:ascii="Arial" w:hAnsi="Arial" w:eastAsia="宋体" w:cs="Arial"/>
                <w:sz w:val="18"/>
                <w:szCs w:val="18"/>
                <w:lang w:eastAsia="zh-CN"/>
              </w:rPr>
            </w:pPr>
            <w:r>
              <w:rPr>
                <w:rFonts w:hint="eastAsia" w:ascii="Arial" w:hAnsi="Arial" w:cs="Arial"/>
                <w:sz w:val="18"/>
                <w:szCs w:val="18"/>
                <w:lang w:eastAsia="zh-CN"/>
              </w:rPr>
              <w:t>十五层结构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5</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5#楼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sz w:val="18"/>
                <w:szCs w:val="18"/>
              </w:rPr>
              <w:t>九层结构钢筋安装</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sz w:val="18"/>
                <w:szCs w:val="18"/>
              </w:rPr>
              <w:t>十二层结构叠合板安装</w:t>
            </w:r>
          </w:p>
        </w:tc>
        <w:tc>
          <w:tcPr>
            <w:tcW w:w="2572" w:type="dxa"/>
            <w:shd w:val="clear" w:color="auto" w:fill="auto"/>
            <w:vAlign w:val="center"/>
          </w:tcPr>
          <w:p>
            <w:pPr>
              <w:jc w:val="center"/>
              <w:rPr>
                <w:rFonts w:hint="eastAsia" w:ascii="Arial" w:hAnsi="Arial" w:eastAsia="宋体" w:cs="Arial"/>
                <w:sz w:val="18"/>
                <w:szCs w:val="18"/>
                <w:lang w:eastAsia="zh-CN"/>
              </w:rPr>
            </w:pPr>
            <w:r>
              <w:rPr>
                <w:rFonts w:hint="eastAsia" w:ascii="Arial" w:hAnsi="Arial" w:cs="Arial"/>
                <w:sz w:val="18"/>
                <w:szCs w:val="18"/>
                <w:lang w:eastAsia="zh-CN"/>
              </w:rPr>
              <w:t>十七层结构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6</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6#楼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sz w:val="18"/>
                <w:szCs w:val="18"/>
              </w:rPr>
              <w:t>五层结构平板安装完成</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sz w:val="18"/>
                <w:szCs w:val="18"/>
              </w:rPr>
              <w:t>九层墙柱钢筋安装</w:t>
            </w:r>
          </w:p>
        </w:tc>
        <w:tc>
          <w:tcPr>
            <w:tcW w:w="2572" w:type="dxa"/>
            <w:shd w:val="clear" w:color="auto" w:fill="auto"/>
            <w:vAlign w:val="center"/>
          </w:tcPr>
          <w:p>
            <w:pPr>
              <w:jc w:val="center"/>
              <w:rPr>
                <w:rFonts w:hint="eastAsia" w:ascii="Arial" w:hAnsi="Arial" w:eastAsia="宋体" w:cs="Arial"/>
                <w:sz w:val="18"/>
                <w:szCs w:val="18"/>
                <w:lang w:eastAsia="zh-CN"/>
              </w:rPr>
            </w:pPr>
            <w:r>
              <w:rPr>
                <w:rFonts w:hint="eastAsia" w:ascii="Arial" w:hAnsi="Arial" w:cs="Arial"/>
                <w:sz w:val="18"/>
                <w:szCs w:val="18"/>
                <w:lang w:eastAsia="zh-CN"/>
              </w:rPr>
              <w:t>十二层结构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7</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7#楼</w:t>
            </w:r>
          </w:p>
        </w:tc>
        <w:tc>
          <w:tcPr>
            <w:tcW w:w="2268" w:type="dxa"/>
            <w:shd w:val="clear" w:color="auto" w:fill="auto"/>
            <w:noWrap/>
            <w:vAlign w:val="center"/>
          </w:tcPr>
          <w:p>
            <w:pPr>
              <w:jc w:val="center"/>
              <w:rPr>
                <w:rFonts w:ascii="Arial" w:hAnsi="Arial" w:cs="Arial"/>
                <w:bCs/>
                <w:kern w:val="44"/>
                <w:sz w:val="18"/>
                <w:szCs w:val="18"/>
              </w:rPr>
            </w:pPr>
            <w:r>
              <w:rPr>
                <w:rFonts w:hint="eastAsia" w:ascii="Arial" w:hAnsi="Arial" w:cs="Arial"/>
                <w:sz w:val="18"/>
                <w:szCs w:val="18"/>
              </w:rPr>
              <w:t>八层结构梁板钢筋安装</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sz w:val="18"/>
                <w:szCs w:val="18"/>
              </w:rPr>
              <w:t>十二层面砼待浇筑</w:t>
            </w:r>
          </w:p>
        </w:tc>
        <w:tc>
          <w:tcPr>
            <w:tcW w:w="2572" w:type="dxa"/>
            <w:shd w:val="clear" w:color="auto" w:fill="auto"/>
            <w:vAlign w:val="center"/>
          </w:tcPr>
          <w:p>
            <w:pPr>
              <w:jc w:val="center"/>
              <w:rPr>
                <w:rFonts w:hint="eastAsia" w:ascii="Arial" w:hAnsi="Arial" w:eastAsia="宋体" w:cs="Arial"/>
                <w:sz w:val="18"/>
                <w:szCs w:val="18"/>
                <w:lang w:val="en-US" w:eastAsia="zh-CN"/>
              </w:rPr>
            </w:pPr>
            <w:r>
              <w:rPr>
                <w:rFonts w:hint="eastAsia" w:ascii="Arial" w:hAnsi="Arial" w:cs="Arial"/>
                <w:sz w:val="18"/>
                <w:szCs w:val="18"/>
                <w:lang w:val="en-US" w:eastAsia="zh-CN"/>
              </w:rPr>
              <w:t>十五层结构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8#楼</w:t>
            </w:r>
          </w:p>
        </w:tc>
        <w:tc>
          <w:tcPr>
            <w:tcW w:w="2268" w:type="dxa"/>
            <w:shd w:val="clear" w:color="auto" w:fill="auto"/>
            <w:noWrap/>
            <w:vAlign w:val="center"/>
          </w:tcPr>
          <w:p>
            <w:pPr>
              <w:jc w:val="center"/>
              <w:rPr>
                <w:rFonts w:ascii="Arial" w:hAnsi="Arial" w:cs="Arial"/>
                <w:color w:val="000000"/>
                <w:sz w:val="18"/>
                <w:szCs w:val="18"/>
              </w:rPr>
            </w:pPr>
            <w:r>
              <w:rPr>
                <w:rFonts w:hint="eastAsia" w:ascii="Arial" w:hAnsi="Arial" w:cs="Arial"/>
                <w:sz w:val="18"/>
                <w:szCs w:val="18"/>
              </w:rPr>
              <w:t>十五层墙柱钢筋安装</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sz w:val="18"/>
                <w:szCs w:val="18"/>
              </w:rPr>
              <w:t>十八层结构梁板钢筋安装；腰梁以下墙体2-8层，腰梁以上墙体2-8层，构造柱2-6层</w:t>
            </w:r>
          </w:p>
        </w:tc>
        <w:tc>
          <w:tcPr>
            <w:tcW w:w="2572" w:type="dxa"/>
            <w:shd w:val="clear" w:color="auto" w:fill="auto"/>
            <w:vAlign w:val="center"/>
          </w:tcPr>
          <w:p>
            <w:pPr>
              <w:jc w:val="center"/>
              <w:rPr>
                <w:rFonts w:hint="eastAsia" w:ascii="Arial" w:hAnsi="Arial" w:eastAsia="宋体" w:cs="Arial"/>
                <w:sz w:val="18"/>
                <w:szCs w:val="18"/>
                <w:lang w:eastAsia="zh-CN"/>
              </w:rPr>
            </w:pPr>
            <w:r>
              <w:rPr>
                <w:rFonts w:hint="eastAsia" w:ascii="Arial" w:hAnsi="Arial" w:cs="Arial"/>
                <w:sz w:val="18"/>
                <w:szCs w:val="18"/>
                <w:lang w:eastAsia="zh-CN"/>
              </w:rPr>
              <w:t>十九层结构封顶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9</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9#楼</w:t>
            </w:r>
          </w:p>
        </w:tc>
        <w:tc>
          <w:tcPr>
            <w:tcW w:w="2268" w:type="dxa"/>
            <w:shd w:val="clear" w:color="auto" w:fill="auto"/>
            <w:noWrap/>
            <w:vAlign w:val="center"/>
          </w:tcPr>
          <w:p>
            <w:pPr>
              <w:jc w:val="center"/>
              <w:rPr>
                <w:rFonts w:ascii="Arial" w:hAnsi="Arial" w:cs="Arial"/>
                <w:color w:val="000000"/>
                <w:sz w:val="18"/>
                <w:szCs w:val="18"/>
              </w:rPr>
            </w:pPr>
            <w:r>
              <w:rPr>
                <w:rFonts w:hint="eastAsia" w:ascii="Arial" w:hAnsi="Arial" w:cs="Arial"/>
                <w:sz w:val="18"/>
                <w:szCs w:val="18"/>
              </w:rPr>
              <w:t>十八层结构平板安装完成</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sz w:val="18"/>
                <w:szCs w:val="18"/>
              </w:rPr>
              <w:t>屋面构架砼浇筑完成；腰梁以下2-8层，腰梁以上2-5层，构造柱2-4层。</w:t>
            </w:r>
          </w:p>
        </w:tc>
        <w:tc>
          <w:tcPr>
            <w:tcW w:w="2572" w:type="dxa"/>
            <w:shd w:val="clear" w:color="auto" w:fill="auto"/>
            <w:vAlign w:val="center"/>
          </w:tcPr>
          <w:p>
            <w:pPr>
              <w:jc w:val="center"/>
              <w:rPr>
                <w:rFonts w:hint="eastAsia" w:ascii="Arial" w:hAnsi="Arial" w:eastAsia="宋体" w:cs="Arial"/>
                <w:sz w:val="18"/>
                <w:szCs w:val="18"/>
                <w:lang w:eastAsia="zh-CN"/>
              </w:rPr>
            </w:pPr>
            <w:r>
              <w:rPr>
                <w:rFonts w:hint="eastAsia" w:ascii="Arial" w:hAnsi="Arial" w:cs="Arial"/>
                <w:sz w:val="18"/>
                <w:szCs w:val="18"/>
                <w:lang w:eastAsia="zh-CN"/>
              </w:rPr>
              <w:t>主体结构封顶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10</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10#楼</w:t>
            </w:r>
          </w:p>
        </w:tc>
        <w:tc>
          <w:tcPr>
            <w:tcW w:w="2268" w:type="dxa"/>
            <w:shd w:val="clear" w:color="auto" w:fill="auto"/>
            <w:noWrap/>
            <w:vAlign w:val="center"/>
          </w:tcPr>
          <w:p>
            <w:pPr>
              <w:jc w:val="center"/>
              <w:rPr>
                <w:rFonts w:ascii="Arial" w:hAnsi="Arial" w:cs="Arial"/>
                <w:color w:val="000000"/>
                <w:sz w:val="18"/>
                <w:szCs w:val="18"/>
              </w:rPr>
            </w:pPr>
            <w:r>
              <w:rPr>
                <w:rFonts w:hint="eastAsia" w:ascii="Arial" w:hAnsi="Arial" w:cs="Arial"/>
                <w:sz w:val="18"/>
                <w:szCs w:val="18"/>
              </w:rPr>
              <w:t>十九层结构墙柱钢筋安装</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sz w:val="18"/>
                <w:szCs w:val="18"/>
              </w:rPr>
              <w:t>二十二层结构排架搭设完成；腰梁以下2-8层，腰梁以上2-4层，构造柱2-4层。</w:t>
            </w:r>
          </w:p>
        </w:tc>
        <w:tc>
          <w:tcPr>
            <w:tcW w:w="2572" w:type="dxa"/>
            <w:shd w:val="clear" w:color="auto" w:fill="auto"/>
            <w:vAlign w:val="center"/>
          </w:tcPr>
          <w:p>
            <w:pPr>
              <w:jc w:val="center"/>
              <w:rPr>
                <w:rFonts w:hint="eastAsia" w:ascii="Arial" w:hAnsi="Arial" w:eastAsia="宋体" w:cs="Arial"/>
                <w:sz w:val="18"/>
                <w:szCs w:val="18"/>
                <w:lang w:eastAsia="zh-CN"/>
              </w:rPr>
            </w:pPr>
            <w:r>
              <w:rPr>
                <w:rFonts w:hint="eastAsia" w:ascii="Arial" w:hAnsi="Arial" w:cs="Arial"/>
                <w:sz w:val="18"/>
                <w:szCs w:val="18"/>
                <w:lang w:eastAsia="zh-CN"/>
              </w:rPr>
              <w:t>二十五层结构封顶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w:t>
            </w:r>
          </w:p>
        </w:tc>
        <w:tc>
          <w:tcPr>
            <w:tcW w:w="1180" w:type="dxa"/>
            <w:shd w:val="clear" w:color="auto" w:fill="auto"/>
            <w:noWrap/>
            <w:vAlign w:val="center"/>
          </w:tcPr>
          <w:p>
            <w:pPr>
              <w:jc w:val="center"/>
              <w:rPr>
                <w:rFonts w:ascii="Arial" w:hAnsi="Arial" w:cs="Arial"/>
                <w:bCs/>
                <w:kern w:val="44"/>
                <w:sz w:val="18"/>
                <w:szCs w:val="18"/>
              </w:rPr>
            </w:pPr>
            <w:r>
              <w:rPr>
                <w:rFonts w:ascii="Arial" w:hAnsi="Arial" w:cs="Arial"/>
                <w:bCs/>
                <w:kern w:val="44"/>
                <w:sz w:val="18"/>
                <w:szCs w:val="18"/>
              </w:rPr>
              <w:t>11#楼</w:t>
            </w:r>
          </w:p>
        </w:tc>
        <w:tc>
          <w:tcPr>
            <w:tcW w:w="2268" w:type="dxa"/>
            <w:shd w:val="clear" w:color="auto" w:fill="auto"/>
            <w:noWrap/>
            <w:vAlign w:val="center"/>
          </w:tcPr>
          <w:p>
            <w:pPr>
              <w:jc w:val="center"/>
              <w:rPr>
                <w:rFonts w:ascii="Arial" w:hAnsi="Arial" w:cs="Arial"/>
                <w:color w:val="000000"/>
                <w:sz w:val="18"/>
                <w:szCs w:val="18"/>
              </w:rPr>
            </w:pPr>
            <w:r>
              <w:rPr>
                <w:rFonts w:hint="eastAsia" w:ascii="Arial" w:hAnsi="Arial" w:cs="Arial"/>
                <w:sz w:val="18"/>
                <w:szCs w:val="18"/>
              </w:rPr>
              <w:t>十六层墙柱钢筋安装</w:t>
            </w:r>
          </w:p>
        </w:tc>
        <w:tc>
          <w:tcPr>
            <w:tcW w:w="2672" w:type="dxa"/>
            <w:shd w:val="clear" w:color="auto" w:fill="auto"/>
            <w:vAlign w:val="center"/>
          </w:tcPr>
          <w:p>
            <w:pPr>
              <w:jc w:val="center"/>
              <w:rPr>
                <w:rFonts w:ascii="Arial" w:hAnsi="Arial" w:cs="Arial"/>
                <w:bCs/>
                <w:kern w:val="44"/>
                <w:sz w:val="18"/>
                <w:szCs w:val="18"/>
              </w:rPr>
            </w:pPr>
            <w:r>
              <w:rPr>
                <w:rFonts w:hint="eastAsia" w:ascii="Arial" w:hAnsi="Arial" w:cs="Arial"/>
                <w:sz w:val="18"/>
                <w:szCs w:val="18"/>
              </w:rPr>
              <w:t>二十层结构墙柱钢筋安装；腰梁以下墙体2-8层，腰梁以上墙体2-7层，构造柱2-6层</w:t>
            </w:r>
          </w:p>
        </w:tc>
        <w:tc>
          <w:tcPr>
            <w:tcW w:w="2572" w:type="dxa"/>
            <w:shd w:val="clear" w:color="auto" w:fill="auto"/>
            <w:vAlign w:val="center"/>
          </w:tcPr>
          <w:p>
            <w:pPr>
              <w:jc w:val="center"/>
              <w:rPr>
                <w:rFonts w:hint="eastAsia" w:ascii="Arial" w:hAnsi="Arial" w:eastAsia="宋体" w:cs="Arial"/>
                <w:sz w:val="18"/>
                <w:szCs w:val="18"/>
                <w:lang w:eastAsia="zh-CN"/>
              </w:rPr>
            </w:pPr>
            <w:r>
              <w:rPr>
                <w:rFonts w:hint="eastAsia" w:ascii="Arial" w:hAnsi="Arial" w:cs="Arial"/>
                <w:sz w:val="18"/>
                <w:szCs w:val="18"/>
                <w:lang w:eastAsia="zh-CN"/>
              </w:rPr>
              <w:t>二十一层结构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639" w:type="dxa"/>
            <w:gridSpan w:val="5"/>
            <w:shd w:val="clear" w:color="auto" w:fill="auto"/>
            <w:noWrap/>
            <w:vAlign w:val="center"/>
          </w:tcPr>
          <w:p>
            <w:pPr>
              <w:jc w:val="center"/>
              <w:rPr>
                <w:rFonts w:ascii="Arial" w:hAnsi="Arial" w:cs="Arial"/>
                <w:b/>
                <w:bCs/>
                <w:color w:val="000000"/>
                <w:sz w:val="18"/>
                <w:szCs w:val="18"/>
                <w:highlight w:val="none"/>
              </w:rPr>
            </w:pPr>
            <w:r>
              <w:rPr>
                <w:rFonts w:ascii="Arial" w:hAnsi="Arial" w:cs="Arial"/>
                <w:b/>
                <w:bCs/>
                <w:color w:val="000000"/>
                <w:sz w:val="18"/>
                <w:szCs w:val="18"/>
                <w:highlight w:val="none"/>
              </w:rPr>
              <w:t>苏州红星盛泽项目（2期）工程进度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47" w:type="dxa"/>
            <w:vMerge w:val="restart"/>
            <w:shd w:val="clear" w:color="auto" w:fill="auto"/>
            <w:noWrap/>
            <w:vAlign w:val="center"/>
          </w:tcPr>
          <w:p>
            <w:pPr>
              <w:jc w:val="center"/>
              <w:rPr>
                <w:rFonts w:ascii="Arial" w:hAnsi="Arial" w:cs="Arial"/>
                <w:b/>
                <w:bCs/>
                <w:color w:val="000000"/>
                <w:sz w:val="18"/>
                <w:szCs w:val="18"/>
                <w:highlight w:val="none"/>
              </w:rPr>
            </w:pPr>
            <w:r>
              <w:rPr>
                <w:rFonts w:ascii="Arial" w:hAnsi="Arial" w:cs="Arial"/>
                <w:b/>
                <w:bCs/>
                <w:color w:val="000000"/>
                <w:sz w:val="18"/>
                <w:szCs w:val="18"/>
                <w:highlight w:val="none"/>
              </w:rPr>
              <w:t>序号</w:t>
            </w:r>
          </w:p>
        </w:tc>
        <w:tc>
          <w:tcPr>
            <w:tcW w:w="1180" w:type="dxa"/>
            <w:vMerge w:val="restart"/>
            <w:shd w:val="clear" w:color="auto" w:fill="auto"/>
            <w:noWrap/>
            <w:vAlign w:val="center"/>
          </w:tcPr>
          <w:p>
            <w:pPr>
              <w:jc w:val="center"/>
              <w:rPr>
                <w:rFonts w:ascii="Arial" w:hAnsi="Arial" w:cs="Arial"/>
                <w:b/>
                <w:bCs/>
                <w:color w:val="000000"/>
                <w:sz w:val="18"/>
                <w:szCs w:val="18"/>
                <w:highlight w:val="none"/>
              </w:rPr>
            </w:pPr>
            <w:r>
              <w:rPr>
                <w:rFonts w:ascii="Arial" w:hAnsi="Arial" w:cs="Arial"/>
                <w:b/>
                <w:bCs/>
                <w:color w:val="000000"/>
                <w:sz w:val="18"/>
                <w:szCs w:val="18"/>
                <w:highlight w:val="none"/>
              </w:rPr>
              <w:t>楼栋</w:t>
            </w:r>
          </w:p>
        </w:tc>
        <w:tc>
          <w:tcPr>
            <w:tcW w:w="7512" w:type="dxa"/>
            <w:gridSpan w:val="3"/>
            <w:shd w:val="clear" w:color="auto" w:fill="auto"/>
            <w:noWrap/>
            <w:vAlign w:val="center"/>
          </w:tcPr>
          <w:p>
            <w:pPr>
              <w:jc w:val="center"/>
              <w:rPr>
                <w:rFonts w:ascii="Arial" w:hAnsi="Arial" w:cs="Arial"/>
                <w:b/>
                <w:bCs/>
                <w:color w:val="000000"/>
                <w:sz w:val="18"/>
                <w:szCs w:val="18"/>
                <w:highlight w:val="none"/>
              </w:rPr>
            </w:pPr>
            <w:r>
              <w:rPr>
                <w:rFonts w:ascii="Arial" w:hAnsi="Arial" w:cs="Arial"/>
                <w:b/>
                <w:bCs/>
                <w:color w:val="000000"/>
                <w:sz w:val="18"/>
                <w:szCs w:val="18"/>
                <w:highlight w:val="none"/>
              </w:rPr>
              <w:t>进度情况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47" w:type="dxa"/>
            <w:vMerge w:val="continue"/>
            <w:vAlign w:val="center"/>
          </w:tcPr>
          <w:p>
            <w:pPr>
              <w:rPr>
                <w:rFonts w:ascii="Arial" w:hAnsi="Arial" w:cs="Arial"/>
                <w:b/>
                <w:bCs/>
                <w:color w:val="000000"/>
                <w:sz w:val="18"/>
                <w:szCs w:val="18"/>
                <w:highlight w:val="none"/>
              </w:rPr>
            </w:pPr>
          </w:p>
        </w:tc>
        <w:tc>
          <w:tcPr>
            <w:tcW w:w="1180" w:type="dxa"/>
            <w:vMerge w:val="continue"/>
            <w:vAlign w:val="center"/>
          </w:tcPr>
          <w:p>
            <w:pPr>
              <w:rPr>
                <w:rFonts w:ascii="Arial" w:hAnsi="Arial" w:cs="Arial"/>
                <w:b/>
                <w:bCs/>
                <w:color w:val="000000"/>
                <w:sz w:val="18"/>
                <w:szCs w:val="18"/>
                <w:highlight w:val="none"/>
              </w:rPr>
            </w:pPr>
          </w:p>
        </w:tc>
        <w:tc>
          <w:tcPr>
            <w:tcW w:w="2268" w:type="dxa"/>
            <w:shd w:val="clear" w:color="auto" w:fill="auto"/>
            <w:noWrap/>
            <w:vAlign w:val="center"/>
          </w:tcPr>
          <w:p>
            <w:pPr>
              <w:jc w:val="center"/>
              <w:rPr>
                <w:rFonts w:ascii="Arial" w:hAnsi="Arial" w:cs="Arial"/>
                <w:b/>
                <w:bCs/>
                <w:color w:val="000000"/>
                <w:sz w:val="18"/>
                <w:szCs w:val="18"/>
                <w:highlight w:val="none"/>
              </w:rPr>
            </w:pPr>
            <w:r>
              <w:rPr>
                <w:rFonts w:ascii="Arial" w:hAnsi="Arial" w:cs="Arial"/>
                <w:b/>
                <w:bCs/>
                <w:color w:val="000000"/>
                <w:sz w:val="18"/>
                <w:szCs w:val="18"/>
                <w:highlight w:val="none"/>
              </w:rPr>
              <w:t>上</w:t>
            </w:r>
            <w:r>
              <w:rPr>
                <w:rFonts w:hint="eastAsia" w:ascii="Arial" w:hAnsi="Arial" w:cs="Arial"/>
                <w:b/>
                <w:bCs/>
                <w:color w:val="000000"/>
                <w:sz w:val="18"/>
                <w:szCs w:val="18"/>
                <w:highlight w:val="none"/>
              </w:rPr>
              <w:t>月</w:t>
            </w:r>
            <w:r>
              <w:rPr>
                <w:rFonts w:ascii="Arial" w:hAnsi="Arial" w:cs="Arial"/>
                <w:b/>
                <w:bCs/>
                <w:color w:val="000000"/>
                <w:sz w:val="18"/>
                <w:szCs w:val="18"/>
                <w:highlight w:val="none"/>
              </w:rPr>
              <w:t>完成</w:t>
            </w:r>
          </w:p>
        </w:tc>
        <w:tc>
          <w:tcPr>
            <w:tcW w:w="2672" w:type="dxa"/>
            <w:shd w:val="clear" w:color="auto" w:fill="auto"/>
            <w:noWrap/>
            <w:vAlign w:val="center"/>
          </w:tcPr>
          <w:p>
            <w:pPr>
              <w:jc w:val="center"/>
              <w:rPr>
                <w:rFonts w:ascii="Arial" w:hAnsi="Arial" w:cs="Arial"/>
                <w:b/>
                <w:bCs/>
                <w:color w:val="000000"/>
                <w:sz w:val="18"/>
                <w:szCs w:val="18"/>
                <w:highlight w:val="none"/>
              </w:rPr>
            </w:pPr>
            <w:r>
              <w:rPr>
                <w:rFonts w:ascii="Arial" w:hAnsi="Arial" w:cs="Arial"/>
                <w:b/>
                <w:bCs/>
                <w:color w:val="000000"/>
                <w:sz w:val="18"/>
                <w:szCs w:val="18"/>
                <w:highlight w:val="none"/>
              </w:rPr>
              <w:t>本</w:t>
            </w:r>
            <w:r>
              <w:rPr>
                <w:rFonts w:hint="eastAsia" w:ascii="Arial" w:hAnsi="Arial" w:cs="Arial"/>
                <w:b/>
                <w:bCs/>
                <w:color w:val="000000"/>
                <w:sz w:val="18"/>
                <w:szCs w:val="18"/>
                <w:highlight w:val="none"/>
              </w:rPr>
              <w:t>月</w:t>
            </w:r>
            <w:r>
              <w:rPr>
                <w:rFonts w:ascii="Arial" w:hAnsi="Arial" w:cs="Arial"/>
                <w:b/>
                <w:bCs/>
                <w:color w:val="000000"/>
                <w:sz w:val="18"/>
                <w:szCs w:val="18"/>
                <w:highlight w:val="none"/>
              </w:rPr>
              <w:t>进度</w:t>
            </w:r>
          </w:p>
        </w:tc>
        <w:tc>
          <w:tcPr>
            <w:tcW w:w="2572" w:type="dxa"/>
            <w:shd w:val="clear" w:color="auto" w:fill="auto"/>
            <w:noWrap/>
            <w:vAlign w:val="center"/>
          </w:tcPr>
          <w:p>
            <w:pPr>
              <w:jc w:val="center"/>
              <w:rPr>
                <w:rFonts w:ascii="Arial" w:hAnsi="Arial" w:cs="Arial"/>
                <w:b/>
                <w:bCs/>
                <w:color w:val="000000"/>
                <w:sz w:val="18"/>
                <w:szCs w:val="18"/>
                <w:highlight w:val="none"/>
              </w:rPr>
            </w:pPr>
            <w:r>
              <w:rPr>
                <w:rFonts w:ascii="Arial" w:hAnsi="Arial" w:cs="Arial"/>
                <w:b/>
                <w:bCs/>
                <w:color w:val="000000"/>
                <w:sz w:val="18"/>
                <w:szCs w:val="18"/>
                <w:highlight w:val="none"/>
              </w:rPr>
              <w:t>下</w:t>
            </w:r>
            <w:r>
              <w:rPr>
                <w:rFonts w:hint="eastAsia" w:ascii="Arial" w:hAnsi="Arial" w:cs="Arial"/>
                <w:b/>
                <w:bCs/>
                <w:color w:val="000000"/>
                <w:sz w:val="18"/>
                <w:szCs w:val="18"/>
                <w:highlight w:val="none"/>
              </w:rPr>
              <w:t>月</w:t>
            </w:r>
            <w:r>
              <w:rPr>
                <w:rFonts w:ascii="Arial" w:hAnsi="Arial" w:cs="Arial"/>
                <w:b/>
                <w:bCs/>
                <w:color w:val="000000"/>
                <w:sz w:val="18"/>
                <w:szCs w:val="18"/>
                <w:highlight w:val="none"/>
              </w:rPr>
              <w:t>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地库</w:t>
            </w:r>
          </w:p>
        </w:tc>
        <w:tc>
          <w:tcPr>
            <w:tcW w:w="2268" w:type="dxa"/>
            <w:shd w:val="clear" w:color="auto" w:fill="auto"/>
            <w:noWrap/>
            <w:vAlign w:val="center"/>
          </w:tcPr>
          <w:p>
            <w:pPr>
              <w:jc w:val="center"/>
              <w:rPr>
                <w:rFonts w:ascii="Arial" w:hAnsi="Arial" w:cs="Arial"/>
                <w:color w:val="000000"/>
                <w:sz w:val="18"/>
                <w:szCs w:val="18"/>
              </w:rPr>
            </w:pPr>
            <w:r>
              <w:rPr>
                <w:rFonts w:hint="eastAsia" w:ascii="Arial" w:hAnsi="Arial" w:cs="Arial"/>
                <w:sz w:val="18"/>
                <w:szCs w:val="18"/>
              </w:rPr>
              <w:t>地库桩完成40%</w:t>
            </w:r>
          </w:p>
        </w:tc>
        <w:tc>
          <w:tcPr>
            <w:tcW w:w="2672" w:type="dxa"/>
            <w:shd w:val="clear" w:color="auto" w:fill="auto"/>
            <w:vAlign w:val="center"/>
          </w:tcPr>
          <w:p>
            <w:pPr>
              <w:jc w:val="center"/>
              <w:rPr>
                <w:rFonts w:hint="eastAsia" w:ascii="Arial" w:hAnsi="Arial" w:cs="Arial"/>
                <w:sz w:val="18"/>
                <w:szCs w:val="18"/>
              </w:rPr>
            </w:pPr>
            <w:r>
              <w:rPr>
                <w:rFonts w:hint="eastAsia" w:ascii="Arial" w:hAnsi="Arial" w:cs="Arial"/>
                <w:sz w:val="18"/>
                <w:szCs w:val="18"/>
              </w:rPr>
              <w:t>地库桩基完成95%</w:t>
            </w:r>
          </w:p>
        </w:tc>
        <w:tc>
          <w:tcPr>
            <w:tcW w:w="2572" w:type="dxa"/>
            <w:shd w:val="clear" w:color="auto" w:fill="auto"/>
            <w:vAlign w:val="center"/>
          </w:tcPr>
          <w:p>
            <w:pPr>
              <w:jc w:val="center"/>
              <w:rPr>
                <w:rFonts w:hint="eastAsia" w:ascii="Arial" w:hAnsi="Arial" w:cs="Arial"/>
                <w:sz w:val="18"/>
                <w:szCs w:val="18"/>
              </w:rPr>
            </w:pPr>
            <w:r>
              <w:rPr>
                <w:rFonts w:hint="eastAsia" w:ascii="Arial" w:hAnsi="Arial" w:cs="Arial"/>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1#楼</w:t>
            </w:r>
          </w:p>
        </w:tc>
        <w:tc>
          <w:tcPr>
            <w:tcW w:w="2268" w:type="dxa"/>
            <w:shd w:val="clear" w:color="auto" w:fill="auto"/>
            <w:noWrap/>
            <w:vAlign w:val="center"/>
          </w:tcPr>
          <w:p>
            <w:pPr>
              <w:jc w:val="center"/>
              <w:rPr>
                <w:rFonts w:ascii="Arial" w:hAnsi="Arial" w:cs="Arial"/>
                <w:sz w:val="18"/>
                <w:szCs w:val="18"/>
              </w:rPr>
            </w:pPr>
            <w:r>
              <w:rPr>
                <w:rFonts w:hint="eastAsia" w:ascii="Arial" w:hAnsi="Arial" w:cs="Arial"/>
                <w:sz w:val="18"/>
                <w:szCs w:val="18"/>
              </w:rPr>
              <w:t>1#楼桩基完成50%</w:t>
            </w:r>
          </w:p>
        </w:tc>
        <w:tc>
          <w:tcPr>
            <w:tcW w:w="2672" w:type="dxa"/>
            <w:shd w:val="clear" w:color="auto" w:fill="auto"/>
            <w:vAlign w:val="center"/>
          </w:tcPr>
          <w:p>
            <w:pPr>
              <w:jc w:val="center"/>
              <w:rPr>
                <w:rFonts w:ascii="Arial" w:hAnsi="Arial" w:cs="Arial"/>
                <w:sz w:val="18"/>
                <w:szCs w:val="18"/>
              </w:rPr>
            </w:pPr>
            <w:r>
              <w:rPr>
                <w:rFonts w:hint="eastAsia" w:ascii="Arial" w:hAnsi="Arial" w:cs="Arial"/>
                <w:sz w:val="18"/>
                <w:szCs w:val="18"/>
              </w:rPr>
              <w:t>东侧双轴围护已完成</w:t>
            </w:r>
          </w:p>
        </w:tc>
        <w:tc>
          <w:tcPr>
            <w:tcW w:w="2572" w:type="dxa"/>
            <w:shd w:val="clear" w:color="auto" w:fill="auto"/>
            <w:vAlign w:val="center"/>
          </w:tcPr>
          <w:p>
            <w:pPr>
              <w:jc w:val="center"/>
              <w:rPr>
                <w:rFonts w:hint="eastAsia" w:ascii="Arial" w:hAnsi="Arial" w:cs="Arial"/>
                <w:sz w:val="18"/>
                <w:szCs w:val="18"/>
              </w:rPr>
            </w:pPr>
            <w:r>
              <w:rPr>
                <w:rFonts w:hint="eastAsia" w:ascii="Arial" w:hAnsi="Arial" w:cs="Arial"/>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3</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2#楼</w:t>
            </w:r>
          </w:p>
        </w:tc>
        <w:tc>
          <w:tcPr>
            <w:tcW w:w="2268" w:type="dxa"/>
            <w:shd w:val="clear" w:color="auto" w:fill="auto"/>
            <w:noWrap/>
            <w:vAlign w:val="center"/>
          </w:tcPr>
          <w:p>
            <w:pPr>
              <w:jc w:val="center"/>
              <w:rPr>
                <w:rFonts w:ascii="Arial" w:hAnsi="Arial" w:cs="Arial"/>
                <w:sz w:val="18"/>
                <w:szCs w:val="18"/>
              </w:rPr>
            </w:pPr>
            <w:r>
              <w:rPr>
                <w:rFonts w:hint="eastAsia" w:ascii="Arial" w:hAnsi="Arial" w:cs="Arial"/>
                <w:sz w:val="18"/>
                <w:szCs w:val="18"/>
              </w:rPr>
              <w:t>2#楼桩基完成30%</w:t>
            </w:r>
          </w:p>
        </w:tc>
        <w:tc>
          <w:tcPr>
            <w:tcW w:w="2672" w:type="dxa"/>
            <w:shd w:val="clear" w:color="auto" w:fill="auto"/>
            <w:vAlign w:val="center"/>
          </w:tcPr>
          <w:p>
            <w:pPr>
              <w:jc w:val="center"/>
              <w:rPr>
                <w:rFonts w:ascii="Arial" w:hAnsi="Arial" w:cs="Arial"/>
                <w:sz w:val="18"/>
                <w:szCs w:val="18"/>
              </w:rPr>
            </w:pPr>
            <w:r>
              <w:rPr>
                <w:rFonts w:hint="eastAsia" w:ascii="Arial" w:hAnsi="Arial" w:cs="Arial"/>
                <w:sz w:val="18"/>
                <w:szCs w:val="18"/>
              </w:rPr>
              <w:t>坑中坑及主楼边双轴施工完成</w:t>
            </w:r>
          </w:p>
        </w:tc>
        <w:tc>
          <w:tcPr>
            <w:tcW w:w="2572" w:type="dxa"/>
            <w:shd w:val="clear" w:color="auto" w:fill="auto"/>
            <w:vAlign w:val="center"/>
          </w:tcPr>
          <w:p>
            <w:pPr>
              <w:jc w:val="center"/>
              <w:rPr>
                <w:rFonts w:hint="eastAsia" w:ascii="Arial" w:hAnsi="Arial" w:cs="Arial"/>
                <w:sz w:val="18"/>
                <w:szCs w:val="18"/>
              </w:rPr>
            </w:pPr>
            <w:r>
              <w:rPr>
                <w:rFonts w:hint="eastAsia" w:ascii="Arial" w:hAnsi="Arial" w:cs="Arial"/>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3#楼</w:t>
            </w:r>
          </w:p>
        </w:tc>
        <w:tc>
          <w:tcPr>
            <w:tcW w:w="2268" w:type="dxa"/>
            <w:shd w:val="clear" w:color="auto" w:fill="auto"/>
            <w:noWrap/>
            <w:vAlign w:val="center"/>
          </w:tcPr>
          <w:p>
            <w:pPr>
              <w:jc w:val="center"/>
              <w:rPr>
                <w:rFonts w:ascii="Arial" w:hAnsi="Arial" w:cs="Arial"/>
                <w:sz w:val="18"/>
                <w:szCs w:val="18"/>
              </w:rPr>
            </w:pPr>
            <w:r>
              <w:rPr>
                <w:rFonts w:hint="eastAsia" w:ascii="Arial" w:hAnsi="Arial" w:cs="Arial"/>
                <w:sz w:val="18"/>
                <w:szCs w:val="18"/>
              </w:rPr>
              <w:t>3#楼桩基完成70%</w:t>
            </w:r>
          </w:p>
        </w:tc>
        <w:tc>
          <w:tcPr>
            <w:tcW w:w="2672" w:type="dxa"/>
            <w:shd w:val="clear" w:color="auto" w:fill="auto"/>
            <w:vAlign w:val="center"/>
          </w:tcPr>
          <w:p>
            <w:pPr>
              <w:jc w:val="center"/>
              <w:rPr>
                <w:rFonts w:ascii="Arial" w:hAnsi="Arial" w:cs="Arial"/>
                <w:sz w:val="18"/>
                <w:szCs w:val="18"/>
              </w:rPr>
            </w:pPr>
            <w:r>
              <w:rPr>
                <w:rFonts w:hint="eastAsia" w:ascii="Arial" w:hAnsi="Arial" w:cs="Arial"/>
                <w:sz w:val="18"/>
                <w:szCs w:val="18"/>
              </w:rPr>
              <w:t>坑中坑及主楼边双轴施工完成</w:t>
            </w:r>
          </w:p>
        </w:tc>
        <w:tc>
          <w:tcPr>
            <w:tcW w:w="2572" w:type="dxa"/>
            <w:shd w:val="clear" w:color="auto" w:fill="auto"/>
            <w:vAlign w:val="center"/>
          </w:tcPr>
          <w:p>
            <w:pPr>
              <w:jc w:val="center"/>
              <w:rPr>
                <w:rFonts w:hint="eastAsia" w:ascii="Arial" w:hAnsi="Arial" w:cs="Arial"/>
                <w:sz w:val="18"/>
                <w:szCs w:val="18"/>
              </w:rPr>
            </w:pPr>
            <w:r>
              <w:rPr>
                <w:rFonts w:hint="eastAsia" w:ascii="Arial" w:hAnsi="Arial" w:cs="Arial"/>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5</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5#楼</w:t>
            </w:r>
          </w:p>
        </w:tc>
        <w:tc>
          <w:tcPr>
            <w:tcW w:w="2268" w:type="dxa"/>
            <w:shd w:val="clear" w:color="auto" w:fill="auto"/>
            <w:noWrap/>
            <w:vAlign w:val="center"/>
          </w:tcPr>
          <w:p>
            <w:pPr>
              <w:jc w:val="center"/>
              <w:rPr>
                <w:rFonts w:ascii="Arial" w:hAnsi="Arial" w:cs="Arial"/>
                <w:sz w:val="18"/>
                <w:szCs w:val="18"/>
              </w:rPr>
            </w:pPr>
            <w:r>
              <w:rPr>
                <w:rFonts w:hint="eastAsia" w:ascii="Arial" w:hAnsi="Arial" w:cs="Arial"/>
                <w:sz w:val="18"/>
                <w:szCs w:val="18"/>
              </w:rPr>
              <w:t>5#楼桩基施工完成</w:t>
            </w:r>
          </w:p>
        </w:tc>
        <w:tc>
          <w:tcPr>
            <w:tcW w:w="2672" w:type="dxa"/>
            <w:shd w:val="clear" w:color="auto" w:fill="auto"/>
            <w:vAlign w:val="center"/>
          </w:tcPr>
          <w:p>
            <w:pPr>
              <w:jc w:val="center"/>
              <w:rPr>
                <w:rFonts w:ascii="Arial" w:hAnsi="Arial" w:cs="Arial"/>
                <w:sz w:val="18"/>
                <w:szCs w:val="18"/>
              </w:rPr>
            </w:pPr>
            <w:r>
              <w:rPr>
                <w:rFonts w:hint="eastAsia" w:ascii="Arial" w:hAnsi="Arial" w:cs="Arial"/>
                <w:sz w:val="18"/>
                <w:szCs w:val="18"/>
              </w:rPr>
              <w:t>无</w:t>
            </w:r>
          </w:p>
        </w:tc>
        <w:tc>
          <w:tcPr>
            <w:tcW w:w="2572" w:type="dxa"/>
            <w:shd w:val="clear" w:color="auto" w:fill="auto"/>
            <w:vAlign w:val="center"/>
          </w:tcPr>
          <w:p>
            <w:pPr>
              <w:jc w:val="center"/>
              <w:rPr>
                <w:rFonts w:hint="eastAsia" w:ascii="Arial" w:hAnsi="Arial" w:cs="Arial"/>
                <w:sz w:val="18"/>
                <w:szCs w:val="18"/>
              </w:rPr>
            </w:pPr>
            <w:r>
              <w:rPr>
                <w:rFonts w:hint="eastAsia" w:ascii="Arial" w:hAnsi="Arial" w:cs="Arial"/>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6</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4#楼</w:t>
            </w:r>
          </w:p>
        </w:tc>
        <w:tc>
          <w:tcPr>
            <w:tcW w:w="2268" w:type="dxa"/>
            <w:shd w:val="clear" w:color="auto" w:fill="auto"/>
            <w:noWrap/>
            <w:vAlign w:val="center"/>
          </w:tcPr>
          <w:p>
            <w:pPr>
              <w:jc w:val="center"/>
              <w:rPr>
                <w:rFonts w:ascii="Arial" w:hAnsi="Arial" w:cs="Arial"/>
                <w:sz w:val="18"/>
                <w:szCs w:val="18"/>
              </w:rPr>
            </w:pPr>
            <w:r>
              <w:rPr>
                <w:rFonts w:hint="eastAsia" w:ascii="Arial" w:hAnsi="Arial" w:cs="Arial"/>
                <w:sz w:val="18"/>
                <w:szCs w:val="18"/>
              </w:rPr>
              <w:t>桩基施工完成</w:t>
            </w:r>
          </w:p>
        </w:tc>
        <w:tc>
          <w:tcPr>
            <w:tcW w:w="2672" w:type="dxa"/>
            <w:shd w:val="clear" w:color="auto" w:fill="auto"/>
            <w:vAlign w:val="center"/>
          </w:tcPr>
          <w:p>
            <w:pPr>
              <w:jc w:val="center"/>
              <w:rPr>
                <w:rFonts w:ascii="Arial" w:hAnsi="Arial" w:cs="Arial"/>
                <w:sz w:val="18"/>
                <w:szCs w:val="18"/>
              </w:rPr>
            </w:pPr>
            <w:r>
              <w:rPr>
                <w:rFonts w:hint="eastAsia" w:ascii="Arial" w:hAnsi="Arial" w:cs="Arial"/>
                <w:sz w:val="18"/>
                <w:szCs w:val="18"/>
              </w:rPr>
              <w:t>无</w:t>
            </w:r>
          </w:p>
        </w:tc>
        <w:tc>
          <w:tcPr>
            <w:tcW w:w="2572" w:type="dxa"/>
            <w:shd w:val="clear" w:color="auto" w:fill="auto"/>
            <w:vAlign w:val="center"/>
          </w:tcPr>
          <w:p>
            <w:pPr>
              <w:jc w:val="center"/>
              <w:rPr>
                <w:rFonts w:hint="eastAsia" w:ascii="Arial" w:hAnsi="Arial" w:cs="Arial"/>
                <w:sz w:val="18"/>
                <w:szCs w:val="18"/>
              </w:rPr>
            </w:pPr>
            <w:r>
              <w:rPr>
                <w:rFonts w:hint="eastAsia" w:ascii="Arial" w:hAnsi="Arial" w:cs="Arial"/>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7</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9#楼</w:t>
            </w:r>
          </w:p>
        </w:tc>
        <w:tc>
          <w:tcPr>
            <w:tcW w:w="2268" w:type="dxa"/>
            <w:shd w:val="clear" w:color="auto" w:fill="auto"/>
            <w:noWrap/>
            <w:vAlign w:val="center"/>
          </w:tcPr>
          <w:p>
            <w:pPr>
              <w:jc w:val="center"/>
              <w:rPr>
                <w:rFonts w:ascii="Arial" w:hAnsi="Arial" w:cs="Arial"/>
                <w:sz w:val="18"/>
                <w:szCs w:val="18"/>
              </w:rPr>
            </w:pPr>
            <w:r>
              <w:rPr>
                <w:rFonts w:hint="eastAsia" w:ascii="Arial" w:hAnsi="Arial" w:cs="Arial"/>
                <w:sz w:val="18"/>
                <w:szCs w:val="18"/>
              </w:rPr>
              <w:t>9#楼桩基完成</w:t>
            </w:r>
          </w:p>
        </w:tc>
        <w:tc>
          <w:tcPr>
            <w:tcW w:w="2672" w:type="dxa"/>
            <w:shd w:val="clear" w:color="auto" w:fill="auto"/>
            <w:vAlign w:val="center"/>
          </w:tcPr>
          <w:p>
            <w:pPr>
              <w:jc w:val="center"/>
              <w:rPr>
                <w:rFonts w:ascii="Arial" w:hAnsi="Arial" w:cs="Arial"/>
                <w:sz w:val="18"/>
                <w:szCs w:val="18"/>
              </w:rPr>
            </w:pPr>
            <w:r>
              <w:rPr>
                <w:rFonts w:hint="eastAsia" w:ascii="Arial" w:hAnsi="Arial" w:cs="Arial"/>
                <w:sz w:val="18"/>
                <w:szCs w:val="18"/>
              </w:rPr>
              <w:t>北侧双轴施工完成</w:t>
            </w:r>
          </w:p>
        </w:tc>
        <w:tc>
          <w:tcPr>
            <w:tcW w:w="2572" w:type="dxa"/>
            <w:shd w:val="clear" w:color="auto" w:fill="auto"/>
            <w:vAlign w:val="center"/>
          </w:tcPr>
          <w:p>
            <w:pPr>
              <w:jc w:val="center"/>
              <w:rPr>
                <w:rFonts w:hint="eastAsia" w:ascii="Arial" w:hAnsi="Arial" w:cs="Arial"/>
                <w:sz w:val="18"/>
                <w:szCs w:val="18"/>
              </w:rPr>
            </w:pPr>
            <w:r>
              <w:rPr>
                <w:rFonts w:hint="eastAsia" w:ascii="Arial" w:hAnsi="Arial" w:cs="Arial"/>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8</w:t>
            </w:r>
          </w:p>
        </w:tc>
        <w:tc>
          <w:tcPr>
            <w:tcW w:w="1180" w:type="dxa"/>
            <w:shd w:val="clear" w:color="auto" w:fill="auto"/>
            <w:noWrap/>
            <w:vAlign w:val="center"/>
          </w:tcPr>
          <w:p>
            <w:pPr>
              <w:jc w:val="center"/>
              <w:rPr>
                <w:rFonts w:hint="default" w:ascii="Arial" w:hAnsi="Arial" w:eastAsia="宋体" w:cs="Arial"/>
                <w:sz w:val="18"/>
                <w:szCs w:val="18"/>
                <w:lang w:val="en-US" w:eastAsia="zh-CN"/>
              </w:rPr>
            </w:pPr>
            <w:r>
              <w:rPr>
                <w:rFonts w:hint="eastAsia" w:ascii="Arial" w:hAnsi="Arial" w:cs="Arial"/>
                <w:sz w:val="18"/>
                <w:szCs w:val="18"/>
                <w:lang w:val="en-US" w:eastAsia="zh-CN"/>
              </w:rPr>
              <w:t>6#楼</w:t>
            </w:r>
          </w:p>
        </w:tc>
        <w:tc>
          <w:tcPr>
            <w:tcW w:w="2268" w:type="dxa"/>
            <w:shd w:val="clear" w:color="auto" w:fill="auto"/>
            <w:noWrap/>
            <w:vAlign w:val="center"/>
          </w:tcPr>
          <w:p>
            <w:pPr>
              <w:jc w:val="center"/>
              <w:rPr>
                <w:rFonts w:hint="eastAsia" w:ascii="Arial" w:hAnsi="Arial" w:eastAsia="宋体" w:cs="Arial"/>
                <w:sz w:val="18"/>
                <w:szCs w:val="18"/>
                <w:lang w:eastAsia="zh-CN"/>
              </w:rPr>
            </w:pPr>
            <w:r>
              <w:rPr>
                <w:rFonts w:hint="eastAsia" w:ascii="Arial" w:hAnsi="Arial" w:cs="Arial"/>
                <w:sz w:val="18"/>
                <w:szCs w:val="18"/>
                <w:lang w:eastAsia="zh-CN"/>
              </w:rPr>
              <w:t>无</w:t>
            </w:r>
          </w:p>
        </w:tc>
        <w:tc>
          <w:tcPr>
            <w:tcW w:w="2672" w:type="dxa"/>
            <w:shd w:val="clear" w:color="auto" w:fill="auto"/>
            <w:vAlign w:val="center"/>
          </w:tcPr>
          <w:p>
            <w:pPr>
              <w:jc w:val="center"/>
              <w:rPr>
                <w:rFonts w:hint="eastAsia" w:ascii="Arial" w:hAnsi="Arial" w:cs="Arial"/>
                <w:sz w:val="18"/>
                <w:szCs w:val="18"/>
              </w:rPr>
            </w:pPr>
            <w:r>
              <w:rPr>
                <w:rFonts w:hint="eastAsia" w:ascii="Arial" w:hAnsi="Arial" w:cs="Arial"/>
                <w:sz w:val="18"/>
                <w:szCs w:val="18"/>
              </w:rPr>
              <w:t>土方开挖完成30%</w:t>
            </w:r>
          </w:p>
        </w:tc>
        <w:tc>
          <w:tcPr>
            <w:tcW w:w="2572" w:type="dxa"/>
            <w:shd w:val="clear" w:color="auto" w:fill="auto"/>
            <w:vAlign w:val="center"/>
          </w:tcPr>
          <w:p>
            <w:pPr>
              <w:jc w:val="center"/>
              <w:rPr>
                <w:rFonts w:hint="eastAsia" w:ascii="Arial" w:hAnsi="Arial" w:cs="Arial"/>
                <w:sz w:val="18"/>
                <w:szCs w:val="18"/>
              </w:rPr>
            </w:pPr>
            <w:r>
              <w:rPr>
                <w:rFonts w:hint="eastAsia" w:ascii="Arial" w:hAnsi="Arial" w:cs="Arial"/>
                <w:sz w:val="18"/>
                <w:szCs w:val="18"/>
                <w:vertAlign w:val="baseline"/>
                <w:lang w:val="en-US" w:eastAsia="zh-CN"/>
              </w:rPr>
              <w:t>底板钢筋安装完成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9</w:t>
            </w:r>
          </w:p>
        </w:tc>
        <w:tc>
          <w:tcPr>
            <w:tcW w:w="1180" w:type="dxa"/>
            <w:shd w:val="clear" w:color="auto" w:fill="auto"/>
            <w:noWrap/>
            <w:vAlign w:val="center"/>
          </w:tcPr>
          <w:p>
            <w:pPr>
              <w:jc w:val="center"/>
              <w:rPr>
                <w:rFonts w:hint="default" w:ascii="Arial" w:hAnsi="Arial" w:eastAsia="宋体" w:cs="Arial"/>
                <w:sz w:val="18"/>
                <w:szCs w:val="18"/>
                <w:lang w:val="en-US" w:eastAsia="zh-CN"/>
              </w:rPr>
            </w:pPr>
            <w:r>
              <w:rPr>
                <w:rFonts w:hint="eastAsia" w:ascii="Arial" w:hAnsi="Arial" w:cs="Arial"/>
                <w:sz w:val="18"/>
                <w:szCs w:val="18"/>
                <w:lang w:val="en-US" w:eastAsia="zh-CN"/>
              </w:rPr>
              <w:t>8#楼</w:t>
            </w:r>
          </w:p>
        </w:tc>
        <w:tc>
          <w:tcPr>
            <w:tcW w:w="2268" w:type="dxa"/>
            <w:shd w:val="clear" w:color="auto" w:fill="auto"/>
            <w:noWrap/>
            <w:vAlign w:val="center"/>
          </w:tcPr>
          <w:p>
            <w:pPr>
              <w:jc w:val="center"/>
              <w:rPr>
                <w:rFonts w:hint="eastAsia" w:ascii="Arial" w:hAnsi="Arial" w:eastAsia="宋体" w:cs="Arial"/>
                <w:sz w:val="18"/>
                <w:szCs w:val="18"/>
                <w:lang w:eastAsia="zh-CN"/>
              </w:rPr>
            </w:pPr>
            <w:r>
              <w:rPr>
                <w:rFonts w:hint="eastAsia" w:ascii="Arial" w:hAnsi="Arial" w:cs="Arial"/>
                <w:sz w:val="18"/>
                <w:szCs w:val="18"/>
                <w:lang w:eastAsia="zh-CN"/>
              </w:rPr>
              <w:t>无</w:t>
            </w:r>
          </w:p>
        </w:tc>
        <w:tc>
          <w:tcPr>
            <w:tcW w:w="2672" w:type="dxa"/>
            <w:shd w:val="clear" w:color="auto" w:fill="auto"/>
            <w:vAlign w:val="center"/>
          </w:tcPr>
          <w:p>
            <w:pPr>
              <w:jc w:val="center"/>
              <w:rPr>
                <w:rFonts w:hint="eastAsia" w:ascii="Arial" w:hAnsi="Arial" w:cs="Arial"/>
                <w:sz w:val="18"/>
                <w:szCs w:val="18"/>
              </w:rPr>
            </w:pPr>
            <w:r>
              <w:rPr>
                <w:rFonts w:hint="eastAsia" w:ascii="Arial" w:hAnsi="Arial" w:cs="Arial"/>
                <w:sz w:val="18"/>
                <w:szCs w:val="18"/>
              </w:rPr>
              <w:t>土方开挖完成30%</w:t>
            </w:r>
          </w:p>
        </w:tc>
        <w:tc>
          <w:tcPr>
            <w:tcW w:w="2572" w:type="dxa"/>
            <w:shd w:val="clear" w:color="auto" w:fill="auto"/>
            <w:vAlign w:val="center"/>
          </w:tcPr>
          <w:p>
            <w:pPr>
              <w:jc w:val="center"/>
              <w:rPr>
                <w:rFonts w:hint="eastAsia" w:ascii="Arial" w:hAnsi="Arial" w:cs="Arial"/>
                <w:sz w:val="18"/>
                <w:szCs w:val="18"/>
              </w:rPr>
            </w:pPr>
            <w:r>
              <w:rPr>
                <w:rFonts w:hint="eastAsia" w:ascii="Arial" w:hAnsi="Arial" w:cs="Arial"/>
                <w:sz w:val="18"/>
                <w:szCs w:val="18"/>
                <w:vertAlign w:val="baseline"/>
                <w:lang w:val="en-US" w:eastAsia="zh-CN"/>
              </w:rPr>
              <w:t>底板钢筋安装完成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7" w:type="dxa"/>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8</w:t>
            </w:r>
          </w:p>
        </w:tc>
        <w:tc>
          <w:tcPr>
            <w:tcW w:w="1180" w:type="dxa"/>
            <w:shd w:val="clear" w:color="auto" w:fill="auto"/>
            <w:noWrap/>
            <w:vAlign w:val="center"/>
          </w:tcPr>
          <w:p>
            <w:pPr>
              <w:jc w:val="center"/>
              <w:rPr>
                <w:rFonts w:ascii="Arial" w:hAnsi="Arial" w:cs="Arial"/>
                <w:color w:val="000000"/>
                <w:sz w:val="18"/>
                <w:szCs w:val="18"/>
              </w:rPr>
            </w:pPr>
            <w:r>
              <w:rPr>
                <w:rFonts w:ascii="Arial" w:hAnsi="Arial" w:cs="Arial"/>
                <w:sz w:val="18"/>
                <w:szCs w:val="18"/>
              </w:rPr>
              <w:t>首开区</w:t>
            </w:r>
          </w:p>
        </w:tc>
        <w:tc>
          <w:tcPr>
            <w:tcW w:w="2268" w:type="dxa"/>
            <w:shd w:val="clear" w:color="auto" w:fill="auto"/>
            <w:noWrap/>
            <w:vAlign w:val="center"/>
          </w:tcPr>
          <w:p>
            <w:pPr>
              <w:jc w:val="center"/>
              <w:rPr>
                <w:rFonts w:ascii="Arial" w:hAnsi="Arial" w:cs="Arial"/>
                <w:sz w:val="18"/>
                <w:szCs w:val="18"/>
              </w:rPr>
            </w:pPr>
            <w:r>
              <w:rPr>
                <w:rFonts w:hint="eastAsia" w:ascii="Arial" w:hAnsi="Arial" w:cs="Arial"/>
                <w:sz w:val="18"/>
                <w:szCs w:val="18"/>
              </w:rPr>
              <w:t>首开区围护施工完成</w:t>
            </w:r>
          </w:p>
        </w:tc>
        <w:tc>
          <w:tcPr>
            <w:tcW w:w="2672" w:type="dxa"/>
            <w:shd w:val="clear" w:color="auto" w:fill="auto"/>
            <w:vAlign w:val="center"/>
          </w:tcPr>
          <w:p>
            <w:pPr>
              <w:jc w:val="center"/>
              <w:rPr>
                <w:rFonts w:ascii="Arial" w:hAnsi="Arial" w:cs="Arial"/>
                <w:sz w:val="18"/>
                <w:szCs w:val="18"/>
              </w:rPr>
            </w:pPr>
            <w:r>
              <w:rPr>
                <w:rFonts w:hint="eastAsia" w:ascii="Arial" w:hAnsi="Arial" w:cs="Arial"/>
                <w:sz w:val="18"/>
                <w:szCs w:val="18"/>
              </w:rPr>
              <w:t>无</w:t>
            </w:r>
          </w:p>
        </w:tc>
        <w:tc>
          <w:tcPr>
            <w:tcW w:w="2572" w:type="dxa"/>
            <w:shd w:val="clear" w:color="auto" w:fill="auto"/>
            <w:vAlign w:val="center"/>
          </w:tcPr>
          <w:p>
            <w:pPr>
              <w:jc w:val="center"/>
              <w:rPr>
                <w:rFonts w:hint="eastAsia" w:ascii="Arial" w:hAnsi="Arial" w:cs="Arial"/>
                <w:sz w:val="18"/>
                <w:szCs w:val="18"/>
              </w:rPr>
            </w:pPr>
            <w:r>
              <w:rPr>
                <w:rFonts w:hint="eastAsia" w:ascii="Arial" w:hAnsi="Arial" w:cs="Arial"/>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639" w:type="dxa"/>
            <w:gridSpan w:val="5"/>
            <w:tcBorders>
              <w:left w:val="single" w:color="FFFFFF" w:themeColor="background1" w:sz="4" w:space="0"/>
              <w:bottom w:val="single" w:color="FFFFFF" w:themeColor="background1" w:sz="4" w:space="0"/>
              <w:right w:val="single" w:color="FFFFFF" w:themeColor="background1" w:sz="4" w:space="0"/>
            </w:tcBorders>
            <w:shd w:val="clear" w:color="auto" w:fill="auto"/>
            <w:noWrap/>
            <w:vAlign w:val="center"/>
          </w:tcPr>
          <w:p>
            <w:pPr>
              <w:rPr>
                <w:rFonts w:ascii="Arial" w:hAnsi="Arial" w:cs="Arial"/>
                <w:color w:val="000000"/>
                <w:sz w:val="18"/>
                <w:szCs w:val="18"/>
              </w:rPr>
            </w:pPr>
            <w:r>
              <w:rPr>
                <w:rFonts w:hint="eastAsia" w:ascii="Arial" w:hAnsi="Arial" w:cs="Arial"/>
                <w:color w:val="000000"/>
                <w:sz w:val="18"/>
                <w:szCs w:val="18"/>
              </w:rPr>
              <w:t>注：2期总包</w:t>
            </w:r>
            <w:r>
              <w:rPr>
                <w:rFonts w:hint="eastAsia" w:ascii="Arial" w:hAnsi="Arial" w:cs="Arial"/>
                <w:color w:val="000000"/>
                <w:sz w:val="18"/>
                <w:szCs w:val="18"/>
                <w:lang w:eastAsia="zh-CN"/>
              </w:rPr>
              <w:t>合同未签订</w:t>
            </w:r>
            <w:r>
              <w:rPr>
                <w:rFonts w:hint="eastAsia" w:ascii="Arial" w:hAnsi="Arial" w:cs="Arial"/>
                <w:color w:val="000000"/>
                <w:sz w:val="18"/>
                <w:szCs w:val="18"/>
              </w:rPr>
              <w:t>，</w:t>
            </w:r>
            <w:r>
              <w:rPr>
                <w:rFonts w:hint="eastAsia" w:ascii="Arial" w:hAnsi="Arial" w:cs="Arial"/>
                <w:color w:val="000000"/>
                <w:sz w:val="18"/>
                <w:szCs w:val="18"/>
                <w:lang w:eastAsia="zh-CN"/>
              </w:rPr>
              <w:t>暂</w:t>
            </w:r>
            <w:r>
              <w:rPr>
                <w:rFonts w:hint="eastAsia" w:ascii="Arial" w:hAnsi="Arial" w:cs="Arial"/>
                <w:color w:val="000000"/>
                <w:sz w:val="18"/>
                <w:szCs w:val="18"/>
              </w:rPr>
              <w:t>无施工计划。</w:t>
            </w:r>
          </w:p>
        </w:tc>
      </w:tr>
    </w:tbl>
    <w:p>
      <w:pPr>
        <w:pStyle w:val="3"/>
        <w:rPr>
          <w:rFonts w:ascii="宋体" w:hAnsi="宋体" w:eastAsia="宋体"/>
          <w:sz w:val="21"/>
          <w:szCs w:val="21"/>
        </w:rPr>
      </w:pPr>
      <w:bookmarkStart w:id="10" w:name="_Toc10380"/>
      <w:r>
        <w:rPr>
          <w:rFonts w:hint="eastAsia" w:ascii="宋体" w:hAnsi="宋体" w:eastAsia="宋体"/>
          <w:sz w:val="21"/>
          <w:szCs w:val="21"/>
        </w:rPr>
        <w:t>五、项目合同及成本执行情况</w:t>
      </w:r>
      <w:bookmarkEnd w:id="9"/>
      <w:bookmarkEnd w:id="10"/>
    </w:p>
    <w:p>
      <w:pPr>
        <w:spacing w:line="360" w:lineRule="auto"/>
        <w:ind w:firstLine="420" w:firstLineChars="200"/>
        <w:jc w:val="both"/>
        <w:rPr>
          <w:rFonts w:ascii="Arial" w:hAnsi="Arial" w:cs="Arial"/>
          <w:sz w:val="21"/>
          <w:szCs w:val="21"/>
        </w:rPr>
      </w:pPr>
      <w:r>
        <w:rPr>
          <w:rFonts w:ascii="Arial" w:hAnsi="Arial" w:cs="Arial"/>
          <w:kern w:val="2"/>
          <w:sz w:val="21"/>
          <w:szCs w:val="21"/>
        </w:rPr>
        <w:t>2</w:t>
      </w:r>
      <w:r>
        <w:rPr>
          <w:rFonts w:ascii="Arial" w:hAnsi="Arial" w:cs="Arial"/>
          <w:sz w:val="21"/>
          <w:szCs w:val="21"/>
        </w:rPr>
        <w:t>021年5月，项目公司签订合同</w:t>
      </w:r>
      <w:r>
        <w:rPr>
          <w:rFonts w:hint="eastAsia" w:ascii="Arial" w:hAnsi="Arial" w:cs="Arial"/>
          <w:sz w:val="21"/>
          <w:szCs w:val="21"/>
        </w:rPr>
        <w:t>42</w:t>
      </w:r>
      <w:r>
        <w:rPr>
          <w:rFonts w:ascii="Arial" w:hAnsi="Arial" w:cs="Arial"/>
          <w:sz w:val="21"/>
          <w:szCs w:val="21"/>
        </w:rPr>
        <w:t>份，截至</w:t>
      </w:r>
      <w:r>
        <w:rPr>
          <w:rFonts w:hint="eastAsia" w:ascii="Arial" w:hAnsi="Arial" w:cs="Arial"/>
          <w:sz w:val="21"/>
          <w:szCs w:val="21"/>
        </w:rPr>
        <w:t>2021年6月30日</w:t>
      </w:r>
      <w:r>
        <w:rPr>
          <w:rFonts w:ascii="Arial" w:hAnsi="Arial" w:cs="Arial"/>
          <w:sz w:val="21"/>
          <w:szCs w:val="21"/>
        </w:rPr>
        <w:t>，项目总计已签订合同</w:t>
      </w:r>
      <w:r>
        <w:rPr>
          <w:rFonts w:hint="eastAsia" w:ascii="Arial" w:hAnsi="Arial" w:cs="Arial"/>
          <w:sz w:val="21"/>
          <w:szCs w:val="21"/>
        </w:rPr>
        <w:t>426</w:t>
      </w:r>
      <w:r>
        <w:rPr>
          <w:rFonts w:ascii="Arial" w:hAnsi="Arial" w:cs="Arial"/>
          <w:sz w:val="21"/>
          <w:szCs w:val="21"/>
        </w:rPr>
        <w:t>份，已签订合同总价</w:t>
      </w:r>
      <w:r>
        <w:rPr>
          <w:rFonts w:hint="eastAsia" w:ascii="Arial" w:hAnsi="Arial" w:cs="Arial"/>
          <w:sz w:val="21"/>
          <w:szCs w:val="21"/>
        </w:rPr>
        <w:t xml:space="preserve">212,936.70 </w:t>
      </w:r>
      <w:r>
        <w:rPr>
          <w:rFonts w:ascii="Arial" w:hAnsi="Arial" w:cs="Arial"/>
          <w:sz w:val="21"/>
          <w:szCs w:val="21"/>
        </w:rPr>
        <w:t>万元（已结算合同按照结算价），已支付合同款</w:t>
      </w:r>
      <w:r>
        <w:rPr>
          <w:rFonts w:hint="eastAsia" w:ascii="Arial" w:hAnsi="Arial" w:cs="Arial"/>
          <w:sz w:val="21"/>
          <w:szCs w:val="21"/>
        </w:rPr>
        <w:t xml:space="preserve">171,221.85 </w:t>
      </w:r>
      <w:r>
        <w:rPr>
          <w:rFonts w:ascii="Arial" w:hAnsi="Arial" w:cs="Arial"/>
          <w:sz w:val="21"/>
          <w:szCs w:val="21"/>
        </w:rPr>
        <w:t>万元，合同付款百分比为</w:t>
      </w:r>
      <w:r>
        <w:rPr>
          <w:rFonts w:hint="eastAsia" w:ascii="Arial" w:hAnsi="Arial" w:cs="Arial"/>
          <w:sz w:val="21"/>
          <w:szCs w:val="21"/>
        </w:rPr>
        <w:t>80.41</w:t>
      </w:r>
      <w:r>
        <w:rPr>
          <w:rFonts w:ascii="Arial" w:hAnsi="Arial" w:cs="Arial"/>
          <w:sz w:val="21"/>
          <w:szCs w:val="21"/>
        </w:rPr>
        <w:t>%。</w:t>
      </w:r>
    </w:p>
    <w:p>
      <w:pPr>
        <w:spacing w:line="360" w:lineRule="auto"/>
        <w:ind w:firstLine="420" w:firstLineChars="200"/>
        <w:jc w:val="both"/>
        <w:rPr>
          <w:rFonts w:ascii="Arial" w:hAnsi="Arial" w:cs="Arial"/>
          <w:bCs/>
          <w:sz w:val="21"/>
          <w:szCs w:val="21"/>
        </w:rPr>
      </w:pPr>
      <w:r>
        <w:rPr>
          <w:rFonts w:ascii="Arial" w:hAnsi="Arial" w:cs="Arial"/>
          <w:sz w:val="21"/>
          <w:szCs w:val="21"/>
        </w:rPr>
        <w:t>截至2021年</w:t>
      </w:r>
      <w:r>
        <w:rPr>
          <w:rFonts w:hint="eastAsia" w:ascii="Arial" w:hAnsi="Arial" w:cs="Arial"/>
          <w:sz w:val="21"/>
          <w:szCs w:val="21"/>
        </w:rPr>
        <w:t>6</w:t>
      </w:r>
      <w:r>
        <w:rPr>
          <w:rFonts w:ascii="Arial" w:hAnsi="Arial" w:cs="Arial"/>
          <w:sz w:val="21"/>
          <w:szCs w:val="21"/>
        </w:rPr>
        <w:t>月，项目已支付无合同成本及费用金额</w:t>
      </w:r>
      <w:r>
        <w:rPr>
          <w:rFonts w:hint="eastAsia" w:ascii="Arial" w:hAnsi="Arial" w:cs="Arial"/>
          <w:sz w:val="21"/>
          <w:szCs w:val="21"/>
        </w:rPr>
        <w:t xml:space="preserve">12,376.25 </w:t>
      </w:r>
      <w:r>
        <w:rPr>
          <w:rFonts w:ascii="Arial" w:hAnsi="Arial" w:cs="Arial"/>
          <w:sz w:val="21"/>
          <w:szCs w:val="21"/>
        </w:rPr>
        <w:t>万元，其中</w:t>
      </w:r>
      <w:r>
        <w:rPr>
          <w:rFonts w:hint="eastAsia" w:ascii="Arial" w:hAnsi="Arial" w:cs="Arial"/>
          <w:sz w:val="21"/>
          <w:szCs w:val="21"/>
        </w:rPr>
        <w:t>土地配套费用</w:t>
      </w:r>
      <w:r>
        <w:rPr>
          <w:rFonts w:ascii="Arial" w:hAnsi="Arial" w:cs="Arial"/>
          <w:sz w:val="21"/>
          <w:szCs w:val="21"/>
        </w:rPr>
        <w:t>1</w:t>
      </w:r>
      <w:r>
        <w:rPr>
          <w:rFonts w:hint="eastAsia" w:ascii="Arial" w:hAnsi="Arial" w:cs="Arial"/>
          <w:sz w:val="21"/>
          <w:szCs w:val="21"/>
        </w:rPr>
        <w:t>,</w:t>
      </w:r>
      <w:r>
        <w:rPr>
          <w:rFonts w:ascii="Arial" w:hAnsi="Arial" w:cs="Arial"/>
          <w:sz w:val="21"/>
          <w:szCs w:val="21"/>
        </w:rPr>
        <w:t>373.56万元，前期类费用</w:t>
      </w:r>
      <w:r>
        <w:rPr>
          <w:rFonts w:hint="eastAsia" w:ascii="Arial" w:hAnsi="Arial" w:cs="Arial"/>
          <w:sz w:val="21"/>
          <w:szCs w:val="21"/>
        </w:rPr>
        <w:t>167.48</w:t>
      </w:r>
      <w:r>
        <w:rPr>
          <w:rFonts w:ascii="Arial" w:hAnsi="Arial" w:cs="Arial"/>
          <w:sz w:val="21"/>
          <w:szCs w:val="21"/>
        </w:rPr>
        <w:t>万元，建安费用</w:t>
      </w:r>
      <w:r>
        <w:rPr>
          <w:rFonts w:hint="eastAsia" w:ascii="Arial" w:hAnsi="Arial" w:cs="Arial"/>
          <w:sz w:val="21"/>
          <w:szCs w:val="21"/>
        </w:rPr>
        <w:t>1.64</w:t>
      </w:r>
      <w:r>
        <w:rPr>
          <w:rFonts w:ascii="Arial" w:hAnsi="Arial" w:cs="Arial"/>
          <w:sz w:val="21"/>
          <w:szCs w:val="21"/>
        </w:rPr>
        <w:t>万元，营销类费用</w:t>
      </w:r>
      <w:r>
        <w:rPr>
          <w:rFonts w:hint="eastAsia" w:ascii="Arial" w:hAnsi="Arial" w:cs="Arial"/>
          <w:sz w:val="21"/>
          <w:szCs w:val="21"/>
        </w:rPr>
        <w:t>653.96</w:t>
      </w:r>
      <w:r>
        <w:rPr>
          <w:rFonts w:ascii="Arial" w:hAnsi="Arial" w:cs="Arial"/>
          <w:sz w:val="21"/>
          <w:szCs w:val="21"/>
        </w:rPr>
        <w:t>万元，管理类费用</w:t>
      </w:r>
      <w:r>
        <w:rPr>
          <w:rFonts w:hint="eastAsia" w:ascii="Arial" w:hAnsi="Arial" w:cs="Arial"/>
          <w:sz w:val="21"/>
          <w:szCs w:val="21"/>
        </w:rPr>
        <w:t>2,134.57</w:t>
      </w:r>
      <w:r>
        <w:rPr>
          <w:rFonts w:ascii="Arial" w:hAnsi="Arial" w:cs="Arial"/>
          <w:sz w:val="21"/>
          <w:szCs w:val="21"/>
        </w:rPr>
        <w:t>万元，财务费用</w:t>
      </w:r>
      <w:r>
        <w:rPr>
          <w:rFonts w:hint="eastAsia" w:ascii="Arial" w:hAnsi="Arial" w:cs="Arial"/>
          <w:sz w:val="21"/>
          <w:szCs w:val="21"/>
        </w:rPr>
        <w:t>4,054.33</w:t>
      </w:r>
      <w:r>
        <w:rPr>
          <w:rFonts w:ascii="Arial" w:hAnsi="Arial" w:cs="Arial"/>
          <w:sz w:val="21"/>
          <w:szCs w:val="21"/>
        </w:rPr>
        <w:t>万元，税费</w:t>
      </w:r>
      <w:r>
        <w:rPr>
          <w:rFonts w:hint="eastAsia" w:ascii="Arial" w:hAnsi="Arial" w:cs="Arial"/>
          <w:sz w:val="21"/>
          <w:szCs w:val="21"/>
        </w:rPr>
        <w:t>3,990.69</w:t>
      </w:r>
      <w:r>
        <w:rPr>
          <w:rFonts w:ascii="Arial" w:hAnsi="Arial" w:cs="Arial"/>
          <w:sz w:val="21"/>
          <w:szCs w:val="21"/>
        </w:rPr>
        <w:t>万元。</w:t>
      </w:r>
    </w:p>
    <w:p>
      <w:pPr>
        <w:spacing w:line="360" w:lineRule="auto"/>
        <w:jc w:val="center"/>
        <w:rPr>
          <w:rFonts w:ascii="宋体" w:hAnsi="宋体" w:cs="宋体"/>
          <w:b/>
          <w:bCs/>
          <w:sz w:val="21"/>
          <w:szCs w:val="21"/>
        </w:rPr>
      </w:pPr>
      <w:r>
        <w:rPr>
          <w:rFonts w:hint="eastAsia" w:ascii="宋体" w:hAnsi="宋体" w:cs="宋体"/>
          <w:b/>
          <w:bCs/>
          <w:color w:val="000000"/>
          <w:sz w:val="21"/>
          <w:szCs w:val="21"/>
        </w:rPr>
        <w:t>表五：</w:t>
      </w:r>
      <w:r>
        <w:rPr>
          <w:rFonts w:hint="eastAsia" w:ascii="宋体" w:hAnsi="宋体" w:cs="宋体"/>
          <w:b/>
          <w:bCs/>
          <w:sz w:val="21"/>
          <w:szCs w:val="21"/>
        </w:rPr>
        <w:t>项目成本执行情况</w:t>
      </w:r>
    </w:p>
    <w:tbl>
      <w:tblPr>
        <w:tblStyle w:val="17"/>
        <w:tblW w:w="10041" w:type="dxa"/>
        <w:tblInd w:w="0" w:type="dxa"/>
        <w:tblBorders>
          <w:top w:val="double" w:color="auto" w:sz="6" w:space="0"/>
          <w:left w:val="none" w:color="auto" w:sz="0" w:space="0"/>
          <w:bottom w:val="double" w:color="auto" w:sz="6"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18"/>
        <w:gridCol w:w="1527"/>
        <w:gridCol w:w="1080"/>
        <w:gridCol w:w="1648"/>
        <w:gridCol w:w="1701"/>
        <w:gridCol w:w="1949"/>
        <w:gridCol w:w="1718"/>
      </w:tblGrid>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4" w:hRule="atLeast"/>
          <w:tblHeader/>
        </w:trPr>
        <w:tc>
          <w:tcPr>
            <w:tcW w:w="418" w:type="dxa"/>
            <w:tcBorders>
              <w:top w:val="single" w:color="auto" w:sz="4" w:space="0"/>
              <w:lef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527" w:type="dxa"/>
            <w:tcBorders>
              <w:top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类别</w:t>
            </w:r>
          </w:p>
        </w:tc>
        <w:tc>
          <w:tcPr>
            <w:tcW w:w="1080" w:type="dxa"/>
            <w:tcBorders>
              <w:top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合同份数</w:t>
            </w:r>
          </w:p>
        </w:tc>
        <w:tc>
          <w:tcPr>
            <w:tcW w:w="1648" w:type="dxa"/>
            <w:tcBorders>
              <w:top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目标成本（万元）</w:t>
            </w:r>
          </w:p>
        </w:tc>
        <w:tc>
          <w:tcPr>
            <w:tcW w:w="1701" w:type="dxa"/>
            <w:tcBorders>
              <w:top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已发生成本（合同金额+已发生的无合同成本）</w:t>
            </w:r>
          </w:p>
        </w:tc>
        <w:tc>
          <w:tcPr>
            <w:tcW w:w="1949" w:type="dxa"/>
            <w:tcBorders>
              <w:top w:val="single" w:color="auto" w:sz="4" w:space="0"/>
              <w:right w:val="single" w:color="auto" w:sz="4" w:space="0"/>
            </w:tcBorders>
            <w:shd w:val="clear" w:color="auto" w:fill="auto"/>
            <w:vAlign w:val="center"/>
          </w:tcPr>
          <w:p>
            <w:pPr>
              <w:jc w:val="right"/>
              <w:rPr>
                <w:rFonts w:ascii="Arial" w:hAnsi="Arial" w:cs="Arial"/>
                <w:b/>
                <w:bCs/>
                <w:color w:val="000000"/>
                <w:sz w:val="18"/>
                <w:szCs w:val="18"/>
              </w:rPr>
            </w:pPr>
            <w:r>
              <w:rPr>
                <w:rFonts w:ascii="Arial" w:hAnsi="Arial" w:cs="Arial"/>
                <w:b/>
                <w:bCs/>
                <w:color w:val="000000"/>
                <w:sz w:val="18"/>
                <w:szCs w:val="18"/>
              </w:rPr>
              <w:t>累计付款（万元）</w:t>
            </w:r>
          </w:p>
        </w:tc>
        <w:tc>
          <w:tcPr>
            <w:tcW w:w="1718" w:type="dxa"/>
            <w:tcBorders>
              <w:top w:val="single" w:color="auto" w:sz="4" w:space="0"/>
              <w:right w:val="single" w:color="auto" w:sz="4" w:space="0"/>
            </w:tcBorders>
            <w:vAlign w:val="center"/>
          </w:tcPr>
          <w:p>
            <w:pPr>
              <w:jc w:val="right"/>
              <w:rPr>
                <w:rFonts w:ascii="Arial" w:hAnsi="Arial" w:cs="Arial"/>
                <w:b/>
                <w:bCs/>
                <w:color w:val="000000"/>
                <w:sz w:val="18"/>
                <w:szCs w:val="18"/>
              </w:rPr>
            </w:pPr>
            <w:r>
              <w:rPr>
                <w:rFonts w:ascii="Arial" w:hAnsi="Arial" w:cs="Arial"/>
                <w:b/>
                <w:bCs/>
                <w:color w:val="000000"/>
                <w:sz w:val="18"/>
                <w:szCs w:val="18"/>
              </w:rPr>
              <w:t>成本发生占比（已发生成本/目标成本）</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2"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sz w:val="18"/>
                <w:szCs w:val="18"/>
                <w:lang w:bidi="ar"/>
              </w:rPr>
              <w:t>土地合同</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161,730.33</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161,794.05</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153,773.03</w:t>
            </w:r>
          </w:p>
        </w:tc>
        <w:tc>
          <w:tcPr>
            <w:tcW w:w="1718" w:type="dxa"/>
            <w:tcBorders>
              <w:right w:val="single" w:color="auto" w:sz="4" w:space="0"/>
            </w:tcBorders>
            <w:vAlign w:val="center"/>
          </w:tcPr>
          <w:p>
            <w:pPr>
              <w:jc w:val="right"/>
              <w:textAlignment w:val="center"/>
              <w:rPr>
                <w:rFonts w:ascii="Arial" w:hAnsi="Arial" w:cs="Arial"/>
                <w:b/>
                <w:bCs/>
                <w:color w:val="000000"/>
                <w:sz w:val="18"/>
                <w:szCs w:val="18"/>
              </w:rPr>
            </w:pPr>
            <w:r>
              <w:rPr>
                <w:rFonts w:ascii="Arial" w:hAnsi="Arial" w:cs="Arial"/>
                <w:color w:val="000000"/>
                <w:sz w:val="18"/>
                <w:szCs w:val="18"/>
                <w:lang w:bidi="ar"/>
              </w:rPr>
              <w:t>95.08%</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sz w:val="18"/>
                <w:szCs w:val="18"/>
                <w:lang w:bidi="ar"/>
              </w:rPr>
              <w:t>前期类</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75</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4,968.00</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3,707.72</w:t>
            </w:r>
          </w:p>
        </w:tc>
        <w:tc>
          <w:tcPr>
            <w:tcW w:w="1949" w:type="dxa"/>
            <w:tcBorders>
              <w:right w:val="single" w:color="auto" w:sz="4" w:space="0"/>
            </w:tcBorders>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2,022.12</w:t>
            </w:r>
          </w:p>
        </w:tc>
        <w:tc>
          <w:tcPr>
            <w:tcW w:w="1718" w:type="dxa"/>
            <w:tcBorders>
              <w:right w:val="single" w:color="auto" w:sz="4" w:space="0"/>
            </w:tcBorders>
            <w:vAlign w:val="center"/>
          </w:tcPr>
          <w:p>
            <w:pPr>
              <w:jc w:val="right"/>
              <w:textAlignment w:val="center"/>
              <w:rPr>
                <w:rFonts w:ascii="Arial" w:hAnsi="Arial" w:cs="Arial"/>
                <w:sz w:val="18"/>
                <w:szCs w:val="18"/>
                <w:lang w:bidi="ar"/>
              </w:rPr>
            </w:pPr>
            <w:r>
              <w:rPr>
                <w:rFonts w:ascii="Arial" w:hAnsi="Arial" w:cs="Arial"/>
                <w:color w:val="000000"/>
                <w:sz w:val="18"/>
                <w:szCs w:val="18"/>
                <w:lang w:bidi="ar"/>
              </w:rPr>
              <w:t>40.70%</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sz w:val="18"/>
                <w:szCs w:val="18"/>
                <w:lang w:bidi="ar"/>
              </w:rPr>
              <w:t>建安费用</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107</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120,543.00</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46,067.97</w:t>
            </w:r>
          </w:p>
        </w:tc>
        <w:tc>
          <w:tcPr>
            <w:tcW w:w="1949" w:type="dxa"/>
            <w:tcBorders>
              <w:right w:val="single" w:color="auto" w:sz="4" w:space="0"/>
            </w:tcBorders>
            <w:shd w:val="clear" w:color="auto" w:fill="auto"/>
            <w:vAlign w:val="center"/>
          </w:tcPr>
          <w:p>
            <w:pPr>
              <w:jc w:val="right"/>
              <w:textAlignment w:val="center"/>
              <w:rPr>
                <w:rFonts w:ascii="Arial" w:hAnsi="Arial" w:cs="Arial"/>
                <w:sz w:val="18"/>
                <w:szCs w:val="18"/>
              </w:rPr>
            </w:pPr>
            <w:r>
              <w:rPr>
                <w:rFonts w:ascii="Arial" w:hAnsi="Arial" w:cs="Arial"/>
                <w:color w:val="000000"/>
                <w:sz w:val="18"/>
                <w:szCs w:val="18"/>
                <w:lang w:bidi="ar"/>
              </w:rPr>
              <w:t>14,637.12</w:t>
            </w:r>
          </w:p>
        </w:tc>
        <w:tc>
          <w:tcPr>
            <w:tcW w:w="1718" w:type="dxa"/>
            <w:tcBorders>
              <w:right w:val="single" w:color="auto" w:sz="4" w:space="0"/>
            </w:tcBorders>
            <w:vAlign w:val="center"/>
          </w:tcPr>
          <w:p>
            <w:pPr>
              <w:jc w:val="right"/>
              <w:textAlignment w:val="center"/>
              <w:rPr>
                <w:rFonts w:ascii="Arial" w:hAnsi="Arial" w:cs="Arial"/>
                <w:sz w:val="18"/>
                <w:szCs w:val="18"/>
                <w:lang w:bidi="ar"/>
              </w:rPr>
            </w:pPr>
            <w:r>
              <w:rPr>
                <w:rFonts w:ascii="Arial" w:hAnsi="Arial" w:cs="Arial"/>
                <w:color w:val="000000"/>
                <w:sz w:val="18"/>
                <w:szCs w:val="18"/>
                <w:lang w:bidi="ar"/>
              </w:rPr>
              <w:t>12.14%</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4</w:t>
            </w:r>
          </w:p>
        </w:tc>
        <w:tc>
          <w:tcPr>
            <w:tcW w:w="1527" w:type="dxa"/>
            <w:shd w:val="clear" w:color="auto" w:fill="auto"/>
            <w:vAlign w:val="center"/>
          </w:tcPr>
          <w:p>
            <w:pPr>
              <w:jc w:val="center"/>
              <w:textAlignment w:val="center"/>
              <w:rPr>
                <w:rFonts w:ascii="Arial" w:hAnsi="Arial" w:cs="Arial"/>
                <w:b/>
                <w:bCs/>
                <w:sz w:val="18"/>
                <w:szCs w:val="18"/>
                <w:lang w:bidi="ar"/>
              </w:rPr>
            </w:pPr>
            <w:r>
              <w:rPr>
                <w:rFonts w:ascii="Arial" w:hAnsi="Arial" w:cs="Arial"/>
                <w:b/>
                <w:bCs/>
                <w:sz w:val="18"/>
                <w:szCs w:val="18"/>
                <w:lang w:bidi="ar"/>
              </w:rPr>
              <w:t>开发成本小计</w:t>
            </w:r>
          </w:p>
        </w:tc>
        <w:tc>
          <w:tcPr>
            <w:tcW w:w="1080" w:type="dxa"/>
            <w:vAlign w:val="center"/>
          </w:tcPr>
          <w:p>
            <w:pPr>
              <w:jc w:val="center"/>
              <w:rPr>
                <w:rFonts w:ascii="Arial" w:hAnsi="Arial" w:cs="Arial"/>
                <w:b/>
                <w:bCs/>
                <w:sz w:val="18"/>
                <w:szCs w:val="18"/>
              </w:rPr>
            </w:pPr>
          </w:p>
        </w:tc>
        <w:tc>
          <w:tcPr>
            <w:tcW w:w="1648" w:type="dxa"/>
            <w:shd w:val="clear" w:color="auto" w:fill="auto"/>
            <w:vAlign w:val="center"/>
          </w:tcPr>
          <w:p>
            <w:pPr>
              <w:jc w:val="right"/>
              <w:textAlignment w:val="center"/>
              <w:rPr>
                <w:rFonts w:ascii="Arial" w:hAnsi="Arial" w:cs="Arial"/>
                <w:b/>
                <w:bCs/>
                <w:sz w:val="18"/>
                <w:szCs w:val="18"/>
              </w:rPr>
            </w:pPr>
            <w:r>
              <w:rPr>
                <w:rFonts w:ascii="Arial" w:hAnsi="Arial" w:cs="Arial"/>
                <w:b/>
                <w:bCs/>
                <w:color w:val="000000"/>
                <w:sz w:val="18"/>
                <w:szCs w:val="18"/>
                <w:lang w:bidi="ar"/>
              </w:rPr>
              <w:t>287,241.33</w:t>
            </w:r>
          </w:p>
        </w:tc>
        <w:tc>
          <w:tcPr>
            <w:tcW w:w="1701" w:type="dxa"/>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211,569.74</w:t>
            </w:r>
          </w:p>
        </w:tc>
        <w:tc>
          <w:tcPr>
            <w:tcW w:w="1949" w:type="dxa"/>
            <w:tcBorders>
              <w:right w:val="single" w:color="auto"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170,432.26</w:t>
            </w:r>
          </w:p>
        </w:tc>
        <w:tc>
          <w:tcPr>
            <w:tcW w:w="1718" w:type="dxa"/>
            <w:tcBorders>
              <w:right w:val="single" w:color="auto" w:sz="4" w:space="0"/>
            </w:tcBorders>
            <w:vAlign w:val="center"/>
          </w:tcPr>
          <w:p>
            <w:pPr>
              <w:jc w:val="right"/>
              <w:textAlignment w:val="center"/>
              <w:rPr>
                <w:rFonts w:ascii="Arial" w:hAnsi="Arial" w:cs="Arial"/>
                <w:b/>
                <w:bCs/>
                <w:sz w:val="18"/>
                <w:szCs w:val="18"/>
              </w:rPr>
            </w:pPr>
            <w:r>
              <w:rPr>
                <w:rFonts w:ascii="Arial" w:hAnsi="Arial" w:cs="Arial"/>
                <w:b/>
                <w:bCs/>
                <w:color w:val="000000"/>
                <w:sz w:val="18"/>
                <w:szCs w:val="18"/>
                <w:lang w:bidi="ar"/>
              </w:rPr>
              <w:t>59.33%</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营销类</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166</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9,403.93</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2,112.94</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1,689.72</w:t>
            </w:r>
          </w:p>
        </w:tc>
        <w:tc>
          <w:tcPr>
            <w:tcW w:w="1718" w:type="dxa"/>
            <w:tcBorders>
              <w:right w:val="single" w:color="auto" w:sz="4" w:space="0"/>
            </w:tcBorders>
            <w:vAlign w:val="center"/>
          </w:tcPr>
          <w:p>
            <w:pPr>
              <w:jc w:val="right"/>
              <w:textAlignment w:val="center"/>
              <w:rPr>
                <w:rFonts w:ascii="Arial" w:hAnsi="Arial" w:cs="Arial"/>
                <w:sz w:val="18"/>
                <w:szCs w:val="18"/>
              </w:rPr>
            </w:pPr>
            <w:r>
              <w:rPr>
                <w:rFonts w:ascii="Arial" w:hAnsi="Arial" w:cs="Arial"/>
                <w:color w:val="000000"/>
                <w:sz w:val="18"/>
                <w:szCs w:val="18"/>
                <w:lang w:bidi="ar"/>
              </w:rPr>
              <w:t>17.97%</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管理类</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9,403.93</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2,399.58</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2,246.93</w:t>
            </w:r>
          </w:p>
        </w:tc>
        <w:tc>
          <w:tcPr>
            <w:tcW w:w="1718" w:type="dxa"/>
            <w:tcBorders>
              <w:right w:val="single" w:color="auto" w:sz="4" w:space="0"/>
            </w:tcBorders>
            <w:vAlign w:val="center"/>
          </w:tcPr>
          <w:p>
            <w:pPr>
              <w:jc w:val="right"/>
              <w:textAlignment w:val="center"/>
              <w:rPr>
                <w:rFonts w:ascii="Arial" w:hAnsi="Arial" w:cs="Arial"/>
                <w:sz w:val="18"/>
                <w:szCs w:val="18"/>
                <w:lang w:bidi="ar"/>
              </w:rPr>
            </w:pPr>
            <w:r>
              <w:rPr>
                <w:rFonts w:ascii="Arial" w:hAnsi="Arial" w:cs="Arial"/>
                <w:color w:val="000000"/>
                <w:sz w:val="18"/>
                <w:szCs w:val="18"/>
                <w:lang w:bidi="ar"/>
              </w:rPr>
              <w:t>23.89%</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财务及融资类</w:t>
            </w:r>
          </w:p>
        </w:tc>
        <w:tc>
          <w:tcPr>
            <w:tcW w:w="1080"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164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11,205.00</w:t>
            </w: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5,240.00</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5,238.50</w:t>
            </w:r>
          </w:p>
        </w:tc>
        <w:tc>
          <w:tcPr>
            <w:tcW w:w="1718" w:type="dxa"/>
            <w:tcBorders>
              <w:right w:val="single" w:color="auto" w:sz="4" w:space="0"/>
            </w:tcBorders>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46.75%</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2"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8</w:t>
            </w:r>
          </w:p>
        </w:tc>
        <w:tc>
          <w:tcPr>
            <w:tcW w:w="1527" w:type="dxa"/>
            <w:shd w:val="clear" w:color="auto" w:fill="auto"/>
            <w:vAlign w:val="center"/>
          </w:tcPr>
          <w:p>
            <w:pPr>
              <w:jc w:val="center"/>
              <w:textAlignment w:val="center"/>
              <w:rPr>
                <w:rFonts w:ascii="Arial" w:hAnsi="Arial" w:cs="Arial"/>
                <w:sz w:val="18"/>
                <w:szCs w:val="18"/>
                <w:lang w:bidi="ar"/>
              </w:rPr>
            </w:pPr>
            <w:r>
              <w:rPr>
                <w:rFonts w:ascii="Arial" w:hAnsi="Arial" w:cs="Arial"/>
                <w:color w:val="000000"/>
                <w:sz w:val="18"/>
                <w:szCs w:val="18"/>
                <w:lang w:bidi="ar"/>
              </w:rPr>
              <w:t>税费</w:t>
            </w:r>
          </w:p>
        </w:tc>
        <w:tc>
          <w:tcPr>
            <w:tcW w:w="1080" w:type="dxa"/>
            <w:vAlign w:val="center"/>
          </w:tcPr>
          <w:p>
            <w:pPr>
              <w:jc w:val="center"/>
              <w:textAlignment w:val="center"/>
              <w:rPr>
                <w:rFonts w:ascii="Arial" w:hAnsi="Arial" w:cs="Arial"/>
                <w:sz w:val="18"/>
                <w:szCs w:val="18"/>
              </w:rPr>
            </w:pPr>
            <w:r>
              <w:rPr>
                <w:rFonts w:ascii="Arial" w:hAnsi="Arial" w:cs="Arial"/>
                <w:color w:val="000000"/>
                <w:sz w:val="18"/>
                <w:szCs w:val="18"/>
                <w:lang w:bidi="ar"/>
              </w:rPr>
              <w:t>-</w:t>
            </w:r>
          </w:p>
        </w:tc>
        <w:tc>
          <w:tcPr>
            <w:tcW w:w="1648"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26,265.63</w:t>
            </w:r>
          </w:p>
        </w:tc>
        <w:tc>
          <w:tcPr>
            <w:tcW w:w="1701"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3,990.69</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3,990.69</w:t>
            </w:r>
          </w:p>
        </w:tc>
        <w:tc>
          <w:tcPr>
            <w:tcW w:w="1718" w:type="dxa"/>
            <w:tcBorders>
              <w:right w:val="single" w:color="auto" w:sz="4" w:space="0"/>
            </w:tcBorders>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15.19%</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2" w:hRule="atLeast"/>
        </w:trPr>
        <w:tc>
          <w:tcPr>
            <w:tcW w:w="418" w:type="dxa"/>
            <w:tcBorders>
              <w:lef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w:t>
            </w:r>
          </w:p>
        </w:tc>
        <w:tc>
          <w:tcPr>
            <w:tcW w:w="1527"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其他</w:t>
            </w:r>
          </w:p>
        </w:tc>
        <w:tc>
          <w:tcPr>
            <w:tcW w:w="1080" w:type="dxa"/>
            <w:vAlign w:val="center"/>
          </w:tcPr>
          <w:p>
            <w:pPr>
              <w:jc w:val="center"/>
              <w:textAlignment w:val="center"/>
              <w:rPr>
                <w:rFonts w:ascii="Arial" w:hAnsi="Arial" w:cs="Arial"/>
                <w:color w:val="000000"/>
                <w:sz w:val="18"/>
                <w:szCs w:val="18"/>
              </w:rPr>
            </w:pPr>
            <w:bookmarkStart w:id="38" w:name="_GoBack"/>
            <w:bookmarkEnd w:id="38"/>
            <w:r>
              <w:rPr>
                <w:rFonts w:ascii="Arial" w:hAnsi="Arial" w:cs="Arial"/>
                <w:color w:val="000000"/>
                <w:sz w:val="18"/>
                <w:szCs w:val="18"/>
                <w:lang w:bidi="ar"/>
              </w:rPr>
              <w:t>4</w:t>
            </w:r>
          </w:p>
        </w:tc>
        <w:tc>
          <w:tcPr>
            <w:tcW w:w="1648" w:type="dxa"/>
            <w:shd w:val="clear" w:color="auto" w:fill="auto"/>
            <w:vAlign w:val="center"/>
          </w:tcPr>
          <w:p>
            <w:pPr>
              <w:jc w:val="right"/>
              <w:rPr>
                <w:rFonts w:ascii="Arial" w:hAnsi="Arial" w:cs="Arial"/>
                <w:color w:val="000000"/>
                <w:sz w:val="18"/>
                <w:szCs w:val="18"/>
              </w:rPr>
            </w:pPr>
          </w:p>
        </w:tc>
        <w:tc>
          <w:tcPr>
            <w:tcW w:w="1701"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0.00</w:t>
            </w:r>
          </w:p>
        </w:tc>
        <w:tc>
          <w:tcPr>
            <w:tcW w:w="1949"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0.00</w:t>
            </w:r>
          </w:p>
        </w:tc>
        <w:tc>
          <w:tcPr>
            <w:tcW w:w="1718" w:type="dxa"/>
            <w:tcBorders>
              <w:right w:val="single" w:color="auto" w:sz="4" w:space="0"/>
            </w:tcBorders>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3" w:hRule="atLeast"/>
        </w:trPr>
        <w:tc>
          <w:tcPr>
            <w:tcW w:w="418" w:type="dxa"/>
            <w:tcBorders>
              <w:left w:val="single" w:color="auto" w:sz="4" w:space="0"/>
              <w:bottom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w:t>
            </w:r>
          </w:p>
        </w:tc>
        <w:tc>
          <w:tcPr>
            <w:tcW w:w="1527" w:type="dxa"/>
            <w:tcBorders>
              <w:bottom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b/>
                <w:sz w:val="18"/>
                <w:szCs w:val="18"/>
                <w:lang w:bidi="ar"/>
              </w:rPr>
              <w:t>合计</w:t>
            </w:r>
          </w:p>
        </w:tc>
        <w:tc>
          <w:tcPr>
            <w:tcW w:w="1080" w:type="dxa"/>
            <w:tcBorders>
              <w:bottom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426</w:t>
            </w:r>
          </w:p>
        </w:tc>
        <w:tc>
          <w:tcPr>
            <w:tcW w:w="1648" w:type="dxa"/>
            <w:tcBorders>
              <w:bottom w:val="single" w:color="auto"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343,519.82</w:t>
            </w:r>
          </w:p>
        </w:tc>
        <w:tc>
          <w:tcPr>
            <w:tcW w:w="1701" w:type="dxa"/>
            <w:tcBorders>
              <w:bottom w:val="single" w:color="auto"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225,312.95</w:t>
            </w:r>
          </w:p>
        </w:tc>
        <w:tc>
          <w:tcPr>
            <w:tcW w:w="1949" w:type="dxa"/>
            <w:tcBorders>
              <w:bottom w:val="single" w:color="auto" w:sz="4" w:space="0"/>
              <w:right w:val="single" w:color="auto"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183,598.10</w:t>
            </w:r>
          </w:p>
        </w:tc>
        <w:tc>
          <w:tcPr>
            <w:tcW w:w="1718" w:type="dxa"/>
            <w:tcBorders>
              <w:bottom w:val="single" w:color="auto" w:sz="4" w:space="0"/>
              <w:right w:val="single" w:color="auto" w:sz="4" w:space="0"/>
            </w:tcBorders>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53.45%</w:t>
            </w:r>
          </w:p>
        </w:tc>
      </w:tr>
    </w:tbl>
    <w:p>
      <w:pPr>
        <w:jc w:val="center"/>
        <w:rPr>
          <w:rFonts w:ascii="宋体" w:hAnsi="宋体" w:cs="宋体"/>
          <w:b/>
          <w:bCs/>
          <w:sz w:val="21"/>
          <w:szCs w:val="21"/>
        </w:rPr>
      </w:pPr>
    </w:p>
    <w:p>
      <w:pPr>
        <w:rPr>
          <w:rFonts w:ascii="宋体" w:hAnsi="宋体" w:cs="宋体"/>
          <w:bCs/>
          <w:sz w:val="21"/>
          <w:szCs w:val="21"/>
        </w:rPr>
      </w:pPr>
    </w:p>
    <w:p>
      <w:pPr>
        <w:pStyle w:val="3"/>
        <w:rPr>
          <w:rFonts w:ascii="宋体" w:hAnsi="宋体" w:eastAsia="宋体"/>
          <w:sz w:val="21"/>
          <w:szCs w:val="21"/>
        </w:rPr>
      </w:pPr>
      <w:bookmarkStart w:id="11" w:name="_Toc32050"/>
      <w:bookmarkStart w:id="12" w:name="_Toc30483"/>
      <w:r>
        <w:rPr>
          <w:rFonts w:hint="eastAsia" w:ascii="宋体" w:hAnsi="宋体" w:eastAsia="宋体"/>
          <w:sz w:val="21"/>
          <w:szCs w:val="21"/>
        </w:rPr>
        <w:t>六、项目销售情况统计</w:t>
      </w:r>
      <w:bookmarkEnd w:id="11"/>
      <w:bookmarkEnd w:id="12"/>
    </w:p>
    <w:p>
      <w:pPr>
        <w:pStyle w:val="6"/>
        <w:rPr>
          <w:rStyle w:val="23"/>
        </w:rPr>
      </w:pPr>
      <w:r>
        <w:rPr>
          <w:rFonts w:hint="eastAsia" w:ascii="宋体" w:hAnsi="宋体" w:cs="宋体"/>
          <w:b/>
          <w:sz w:val="21"/>
          <w:szCs w:val="21"/>
        </w:rPr>
        <w:t>6</w:t>
      </w:r>
      <w:r>
        <w:rPr>
          <w:rFonts w:ascii="宋体" w:hAnsi="宋体" w:cs="宋体"/>
          <w:b/>
          <w:sz w:val="21"/>
          <w:szCs w:val="21"/>
        </w:rPr>
        <w:t>.1</w:t>
      </w:r>
      <w:r>
        <w:rPr>
          <w:rFonts w:hint="eastAsia" w:ascii="宋体" w:hAnsi="宋体" w:cs="宋体"/>
          <w:b/>
          <w:sz w:val="21"/>
          <w:szCs w:val="21"/>
        </w:rPr>
        <w:t>项目推盘情况</w:t>
      </w:r>
    </w:p>
    <w:p>
      <w:pPr>
        <w:spacing w:line="360" w:lineRule="auto"/>
        <w:ind w:firstLine="420" w:firstLineChars="200"/>
        <w:rPr>
          <w:rFonts w:ascii="Arial" w:hAnsi="Arial" w:cs="Arial"/>
          <w:kern w:val="2"/>
          <w:sz w:val="21"/>
          <w:szCs w:val="21"/>
        </w:rPr>
      </w:pPr>
      <w:r>
        <w:rPr>
          <w:rFonts w:hint="eastAsia" w:ascii="Arial" w:hAnsi="Arial" w:cs="Arial"/>
          <w:kern w:val="2"/>
          <w:sz w:val="21"/>
          <w:szCs w:val="21"/>
        </w:rPr>
        <w:t>项目于2020年12月27日首次开盘推出住宅306套，可售面积42,816.66㎡。于2021年4月17日二次开盘推出住宅136套，可售面积为20,810.76平方米。于2021年5月26日取得2#、3#、4#、6#楼预售证，预售住宅324套，预售面积46,268.36平方米，2021年5月29日加推4#、6#楼，172套，面积24,609.12㎡，于2021年6月19日加推3#楼，面积10,829.62㎡。截至报告提交日，已取得预售证房源766套，面积为109,895.78平方米，已推出房源690套，面积99,066.16㎡。</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8"/>
        <w:gridCol w:w="1221"/>
        <w:gridCol w:w="1571"/>
        <w:gridCol w:w="1832"/>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968" w:type="dxa"/>
            <w:vAlign w:val="center"/>
          </w:tcPr>
          <w:p>
            <w:pPr>
              <w:pStyle w:val="2"/>
              <w:ind w:firstLine="0" w:firstLineChars="0"/>
              <w:jc w:val="center"/>
              <w:rPr>
                <w:rFonts w:ascii="Arial" w:hAnsi="Arial" w:cs="Arial"/>
                <w:b/>
                <w:bCs/>
                <w:sz w:val="18"/>
                <w:szCs w:val="18"/>
              </w:rPr>
            </w:pPr>
            <w:r>
              <w:rPr>
                <w:rFonts w:ascii="Arial" w:hAnsi="Arial" w:cs="Arial"/>
                <w:b/>
                <w:bCs/>
                <w:sz w:val="18"/>
                <w:szCs w:val="18"/>
              </w:rPr>
              <w:t>开盘/加推时间</w:t>
            </w:r>
          </w:p>
        </w:tc>
        <w:tc>
          <w:tcPr>
            <w:tcW w:w="1221" w:type="dxa"/>
            <w:vAlign w:val="center"/>
          </w:tcPr>
          <w:p>
            <w:pPr>
              <w:pStyle w:val="2"/>
              <w:ind w:firstLine="361"/>
              <w:jc w:val="both"/>
              <w:rPr>
                <w:rFonts w:ascii="Arial" w:hAnsi="Arial" w:cs="Arial"/>
                <w:b/>
                <w:bCs/>
                <w:sz w:val="18"/>
                <w:szCs w:val="18"/>
              </w:rPr>
            </w:pPr>
            <w:r>
              <w:rPr>
                <w:rFonts w:ascii="Arial" w:hAnsi="Arial" w:cs="Arial"/>
                <w:b/>
                <w:bCs/>
                <w:sz w:val="18"/>
                <w:szCs w:val="18"/>
              </w:rPr>
              <w:t>产品</w:t>
            </w:r>
          </w:p>
        </w:tc>
        <w:tc>
          <w:tcPr>
            <w:tcW w:w="1571" w:type="dxa"/>
            <w:vAlign w:val="center"/>
          </w:tcPr>
          <w:p>
            <w:pPr>
              <w:pStyle w:val="2"/>
              <w:ind w:firstLine="0" w:firstLineChars="0"/>
              <w:jc w:val="center"/>
              <w:rPr>
                <w:rFonts w:ascii="Arial" w:hAnsi="Arial" w:cs="Arial"/>
                <w:b/>
                <w:bCs/>
                <w:sz w:val="18"/>
                <w:szCs w:val="18"/>
              </w:rPr>
            </w:pPr>
            <w:r>
              <w:rPr>
                <w:rFonts w:ascii="Arial" w:hAnsi="Arial" w:cs="Arial"/>
                <w:b/>
                <w:bCs/>
                <w:sz w:val="18"/>
                <w:szCs w:val="18"/>
              </w:rPr>
              <w:t>推出楼栋</w:t>
            </w:r>
          </w:p>
        </w:tc>
        <w:tc>
          <w:tcPr>
            <w:tcW w:w="1832" w:type="dxa"/>
            <w:vAlign w:val="center"/>
          </w:tcPr>
          <w:p>
            <w:pPr>
              <w:pStyle w:val="2"/>
              <w:ind w:firstLine="0" w:firstLineChars="0"/>
              <w:jc w:val="center"/>
              <w:rPr>
                <w:rFonts w:ascii="Arial" w:hAnsi="Arial" w:cs="Arial"/>
                <w:b/>
                <w:bCs/>
                <w:sz w:val="18"/>
                <w:szCs w:val="18"/>
              </w:rPr>
            </w:pPr>
            <w:r>
              <w:rPr>
                <w:rFonts w:ascii="Arial" w:hAnsi="Arial" w:cs="Arial"/>
                <w:b/>
                <w:bCs/>
                <w:sz w:val="18"/>
                <w:szCs w:val="18"/>
              </w:rPr>
              <w:t>推出面积</w:t>
            </w:r>
            <w:r>
              <w:rPr>
                <w:rFonts w:hint="eastAsia" w:ascii="Arial" w:hAnsi="Arial" w:cs="Arial"/>
                <w:b/>
                <w:bCs/>
                <w:sz w:val="18"/>
                <w:szCs w:val="18"/>
              </w:rPr>
              <w:t>（平方米）</w:t>
            </w:r>
          </w:p>
        </w:tc>
        <w:tc>
          <w:tcPr>
            <w:tcW w:w="1444" w:type="dxa"/>
            <w:vAlign w:val="center"/>
          </w:tcPr>
          <w:p>
            <w:pPr>
              <w:pStyle w:val="2"/>
              <w:ind w:firstLine="0" w:firstLineChars="0"/>
              <w:jc w:val="center"/>
              <w:rPr>
                <w:rFonts w:ascii="Arial" w:hAnsi="Arial" w:cs="Arial"/>
                <w:b/>
                <w:bCs/>
                <w:sz w:val="18"/>
                <w:szCs w:val="18"/>
              </w:rPr>
            </w:pPr>
            <w:r>
              <w:rPr>
                <w:rFonts w:ascii="Arial" w:hAnsi="Arial" w:cs="Arial"/>
                <w:b/>
                <w:bCs/>
                <w:sz w:val="18"/>
                <w:szCs w:val="18"/>
              </w:rPr>
              <w:t>推出套数</w:t>
            </w:r>
            <w:r>
              <w:rPr>
                <w:rFonts w:hint="eastAsia" w:ascii="Arial" w:hAnsi="Arial" w:cs="Arial"/>
                <w:b/>
                <w:bCs/>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968" w:type="dxa"/>
            <w:vAlign w:val="center"/>
          </w:tcPr>
          <w:p>
            <w:pPr>
              <w:pStyle w:val="2"/>
              <w:ind w:firstLine="0" w:firstLineChars="0"/>
              <w:jc w:val="center"/>
              <w:rPr>
                <w:rFonts w:ascii="Arial" w:hAnsi="Arial" w:cs="Arial"/>
                <w:sz w:val="18"/>
                <w:szCs w:val="18"/>
              </w:rPr>
            </w:pPr>
            <w:r>
              <w:rPr>
                <w:rFonts w:ascii="Arial" w:hAnsi="Arial" w:cs="Arial"/>
                <w:sz w:val="18"/>
                <w:szCs w:val="18"/>
              </w:rPr>
              <w:t>2020/12/27</w:t>
            </w:r>
          </w:p>
        </w:tc>
        <w:tc>
          <w:tcPr>
            <w:tcW w:w="1221" w:type="dxa"/>
            <w:vAlign w:val="center"/>
          </w:tcPr>
          <w:p>
            <w:pPr>
              <w:pStyle w:val="2"/>
              <w:pBdr>
                <w:top w:val="none" w:color="auto" w:sz="0" w:space="0"/>
                <w:left w:val="none" w:color="auto" w:sz="0" w:space="0"/>
                <w:bottom w:val="none" w:color="auto" w:sz="0" w:space="0"/>
                <w:right w:val="none" w:color="auto" w:sz="0" w:space="0"/>
              </w:pBdr>
              <w:shd w:val="clear" w:color="auto" w:fill="auto"/>
              <w:spacing w:before="0" w:beforeAutospacing="0" w:after="0" w:afterAutospacing="0"/>
              <w:ind w:firstLine="360"/>
              <w:jc w:val="both"/>
              <w:textAlignment w:val="auto"/>
              <w:rPr>
                <w:rFonts w:ascii="Arial" w:hAnsi="Arial" w:cs="Arial"/>
                <w:color w:val="000000"/>
                <w:sz w:val="18"/>
                <w:szCs w:val="18"/>
              </w:rPr>
            </w:pPr>
            <w:r>
              <w:rPr>
                <w:rFonts w:ascii="Arial" w:hAnsi="Arial" w:cs="Arial"/>
                <w:sz w:val="18"/>
                <w:szCs w:val="18"/>
              </w:rPr>
              <w:t>住宅</w:t>
            </w:r>
          </w:p>
        </w:tc>
        <w:tc>
          <w:tcPr>
            <w:tcW w:w="1571" w:type="dxa"/>
            <w:vAlign w:val="center"/>
          </w:tcPr>
          <w:p>
            <w:pPr>
              <w:pStyle w:val="2"/>
              <w:ind w:firstLine="0" w:firstLineChars="0"/>
              <w:jc w:val="center"/>
              <w:rPr>
                <w:rFonts w:ascii="Arial" w:hAnsi="Arial" w:cs="Arial"/>
                <w:sz w:val="18"/>
                <w:szCs w:val="18"/>
              </w:rPr>
            </w:pPr>
            <w:r>
              <w:rPr>
                <w:rFonts w:ascii="Arial" w:hAnsi="Arial" w:cs="Arial"/>
                <w:sz w:val="18"/>
                <w:szCs w:val="18"/>
              </w:rPr>
              <w:t>8#9#10#11#</w:t>
            </w:r>
          </w:p>
        </w:tc>
        <w:tc>
          <w:tcPr>
            <w:tcW w:w="1832" w:type="dxa"/>
            <w:vAlign w:val="center"/>
          </w:tcPr>
          <w:p>
            <w:pPr>
              <w:pStyle w:val="2"/>
              <w:pBdr>
                <w:top w:val="none" w:color="auto" w:sz="0" w:space="0"/>
                <w:left w:val="none" w:color="auto" w:sz="0" w:space="0"/>
                <w:bottom w:val="none" w:color="auto" w:sz="0" w:space="0"/>
                <w:right w:val="none" w:color="auto" w:sz="0" w:space="0"/>
              </w:pBdr>
              <w:shd w:val="clear" w:color="auto" w:fill="auto"/>
              <w:spacing w:before="0" w:beforeAutospacing="0" w:after="0" w:afterAutospacing="0"/>
              <w:ind w:firstLine="0" w:firstLineChars="0"/>
              <w:jc w:val="right"/>
              <w:textAlignment w:val="auto"/>
              <w:rPr>
                <w:rFonts w:ascii="Arial" w:hAnsi="Arial" w:cs="Arial"/>
                <w:color w:val="000000"/>
                <w:sz w:val="18"/>
                <w:szCs w:val="18"/>
              </w:rPr>
            </w:pPr>
            <w:r>
              <w:rPr>
                <w:rFonts w:ascii="Arial" w:hAnsi="Arial" w:cs="Arial"/>
                <w:sz w:val="18"/>
                <w:szCs w:val="18"/>
              </w:rPr>
              <w:t>42,816.66</w:t>
            </w:r>
          </w:p>
        </w:tc>
        <w:tc>
          <w:tcPr>
            <w:tcW w:w="1444" w:type="dxa"/>
            <w:vAlign w:val="center"/>
          </w:tcPr>
          <w:p>
            <w:pPr>
              <w:pStyle w:val="2"/>
              <w:ind w:firstLine="0" w:firstLineChars="0"/>
              <w:jc w:val="center"/>
              <w:rPr>
                <w:rFonts w:ascii="Arial" w:hAnsi="Arial" w:cs="Arial"/>
                <w:sz w:val="18"/>
                <w:szCs w:val="18"/>
              </w:rPr>
            </w:pPr>
            <w:r>
              <w:rPr>
                <w:rFonts w:ascii="Arial" w:hAnsi="Arial" w:cs="Arial"/>
                <w:sz w:val="18"/>
                <w:szCs w:val="18"/>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968" w:type="dxa"/>
            <w:vAlign w:val="center"/>
          </w:tcPr>
          <w:p>
            <w:pPr>
              <w:pStyle w:val="2"/>
              <w:ind w:firstLine="0" w:firstLineChars="0"/>
              <w:jc w:val="center"/>
              <w:rPr>
                <w:rFonts w:ascii="Arial" w:hAnsi="Arial" w:cs="Arial"/>
                <w:sz w:val="18"/>
                <w:szCs w:val="18"/>
              </w:rPr>
            </w:pPr>
            <w:r>
              <w:rPr>
                <w:rFonts w:ascii="Arial" w:hAnsi="Arial" w:cs="Arial"/>
                <w:sz w:val="18"/>
                <w:szCs w:val="18"/>
              </w:rPr>
              <w:t>2021/4/17</w:t>
            </w:r>
          </w:p>
        </w:tc>
        <w:tc>
          <w:tcPr>
            <w:tcW w:w="1221" w:type="dxa"/>
            <w:vAlign w:val="center"/>
          </w:tcPr>
          <w:p>
            <w:pPr>
              <w:pStyle w:val="2"/>
              <w:pBdr>
                <w:top w:val="none" w:color="auto" w:sz="0" w:space="0"/>
                <w:left w:val="none" w:color="auto" w:sz="0" w:space="0"/>
                <w:bottom w:val="none" w:color="auto" w:sz="0" w:space="0"/>
                <w:right w:val="none" w:color="auto" w:sz="0" w:space="0"/>
              </w:pBdr>
              <w:shd w:val="clear" w:color="auto" w:fill="auto"/>
              <w:spacing w:before="0" w:beforeAutospacing="0" w:after="0" w:afterAutospacing="0"/>
              <w:ind w:firstLine="360"/>
              <w:jc w:val="both"/>
              <w:textAlignment w:val="auto"/>
              <w:rPr>
                <w:rFonts w:ascii="Arial" w:hAnsi="Arial" w:cs="Arial"/>
                <w:color w:val="000000"/>
                <w:sz w:val="18"/>
                <w:szCs w:val="18"/>
              </w:rPr>
            </w:pPr>
            <w:r>
              <w:rPr>
                <w:rFonts w:ascii="Arial" w:hAnsi="Arial" w:cs="Arial"/>
                <w:sz w:val="18"/>
                <w:szCs w:val="18"/>
              </w:rPr>
              <w:t>住宅</w:t>
            </w:r>
          </w:p>
        </w:tc>
        <w:tc>
          <w:tcPr>
            <w:tcW w:w="1571" w:type="dxa"/>
            <w:vAlign w:val="center"/>
          </w:tcPr>
          <w:p>
            <w:pPr>
              <w:pStyle w:val="2"/>
              <w:ind w:firstLine="0" w:firstLineChars="0"/>
              <w:jc w:val="center"/>
              <w:rPr>
                <w:rFonts w:ascii="Arial" w:hAnsi="Arial" w:cs="Arial"/>
                <w:sz w:val="18"/>
                <w:szCs w:val="18"/>
              </w:rPr>
            </w:pPr>
            <w:r>
              <w:rPr>
                <w:rFonts w:ascii="Arial" w:hAnsi="Arial" w:cs="Arial"/>
                <w:sz w:val="18"/>
                <w:szCs w:val="18"/>
              </w:rPr>
              <w:t>5#7#</w:t>
            </w:r>
          </w:p>
        </w:tc>
        <w:tc>
          <w:tcPr>
            <w:tcW w:w="1832" w:type="dxa"/>
            <w:vAlign w:val="center"/>
          </w:tcPr>
          <w:p>
            <w:pPr>
              <w:pStyle w:val="2"/>
              <w:pBdr>
                <w:top w:val="none" w:color="auto" w:sz="0" w:space="0"/>
                <w:left w:val="none" w:color="auto" w:sz="0" w:space="0"/>
                <w:bottom w:val="none" w:color="auto" w:sz="0" w:space="0"/>
                <w:right w:val="none" w:color="auto" w:sz="0" w:space="0"/>
              </w:pBdr>
              <w:shd w:val="clear" w:color="auto" w:fill="auto"/>
              <w:spacing w:before="0" w:beforeAutospacing="0" w:after="0" w:afterAutospacing="0"/>
              <w:ind w:firstLine="0" w:firstLineChars="0"/>
              <w:jc w:val="right"/>
              <w:textAlignment w:val="auto"/>
              <w:rPr>
                <w:rFonts w:ascii="Arial" w:hAnsi="Arial" w:cs="Arial"/>
                <w:color w:val="000000"/>
                <w:sz w:val="18"/>
                <w:szCs w:val="18"/>
              </w:rPr>
            </w:pPr>
            <w:r>
              <w:rPr>
                <w:rFonts w:ascii="Arial" w:hAnsi="Arial" w:cs="Arial"/>
                <w:sz w:val="18"/>
                <w:szCs w:val="18"/>
              </w:rPr>
              <w:t>20,810.76</w:t>
            </w:r>
          </w:p>
        </w:tc>
        <w:tc>
          <w:tcPr>
            <w:tcW w:w="1444" w:type="dxa"/>
            <w:vAlign w:val="center"/>
          </w:tcPr>
          <w:p>
            <w:pPr>
              <w:pStyle w:val="2"/>
              <w:ind w:firstLine="0" w:firstLineChars="0"/>
              <w:jc w:val="center"/>
              <w:rPr>
                <w:rFonts w:ascii="Arial" w:hAnsi="Arial" w:cs="Arial"/>
                <w:sz w:val="18"/>
                <w:szCs w:val="18"/>
              </w:rPr>
            </w:pPr>
            <w:r>
              <w:rPr>
                <w:rFonts w:ascii="Arial" w:hAnsi="Arial" w:cs="Arial"/>
                <w:sz w:val="18"/>
                <w:szCs w:val="18"/>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968" w:type="dxa"/>
            <w:vAlign w:val="center"/>
          </w:tcPr>
          <w:p>
            <w:pPr>
              <w:pStyle w:val="2"/>
              <w:ind w:firstLine="0" w:firstLineChars="0"/>
              <w:jc w:val="center"/>
              <w:rPr>
                <w:rFonts w:ascii="Arial" w:hAnsi="Arial" w:cs="Arial"/>
                <w:sz w:val="18"/>
                <w:szCs w:val="18"/>
              </w:rPr>
            </w:pPr>
            <w:r>
              <w:rPr>
                <w:rFonts w:ascii="Arial" w:hAnsi="Arial" w:cs="Arial"/>
                <w:sz w:val="18"/>
                <w:szCs w:val="18"/>
              </w:rPr>
              <w:t>2021/5/29</w:t>
            </w:r>
          </w:p>
        </w:tc>
        <w:tc>
          <w:tcPr>
            <w:tcW w:w="1221" w:type="dxa"/>
            <w:vAlign w:val="center"/>
          </w:tcPr>
          <w:p>
            <w:pPr>
              <w:pStyle w:val="2"/>
              <w:pBdr>
                <w:top w:val="none" w:color="auto" w:sz="0" w:space="0"/>
                <w:left w:val="none" w:color="auto" w:sz="0" w:space="0"/>
                <w:bottom w:val="none" w:color="auto" w:sz="0" w:space="0"/>
                <w:right w:val="none" w:color="auto" w:sz="0" w:space="0"/>
              </w:pBdr>
              <w:shd w:val="clear" w:color="auto" w:fill="auto"/>
              <w:spacing w:before="0" w:beforeAutospacing="0" w:after="0" w:afterAutospacing="0"/>
              <w:ind w:firstLine="360"/>
              <w:jc w:val="both"/>
              <w:textAlignment w:val="auto"/>
              <w:rPr>
                <w:rFonts w:ascii="Arial" w:hAnsi="Arial" w:cs="Arial"/>
                <w:color w:val="000000"/>
                <w:sz w:val="18"/>
                <w:szCs w:val="18"/>
              </w:rPr>
            </w:pPr>
            <w:r>
              <w:rPr>
                <w:rFonts w:ascii="Arial" w:hAnsi="Arial" w:cs="Arial"/>
                <w:sz w:val="18"/>
                <w:szCs w:val="18"/>
              </w:rPr>
              <w:t>住宅</w:t>
            </w:r>
          </w:p>
        </w:tc>
        <w:tc>
          <w:tcPr>
            <w:tcW w:w="1571" w:type="dxa"/>
            <w:vAlign w:val="center"/>
          </w:tcPr>
          <w:p>
            <w:pPr>
              <w:pStyle w:val="2"/>
              <w:ind w:firstLine="0" w:firstLineChars="0"/>
              <w:jc w:val="center"/>
              <w:rPr>
                <w:rFonts w:ascii="Arial" w:hAnsi="Arial" w:cs="Arial"/>
                <w:sz w:val="18"/>
                <w:szCs w:val="18"/>
              </w:rPr>
            </w:pPr>
            <w:r>
              <w:rPr>
                <w:rFonts w:ascii="Arial" w:hAnsi="Arial" w:cs="Arial"/>
                <w:sz w:val="18"/>
                <w:szCs w:val="18"/>
              </w:rPr>
              <w:t>4#6#</w:t>
            </w:r>
          </w:p>
        </w:tc>
        <w:tc>
          <w:tcPr>
            <w:tcW w:w="1832" w:type="dxa"/>
            <w:vAlign w:val="center"/>
          </w:tcPr>
          <w:p>
            <w:pPr>
              <w:pStyle w:val="2"/>
              <w:pBdr>
                <w:top w:val="none" w:color="auto" w:sz="0" w:space="0"/>
                <w:left w:val="none" w:color="auto" w:sz="0" w:space="0"/>
                <w:bottom w:val="none" w:color="auto" w:sz="0" w:space="0"/>
                <w:right w:val="none" w:color="auto" w:sz="0" w:space="0"/>
              </w:pBdr>
              <w:shd w:val="clear" w:color="auto" w:fill="auto"/>
              <w:spacing w:before="0" w:beforeAutospacing="0" w:after="0" w:afterAutospacing="0"/>
              <w:ind w:firstLine="0" w:firstLineChars="0"/>
              <w:jc w:val="right"/>
              <w:textAlignment w:val="auto"/>
              <w:rPr>
                <w:rFonts w:ascii="Arial" w:hAnsi="Arial" w:cs="Arial"/>
                <w:color w:val="000000"/>
                <w:sz w:val="18"/>
                <w:szCs w:val="18"/>
              </w:rPr>
            </w:pPr>
            <w:r>
              <w:rPr>
                <w:rFonts w:ascii="Arial" w:hAnsi="Arial" w:cs="Arial"/>
                <w:sz w:val="18"/>
                <w:szCs w:val="18"/>
              </w:rPr>
              <w:t>24,609.12</w:t>
            </w:r>
          </w:p>
        </w:tc>
        <w:tc>
          <w:tcPr>
            <w:tcW w:w="1444" w:type="dxa"/>
            <w:vAlign w:val="center"/>
          </w:tcPr>
          <w:p>
            <w:pPr>
              <w:pStyle w:val="2"/>
              <w:ind w:firstLine="0" w:firstLineChars="0"/>
              <w:jc w:val="center"/>
              <w:rPr>
                <w:rFonts w:ascii="Arial" w:hAnsi="Arial" w:cs="Arial"/>
                <w:sz w:val="18"/>
                <w:szCs w:val="18"/>
              </w:rPr>
            </w:pPr>
            <w:r>
              <w:rPr>
                <w:rFonts w:ascii="Arial" w:hAnsi="Arial" w:cs="Arial"/>
                <w:sz w:val="18"/>
                <w:szCs w:val="18"/>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968" w:type="dxa"/>
            <w:vAlign w:val="center"/>
          </w:tcPr>
          <w:p>
            <w:pPr>
              <w:pStyle w:val="2"/>
              <w:ind w:firstLine="0" w:firstLineChars="0"/>
              <w:jc w:val="center"/>
              <w:rPr>
                <w:rFonts w:ascii="Arial" w:hAnsi="Arial" w:cs="Arial"/>
                <w:sz w:val="18"/>
                <w:szCs w:val="18"/>
              </w:rPr>
            </w:pPr>
            <w:r>
              <w:rPr>
                <w:rFonts w:ascii="Arial" w:hAnsi="Arial" w:cs="Arial"/>
                <w:sz w:val="18"/>
                <w:szCs w:val="18"/>
              </w:rPr>
              <w:t>2021/6/19</w:t>
            </w:r>
          </w:p>
        </w:tc>
        <w:tc>
          <w:tcPr>
            <w:tcW w:w="1221" w:type="dxa"/>
            <w:vAlign w:val="center"/>
          </w:tcPr>
          <w:p>
            <w:pPr>
              <w:pStyle w:val="2"/>
              <w:pBdr>
                <w:top w:val="none" w:color="auto" w:sz="0" w:space="0"/>
                <w:left w:val="none" w:color="auto" w:sz="0" w:space="0"/>
                <w:bottom w:val="none" w:color="auto" w:sz="0" w:space="0"/>
                <w:right w:val="none" w:color="auto" w:sz="0" w:space="0"/>
              </w:pBdr>
              <w:shd w:val="clear" w:color="auto" w:fill="auto"/>
              <w:spacing w:before="0" w:beforeAutospacing="0" w:after="0" w:afterAutospacing="0"/>
              <w:ind w:firstLine="360"/>
              <w:jc w:val="both"/>
              <w:textAlignment w:val="auto"/>
              <w:rPr>
                <w:rFonts w:ascii="Arial" w:hAnsi="Arial" w:cs="Arial"/>
                <w:color w:val="000000"/>
                <w:sz w:val="18"/>
                <w:szCs w:val="18"/>
              </w:rPr>
            </w:pPr>
            <w:r>
              <w:rPr>
                <w:rFonts w:ascii="Arial" w:hAnsi="Arial" w:cs="Arial"/>
                <w:sz w:val="18"/>
                <w:szCs w:val="18"/>
              </w:rPr>
              <w:t>住宅</w:t>
            </w:r>
          </w:p>
        </w:tc>
        <w:tc>
          <w:tcPr>
            <w:tcW w:w="1571" w:type="dxa"/>
            <w:vAlign w:val="center"/>
          </w:tcPr>
          <w:p>
            <w:pPr>
              <w:pStyle w:val="2"/>
              <w:ind w:firstLine="0" w:firstLineChars="0"/>
              <w:jc w:val="center"/>
              <w:rPr>
                <w:rFonts w:ascii="Arial" w:hAnsi="Arial" w:cs="Arial"/>
                <w:sz w:val="18"/>
                <w:szCs w:val="18"/>
              </w:rPr>
            </w:pPr>
            <w:r>
              <w:rPr>
                <w:rFonts w:ascii="Arial" w:hAnsi="Arial" w:cs="Arial"/>
                <w:sz w:val="18"/>
                <w:szCs w:val="18"/>
              </w:rPr>
              <w:t>3#</w:t>
            </w:r>
          </w:p>
        </w:tc>
        <w:tc>
          <w:tcPr>
            <w:tcW w:w="1832" w:type="dxa"/>
            <w:vAlign w:val="center"/>
          </w:tcPr>
          <w:p>
            <w:pPr>
              <w:pStyle w:val="2"/>
              <w:pBdr>
                <w:top w:val="none" w:color="auto" w:sz="0" w:space="0"/>
                <w:left w:val="none" w:color="auto" w:sz="0" w:space="0"/>
                <w:bottom w:val="none" w:color="auto" w:sz="0" w:space="0"/>
                <w:right w:val="none" w:color="auto" w:sz="0" w:space="0"/>
              </w:pBdr>
              <w:shd w:val="clear" w:color="auto" w:fill="auto"/>
              <w:spacing w:before="0" w:beforeAutospacing="0" w:after="0" w:afterAutospacing="0"/>
              <w:ind w:firstLine="0" w:firstLineChars="0"/>
              <w:jc w:val="right"/>
              <w:textAlignment w:val="auto"/>
              <w:rPr>
                <w:rFonts w:ascii="Arial" w:hAnsi="Arial" w:cs="Arial"/>
                <w:color w:val="000000"/>
                <w:sz w:val="18"/>
                <w:szCs w:val="18"/>
              </w:rPr>
            </w:pPr>
            <w:r>
              <w:rPr>
                <w:rFonts w:ascii="Arial" w:hAnsi="Arial" w:cs="Arial"/>
                <w:sz w:val="18"/>
                <w:szCs w:val="18"/>
              </w:rPr>
              <w:t>10,829.62</w:t>
            </w:r>
          </w:p>
        </w:tc>
        <w:tc>
          <w:tcPr>
            <w:tcW w:w="1444" w:type="dxa"/>
            <w:vAlign w:val="center"/>
          </w:tcPr>
          <w:p>
            <w:pPr>
              <w:pStyle w:val="2"/>
              <w:ind w:firstLine="0" w:firstLineChars="0"/>
              <w:jc w:val="center"/>
              <w:rPr>
                <w:rFonts w:ascii="Arial" w:hAnsi="Arial" w:cs="Arial"/>
                <w:sz w:val="18"/>
                <w:szCs w:val="18"/>
              </w:rPr>
            </w:pPr>
            <w:r>
              <w:rPr>
                <w:rFonts w:ascii="Arial" w:hAnsi="Arial" w:cs="Arial"/>
                <w:sz w:val="18"/>
                <w:szCs w:val="18"/>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760" w:type="dxa"/>
            <w:gridSpan w:val="3"/>
            <w:vAlign w:val="center"/>
          </w:tcPr>
          <w:p>
            <w:pPr>
              <w:pStyle w:val="2"/>
              <w:ind w:firstLine="0" w:firstLineChars="0"/>
              <w:jc w:val="center"/>
              <w:rPr>
                <w:rFonts w:ascii="Arial" w:hAnsi="Arial" w:cs="Arial"/>
                <w:sz w:val="18"/>
                <w:szCs w:val="18"/>
              </w:rPr>
            </w:pPr>
            <w:r>
              <w:rPr>
                <w:rFonts w:hint="eastAsia" w:ascii="Arial" w:hAnsi="Arial" w:cs="Arial"/>
                <w:sz w:val="18"/>
                <w:szCs w:val="18"/>
              </w:rPr>
              <w:t>合计</w:t>
            </w:r>
          </w:p>
        </w:tc>
        <w:tc>
          <w:tcPr>
            <w:tcW w:w="1832" w:type="dxa"/>
            <w:vAlign w:val="center"/>
          </w:tcPr>
          <w:p>
            <w:pPr>
              <w:pStyle w:val="2"/>
              <w:pBdr>
                <w:top w:val="none" w:color="auto" w:sz="0" w:space="0"/>
                <w:left w:val="none" w:color="auto" w:sz="0" w:space="0"/>
                <w:bottom w:val="none" w:color="auto" w:sz="0" w:space="0"/>
                <w:right w:val="none" w:color="auto" w:sz="0" w:space="0"/>
              </w:pBdr>
              <w:shd w:val="clear" w:color="auto" w:fill="auto"/>
              <w:spacing w:before="0" w:beforeAutospacing="0" w:after="0" w:afterAutospacing="0"/>
              <w:ind w:firstLine="0" w:firstLineChars="0"/>
              <w:jc w:val="right"/>
              <w:textAlignment w:val="auto"/>
              <w:rPr>
                <w:rFonts w:ascii="Arial" w:hAnsi="Arial" w:cs="Arial"/>
                <w:b/>
                <w:bCs/>
                <w:color w:val="000000"/>
                <w:sz w:val="18"/>
                <w:szCs w:val="18"/>
              </w:rPr>
            </w:pPr>
            <w:r>
              <w:rPr>
                <w:rFonts w:hint="eastAsia" w:ascii="Arial" w:hAnsi="Arial" w:cs="Arial"/>
                <w:b/>
                <w:bCs/>
                <w:sz w:val="18"/>
                <w:szCs w:val="18"/>
              </w:rPr>
              <w:t>99,066.16</w:t>
            </w:r>
          </w:p>
        </w:tc>
        <w:tc>
          <w:tcPr>
            <w:tcW w:w="1444" w:type="dxa"/>
            <w:vAlign w:val="center"/>
          </w:tcPr>
          <w:p>
            <w:pPr>
              <w:pStyle w:val="2"/>
              <w:ind w:firstLine="0" w:firstLineChars="0"/>
              <w:jc w:val="center"/>
              <w:rPr>
                <w:rFonts w:ascii="Arial" w:hAnsi="Arial" w:cs="Arial"/>
                <w:b/>
                <w:bCs/>
                <w:sz w:val="18"/>
                <w:szCs w:val="18"/>
              </w:rPr>
            </w:pPr>
            <w:r>
              <w:rPr>
                <w:rFonts w:hint="eastAsia" w:ascii="Arial" w:hAnsi="Arial" w:cs="Arial"/>
                <w:b/>
                <w:bCs/>
                <w:sz w:val="18"/>
                <w:szCs w:val="18"/>
              </w:rPr>
              <w:t>690</w:t>
            </w:r>
          </w:p>
        </w:tc>
      </w:tr>
    </w:tbl>
    <w:p>
      <w:pPr>
        <w:pStyle w:val="2"/>
      </w:pPr>
    </w:p>
    <w:p>
      <w:pPr>
        <w:pStyle w:val="6"/>
        <w:rPr>
          <w:rFonts w:ascii="宋体" w:hAnsi="宋体" w:cs="宋体"/>
          <w:b/>
          <w:sz w:val="21"/>
          <w:szCs w:val="21"/>
        </w:rPr>
      </w:pPr>
      <w:r>
        <w:rPr>
          <w:rFonts w:hint="eastAsia" w:ascii="宋体" w:hAnsi="宋体" w:cs="宋体"/>
          <w:b/>
          <w:sz w:val="21"/>
          <w:szCs w:val="21"/>
        </w:rPr>
        <w:t>6.2销售去化情况</w:t>
      </w:r>
    </w:p>
    <w:p>
      <w:pPr>
        <w:spacing w:line="360" w:lineRule="auto"/>
        <w:ind w:firstLine="420" w:firstLineChars="200"/>
        <w:rPr>
          <w:rFonts w:ascii="Arial" w:hAnsi="Arial" w:cs="Arial"/>
          <w:kern w:val="2"/>
          <w:sz w:val="21"/>
          <w:szCs w:val="21"/>
        </w:rPr>
      </w:pPr>
      <w:r>
        <w:rPr>
          <w:rFonts w:ascii="Arial" w:hAnsi="Arial" w:cs="Arial"/>
          <w:kern w:val="2"/>
          <w:sz w:val="21"/>
          <w:szCs w:val="21"/>
        </w:rPr>
        <w:t>本月：2021年</w:t>
      </w:r>
      <w:r>
        <w:rPr>
          <w:rFonts w:hint="eastAsia" w:ascii="Arial" w:hAnsi="Arial" w:cs="Arial"/>
          <w:kern w:val="2"/>
          <w:sz w:val="21"/>
          <w:szCs w:val="21"/>
        </w:rPr>
        <w:t>6</w:t>
      </w:r>
      <w:r>
        <w:rPr>
          <w:rFonts w:ascii="Arial" w:hAnsi="Arial" w:cs="Arial"/>
          <w:kern w:val="2"/>
          <w:sz w:val="21"/>
          <w:szCs w:val="21"/>
        </w:rPr>
        <w:t>月共计销售</w:t>
      </w:r>
      <w:r>
        <w:rPr>
          <w:rFonts w:hint="eastAsia" w:ascii="Arial" w:hAnsi="Arial" w:cs="Arial"/>
          <w:kern w:val="2"/>
          <w:sz w:val="21"/>
          <w:szCs w:val="21"/>
        </w:rPr>
        <w:t>64</w:t>
      </w:r>
      <w:r>
        <w:rPr>
          <w:rFonts w:ascii="Arial" w:hAnsi="Arial" w:cs="Arial"/>
          <w:kern w:val="2"/>
          <w:sz w:val="21"/>
          <w:szCs w:val="21"/>
        </w:rPr>
        <w:t>套，销售面积为</w:t>
      </w:r>
      <w:r>
        <w:rPr>
          <w:rFonts w:hint="eastAsia" w:ascii="Arial" w:hAnsi="Arial" w:cs="Arial"/>
          <w:kern w:val="2"/>
          <w:sz w:val="21"/>
          <w:szCs w:val="21"/>
        </w:rPr>
        <w:t>9,205.56</w:t>
      </w:r>
      <w:r>
        <w:rPr>
          <w:rFonts w:ascii="Arial" w:hAnsi="Arial" w:cs="Arial"/>
          <w:kern w:val="2"/>
          <w:sz w:val="21"/>
          <w:szCs w:val="21"/>
        </w:rPr>
        <w:t>㎡，合同金额</w:t>
      </w:r>
      <w:r>
        <w:rPr>
          <w:rFonts w:hint="eastAsia" w:ascii="Arial" w:hAnsi="Arial" w:cs="Arial"/>
          <w:kern w:val="2"/>
          <w:sz w:val="21"/>
          <w:szCs w:val="21"/>
        </w:rPr>
        <w:t xml:space="preserve">15,945.97 </w:t>
      </w:r>
      <w:r>
        <w:rPr>
          <w:rFonts w:ascii="Arial" w:hAnsi="Arial" w:cs="Arial"/>
          <w:kern w:val="2"/>
          <w:sz w:val="21"/>
          <w:szCs w:val="21"/>
        </w:rPr>
        <w:t>万元，本月销售回款</w:t>
      </w:r>
      <w:r>
        <w:rPr>
          <w:rFonts w:hint="eastAsia" w:ascii="Arial" w:hAnsi="Arial" w:cs="Arial"/>
          <w:kern w:val="2"/>
          <w:sz w:val="21"/>
          <w:szCs w:val="21"/>
        </w:rPr>
        <w:t>15,860.50</w:t>
      </w:r>
      <w:r>
        <w:rPr>
          <w:rFonts w:ascii="Arial" w:hAnsi="Arial" w:cs="Arial"/>
          <w:kern w:val="2"/>
          <w:sz w:val="21"/>
          <w:szCs w:val="21"/>
        </w:rPr>
        <w:t>万元；</w:t>
      </w:r>
    </w:p>
    <w:p>
      <w:pPr>
        <w:spacing w:line="360" w:lineRule="auto"/>
        <w:ind w:firstLine="420" w:firstLineChars="200"/>
        <w:rPr>
          <w:rFonts w:ascii="Arial" w:hAnsi="Arial" w:cs="Arial"/>
          <w:kern w:val="2"/>
          <w:sz w:val="21"/>
          <w:szCs w:val="21"/>
        </w:rPr>
      </w:pPr>
      <w:r>
        <w:rPr>
          <w:rFonts w:ascii="Arial" w:hAnsi="Arial" w:cs="Arial"/>
          <w:kern w:val="2"/>
          <w:sz w:val="21"/>
          <w:szCs w:val="21"/>
        </w:rPr>
        <w:t>截至</w:t>
      </w:r>
      <w:r>
        <w:rPr>
          <w:rFonts w:hint="eastAsia" w:ascii="Arial" w:hAnsi="Arial" w:cs="Arial"/>
          <w:kern w:val="2"/>
          <w:sz w:val="21"/>
          <w:szCs w:val="21"/>
        </w:rPr>
        <w:t>2021年6月30日</w:t>
      </w:r>
      <w:r>
        <w:rPr>
          <w:rFonts w:ascii="Arial" w:hAnsi="Arial" w:cs="Arial"/>
          <w:kern w:val="2"/>
          <w:sz w:val="21"/>
          <w:szCs w:val="21"/>
        </w:rPr>
        <w:t>：项目累计销售</w:t>
      </w:r>
      <w:r>
        <w:rPr>
          <w:rFonts w:hint="eastAsia" w:ascii="Arial" w:hAnsi="Arial" w:cs="Arial"/>
          <w:kern w:val="2"/>
          <w:sz w:val="21"/>
          <w:szCs w:val="21"/>
        </w:rPr>
        <w:t>562</w:t>
      </w:r>
      <w:r>
        <w:rPr>
          <w:rFonts w:ascii="Arial" w:hAnsi="Arial" w:cs="Arial"/>
          <w:kern w:val="2"/>
          <w:sz w:val="21"/>
          <w:szCs w:val="21"/>
        </w:rPr>
        <w:t>套，销售面积为</w:t>
      </w:r>
      <w:r>
        <w:rPr>
          <w:rFonts w:hint="eastAsia" w:ascii="Arial" w:hAnsi="Arial" w:cs="Arial"/>
          <w:kern w:val="2"/>
          <w:sz w:val="21"/>
          <w:szCs w:val="21"/>
        </w:rPr>
        <w:t>80,579.63</w:t>
      </w:r>
      <w:r>
        <w:rPr>
          <w:rFonts w:ascii="Arial" w:hAnsi="Arial" w:cs="Arial"/>
          <w:kern w:val="2"/>
          <w:sz w:val="21"/>
          <w:szCs w:val="21"/>
        </w:rPr>
        <w:t>㎡。累计认购、签约合同总价</w:t>
      </w:r>
      <w:r>
        <w:rPr>
          <w:rFonts w:hint="eastAsia" w:ascii="Arial" w:hAnsi="Arial" w:cs="Arial"/>
          <w:kern w:val="2"/>
          <w:sz w:val="21"/>
          <w:szCs w:val="21"/>
        </w:rPr>
        <w:t xml:space="preserve">138,963.44 </w:t>
      </w:r>
      <w:r>
        <w:rPr>
          <w:rFonts w:ascii="Arial" w:hAnsi="Arial" w:cs="Arial"/>
          <w:kern w:val="2"/>
          <w:sz w:val="21"/>
          <w:szCs w:val="21"/>
        </w:rPr>
        <w:t>万元，其中认购备案合同总价</w:t>
      </w:r>
      <w:r>
        <w:rPr>
          <w:rFonts w:hint="eastAsia" w:ascii="Arial" w:hAnsi="Arial" w:cs="Arial"/>
          <w:kern w:val="2"/>
          <w:sz w:val="21"/>
          <w:szCs w:val="21"/>
        </w:rPr>
        <w:t xml:space="preserve">3,907.73 </w:t>
      </w:r>
      <w:r>
        <w:rPr>
          <w:rFonts w:ascii="Arial" w:hAnsi="Arial" w:cs="Arial"/>
          <w:kern w:val="2"/>
          <w:sz w:val="21"/>
          <w:szCs w:val="21"/>
        </w:rPr>
        <w:t>万元,签约合同总价</w:t>
      </w:r>
      <w:r>
        <w:rPr>
          <w:rFonts w:hint="eastAsia" w:ascii="Arial" w:hAnsi="Arial" w:cs="Arial"/>
          <w:kern w:val="2"/>
          <w:sz w:val="21"/>
          <w:szCs w:val="21"/>
        </w:rPr>
        <w:t xml:space="preserve">135,055.70 </w:t>
      </w:r>
      <w:r>
        <w:rPr>
          <w:rFonts w:ascii="Arial" w:hAnsi="Arial" w:cs="Arial"/>
          <w:kern w:val="2"/>
          <w:sz w:val="21"/>
          <w:szCs w:val="21"/>
        </w:rPr>
        <w:t>万元；回款总额</w:t>
      </w:r>
      <w:r>
        <w:rPr>
          <w:rFonts w:hint="eastAsia" w:ascii="Arial" w:hAnsi="Arial" w:cs="Arial"/>
          <w:kern w:val="2"/>
          <w:sz w:val="21"/>
          <w:szCs w:val="21"/>
        </w:rPr>
        <w:t>88,154.71万</w:t>
      </w:r>
      <w:r>
        <w:rPr>
          <w:rFonts w:ascii="Arial" w:hAnsi="Arial" w:cs="Arial"/>
          <w:kern w:val="2"/>
          <w:sz w:val="21"/>
          <w:szCs w:val="21"/>
        </w:rPr>
        <w:t>元，</w:t>
      </w:r>
      <w:r>
        <w:rPr>
          <w:rFonts w:hint="eastAsia" w:ascii="Arial" w:hAnsi="Arial" w:cs="Arial"/>
          <w:kern w:val="2"/>
          <w:sz w:val="21"/>
          <w:szCs w:val="21"/>
        </w:rPr>
        <w:t>开盘</w:t>
      </w:r>
      <w:r>
        <w:rPr>
          <w:rFonts w:ascii="Arial" w:hAnsi="Arial" w:cs="Arial"/>
          <w:kern w:val="2"/>
          <w:sz w:val="21"/>
          <w:szCs w:val="21"/>
        </w:rPr>
        <w:t>去化率</w:t>
      </w:r>
      <w:r>
        <w:rPr>
          <w:rFonts w:hint="eastAsia" w:ascii="Arial" w:hAnsi="Arial" w:cs="Arial"/>
          <w:kern w:val="2"/>
          <w:sz w:val="21"/>
          <w:szCs w:val="21"/>
        </w:rPr>
        <w:t>81.45</w:t>
      </w:r>
      <w:r>
        <w:rPr>
          <w:rFonts w:ascii="Arial" w:hAnsi="Arial" w:cs="Arial"/>
          <w:kern w:val="2"/>
          <w:sz w:val="21"/>
          <w:szCs w:val="21"/>
        </w:rPr>
        <w:t>%。</w:t>
      </w:r>
    </w:p>
    <w:p>
      <w:pPr>
        <w:pStyle w:val="6"/>
        <w:rPr>
          <w:rFonts w:ascii="Arial" w:hAnsi="Arial" w:cs="Arial"/>
          <w:szCs w:val="21"/>
        </w:rPr>
      </w:pPr>
    </w:p>
    <w:tbl>
      <w:tblPr>
        <w:tblStyle w:val="1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1777"/>
        <w:gridCol w:w="34"/>
        <w:gridCol w:w="1972"/>
        <w:gridCol w:w="73"/>
        <w:gridCol w:w="1811"/>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blHeader/>
          <w:jc w:val="center"/>
        </w:trPr>
        <w:tc>
          <w:tcPr>
            <w:tcW w:w="1807"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项目名称</w:t>
            </w:r>
          </w:p>
        </w:tc>
        <w:tc>
          <w:tcPr>
            <w:tcW w:w="7479" w:type="dxa"/>
            <w:gridSpan w:val="6"/>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2021年</w:t>
            </w:r>
            <w:r>
              <w:rPr>
                <w:rFonts w:hint="eastAsia" w:ascii="Arial" w:hAnsi="Arial" w:cs="Arial"/>
                <w:b/>
                <w:bCs/>
                <w:color w:val="000000"/>
                <w:sz w:val="18"/>
                <w:szCs w:val="18"/>
              </w:rPr>
              <w:t>6</w:t>
            </w:r>
            <w:r>
              <w:rPr>
                <w:rFonts w:ascii="Arial" w:hAnsi="Arial" w:cs="Arial"/>
                <w:b/>
                <w:bCs/>
                <w:color w:val="000000"/>
                <w:sz w:val="18"/>
                <w:szCs w:val="18"/>
              </w:rPr>
              <w:t>月销售、回款情况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807" w:type="dxa"/>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苏州红星盛泽项目一期</w:t>
            </w:r>
          </w:p>
        </w:tc>
        <w:tc>
          <w:tcPr>
            <w:tcW w:w="1811" w:type="dxa"/>
            <w:gridSpan w:val="2"/>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套数</w:t>
            </w:r>
          </w:p>
        </w:tc>
        <w:tc>
          <w:tcPr>
            <w:tcW w:w="2045" w:type="dxa"/>
            <w:gridSpan w:val="2"/>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销售面积（㎡）</w:t>
            </w:r>
          </w:p>
        </w:tc>
        <w:tc>
          <w:tcPr>
            <w:tcW w:w="1811" w:type="dxa"/>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销售额（万元）</w:t>
            </w:r>
          </w:p>
        </w:tc>
        <w:tc>
          <w:tcPr>
            <w:tcW w:w="1812" w:type="dxa"/>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回款额（万元）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807" w:type="dxa"/>
            <w:vMerge w:val="continue"/>
            <w:vAlign w:val="center"/>
          </w:tcPr>
          <w:p>
            <w:pPr>
              <w:rPr>
                <w:rFonts w:ascii="Arial" w:hAnsi="Arial" w:cs="Arial"/>
                <w:color w:val="000000"/>
                <w:sz w:val="18"/>
                <w:szCs w:val="18"/>
              </w:rPr>
            </w:pPr>
          </w:p>
        </w:tc>
        <w:tc>
          <w:tcPr>
            <w:tcW w:w="1811" w:type="dxa"/>
            <w:gridSpan w:val="2"/>
            <w:vMerge w:val="continue"/>
            <w:vAlign w:val="center"/>
          </w:tcPr>
          <w:p>
            <w:pPr>
              <w:rPr>
                <w:rFonts w:ascii="Arial" w:hAnsi="Arial" w:cs="Arial"/>
                <w:color w:val="000000"/>
                <w:sz w:val="18"/>
                <w:szCs w:val="18"/>
              </w:rPr>
            </w:pPr>
          </w:p>
        </w:tc>
        <w:tc>
          <w:tcPr>
            <w:tcW w:w="2045" w:type="dxa"/>
            <w:gridSpan w:val="2"/>
            <w:vMerge w:val="continue"/>
            <w:vAlign w:val="center"/>
          </w:tcPr>
          <w:p>
            <w:pPr>
              <w:rPr>
                <w:rFonts w:ascii="Arial" w:hAnsi="Arial" w:cs="Arial"/>
                <w:color w:val="000000"/>
                <w:sz w:val="18"/>
                <w:szCs w:val="18"/>
              </w:rPr>
            </w:pPr>
          </w:p>
        </w:tc>
        <w:tc>
          <w:tcPr>
            <w:tcW w:w="1811" w:type="dxa"/>
            <w:vMerge w:val="continue"/>
            <w:vAlign w:val="center"/>
          </w:tcPr>
          <w:p>
            <w:pPr>
              <w:rPr>
                <w:rFonts w:ascii="Arial" w:hAnsi="Arial" w:cs="Arial"/>
                <w:color w:val="000000"/>
                <w:sz w:val="18"/>
                <w:szCs w:val="18"/>
              </w:rPr>
            </w:pPr>
          </w:p>
        </w:tc>
        <w:tc>
          <w:tcPr>
            <w:tcW w:w="1812" w:type="dxa"/>
            <w:vMerge w:val="continue"/>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807" w:type="dxa"/>
            <w:vMerge w:val="continue"/>
            <w:vAlign w:val="center"/>
          </w:tcPr>
          <w:p>
            <w:pPr>
              <w:rPr>
                <w:rFonts w:ascii="Arial" w:hAnsi="Arial" w:cs="Arial"/>
                <w:color w:val="000000"/>
                <w:sz w:val="18"/>
                <w:szCs w:val="18"/>
              </w:rPr>
            </w:pPr>
          </w:p>
        </w:tc>
        <w:tc>
          <w:tcPr>
            <w:tcW w:w="1811" w:type="dxa"/>
            <w:gridSpan w:val="2"/>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64</w:t>
            </w:r>
          </w:p>
        </w:tc>
        <w:tc>
          <w:tcPr>
            <w:tcW w:w="2045" w:type="dxa"/>
            <w:gridSpan w:val="2"/>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9,205.56</w:t>
            </w:r>
          </w:p>
        </w:tc>
        <w:tc>
          <w:tcPr>
            <w:tcW w:w="1811" w:type="dxa"/>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15,945.97</w:t>
            </w:r>
          </w:p>
        </w:tc>
        <w:tc>
          <w:tcPr>
            <w:tcW w:w="1812" w:type="dxa"/>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15,860.50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807" w:type="dxa"/>
            <w:vMerge w:val="continue"/>
            <w:vAlign w:val="center"/>
          </w:tcPr>
          <w:p>
            <w:pPr>
              <w:rPr>
                <w:rFonts w:ascii="Arial" w:hAnsi="Arial" w:cs="Arial"/>
                <w:color w:val="000000"/>
                <w:sz w:val="18"/>
                <w:szCs w:val="18"/>
              </w:rPr>
            </w:pPr>
          </w:p>
        </w:tc>
        <w:tc>
          <w:tcPr>
            <w:tcW w:w="7479" w:type="dxa"/>
            <w:gridSpan w:val="6"/>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2020年—2021.</w:t>
            </w:r>
            <w:r>
              <w:rPr>
                <w:rFonts w:hint="eastAsia" w:ascii="Arial" w:hAnsi="Arial" w:cs="Arial"/>
                <w:b/>
                <w:bCs/>
                <w:color w:val="000000"/>
                <w:sz w:val="18"/>
                <w:szCs w:val="18"/>
              </w:rPr>
              <w:t>6</w:t>
            </w:r>
            <w:r>
              <w:rPr>
                <w:rFonts w:ascii="Arial" w:hAnsi="Arial" w:cs="Arial"/>
                <w:b/>
                <w:bCs/>
                <w:color w:val="000000"/>
                <w:sz w:val="18"/>
                <w:szCs w:val="18"/>
              </w:rPr>
              <w:t>月累计销售、回款情况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807" w:type="dxa"/>
            <w:vMerge w:val="continue"/>
            <w:vAlign w:val="center"/>
          </w:tcPr>
          <w:p>
            <w:pPr>
              <w:rPr>
                <w:rFonts w:ascii="Arial" w:hAnsi="Arial" w:cs="Arial"/>
                <w:color w:val="000000"/>
                <w:sz w:val="18"/>
                <w:szCs w:val="18"/>
              </w:rPr>
            </w:pPr>
          </w:p>
        </w:tc>
        <w:tc>
          <w:tcPr>
            <w:tcW w:w="1777" w:type="dxa"/>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套数</w:t>
            </w:r>
          </w:p>
        </w:tc>
        <w:tc>
          <w:tcPr>
            <w:tcW w:w="2006" w:type="dxa"/>
            <w:gridSpan w:val="2"/>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销售面积（㎡）</w:t>
            </w:r>
          </w:p>
        </w:tc>
        <w:tc>
          <w:tcPr>
            <w:tcW w:w="1884" w:type="dxa"/>
            <w:gridSpan w:val="2"/>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销售额(万元)</w:t>
            </w:r>
          </w:p>
        </w:tc>
        <w:tc>
          <w:tcPr>
            <w:tcW w:w="1812" w:type="dxa"/>
            <w:vMerge w:val="restart"/>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回款额(万元)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807" w:type="dxa"/>
            <w:vMerge w:val="continue"/>
            <w:vAlign w:val="center"/>
          </w:tcPr>
          <w:p>
            <w:pPr>
              <w:rPr>
                <w:rFonts w:ascii="Arial" w:hAnsi="Arial" w:cs="Arial"/>
                <w:color w:val="000000"/>
                <w:sz w:val="18"/>
                <w:szCs w:val="18"/>
              </w:rPr>
            </w:pPr>
          </w:p>
        </w:tc>
        <w:tc>
          <w:tcPr>
            <w:tcW w:w="1777" w:type="dxa"/>
            <w:vMerge w:val="continue"/>
            <w:vAlign w:val="center"/>
          </w:tcPr>
          <w:p>
            <w:pPr>
              <w:rPr>
                <w:rFonts w:ascii="Arial" w:hAnsi="Arial" w:cs="Arial"/>
                <w:color w:val="000000"/>
                <w:sz w:val="18"/>
                <w:szCs w:val="18"/>
              </w:rPr>
            </w:pPr>
          </w:p>
        </w:tc>
        <w:tc>
          <w:tcPr>
            <w:tcW w:w="2006" w:type="dxa"/>
            <w:gridSpan w:val="2"/>
            <w:vMerge w:val="continue"/>
            <w:vAlign w:val="center"/>
          </w:tcPr>
          <w:p>
            <w:pPr>
              <w:rPr>
                <w:rFonts w:ascii="Arial" w:hAnsi="Arial" w:cs="Arial"/>
                <w:color w:val="000000"/>
                <w:sz w:val="18"/>
                <w:szCs w:val="18"/>
              </w:rPr>
            </w:pPr>
          </w:p>
        </w:tc>
        <w:tc>
          <w:tcPr>
            <w:tcW w:w="1884" w:type="dxa"/>
            <w:gridSpan w:val="2"/>
            <w:vMerge w:val="continue"/>
            <w:vAlign w:val="center"/>
          </w:tcPr>
          <w:p>
            <w:pPr>
              <w:rPr>
                <w:rFonts w:ascii="Arial" w:hAnsi="Arial" w:cs="Arial"/>
                <w:color w:val="000000"/>
                <w:sz w:val="18"/>
                <w:szCs w:val="18"/>
              </w:rPr>
            </w:pPr>
          </w:p>
        </w:tc>
        <w:tc>
          <w:tcPr>
            <w:tcW w:w="1812" w:type="dxa"/>
            <w:vMerge w:val="continue"/>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7" w:type="dxa"/>
            <w:vMerge w:val="continue"/>
            <w:vAlign w:val="center"/>
          </w:tcPr>
          <w:p>
            <w:pPr>
              <w:rPr>
                <w:rFonts w:ascii="Arial" w:hAnsi="Arial" w:cs="Arial"/>
                <w:color w:val="000000"/>
                <w:sz w:val="18"/>
                <w:szCs w:val="18"/>
              </w:rPr>
            </w:pPr>
          </w:p>
        </w:tc>
        <w:tc>
          <w:tcPr>
            <w:tcW w:w="1777" w:type="dxa"/>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562</w:t>
            </w:r>
          </w:p>
        </w:tc>
        <w:tc>
          <w:tcPr>
            <w:tcW w:w="2006" w:type="dxa"/>
            <w:gridSpan w:val="2"/>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80,579.63</w:t>
            </w:r>
          </w:p>
        </w:tc>
        <w:tc>
          <w:tcPr>
            <w:tcW w:w="1884" w:type="dxa"/>
            <w:gridSpan w:val="2"/>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 xml:space="preserve">138,963.44 </w:t>
            </w:r>
          </w:p>
        </w:tc>
        <w:tc>
          <w:tcPr>
            <w:tcW w:w="1812" w:type="dxa"/>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lang w:bidi="ar"/>
              </w:rPr>
              <w:t>88,154.71</w:t>
            </w:r>
          </w:p>
        </w:tc>
      </w:tr>
    </w:tbl>
    <w:p>
      <w:pPr>
        <w:pStyle w:val="6"/>
        <w:rPr>
          <w:rFonts w:ascii="宋体" w:hAnsi="宋体" w:cs="宋体"/>
          <w:bCs/>
          <w:sz w:val="21"/>
          <w:szCs w:val="21"/>
        </w:rPr>
      </w:pPr>
    </w:p>
    <w:p>
      <w:pPr>
        <w:jc w:val="center"/>
        <w:rPr>
          <w:rFonts w:ascii="宋体" w:hAnsi="宋体" w:cs="宋体"/>
          <w:b/>
          <w:bCs/>
          <w:sz w:val="21"/>
          <w:szCs w:val="21"/>
        </w:rPr>
      </w:pPr>
      <w:r>
        <w:rPr>
          <w:rFonts w:hint="eastAsia" w:ascii="宋体" w:hAnsi="宋体" w:cs="宋体"/>
          <w:b/>
          <w:bCs/>
          <w:color w:val="000000"/>
          <w:sz w:val="21"/>
          <w:szCs w:val="21"/>
        </w:rPr>
        <w:t>表六：</w:t>
      </w:r>
      <w:r>
        <w:rPr>
          <w:rFonts w:hint="eastAsia" w:ascii="宋体" w:hAnsi="宋体" w:cs="宋体"/>
          <w:b/>
          <w:bCs/>
          <w:sz w:val="21"/>
          <w:szCs w:val="21"/>
        </w:rPr>
        <w:t>项目销售情况</w:t>
      </w:r>
    </w:p>
    <w:p>
      <w:pPr>
        <w:jc w:val="both"/>
        <w:rPr>
          <w:rFonts w:ascii="Arial" w:hAnsi="Arial" w:cs="Arial"/>
          <w:szCs w:val="21"/>
        </w:rPr>
      </w:pPr>
      <w:r>
        <w:rPr>
          <w:rFonts w:ascii="Arial" w:hAnsi="Arial" w:cs="Arial"/>
          <w:szCs w:val="21"/>
        </w:rPr>
        <w:t>累计销售明细</w:t>
      </w:r>
    </w:p>
    <w:tbl>
      <w:tblPr>
        <w:tblStyle w:val="17"/>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1131"/>
        <w:gridCol w:w="958"/>
        <w:gridCol w:w="1649"/>
        <w:gridCol w:w="1977"/>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blHeader/>
          <w:jc w:val="center"/>
        </w:trPr>
        <w:tc>
          <w:tcPr>
            <w:tcW w:w="2181" w:type="dxa"/>
            <w:vMerge w:val="restart"/>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期间</w:t>
            </w:r>
          </w:p>
        </w:tc>
        <w:tc>
          <w:tcPr>
            <w:tcW w:w="1131" w:type="dxa"/>
            <w:vMerge w:val="restart"/>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业态</w:t>
            </w:r>
          </w:p>
        </w:tc>
        <w:tc>
          <w:tcPr>
            <w:tcW w:w="958" w:type="dxa"/>
            <w:vMerge w:val="restart"/>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套数</w:t>
            </w:r>
          </w:p>
        </w:tc>
        <w:tc>
          <w:tcPr>
            <w:tcW w:w="1649" w:type="dxa"/>
            <w:shd w:val="clear" w:color="auto" w:fill="auto"/>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销售面积</w:t>
            </w:r>
          </w:p>
        </w:tc>
        <w:tc>
          <w:tcPr>
            <w:tcW w:w="1977" w:type="dxa"/>
            <w:shd w:val="clear" w:color="auto" w:fill="auto"/>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销售额</w:t>
            </w:r>
          </w:p>
        </w:tc>
        <w:tc>
          <w:tcPr>
            <w:tcW w:w="1618" w:type="dxa"/>
            <w:vMerge w:val="restart"/>
            <w:shd w:val="clear" w:color="auto" w:fill="auto"/>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均价(万元/㎡，车位：万元/套)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181" w:type="dxa"/>
            <w:vMerge w:val="continue"/>
            <w:shd w:val="clear" w:color="auto" w:fill="auto"/>
            <w:vAlign w:val="center"/>
          </w:tcPr>
          <w:p>
            <w:pPr>
              <w:jc w:val="center"/>
              <w:rPr>
                <w:rFonts w:ascii="Arial" w:hAnsi="Arial" w:cs="Arial"/>
                <w:bCs/>
                <w:color w:val="000000"/>
                <w:sz w:val="18"/>
                <w:szCs w:val="18"/>
              </w:rPr>
            </w:pPr>
          </w:p>
        </w:tc>
        <w:tc>
          <w:tcPr>
            <w:tcW w:w="1131" w:type="dxa"/>
            <w:vMerge w:val="continue"/>
            <w:shd w:val="clear" w:color="auto" w:fill="auto"/>
            <w:noWrap/>
            <w:vAlign w:val="center"/>
          </w:tcPr>
          <w:p>
            <w:pPr>
              <w:jc w:val="center"/>
              <w:rPr>
                <w:rFonts w:ascii="Arial" w:hAnsi="Arial" w:cs="Arial"/>
                <w:bCs/>
                <w:color w:val="000000"/>
                <w:sz w:val="18"/>
                <w:szCs w:val="18"/>
              </w:rPr>
            </w:pPr>
          </w:p>
        </w:tc>
        <w:tc>
          <w:tcPr>
            <w:tcW w:w="958" w:type="dxa"/>
            <w:vMerge w:val="continue"/>
            <w:shd w:val="clear" w:color="auto" w:fill="auto"/>
            <w:noWrap/>
            <w:vAlign w:val="center"/>
          </w:tcPr>
          <w:p>
            <w:pPr>
              <w:jc w:val="center"/>
              <w:rPr>
                <w:rFonts w:ascii="Arial" w:hAnsi="Arial" w:cs="Arial"/>
                <w:bCs/>
                <w:color w:val="000000"/>
                <w:sz w:val="18"/>
                <w:szCs w:val="18"/>
              </w:rPr>
            </w:pPr>
          </w:p>
        </w:tc>
        <w:tc>
          <w:tcPr>
            <w:tcW w:w="1649"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w:t>
            </w:r>
            <w:r>
              <w:rPr>
                <w:rFonts w:ascii="Arial" w:hAnsi="Arial" w:cs="Arial"/>
                <w:bCs/>
                <w:color w:val="333333"/>
                <w:sz w:val="18"/>
                <w:szCs w:val="18"/>
                <w:lang w:bidi="ar"/>
              </w:rPr>
              <w:t>㎡）</w:t>
            </w:r>
          </w:p>
        </w:tc>
        <w:tc>
          <w:tcPr>
            <w:tcW w:w="1977"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（万元）</w:t>
            </w:r>
          </w:p>
        </w:tc>
        <w:tc>
          <w:tcPr>
            <w:tcW w:w="1618" w:type="dxa"/>
            <w:vMerge w:val="continue"/>
            <w:shd w:val="clear" w:color="auto" w:fill="auto"/>
            <w:noWrap/>
            <w:vAlign w:val="center"/>
          </w:tcPr>
          <w:p>
            <w:pPr>
              <w:jc w:val="center"/>
              <w:rPr>
                <w:rFonts w:ascii="Arial" w:hAnsi="Arial" w:cs="Arial"/>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截止2020年12月底</w:t>
            </w:r>
          </w:p>
        </w:tc>
        <w:tc>
          <w:tcPr>
            <w:tcW w:w="1131"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top"/>
              <w:rPr>
                <w:rFonts w:ascii="Arial" w:hAnsi="Arial" w:cs="Arial"/>
                <w:bCs/>
                <w:color w:val="000000"/>
                <w:sz w:val="18"/>
                <w:szCs w:val="18"/>
              </w:rPr>
            </w:pPr>
            <w:r>
              <w:rPr>
                <w:rFonts w:ascii="Arial" w:hAnsi="Arial" w:cs="Arial"/>
                <w:bCs/>
                <w:color w:val="000000"/>
                <w:sz w:val="18"/>
                <w:szCs w:val="18"/>
                <w:lang w:bidi="ar"/>
              </w:rPr>
              <w:t>193</w:t>
            </w:r>
          </w:p>
        </w:tc>
        <w:tc>
          <w:tcPr>
            <w:tcW w:w="1649" w:type="dxa"/>
            <w:shd w:val="clear" w:color="auto" w:fill="auto"/>
            <w:noWrap/>
            <w:vAlign w:val="center"/>
          </w:tcPr>
          <w:p>
            <w:pPr>
              <w:jc w:val="center"/>
              <w:textAlignment w:val="top"/>
              <w:rPr>
                <w:rFonts w:ascii="Arial" w:hAnsi="Arial" w:cs="Arial"/>
                <w:bCs/>
                <w:color w:val="000000"/>
                <w:sz w:val="18"/>
                <w:szCs w:val="18"/>
              </w:rPr>
            </w:pPr>
            <w:r>
              <w:rPr>
                <w:rFonts w:ascii="Arial" w:hAnsi="Arial" w:cs="Arial"/>
                <w:bCs/>
                <w:color w:val="000000"/>
                <w:sz w:val="18"/>
                <w:szCs w:val="18"/>
                <w:lang w:bidi="ar"/>
              </w:rPr>
              <w:t>27,265.52</w:t>
            </w:r>
          </w:p>
        </w:tc>
        <w:tc>
          <w:tcPr>
            <w:tcW w:w="1977" w:type="dxa"/>
            <w:shd w:val="clear" w:color="auto" w:fill="auto"/>
            <w:noWrap/>
            <w:vAlign w:val="center"/>
          </w:tcPr>
          <w:p>
            <w:pPr>
              <w:jc w:val="center"/>
              <w:textAlignment w:val="top"/>
              <w:rPr>
                <w:rFonts w:ascii="Arial" w:hAnsi="Arial" w:cs="Arial"/>
                <w:bCs/>
                <w:color w:val="000000"/>
                <w:sz w:val="18"/>
                <w:szCs w:val="18"/>
              </w:rPr>
            </w:pPr>
            <w:r>
              <w:rPr>
                <w:rFonts w:ascii="Arial" w:hAnsi="Arial" w:cs="Arial"/>
                <w:bCs/>
                <w:color w:val="000000"/>
                <w:sz w:val="18"/>
                <w:szCs w:val="18"/>
                <w:lang w:bidi="ar"/>
              </w:rPr>
              <w:t>47,620.24</w:t>
            </w:r>
          </w:p>
        </w:tc>
        <w:tc>
          <w:tcPr>
            <w:tcW w:w="1618" w:type="dxa"/>
            <w:shd w:val="clear" w:color="auto" w:fill="auto"/>
            <w:noWrap/>
            <w:vAlign w:val="center"/>
          </w:tcPr>
          <w:p>
            <w:pPr>
              <w:jc w:val="center"/>
              <w:textAlignment w:val="top"/>
              <w:rPr>
                <w:rFonts w:ascii="Arial" w:hAnsi="Arial" w:cs="Arial"/>
                <w:bCs/>
                <w:color w:val="000000"/>
                <w:sz w:val="18"/>
                <w:szCs w:val="18"/>
              </w:rPr>
            </w:pPr>
            <w:r>
              <w:rPr>
                <w:rFonts w:hint="eastAsia" w:ascii="Arial" w:hAnsi="Arial" w:cs="Arial"/>
                <w:bCs/>
                <w:color w:val="000000"/>
                <w:sz w:val="18"/>
                <w:szCs w:val="18"/>
                <w:lang w:bidi="ar"/>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2021年1月底</w:t>
            </w:r>
          </w:p>
        </w:tc>
        <w:tc>
          <w:tcPr>
            <w:tcW w:w="1131"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262</w:t>
            </w:r>
          </w:p>
        </w:tc>
        <w:tc>
          <w:tcPr>
            <w:tcW w:w="1649"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36</w:t>
            </w:r>
            <w:r>
              <w:rPr>
                <w:rFonts w:hint="eastAsia" w:ascii="Arial" w:hAnsi="Arial" w:cs="Arial"/>
                <w:bCs/>
                <w:color w:val="000000"/>
                <w:sz w:val="18"/>
                <w:szCs w:val="18"/>
                <w:lang w:bidi="ar"/>
              </w:rPr>
              <w:t>,</w:t>
            </w:r>
            <w:r>
              <w:rPr>
                <w:rFonts w:ascii="Arial" w:hAnsi="Arial" w:cs="Arial"/>
                <w:bCs/>
                <w:color w:val="000000"/>
                <w:sz w:val="18"/>
                <w:szCs w:val="18"/>
                <w:lang w:bidi="ar"/>
              </w:rPr>
              <w:t>759.23</w:t>
            </w:r>
          </w:p>
        </w:tc>
        <w:tc>
          <w:tcPr>
            <w:tcW w:w="1977"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rPr>
              <w:t>63</w:t>
            </w:r>
            <w:r>
              <w:rPr>
                <w:rFonts w:hint="eastAsia" w:ascii="Arial" w:hAnsi="Arial" w:cs="Arial"/>
                <w:bCs/>
                <w:color w:val="000000"/>
                <w:sz w:val="18"/>
                <w:szCs w:val="18"/>
              </w:rPr>
              <w:t>,</w:t>
            </w:r>
            <w:r>
              <w:rPr>
                <w:rFonts w:ascii="Arial" w:hAnsi="Arial" w:cs="Arial"/>
                <w:bCs/>
                <w:color w:val="000000"/>
                <w:sz w:val="18"/>
                <w:szCs w:val="18"/>
              </w:rPr>
              <w:t>186.15</w:t>
            </w:r>
          </w:p>
        </w:tc>
        <w:tc>
          <w:tcPr>
            <w:tcW w:w="1618" w:type="dxa"/>
            <w:shd w:val="clear" w:color="auto" w:fill="auto"/>
            <w:noWrap/>
            <w:vAlign w:val="center"/>
          </w:tcPr>
          <w:p>
            <w:pPr>
              <w:jc w:val="center"/>
              <w:textAlignment w:val="top"/>
              <w:rPr>
                <w:rFonts w:ascii="Arial" w:hAnsi="Arial" w:cs="Arial"/>
                <w:bCs/>
                <w:color w:val="000000"/>
                <w:sz w:val="18"/>
                <w:szCs w:val="18"/>
              </w:rPr>
            </w:pPr>
            <w:r>
              <w:rPr>
                <w:rFonts w:hint="eastAsia" w:ascii="Arial" w:hAnsi="Arial" w:cs="Arial"/>
                <w:bCs/>
                <w:color w:val="000000"/>
                <w:sz w:val="18"/>
                <w:szCs w:val="18"/>
                <w:lang w:bidi="ar"/>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shd w:val="clear" w:color="auto" w:fill="auto"/>
            <w:noWrap/>
            <w:vAlign w:val="center"/>
          </w:tcPr>
          <w:p>
            <w:pPr>
              <w:jc w:val="center"/>
              <w:textAlignment w:val="bottom"/>
              <w:rPr>
                <w:rFonts w:ascii="Arial" w:hAnsi="Arial" w:cs="Arial"/>
                <w:bCs/>
                <w:color w:val="000000"/>
                <w:sz w:val="18"/>
                <w:szCs w:val="18"/>
              </w:rPr>
            </w:pPr>
            <w:r>
              <w:rPr>
                <w:rFonts w:ascii="Arial" w:hAnsi="Arial" w:cs="Arial"/>
                <w:bCs/>
                <w:color w:val="000000"/>
                <w:sz w:val="18"/>
                <w:szCs w:val="18"/>
                <w:lang w:bidi="ar"/>
              </w:rPr>
              <w:t>2021年2月底</w:t>
            </w:r>
          </w:p>
        </w:tc>
        <w:tc>
          <w:tcPr>
            <w:tcW w:w="1131" w:type="dxa"/>
            <w:shd w:val="clear" w:color="auto" w:fill="auto"/>
            <w:noWrap/>
            <w:vAlign w:val="center"/>
          </w:tcPr>
          <w:p>
            <w:pPr>
              <w:jc w:val="center"/>
              <w:textAlignment w:val="bottom"/>
              <w:rPr>
                <w:rFonts w:ascii="Arial" w:hAnsi="Arial" w:cs="Arial"/>
                <w:bCs/>
                <w:sz w:val="18"/>
                <w:szCs w:val="18"/>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top"/>
              <w:rPr>
                <w:rFonts w:ascii="Arial" w:hAnsi="Arial" w:cs="Arial"/>
                <w:bCs/>
                <w:sz w:val="18"/>
                <w:szCs w:val="18"/>
              </w:rPr>
            </w:pPr>
            <w:r>
              <w:rPr>
                <w:rFonts w:ascii="Arial" w:hAnsi="Arial" w:cs="Arial"/>
                <w:bCs/>
                <w:color w:val="000000"/>
                <w:sz w:val="18"/>
                <w:szCs w:val="18"/>
                <w:lang w:bidi="ar"/>
              </w:rPr>
              <w:t>295</w:t>
            </w:r>
          </w:p>
        </w:tc>
        <w:tc>
          <w:tcPr>
            <w:tcW w:w="1649" w:type="dxa"/>
            <w:shd w:val="clear" w:color="auto" w:fill="auto"/>
            <w:noWrap/>
            <w:vAlign w:val="center"/>
          </w:tcPr>
          <w:p>
            <w:pPr>
              <w:jc w:val="center"/>
              <w:textAlignment w:val="bottom"/>
              <w:rPr>
                <w:rFonts w:ascii="Arial" w:hAnsi="Arial" w:cs="Arial"/>
                <w:bCs/>
                <w:sz w:val="18"/>
                <w:szCs w:val="18"/>
              </w:rPr>
            </w:pPr>
            <w:r>
              <w:rPr>
                <w:rFonts w:ascii="Arial" w:hAnsi="Arial" w:cs="Arial"/>
                <w:bCs/>
                <w:color w:val="000000"/>
                <w:sz w:val="18"/>
                <w:szCs w:val="18"/>
                <w:lang w:bidi="ar"/>
              </w:rPr>
              <w:t>41</w:t>
            </w:r>
            <w:r>
              <w:rPr>
                <w:rFonts w:hint="eastAsia" w:ascii="Arial" w:hAnsi="Arial" w:cs="Arial"/>
                <w:bCs/>
                <w:color w:val="000000"/>
                <w:sz w:val="18"/>
                <w:szCs w:val="18"/>
                <w:lang w:bidi="ar"/>
              </w:rPr>
              <w:t>,</w:t>
            </w:r>
            <w:r>
              <w:rPr>
                <w:rFonts w:ascii="Arial" w:hAnsi="Arial" w:cs="Arial"/>
                <w:bCs/>
                <w:color w:val="000000"/>
                <w:sz w:val="18"/>
                <w:szCs w:val="18"/>
                <w:lang w:bidi="ar"/>
              </w:rPr>
              <w:t>147.10</w:t>
            </w:r>
          </w:p>
        </w:tc>
        <w:tc>
          <w:tcPr>
            <w:tcW w:w="1977" w:type="dxa"/>
            <w:shd w:val="clear" w:color="auto" w:fill="auto"/>
            <w:noWrap/>
            <w:vAlign w:val="center"/>
          </w:tcPr>
          <w:p>
            <w:pPr>
              <w:jc w:val="center"/>
              <w:textAlignment w:val="top"/>
              <w:rPr>
                <w:rFonts w:ascii="Arial" w:hAnsi="Arial" w:cs="Arial"/>
                <w:bCs/>
                <w:sz w:val="18"/>
                <w:szCs w:val="18"/>
              </w:rPr>
            </w:pPr>
            <w:r>
              <w:rPr>
                <w:rFonts w:hint="eastAsia" w:ascii="Arial" w:hAnsi="Arial" w:cs="Arial"/>
                <w:bCs/>
                <w:color w:val="000000"/>
                <w:sz w:val="18"/>
                <w:szCs w:val="18"/>
                <w:lang w:bidi="ar"/>
              </w:rPr>
              <w:t>70,564.62</w:t>
            </w:r>
          </w:p>
        </w:tc>
        <w:tc>
          <w:tcPr>
            <w:tcW w:w="1618" w:type="dxa"/>
            <w:shd w:val="clear" w:color="auto" w:fill="auto"/>
            <w:noWrap/>
            <w:vAlign w:val="center"/>
          </w:tcPr>
          <w:p>
            <w:pPr>
              <w:jc w:val="center"/>
              <w:textAlignment w:val="top"/>
              <w:rPr>
                <w:rFonts w:ascii="Arial" w:hAnsi="Arial" w:cs="Arial"/>
                <w:bCs/>
                <w:sz w:val="18"/>
                <w:szCs w:val="18"/>
              </w:rPr>
            </w:pPr>
            <w:r>
              <w:rPr>
                <w:rFonts w:hint="eastAsia" w:ascii="Arial" w:hAnsi="Arial" w:cs="Arial"/>
                <w:bCs/>
                <w:color w:val="000000"/>
                <w:sz w:val="18"/>
                <w:szCs w:val="18"/>
                <w:lang w:bidi="ar"/>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shd w:val="clear" w:color="auto" w:fill="auto"/>
            <w:noWrap/>
            <w:vAlign w:val="center"/>
          </w:tcPr>
          <w:p>
            <w:pPr>
              <w:jc w:val="center"/>
              <w:rPr>
                <w:rFonts w:ascii="Arial" w:hAnsi="Arial" w:cs="Arial"/>
                <w:bCs/>
                <w:color w:val="000000"/>
                <w:sz w:val="18"/>
                <w:szCs w:val="18"/>
              </w:rPr>
            </w:pPr>
            <w:r>
              <w:rPr>
                <w:rFonts w:hint="eastAsia" w:ascii="Arial" w:hAnsi="Arial" w:cs="Arial"/>
                <w:bCs/>
                <w:color w:val="000000"/>
                <w:sz w:val="18"/>
                <w:szCs w:val="18"/>
              </w:rPr>
              <w:t>2021年3月底</w:t>
            </w:r>
          </w:p>
        </w:tc>
        <w:tc>
          <w:tcPr>
            <w:tcW w:w="1131" w:type="dxa"/>
            <w:shd w:val="clear" w:color="auto" w:fill="auto"/>
            <w:noWrap/>
            <w:vAlign w:val="center"/>
          </w:tcPr>
          <w:p>
            <w:pPr>
              <w:jc w:val="center"/>
              <w:textAlignment w:val="bottom"/>
              <w:rPr>
                <w:rFonts w:ascii="Arial" w:hAnsi="Arial" w:cs="Arial"/>
                <w:bCs/>
                <w:color w:val="000000"/>
                <w:sz w:val="18"/>
                <w:szCs w:val="18"/>
                <w:lang w:bidi="ar"/>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top"/>
              <w:rPr>
                <w:rFonts w:ascii="Arial" w:hAnsi="Arial" w:cs="Arial"/>
                <w:bCs/>
                <w:color w:val="000000"/>
                <w:sz w:val="18"/>
                <w:szCs w:val="18"/>
                <w:lang w:bidi="ar"/>
              </w:rPr>
            </w:pPr>
            <w:r>
              <w:rPr>
                <w:rFonts w:ascii="Arial" w:hAnsi="Arial" w:cs="Arial"/>
                <w:bCs/>
                <w:color w:val="000000"/>
                <w:sz w:val="18"/>
                <w:szCs w:val="18"/>
                <w:lang w:bidi="ar"/>
              </w:rPr>
              <w:t>296</w:t>
            </w:r>
          </w:p>
        </w:tc>
        <w:tc>
          <w:tcPr>
            <w:tcW w:w="1649" w:type="dxa"/>
            <w:shd w:val="clear" w:color="auto" w:fill="auto"/>
            <w:noWrap/>
            <w:vAlign w:val="center"/>
          </w:tcPr>
          <w:p>
            <w:pPr>
              <w:jc w:val="center"/>
              <w:textAlignment w:val="top"/>
              <w:rPr>
                <w:rFonts w:ascii="Arial" w:hAnsi="Arial" w:cs="Arial"/>
                <w:bCs/>
                <w:color w:val="000000"/>
                <w:sz w:val="18"/>
                <w:szCs w:val="18"/>
                <w:lang w:bidi="ar"/>
              </w:rPr>
            </w:pPr>
            <w:r>
              <w:rPr>
                <w:rFonts w:ascii="Arial" w:hAnsi="Arial" w:cs="Arial"/>
                <w:bCs/>
                <w:color w:val="000000"/>
                <w:sz w:val="18"/>
                <w:szCs w:val="18"/>
                <w:lang w:bidi="ar"/>
              </w:rPr>
              <w:t>41</w:t>
            </w:r>
            <w:r>
              <w:rPr>
                <w:rFonts w:hint="eastAsia" w:ascii="Arial" w:hAnsi="Arial" w:cs="Arial"/>
                <w:bCs/>
                <w:color w:val="000000"/>
                <w:sz w:val="18"/>
                <w:szCs w:val="18"/>
                <w:lang w:bidi="ar"/>
              </w:rPr>
              <w:t>,</w:t>
            </w:r>
            <w:r>
              <w:rPr>
                <w:rFonts w:ascii="Arial" w:hAnsi="Arial" w:cs="Arial"/>
                <w:bCs/>
                <w:color w:val="000000"/>
                <w:sz w:val="18"/>
                <w:szCs w:val="18"/>
                <w:lang w:bidi="ar"/>
              </w:rPr>
              <w:t>290.22</w:t>
            </w:r>
          </w:p>
        </w:tc>
        <w:tc>
          <w:tcPr>
            <w:tcW w:w="1977" w:type="dxa"/>
            <w:shd w:val="clear" w:color="auto" w:fill="auto"/>
            <w:noWrap/>
            <w:vAlign w:val="center"/>
          </w:tcPr>
          <w:p>
            <w:pPr>
              <w:jc w:val="center"/>
              <w:textAlignment w:val="top"/>
              <w:rPr>
                <w:rFonts w:ascii="Arial" w:hAnsi="Arial" w:cs="Arial"/>
                <w:bCs/>
                <w:color w:val="000000"/>
                <w:sz w:val="18"/>
                <w:szCs w:val="18"/>
                <w:lang w:bidi="ar"/>
              </w:rPr>
            </w:pPr>
            <w:r>
              <w:rPr>
                <w:rFonts w:hint="eastAsia" w:ascii="Arial" w:hAnsi="Arial" w:cs="Arial"/>
                <w:bCs/>
                <w:color w:val="000000"/>
                <w:sz w:val="18"/>
                <w:szCs w:val="18"/>
                <w:lang w:bidi="ar"/>
              </w:rPr>
              <w:t>70,780.12</w:t>
            </w:r>
          </w:p>
        </w:tc>
        <w:tc>
          <w:tcPr>
            <w:tcW w:w="1618" w:type="dxa"/>
            <w:shd w:val="clear" w:color="auto" w:fill="auto"/>
            <w:noWrap/>
            <w:vAlign w:val="center"/>
          </w:tcPr>
          <w:p>
            <w:pPr>
              <w:jc w:val="center"/>
              <w:textAlignment w:val="top"/>
              <w:rPr>
                <w:rFonts w:ascii="Arial" w:hAnsi="Arial" w:cs="Arial"/>
                <w:bCs/>
                <w:color w:val="000000"/>
                <w:sz w:val="18"/>
                <w:szCs w:val="18"/>
                <w:lang w:bidi="ar"/>
              </w:rPr>
            </w:pPr>
            <w:r>
              <w:rPr>
                <w:rFonts w:hint="eastAsia" w:ascii="Arial" w:hAnsi="Arial" w:cs="Arial"/>
                <w:bCs/>
                <w:color w:val="000000"/>
                <w:sz w:val="18"/>
                <w:szCs w:val="18"/>
                <w:lang w:bidi="ar"/>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181" w:type="dxa"/>
            <w:shd w:val="clear" w:color="auto" w:fill="auto"/>
            <w:noWrap/>
            <w:vAlign w:val="center"/>
          </w:tcPr>
          <w:p>
            <w:pPr>
              <w:jc w:val="center"/>
              <w:rPr>
                <w:rFonts w:ascii="Arial" w:hAnsi="Arial" w:cs="Arial"/>
                <w:bCs/>
                <w:color w:val="000000"/>
                <w:sz w:val="18"/>
                <w:szCs w:val="18"/>
              </w:rPr>
            </w:pPr>
            <w:r>
              <w:rPr>
                <w:rFonts w:hint="eastAsia" w:ascii="Arial" w:hAnsi="Arial" w:cs="Arial"/>
                <w:bCs/>
                <w:color w:val="000000"/>
                <w:sz w:val="18"/>
                <w:szCs w:val="18"/>
              </w:rPr>
              <w:t>2021年4月底</w:t>
            </w:r>
          </w:p>
        </w:tc>
        <w:tc>
          <w:tcPr>
            <w:tcW w:w="1131" w:type="dxa"/>
            <w:shd w:val="clear" w:color="auto" w:fill="auto"/>
            <w:noWrap/>
            <w:vAlign w:val="center"/>
          </w:tcPr>
          <w:p>
            <w:pPr>
              <w:jc w:val="center"/>
              <w:textAlignment w:val="bottom"/>
              <w:rPr>
                <w:rFonts w:ascii="Arial" w:hAnsi="Arial" w:cs="Arial"/>
                <w:bCs/>
                <w:color w:val="000000"/>
                <w:sz w:val="18"/>
                <w:szCs w:val="18"/>
                <w:lang w:bidi="ar"/>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top"/>
              <w:rPr>
                <w:rFonts w:ascii="Arial" w:hAnsi="Arial" w:cs="Arial"/>
                <w:bCs/>
                <w:color w:val="000000"/>
                <w:sz w:val="18"/>
                <w:szCs w:val="18"/>
                <w:lang w:bidi="ar"/>
              </w:rPr>
            </w:pPr>
            <w:r>
              <w:rPr>
                <w:rFonts w:hint="eastAsia" w:ascii="Arial" w:hAnsi="Arial" w:cs="Arial"/>
                <w:bCs/>
                <w:color w:val="000000"/>
                <w:sz w:val="18"/>
                <w:szCs w:val="18"/>
                <w:lang w:bidi="ar"/>
              </w:rPr>
              <w:t>408</w:t>
            </w:r>
          </w:p>
        </w:tc>
        <w:tc>
          <w:tcPr>
            <w:tcW w:w="1649" w:type="dxa"/>
            <w:shd w:val="clear" w:color="auto" w:fill="auto"/>
            <w:noWrap/>
            <w:vAlign w:val="center"/>
          </w:tcPr>
          <w:p>
            <w:pPr>
              <w:jc w:val="center"/>
              <w:rPr>
                <w:rFonts w:ascii="Arial" w:hAnsi="Arial" w:cs="Arial"/>
                <w:bCs/>
                <w:color w:val="000000"/>
                <w:sz w:val="18"/>
                <w:szCs w:val="18"/>
                <w:lang w:bidi="ar"/>
              </w:rPr>
            </w:pPr>
            <w:r>
              <w:rPr>
                <w:rFonts w:hint="eastAsia" w:ascii="Arial" w:hAnsi="Arial" w:cs="Arial"/>
                <w:color w:val="000000"/>
                <w:sz w:val="18"/>
                <w:szCs w:val="18"/>
              </w:rPr>
              <w:t>58,300.80</w:t>
            </w:r>
          </w:p>
        </w:tc>
        <w:tc>
          <w:tcPr>
            <w:tcW w:w="1977" w:type="dxa"/>
            <w:shd w:val="clear" w:color="auto" w:fill="auto"/>
            <w:noWrap/>
            <w:vAlign w:val="center"/>
          </w:tcPr>
          <w:p>
            <w:pPr>
              <w:jc w:val="center"/>
              <w:rPr>
                <w:rFonts w:ascii="Arial" w:hAnsi="Arial" w:cs="Arial"/>
                <w:bCs/>
                <w:color w:val="000000"/>
                <w:sz w:val="18"/>
                <w:szCs w:val="18"/>
                <w:lang w:bidi="ar"/>
              </w:rPr>
            </w:pPr>
            <w:r>
              <w:rPr>
                <w:rFonts w:hint="eastAsia" w:ascii="Arial" w:hAnsi="Arial" w:cs="Arial"/>
                <w:color w:val="000000"/>
                <w:sz w:val="18"/>
                <w:szCs w:val="18"/>
              </w:rPr>
              <w:t>100,238.48</w:t>
            </w:r>
          </w:p>
        </w:tc>
        <w:tc>
          <w:tcPr>
            <w:tcW w:w="1618" w:type="dxa"/>
            <w:shd w:val="clear" w:color="auto" w:fill="auto"/>
            <w:noWrap/>
            <w:vAlign w:val="center"/>
          </w:tcPr>
          <w:p>
            <w:pPr>
              <w:jc w:val="center"/>
              <w:textAlignment w:val="top"/>
              <w:rPr>
                <w:rFonts w:ascii="Arial" w:hAnsi="Arial" w:cs="Arial"/>
                <w:bCs/>
                <w:color w:val="000000"/>
                <w:sz w:val="18"/>
                <w:szCs w:val="18"/>
                <w:lang w:bidi="ar"/>
              </w:rPr>
            </w:pPr>
            <w:r>
              <w:rPr>
                <w:rFonts w:hint="eastAsia" w:ascii="Arial" w:hAnsi="Arial" w:cs="Arial"/>
                <w:bCs/>
                <w:color w:val="000000"/>
                <w:sz w:val="18"/>
                <w:szCs w:val="18"/>
                <w:lang w:bidi="ar"/>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shd w:val="clear" w:color="auto" w:fill="auto"/>
            <w:noWrap/>
            <w:vAlign w:val="center"/>
          </w:tcPr>
          <w:p>
            <w:pPr>
              <w:jc w:val="center"/>
              <w:rPr>
                <w:rFonts w:ascii="Arial" w:hAnsi="Arial" w:cs="Arial"/>
                <w:bCs/>
                <w:color w:val="000000"/>
                <w:sz w:val="18"/>
                <w:szCs w:val="18"/>
              </w:rPr>
            </w:pPr>
            <w:r>
              <w:rPr>
                <w:rFonts w:hint="eastAsia" w:ascii="Arial" w:hAnsi="Arial" w:cs="Arial"/>
                <w:bCs/>
                <w:color w:val="000000"/>
                <w:sz w:val="18"/>
                <w:szCs w:val="18"/>
              </w:rPr>
              <w:t>2021年5月底</w:t>
            </w:r>
          </w:p>
        </w:tc>
        <w:tc>
          <w:tcPr>
            <w:tcW w:w="1131" w:type="dxa"/>
            <w:shd w:val="clear" w:color="auto" w:fill="auto"/>
            <w:noWrap/>
            <w:vAlign w:val="center"/>
          </w:tcPr>
          <w:p>
            <w:pPr>
              <w:jc w:val="center"/>
              <w:textAlignment w:val="bottom"/>
              <w:rPr>
                <w:rFonts w:ascii="Arial" w:hAnsi="Arial" w:cs="Arial"/>
                <w:bCs/>
                <w:color w:val="000000"/>
                <w:sz w:val="18"/>
                <w:szCs w:val="18"/>
                <w:lang w:bidi="ar"/>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top"/>
              <w:rPr>
                <w:rFonts w:ascii="Arial" w:hAnsi="Arial" w:cs="Arial"/>
                <w:bCs/>
                <w:color w:val="000000"/>
                <w:sz w:val="18"/>
                <w:szCs w:val="18"/>
                <w:lang w:bidi="ar"/>
              </w:rPr>
            </w:pPr>
            <w:r>
              <w:rPr>
                <w:rFonts w:ascii="Arial" w:hAnsi="Arial" w:cs="Arial"/>
                <w:color w:val="000000"/>
                <w:sz w:val="18"/>
                <w:szCs w:val="18"/>
                <w:lang w:bidi="ar"/>
              </w:rPr>
              <w:t>498</w:t>
            </w:r>
          </w:p>
        </w:tc>
        <w:tc>
          <w:tcPr>
            <w:tcW w:w="1649" w:type="dxa"/>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71,374.07</w:t>
            </w:r>
          </w:p>
        </w:tc>
        <w:tc>
          <w:tcPr>
            <w:tcW w:w="1977" w:type="dxa"/>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123,019.90</w:t>
            </w:r>
          </w:p>
        </w:tc>
        <w:tc>
          <w:tcPr>
            <w:tcW w:w="1618" w:type="dxa"/>
            <w:shd w:val="clear" w:color="auto" w:fill="auto"/>
            <w:noWrap/>
            <w:vAlign w:val="center"/>
          </w:tcPr>
          <w:p>
            <w:pPr>
              <w:jc w:val="center"/>
              <w:textAlignment w:val="top"/>
              <w:rPr>
                <w:rFonts w:ascii="Arial" w:hAnsi="Arial" w:cs="Arial"/>
                <w:bCs/>
                <w:color w:val="000000"/>
                <w:sz w:val="18"/>
                <w:szCs w:val="18"/>
                <w:lang w:bidi="ar"/>
              </w:rPr>
            </w:pPr>
            <w:r>
              <w:rPr>
                <w:rFonts w:hint="eastAsia" w:ascii="Arial" w:hAnsi="Arial" w:cs="Arial"/>
                <w:bCs/>
                <w:color w:val="000000"/>
                <w:sz w:val="18"/>
                <w:szCs w:val="18"/>
                <w:lang w:bidi="ar"/>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shd w:val="clear" w:color="auto" w:fill="auto"/>
            <w:noWrap/>
            <w:vAlign w:val="center"/>
          </w:tcPr>
          <w:p>
            <w:pPr>
              <w:tabs>
                <w:tab w:val="left" w:pos="519"/>
              </w:tabs>
              <w:rPr>
                <w:rFonts w:ascii="Arial" w:hAnsi="Arial" w:cs="Arial"/>
                <w:bCs/>
                <w:color w:val="000000"/>
                <w:sz w:val="18"/>
                <w:szCs w:val="18"/>
              </w:rPr>
            </w:pPr>
            <w:r>
              <w:rPr>
                <w:rFonts w:hint="eastAsia" w:ascii="Arial" w:hAnsi="Arial" w:cs="Arial"/>
                <w:bCs/>
                <w:color w:val="000000"/>
                <w:sz w:val="18"/>
                <w:szCs w:val="18"/>
              </w:rPr>
              <w:tab/>
            </w:r>
            <w:r>
              <w:rPr>
                <w:rFonts w:hint="eastAsia" w:ascii="Arial" w:hAnsi="Arial" w:cs="Arial"/>
                <w:bCs/>
                <w:color w:val="000000"/>
                <w:sz w:val="18"/>
                <w:szCs w:val="18"/>
              </w:rPr>
              <w:t>2021年6月底</w:t>
            </w:r>
          </w:p>
        </w:tc>
        <w:tc>
          <w:tcPr>
            <w:tcW w:w="1131" w:type="dxa"/>
            <w:shd w:val="clear" w:color="auto" w:fill="auto"/>
            <w:noWrap/>
            <w:vAlign w:val="center"/>
          </w:tcPr>
          <w:p>
            <w:pPr>
              <w:jc w:val="center"/>
              <w:textAlignment w:val="bottom"/>
              <w:rPr>
                <w:rFonts w:ascii="Arial" w:hAnsi="Arial" w:cs="Arial"/>
                <w:bCs/>
                <w:color w:val="000000"/>
                <w:sz w:val="18"/>
                <w:szCs w:val="18"/>
                <w:lang w:bidi="ar"/>
              </w:rPr>
            </w:pPr>
            <w:r>
              <w:rPr>
                <w:rFonts w:ascii="Arial" w:hAnsi="Arial" w:cs="Arial"/>
                <w:bCs/>
                <w:color w:val="000000"/>
                <w:sz w:val="18"/>
                <w:szCs w:val="18"/>
                <w:lang w:bidi="ar"/>
              </w:rPr>
              <w:t>住宅</w:t>
            </w:r>
          </w:p>
        </w:tc>
        <w:tc>
          <w:tcPr>
            <w:tcW w:w="958" w:type="dxa"/>
            <w:shd w:val="clear" w:color="auto" w:fill="auto"/>
            <w:noWrap/>
            <w:vAlign w:val="center"/>
          </w:tcPr>
          <w:p>
            <w:pPr>
              <w:jc w:val="center"/>
              <w:textAlignment w:val="top"/>
              <w:rPr>
                <w:rFonts w:ascii="Arial" w:hAnsi="Arial" w:cs="Arial"/>
                <w:color w:val="000000"/>
                <w:sz w:val="18"/>
                <w:szCs w:val="18"/>
                <w:lang w:bidi="ar"/>
              </w:rPr>
            </w:pPr>
            <w:r>
              <w:rPr>
                <w:rFonts w:hint="eastAsia" w:ascii="Arial" w:hAnsi="Arial" w:cs="Arial"/>
                <w:color w:val="000000"/>
                <w:sz w:val="18"/>
                <w:szCs w:val="18"/>
                <w:lang w:bidi="ar"/>
              </w:rPr>
              <w:t>562</w:t>
            </w:r>
          </w:p>
        </w:tc>
        <w:tc>
          <w:tcPr>
            <w:tcW w:w="1649" w:type="dxa"/>
            <w:shd w:val="clear" w:color="auto" w:fill="auto"/>
            <w:noWrap/>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80,579.63</w:t>
            </w:r>
          </w:p>
        </w:tc>
        <w:tc>
          <w:tcPr>
            <w:tcW w:w="1977" w:type="dxa"/>
            <w:shd w:val="clear" w:color="auto" w:fill="auto"/>
            <w:noWrap/>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 xml:space="preserve">138,963.44 </w:t>
            </w:r>
          </w:p>
        </w:tc>
        <w:tc>
          <w:tcPr>
            <w:tcW w:w="1618" w:type="dxa"/>
            <w:shd w:val="clear" w:color="auto" w:fill="auto"/>
            <w:noWrap/>
            <w:vAlign w:val="center"/>
          </w:tcPr>
          <w:p>
            <w:pPr>
              <w:jc w:val="center"/>
              <w:textAlignment w:val="top"/>
              <w:rPr>
                <w:rFonts w:ascii="Arial" w:hAnsi="Arial" w:cs="Arial"/>
                <w:bCs/>
                <w:color w:val="000000"/>
                <w:sz w:val="18"/>
                <w:szCs w:val="18"/>
                <w:lang w:bidi="ar"/>
              </w:rPr>
            </w:pPr>
            <w:r>
              <w:rPr>
                <w:rFonts w:hint="eastAsia" w:ascii="Arial" w:hAnsi="Arial" w:cs="Arial"/>
                <w:bCs/>
                <w:color w:val="000000"/>
                <w:sz w:val="18"/>
                <w:szCs w:val="18"/>
                <w:lang w:bidi="ar"/>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181" w:type="dxa"/>
            <w:shd w:val="clear" w:color="auto" w:fill="auto"/>
            <w:noWrap/>
            <w:vAlign w:val="center"/>
          </w:tcPr>
          <w:p>
            <w:pPr>
              <w:jc w:val="center"/>
              <w:rPr>
                <w:rFonts w:ascii="Arial" w:hAnsi="Arial" w:cs="Arial"/>
                <w:bCs/>
                <w:color w:val="000000"/>
                <w:sz w:val="18"/>
                <w:szCs w:val="18"/>
              </w:rPr>
            </w:pPr>
            <w:r>
              <w:rPr>
                <w:rFonts w:ascii="Arial" w:hAnsi="Arial" w:cs="Arial"/>
                <w:bCs/>
                <w:color w:val="000000"/>
                <w:sz w:val="18"/>
                <w:szCs w:val="18"/>
              </w:rPr>
              <w:t>开盘去化率</w:t>
            </w:r>
          </w:p>
        </w:tc>
        <w:tc>
          <w:tcPr>
            <w:tcW w:w="1131" w:type="dxa"/>
            <w:shd w:val="clear" w:color="auto" w:fill="auto"/>
            <w:noWrap/>
            <w:vAlign w:val="center"/>
          </w:tcPr>
          <w:p>
            <w:pPr>
              <w:jc w:val="center"/>
              <w:textAlignment w:val="bottom"/>
              <w:rPr>
                <w:rFonts w:ascii="Arial" w:hAnsi="Arial" w:cs="Arial"/>
                <w:bCs/>
                <w:color w:val="000000"/>
                <w:sz w:val="18"/>
                <w:szCs w:val="18"/>
                <w:lang w:bidi="ar"/>
              </w:rPr>
            </w:pPr>
            <w:r>
              <w:rPr>
                <w:rFonts w:ascii="Arial" w:hAnsi="Arial" w:cs="Arial"/>
                <w:bCs/>
                <w:color w:val="000000"/>
                <w:sz w:val="18"/>
                <w:szCs w:val="18"/>
                <w:lang w:bidi="ar"/>
              </w:rPr>
              <w:t>住宅</w:t>
            </w:r>
          </w:p>
        </w:tc>
        <w:tc>
          <w:tcPr>
            <w:tcW w:w="4584" w:type="dxa"/>
            <w:gridSpan w:val="3"/>
            <w:shd w:val="clear" w:color="auto" w:fill="auto"/>
            <w:noWrap/>
            <w:vAlign w:val="center"/>
          </w:tcPr>
          <w:p>
            <w:pPr>
              <w:jc w:val="center"/>
              <w:textAlignment w:val="top"/>
              <w:rPr>
                <w:rFonts w:ascii="Arial" w:hAnsi="Arial" w:cs="Arial"/>
                <w:bCs/>
                <w:color w:val="000000"/>
                <w:sz w:val="18"/>
                <w:szCs w:val="18"/>
                <w:lang w:bidi="ar"/>
              </w:rPr>
            </w:pPr>
            <w:r>
              <w:rPr>
                <w:rFonts w:hint="eastAsia" w:ascii="Arial" w:hAnsi="Arial" w:cs="Arial"/>
                <w:kern w:val="2"/>
                <w:sz w:val="21"/>
                <w:szCs w:val="21"/>
              </w:rPr>
              <w:t>81.45</w:t>
            </w:r>
            <w:r>
              <w:rPr>
                <w:rFonts w:ascii="Arial" w:hAnsi="Arial" w:cs="Arial"/>
                <w:bCs/>
                <w:color w:val="000000"/>
                <w:sz w:val="18"/>
                <w:szCs w:val="18"/>
                <w:lang w:bidi="ar"/>
              </w:rPr>
              <w:t>%</w:t>
            </w:r>
          </w:p>
        </w:tc>
        <w:tc>
          <w:tcPr>
            <w:tcW w:w="1618" w:type="dxa"/>
            <w:shd w:val="clear" w:color="auto" w:fill="auto"/>
            <w:noWrap/>
            <w:vAlign w:val="center"/>
          </w:tcPr>
          <w:p>
            <w:pPr>
              <w:jc w:val="center"/>
              <w:textAlignment w:val="top"/>
              <w:rPr>
                <w:rFonts w:ascii="Arial" w:hAnsi="Arial" w:cs="Arial"/>
                <w:bCs/>
                <w:color w:val="000000"/>
                <w:sz w:val="18"/>
                <w:szCs w:val="18"/>
                <w:lang w:bidi="ar"/>
              </w:rPr>
            </w:pPr>
            <w:r>
              <w:rPr>
                <w:rFonts w:ascii="Arial" w:hAnsi="Arial" w:cs="Arial"/>
                <w:bCs/>
                <w:color w:val="000000"/>
                <w:sz w:val="18"/>
                <w:szCs w:val="18"/>
                <w:lang w:bidi="ar"/>
              </w:rPr>
              <w:t>-</w:t>
            </w:r>
          </w:p>
        </w:tc>
      </w:tr>
    </w:tbl>
    <w:p>
      <w:pPr>
        <w:pStyle w:val="6"/>
        <w:rPr>
          <w:rFonts w:ascii="宋体" w:hAnsi="宋体" w:cs="宋体"/>
          <w:b/>
          <w:sz w:val="21"/>
          <w:szCs w:val="21"/>
        </w:rPr>
      </w:pPr>
    </w:p>
    <w:p>
      <w:pPr>
        <w:pStyle w:val="6"/>
        <w:rPr>
          <w:rFonts w:ascii="宋体" w:hAnsi="宋体" w:cs="宋体"/>
          <w:b/>
          <w:sz w:val="21"/>
          <w:szCs w:val="21"/>
        </w:rPr>
      </w:pPr>
      <w:r>
        <w:rPr>
          <w:rFonts w:hint="eastAsia" w:ascii="宋体" w:hAnsi="宋体" w:cs="宋体"/>
          <w:b/>
          <w:sz w:val="21"/>
          <w:szCs w:val="21"/>
        </w:rPr>
        <w:t>6</w:t>
      </w:r>
      <w:r>
        <w:rPr>
          <w:rFonts w:ascii="宋体" w:hAnsi="宋体" w:cs="宋体"/>
          <w:b/>
          <w:sz w:val="21"/>
          <w:szCs w:val="21"/>
        </w:rPr>
        <w:t>.3</w:t>
      </w:r>
      <w:r>
        <w:rPr>
          <w:rFonts w:hint="eastAsia" w:ascii="宋体" w:hAnsi="宋体" w:cs="宋体"/>
          <w:b/>
          <w:sz w:val="21"/>
          <w:szCs w:val="21"/>
        </w:rPr>
        <w:t>动态货值</w:t>
      </w:r>
    </w:p>
    <w:p>
      <w:pPr>
        <w:spacing w:line="360" w:lineRule="auto"/>
        <w:ind w:firstLine="420" w:firstLineChars="200"/>
        <w:rPr>
          <w:rFonts w:ascii="Arial" w:hAnsi="Arial" w:cs="Arial"/>
          <w:sz w:val="21"/>
          <w:szCs w:val="21"/>
        </w:rPr>
      </w:pPr>
      <w:r>
        <w:rPr>
          <w:rFonts w:hint="eastAsia" w:ascii="Arial" w:hAnsi="Arial" w:cs="Arial"/>
          <w:sz w:val="21"/>
          <w:szCs w:val="21"/>
        </w:rPr>
        <w:t>项目总用地面积为101,740.27平方米，总建筑面积288,500.33平方米，其中可售住宅建筑面210,498.00平方米，可售车位</w:t>
      </w:r>
      <w:r>
        <w:rPr>
          <w:rFonts w:hint="eastAsia" w:ascii="Arial" w:hAnsi="Arial" w:cs="Arial"/>
          <w:sz w:val="21"/>
          <w:szCs w:val="21"/>
          <w:lang w:val="en-US" w:eastAsia="zh-CN"/>
        </w:rPr>
        <w:t>1252</w:t>
      </w:r>
      <w:r>
        <w:rPr>
          <w:rFonts w:hint="eastAsia" w:ascii="Arial" w:hAnsi="Arial" w:cs="Arial"/>
          <w:sz w:val="21"/>
          <w:szCs w:val="21"/>
        </w:rPr>
        <w:t>个，动态总货值为379,</w:t>
      </w:r>
      <w:r>
        <w:rPr>
          <w:rFonts w:hint="eastAsia" w:ascii="Arial" w:hAnsi="Arial" w:cs="Arial"/>
          <w:sz w:val="21"/>
          <w:szCs w:val="21"/>
          <w:lang w:val="en-US" w:eastAsia="zh-CN"/>
        </w:rPr>
        <w:t>398</w:t>
      </w:r>
      <w:r>
        <w:rPr>
          <w:rFonts w:hint="eastAsia" w:ascii="Arial" w:hAnsi="Arial" w:cs="Arial"/>
          <w:sz w:val="21"/>
          <w:szCs w:val="21"/>
        </w:rPr>
        <w:t>.88</w:t>
      </w:r>
      <w:r>
        <w:rPr>
          <w:rFonts w:ascii="Arial" w:hAnsi="Arial" w:cs="Arial"/>
          <w:sz w:val="21"/>
          <w:szCs w:val="21"/>
        </w:rPr>
        <w:t>万元</w:t>
      </w:r>
      <w:r>
        <w:rPr>
          <w:rFonts w:hint="eastAsia" w:ascii="Arial" w:hAnsi="Arial" w:cs="Arial"/>
          <w:sz w:val="21"/>
          <w:szCs w:val="21"/>
        </w:rPr>
        <w:t>（含车库）</w:t>
      </w:r>
      <w:r>
        <w:rPr>
          <w:rFonts w:ascii="Arial" w:hAnsi="Arial" w:cs="Arial"/>
          <w:sz w:val="21"/>
          <w:szCs w:val="21"/>
        </w:rPr>
        <w:t>。截至</w:t>
      </w:r>
      <w:r>
        <w:rPr>
          <w:rFonts w:hint="eastAsia" w:ascii="Arial" w:hAnsi="Arial" w:cs="Arial"/>
          <w:sz w:val="21"/>
          <w:szCs w:val="21"/>
        </w:rPr>
        <w:t>2021年6月30日</w:t>
      </w:r>
      <w:r>
        <w:rPr>
          <w:rFonts w:ascii="Arial" w:hAnsi="Arial" w:cs="Arial"/>
          <w:sz w:val="21"/>
          <w:szCs w:val="21"/>
        </w:rPr>
        <w:t>，红星盛泽项目前</w:t>
      </w:r>
      <w:r>
        <w:rPr>
          <w:rFonts w:hint="eastAsia" w:ascii="Arial" w:hAnsi="Arial" w:cs="Arial"/>
          <w:sz w:val="21"/>
          <w:szCs w:val="21"/>
        </w:rPr>
        <w:t>已取得预售证未</w:t>
      </w:r>
      <w:r>
        <w:rPr>
          <w:rFonts w:ascii="Arial" w:hAnsi="Arial" w:cs="Arial"/>
          <w:sz w:val="21"/>
          <w:szCs w:val="21"/>
        </w:rPr>
        <w:t>售房源</w:t>
      </w:r>
      <w:r>
        <w:rPr>
          <w:rFonts w:hint="eastAsia" w:ascii="Arial" w:hAnsi="Arial" w:cs="Arial"/>
          <w:sz w:val="21"/>
          <w:szCs w:val="21"/>
        </w:rPr>
        <w:t>204</w:t>
      </w:r>
      <w:r>
        <w:rPr>
          <w:rFonts w:ascii="Arial" w:hAnsi="Arial" w:cs="Arial"/>
          <w:sz w:val="21"/>
          <w:szCs w:val="21"/>
        </w:rPr>
        <w:t>套</w:t>
      </w:r>
      <w:r>
        <w:rPr>
          <w:rFonts w:hint="eastAsia" w:ascii="Arial" w:hAnsi="Arial" w:cs="Arial"/>
          <w:sz w:val="21"/>
          <w:szCs w:val="21"/>
        </w:rPr>
        <w:t>（其中76套未对外推出）</w:t>
      </w:r>
      <w:r>
        <w:rPr>
          <w:rFonts w:ascii="Arial" w:hAnsi="Arial" w:cs="Arial"/>
          <w:sz w:val="21"/>
          <w:szCs w:val="21"/>
        </w:rPr>
        <w:t>，</w:t>
      </w:r>
      <w:r>
        <w:rPr>
          <w:rFonts w:hint="eastAsia" w:ascii="Arial" w:hAnsi="Arial" w:cs="Arial"/>
          <w:sz w:val="21"/>
          <w:szCs w:val="21"/>
        </w:rPr>
        <w:t>已取得预售证未售</w:t>
      </w:r>
      <w:r>
        <w:rPr>
          <w:rFonts w:ascii="Arial" w:hAnsi="Arial" w:cs="Arial"/>
          <w:sz w:val="21"/>
          <w:szCs w:val="21"/>
        </w:rPr>
        <w:t>面积</w:t>
      </w:r>
      <w:r>
        <w:rPr>
          <w:rFonts w:hint="eastAsia" w:ascii="Arial" w:hAnsi="Arial" w:cs="Arial"/>
          <w:sz w:val="21"/>
          <w:szCs w:val="21"/>
        </w:rPr>
        <w:t xml:space="preserve">29,316.15 </w:t>
      </w:r>
      <w:r>
        <w:rPr>
          <w:rFonts w:ascii="Arial" w:hAnsi="Arial" w:cs="Arial"/>
          <w:sz w:val="21"/>
          <w:szCs w:val="21"/>
        </w:rPr>
        <w:t>㎡，已取得预售未售部分货值为</w:t>
      </w:r>
      <w:r>
        <w:rPr>
          <w:rFonts w:hint="eastAsia" w:ascii="Arial" w:hAnsi="Arial" w:cs="Arial"/>
          <w:sz w:val="21"/>
          <w:szCs w:val="21"/>
        </w:rPr>
        <w:t>50,533.61</w:t>
      </w:r>
      <w:r>
        <w:rPr>
          <w:rFonts w:ascii="Arial" w:hAnsi="Arial" w:cs="Arial"/>
          <w:sz w:val="21"/>
          <w:szCs w:val="21"/>
        </w:rPr>
        <w:t>万元</w:t>
      </w:r>
      <w:r>
        <w:rPr>
          <w:rFonts w:hint="eastAsia" w:ascii="Arial" w:hAnsi="Arial" w:cs="Arial"/>
          <w:sz w:val="21"/>
          <w:szCs w:val="21"/>
        </w:rPr>
        <w:t>，未取得预售证部分</w:t>
      </w:r>
      <w:r>
        <w:rPr>
          <w:rFonts w:ascii="Arial" w:hAnsi="Arial" w:cs="Arial"/>
          <w:sz w:val="21"/>
          <w:szCs w:val="21"/>
        </w:rPr>
        <w:t>剩余货值为</w:t>
      </w:r>
      <w:r>
        <w:rPr>
          <w:rFonts w:hint="eastAsia" w:ascii="Arial" w:hAnsi="Arial" w:cs="Arial"/>
          <w:sz w:val="21"/>
          <w:szCs w:val="21"/>
        </w:rPr>
        <w:t>177,381.83</w:t>
      </w:r>
      <w:r>
        <w:rPr>
          <w:rFonts w:ascii="Arial" w:hAnsi="Arial" w:cs="Arial"/>
          <w:sz w:val="21"/>
          <w:szCs w:val="21"/>
        </w:rPr>
        <w:t>万元</w:t>
      </w:r>
      <w:r>
        <w:rPr>
          <w:rFonts w:hint="eastAsia" w:ascii="Arial" w:hAnsi="Arial" w:cs="Arial"/>
          <w:sz w:val="21"/>
          <w:szCs w:val="21"/>
        </w:rPr>
        <w:t>，剩余总货值227,915.44万元</w:t>
      </w:r>
      <w:r>
        <w:rPr>
          <w:rFonts w:ascii="Arial" w:hAnsi="Arial" w:cs="Arial"/>
          <w:sz w:val="21"/>
          <w:szCs w:val="21"/>
        </w:rPr>
        <w:t>。</w:t>
      </w:r>
    </w:p>
    <w:p>
      <w:pPr>
        <w:pStyle w:val="6"/>
        <w:jc w:val="center"/>
        <w:rPr>
          <w:rFonts w:ascii="宋体" w:hAnsi="宋体" w:cs="宋体"/>
          <w:b/>
          <w:sz w:val="21"/>
          <w:szCs w:val="21"/>
        </w:rPr>
      </w:pPr>
      <w:r>
        <w:rPr>
          <w:rFonts w:hint="eastAsia" w:ascii="宋体" w:hAnsi="宋体" w:cs="宋体"/>
          <w:b/>
          <w:sz w:val="21"/>
          <w:szCs w:val="21"/>
        </w:rPr>
        <w:t>表七：动态货值情况</w:t>
      </w:r>
    </w:p>
    <w:tbl>
      <w:tblPr>
        <w:tblStyle w:val="17"/>
        <w:tblW w:w="9920" w:type="dxa"/>
        <w:tblInd w:w="0" w:type="dxa"/>
        <w:tblLayout w:type="autofit"/>
        <w:tblCellMar>
          <w:top w:w="0" w:type="dxa"/>
          <w:left w:w="108" w:type="dxa"/>
          <w:bottom w:w="0" w:type="dxa"/>
          <w:right w:w="108" w:type="dxa"/>
        </w:tblCellMar>
      </w:tblPr>
      <w:tblGrid>
        <w:gridCol w:w="2480"/>
        <w:gridCol w:w="2480"/>
        <w:gridCol w:w="2480"/>
        <w:gridCol w:w="2480"/>
      </w:tblGrid>
      <w:tr>
        <w:tblPrEx>
          <w:tblCellMar>
            <w:top w:w="0" w:type="dxa"/>
            <w:left w:w="108" w:type="dxa"/>
            <w:bottom w:w="0" w:type="dxa"/>
            <w:right w:w="108" w:type="dxa"/>
          </w:tblCellMar>
        </w:tblPrEx>
        <w:trPr>
          <w:trHeight w:val="722" w:hRule="atLeast"/>
        </w:trPr>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动态货值(万元)（不含车库）(A)</w:t>
            </w:r>
            <w:r>
              <w:rPr>
                <w:rFonts w:ascii="Arial" w:hAnsi="Arial" w:cs="Arial"/>
                <w:color w:val="000000"/>
                <w:sz w:val="18"/>
                <w:szCs w:val="18"/>
              </w:rPr>
              <w:br w:type="textWrapping"/>
            </w:r>
            <w:r>
              <w:rPr>
                <w:rFonts w:ascii="Arial" w:hAnsi="Arial" w:cs="Arial"/>
                <w:color w:val="000000"/>
                <w:sz w:val="18"/>
                <w:szCs w:val="18"/>
              </w:rPr>
              <w:t>A=B+C+D</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已售房屋合同额（万元）（B）</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已取得预售证的未售房屋货值（万元）（按备案价）（C)</w:t>
            </w:r>
          </w:p>
        </w:tc>
        <w:tc>
          <w:tcPr>
            <w:tcW w:w="248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未取得预售证房屋预计货值（万元）(D)</w:t>
            </w:r>
          </w:p>
        </w:tc>
      </w:tr>
      <w:tr>
        <w:tblPrEx>
          <w:tblCellMar>
            <w:top w:w="0" w:type="dxa"/>
            <w:left w:w="108" w:type="dxa"/>
            <w:bottom w:w="0" w:type="dxa"/>
            <w:right w:w="108" w:type="dxa"/>
          </w:tblCellMar>
        </w:tblPrEx>
        <w:trPr>
          <w:trHeight w:val="442" w:hRule="atLeast"/>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366,878.88 </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138,963.44 </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50,533.61 </w:t>
            </w:r>
          </w:p>
        </w:tc>
        <w:tc>
          <w:tcPr>
            <w:tcW w:w="248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177,381.83 </w:t>
            </w:r>
          </w:p>
        </w:tc>
      </w:tr>
      <w:tr>
        <w:tblPrEx>
          <w:tblCellMar>
            <w:top w:w="0" w:type="dxa"/>
            <w:left w:w="108" w:type="dxa"/>
            <w:bottom w:w="0" w:type="dxa"/>
            <w:right w:w="108" w:type="dxa"/>
          </w:tblCellMar>
        </w:tblPrEx>
        <w:trPr>
          <w:trHeight w:val="561" w:hRule="atLeast"/>
        </w:trPr>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总面积（平米）（不计算车库）</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已售面积（平米）</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已取得预售证的未售面积（平米）</w:t>
            </w:r>
          </w:p>
        </w:tc>
        <w:tc>
          <w:tcPr>
            <w:tcW w:w="24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未取得预售证面积（平米）</w:t>
            </w:r>
          </w:p>
        </w:tc>
      </w:tr>
      <w:tr>
        <w:tblPrEx>
          <w:tblCellMar>
            <w:top w:w="0" w:type="dxa"/>
            <w:left w:w="108" w:type="dxa"/>
            <w:bottom w:w="0" w:type="dxa"/>
            <w:right w:w="108" w:type="dxa"/>
          </w:tblCellMar>
        </w:tblPrEx>
        <w:trPr>
          <w:trHeight w:val="582" w:hRule="atLeast"/>
        </w:trPr>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 xml:space="preserve">210,498.00 </w:t>
            </w:r>
          </w:p>
        </w:tc>
        <w:tc>
          <w:tcPr>
            <w:tcW w:w="2480"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 xml:space="preserve">80,579.63 </w:t>
            </w:r>
          </w:p>
        </w:tc>
        <w:tc>
          <w:tcPr>
            <w:tcW w:w="2480"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 xml:space="preserve">29,316.15 </w:t>
            </w:r>
          </w:p>
        </w:tc>
        <w:tc>
          <w:tcPr>
            <w:tcW w:w="2480" w:type="dxa"/>
            <w:tcBorders>
              <w:top w:val="single" w:color="auto" w:sz="4" w:space="0"/>
              <w:left w:val="nil"/>
              <w:bottom w:val="single" w:color="auto" w:sz="4" w:space="0"/>
              <w:right w:val="single" w:color="auto" w:sz="4" w:space="0"/>
            </w:tcBorders>
            <w:shd w:val="clear" w:color="auto" w:fill="auto"/>
            <w:noWrap/>
            <w:vAlign w:val="center"/>
          </w:tcPr>
          <w:p>
            <w:pPr>
              <w:jc w:val="center"/>
              <w:textAlignment w:val="center"/>
              <w:rPr>
                <w:rFonts w:ascii="Arial" w:hAnsi="Arial" w:cs="Arial"/>
                <w:bCs/>
                <w:kern w:val="44"/>
                <w:sz w:val="18"/>
                <w:szCs w:val="18"/>
              </w:rPr>
            </w:pPr>
            <w:r>
              <w:rPr>
                <w:rFonts w:ascii="Arial" w:hAnsi="Arial" w:cs="Arial"/>
                <w:color w:val="000000"/>
                <w:sz w:val="18"/>
                <w:szCs w:val="18"/>
                <w:lang w:bidi="ar"/>
              </w:rPr>
              <w:t xml:space="preserve">100,602.22 </w:t>
            </w:r>
          </w:p>
        </w:tc>
      </w:tr>
    </w:tbl>
    <w:p>
      <w:pPr>
        <w:pStyle w:val="6"/>
        <w:rPr>
          <w:rFonts w:ascii="宋体" w:hAnsi="宋体" w:cs="宋体"/>
          <w:b/>
          <w:sz w:val="21"/>
          <w:szCs w:val="21"/>
        </w:rPr>
      </w:pPr>
    </w:p>
    <w:p>
      <w:pPr>
        <w:pStyle w:val="3"/>
        <w:rPr>
          <w:rFonts w:ascii="宋体" w:hAnsi="宋体" w:eastAsia="宋体"/>
          <w:sz w:val="21"/>
          <w:szCs w:val="21"/>
        </w:rPr>
      </w:pPr>
      <w:bookmarkStart w:id="13" w:name="_Toc23139"/>
      <w:bookmarkStart w:id="14" w:name="_Toc26263"/>
      <w:r>
        <w:rPr>
          <w:rFonts w:hint="eastAsia" w:ascii="宋体" w:hAnsi="宋体" w:eastAsia="宋体"/>
          <w:sz w:val="21"/>
          <w:szCs w:val="21"/>
        </w:rPr>
        <w:t>七、项目银行账户情况</w:t>
      </w:r>
      <w:bookmarkEnd w:id="13"/>
      <w:bookmarkEnd w:id="14"/>
    </w:p>
    <w:p>
      <w:pPr>
        <w:spacing w:line="360" w:lineRule="auto"/>
        <w:ind w:firstLine="420" w:firstLineChars="200"/>
        <w:rPr>
          <w:rFonts w:ascii="Arial" w:hAnsi="Arial" w:cs="Arial"/>
          <w:sz w:val="21"/>
          <w:szCs w:val="21"/>
        </w:rPr>
      </w:pPr>
      <w:r>
        <w:rPr>
          <w:rFonts w:hint="eastAsia" w:ascii="Arial" w:hAnsi="Arial" w:cs="Arial"/>
          <w:sz w:val="21"/>
          <w:szCs w:val="21"/>
        </w:rPr>
        <w:t>根据项目公司提供的余额表，截至2021年6月30日，项目公司资金账户余额466,407,956.01元，其中受限资金余额365,571,985.34元，各账户余额见下表：</w:t>
      </w:r>
    </w:p>
    <w:p>
      <w:pPr>
        <w:jc w:val="center"/>
        <w:rPr>
          <w:rFonts w:ascii="宋体" w:hAnsi="宋体" w:cs="宋体"/>
          <w:b/>
          <w:bCs/>
          <w:color w:val="000000"/>
          <w:sz w:val="21"/>
          <w:szCs w:val="21"/>
        </w:rPr>
      </w:pPr>
      <w:r>
        <w:rPr>
          <w:rFonts w:hint="eastAsia" w:ascii="宋体" w:hAnsi="宋体" w:cs="宋体"/>
          <w:b/>
          <w:bCs/>
          <w:color w:val="000000"/>
          <w:sz w:val="21"/>
          <w:szCs w:val="21"/>
        </w:rPr>
        <w:t>表八：项目公司</w:t>
      </w:r>
      <w:r>
        <w:rPr>
          <w:rFonts w:hint="eastAsia" w:ascii="宋体" w:hAnsi="宋体" w:cs="宋体"/>
          <w:b/>
          <w:bCs/>
          <w:sz w:val="21"/>
          <w:szCs w:val="21"/>
        </w:rPr>
        <w:t>银行账户基本情况</w:t>
      </w:r>
    </w:p>
    <w:tbl>
      <w:tblPr>
        <w:tblStyle w:val="17"/>
        <w:tblW w:w="10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1588"/>
        <w:gridCol w:w="1175"/>
        <w:gridCol w:w="725"/>
        <w:gridCol w:w="1187"/>
        <w:gridCol w:w="900"/>
        <w:gridCol w:w="1075"/>
        <w:gridCol w:w="1875"/>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blHeader/>
          <w:jc w:val="center"/>
        </w:trPr>
        <w:tc>
          <w:tcPr>
            <w:tcW w:w="44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58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开户行</w:t>
            </w:r>
          </w:p>
        </w:tc>
        <w:tc>
          <w:tcPr>
            <w:tcW w:w="117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账号</w:t>
            </w:r>
          </w:p>
        </w:tc>
        <w:tc>
          <w:tcPr>
            <w:tcW w:w="72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账户性质</w:t>
            </w:r>
          </w:p>
        </w:tc>
        <w:tc>
          <w:tcPr>
            <w:tcW w:w="1187"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预留印鉴明细</w:t>
            </w:r>
          </w:p>
        </w:tc>
        <w:tc>
          <w:tcPr>
            <w:tcW w:w="90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是否开通网银</w:t>
            </w:r>
          </w:p>
        </w:tc>
        <w:tc>
          <w:tcPr>
            <w:tcW w:w="107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是否开通结算卡等其他功能</w:t>
            </w:r>
          </w:p>
        </w:tc>
        <w:tc>
          <w:tcPr>
            <w:tcW w:w="1875" w:type="dxa"/>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月末账户余额（元）</w:t>
            </w:r>
          </w:p>
        </w:tc>
        <w:tc>
          <w:tcPr>
            <w:tcW w:w="116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其他（支票、汇票等）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4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10544301040150760</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基本存款账户</w:t>
            </w:r>
          </w:p>
        </w:tc>
        <w:tc>
          <w:tcPr>
            <w:tcW w:w="1187" w:type="dxa"/>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公章、财务章、法人章</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支付密码器</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66,108,345.44</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申领未使用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江苏银行苏州盛泽支行一般户</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30390188000212079</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一般存款账户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1,201,233.66</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江苏银行苏州盛泽支行774</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30390188000211774</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专用账户还款准备金</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206,854,921.98</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江苏银行苏州盛泽支行-贷款资金专用账户</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30390188000211692</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113,851.74</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江苏银行苏州盛泽支行513</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30390188000211513</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专用账户销售资金监管</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124,940.54</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江苏银行苏州盛泽支行-政府预售监管账户（8#9#10#11#）</w:t>
            </w:r>
          </w:p>
        </w:tc>
        <w:tc>
          <w:tcPr>
            <w:tcW w:w="1175" w:type="dxa"/>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30390188000212407</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115,629,550.91</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7</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江苏银行苏州盛泽支行-政府预售监管账户（</w:t>
            </w:r>
            <w:r>
              <w:rPr>
                <w:rFonts w:hint="eastAsia" w:ascii="Arial" w:hAnsi="Arial" w:cs="Arial"/>
                <w:color w:val="000000"/>
                <w:sz w:val="18"/>
                <w:szCs w:val="18"/>
                <w:lang w:bidi="ar"/>
              </w:rPr>
              <w:t>5</w:t>
            </w:r>
            <w:r>
              <w:rPr>
                <w:rFonts w:ascii="Arial" w:hAnsi="Arial" w:cs="Arial"/>
                <w:color w:val="000000"/>
                <w:sz w:val="18"/>
                <w:szCs w:val="18"/>
                <w:lang w:bidi="ar"/>
              </w:rPr>
              <w:t>#</w:t>
            </w:r>
            <w:r>
              <w:rPr>
                <w:rFonts w:hint="eastAsia" w:ascii="Arial" w:hAnsi="Arial" w:cs="Arial"/>
                <w:color w:val="000000"/>
                <w:sz w:val="18"/>
                <w:szCs w:val="18"/>
                <w:lang w:bidi="ar"/>
              </w:rPr>
              <w:t>7</w:t>
            </w:r>
            <w:r>
              <w:rPr>
                <w:rFonts w:ascii="Arial" w:hAnsi="Arial" w:cs="Arial"/>
                <w:color w:val="000000"/>
                <w:sz w:val="18"/>
                <w:szCs w:val="18"/>
                <w:lang w:bidi="ar"/>
              </w:rPr>
              <w:t>#）</w:t>
            </w:r>
          </w:p>
        </w:tc>
        <w:tc>
          <w:tcPr>
            <w:tcW w:w="1175" w:type="dxa"/>
            <w:vAlign w:val="center"/>
          </w:tcPr>
          <w:p>
            <w:pPr>
              <w:textAlignment w:val="center"/>
              <w:rPr>
                <w:rFonts w:ascii="Arial" w:hAnsi="Arial" w:cs="Arial"/>
                <w:color w:val="000000"/>
                <w:sz w:val="18"/>
                <w:szCs w:val="18"/>
                <w:lang w:bidi="ar"/>
              </w:rPr>
            </w:pPr>
            <w:r>
              <w:rPr>
                <w:rFonts w:hint="eastAsia" w:ascii="Arial" w:hAnsi="Arial" w:cs="Arial"/>
                <w:color w:val="000000"/>
                <w:sz w:val="18"/>
                <w:szCs w:val="18"/>
                <w:lang w:bidi="ar"/>
              </w:rPr>
              <w:t>30390188000218457</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sz w:val="18"/>
                <w:szCs w:val="18"/>
              </w:rPr>
            </w:pPr>
            <w:r>
              <w:rPr>
                <w:rFonts w:ascii="Arial" w:hAnsi="Arial" w:cs="Arial"/>
                <w:color w:val="000000"/>
                <w:sz w:val="18"/>
                <w:szCs w:val="18"/>
                <w:lang w:bidi="ar"/>
              </w:rPr>
              <w:t>42,848,720.17</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8</w:t>
            </w:r>
          </w:p>
        </w:tc>
        <w:tc>
          <w:tcPr>
            <w:tcW w:w="1588"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江苏银行苏州盛泽支行-政府预售监管账户（2#、3#、4#、6#）</w:t>
            </w:r>
          </w:p>
        </w:tc>
        <w:tc>
          <w:tcPr>
            <w:tcW w:w="117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30390188000221343</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专用账户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0.00</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9</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sz w:val="18"/>
                <w:szCs w:val="18"/>
              </w:rPr>
              <w:t>中国银行苏州吴越支行一般户</w:t>
            </w:r>
          </w:p>
        </w:tc>
        <w:tc>
          <w:tcPr>
            <w:tcW w:w="1175" w:type="dxa"/>
            <w:vAlign w:val="center"/>
          </w:tcPr>
          <w:p>
            <w:pPr>
              <w:jc w:val="center"/>
              <w:textAlignment w:val="center"/>
              <w:rPr>
                <w:rFonts w:ascii="Arial" w:hAnsi="Arial" w:cs="Arial"/>
                <w:color w:val="000000"/>
                <w:sz w:val="18"/>
                <w:szCs w:val="18"/>
                <w:lang w:bidi="ar"/>
              </w:rPr>
            </w:pPr>
            <w:r>
              <w:rPr>
                <w:rFonts w:ascii="Arial" w:hAnsi="Arial" w:cs="Arial"/>
                <w:sz w:val="18"/>
                <w:szCs w:val="18"/>
              </w:rPr>
              <w:t>485875639157</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一般存款账户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3,323,156.22</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10</w:t>
            </w:r>
          </w:p>
        </w:tc>
        <w:tc>
          <w:tcPr>
            <w:tcW w:w="1588" w:type="dxa"/>
            <w:vAlign w:val="center"/>
          </w:tcPr>
          <w:p>
            <w:pPr>
              <w:jc w:val="center"/>
              <w:textAlignment w:val="center"/>
              <w:rPr>
                <w:rFonts w:ascii="Arial" w:hAnsi="Arial" w:cs="Arial"/>
                <w:color w:val="000000"/>
                <w:sz w:val="18"/>
                <w:szCs w:val="18"/>
                <w:lang w:bidi="ar"/>
              </w:rPr>
            </w:pPr>
            <w:r>
              <w:rPr>
                <w:rFonts w:ascii="Arial" w:hAnsi="Arial" w:cs="Arial"/>
                <w:sz w:val="18"/>
                <w:szCs w:val="18"/>
              </w:rPr>
              <w:t>中国工商银行盛泽舜湖支行</w:t>
            </w:r>
          </w:p>
        </w:tc>
        <w:tc>
          <w:tcPr>
            <w:tcW w:w="1175" w:type="dxa"/>
            <w:vAlign w:val="center"/>
          </w:tcPr>
          <w:p>
            <w:pPr>
              <w:jc w:val="center"/>
              <w:textAlignment w:val="center"/>
              <w:rPr>
                <w:rFonts w:ascii="Arial" w:hAnsi="Arial" w:cs="Arial"/>
                <w:color w:val="000000"/>
                <w:sz w:val="18"/>
                <w:szCs w:val="18"/>
                <w:lang w:bidi="ar"/>
              </w:rPr>
            </w:pPr>
            <w:r>
              <w:rPr>
                <w:rFonts w:ascii="Arial" w:hAnsi="Arial" w:cs="Arial"/>
                <w:sz w:val="18"/>
                <w:szCs w:val="18"/>
              </w:rPr>
              <w:t>110290004132704</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一般存款账户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结算卡（仅开通查询功能）</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203,235.35</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11</w:t>
            </w:r>
          </w:p>
        </w:tc>
        <w:tc>
          <w:tcPr>
            <w:tcW w:w="1588" w:type="dxa"/>
            <w:vAlign w:val="center"/>
          </w:tcPr>
          <w:p>
            <w:pPr>
              <w:jc w:val="center"/>
              <w:textAlignment w:val="center"/>
              <w:rPr>
                <w:rFonts w:ascii="Arial" w:hAnsi="Arial" w:cs="Arial"/>
                <w:sz w:val="18"/>
                <w:szCs w:val="18"/>
              </w:rPr>
            </w:pPr>
            <w:r>
              <w:rPr>
                <w:rFonts w:hint="eastAsia" w:ascii="Arial" w:hAnsi="Arial" w:cs="Arial"/>
                <w:sz w:val="18"/>
                <w:szCs w:val="18"/>
              </w:rPr>
              <w:t>浙商银行苏州吴江支行</w:t>
            </w:r>
          </w:p>
        </w:tc>
        <w:tc>
          <w:tcPr>
            <w:tcW w:w="1175" w:type="dxa"/>
            <w:vAlign w:val="center"/>
          </w:tcPr>
          <w:p>
            <w:pPr>
              <w:jc w:val="center"/>
              <w:textAlignment w:val="center"/>
              <w:rPr>
                <w:rFonts w:ascii="Arial" w:hAnsi="Arial" w:cs="Arial"/>
                <w:sz w:val="18"/>
                <w:szCs w:val="18"/>
              </w:rPr>
            </w:pPr>
            <w:r>
              <w:rPr>
                <w:rFonts w:hint="eastAsia" w:ascii="Arial" w:hAnsi="Arial" w:cs="Arial"/>
                <w:sz w:val="18"/>
                <w:szCs w:val="18"/>
              </w:rPr>
              <w:t>3050020210120100080061</w:t>
            </w:r>
          </w:p>
        </w:tc>
        <w:tc>
          <w:tcPr>
            <w:tcW w:w="7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一般存款账户</w:t>
            </w:r>
          </w:p>
        </w:tc>
        <w:tc>
          <w:tcPr>
            <w:tcW w:w="1187"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公章、财务章、法人章、预留人名章（褚芯阅）</w:t>
            </w:r>
          </w:p>
        </w:tc>
        <w:tc>
          <w:tcPr>
            <w:tcW w:w="900"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07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支付密码器</w:t>
            </w:r>
          </w:p>
        </w:tc>
        <w:tc>
          <w:tcPr>
            <w:tcW w:w="187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30,000,000.00</w:t>
            </w:r>
          </w:p>
        </w:tc>
        <w:tc>
          <w:tcPr>
            <w:tcW w:w="116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7095" w:type="dxa"/>
            <w:gridSpan w:val="7"/>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1875" w:type="dxa"/>
            <w:vAlign w:val="center"/>
          </w:tcPr>
          <w:p>
            <w:pPr>
              <w:jc w:val="right"/>
              <w:textAlignment w:val="center"/>
              <w:rPr>
                <w:rFonts w:ascii="Arial" w:hAnsi="Arial" w:cs="Arial"/>
                <w:color w:val="000000"/>
                <w:sz w:val="21"/>
                <w:szCs w:val="21"/>
              </w:rPr>
            </w:pPr>
            <w:r>
              <w:rPr>
                <w:rFonts w:ascii="Arial" w:hAnsi="Arial" w:cs="Arial"/>
                <w:color w:val="000000"/>
                <w:sz w:val="21"/>
                <w:szCs w:val="21"/>
                <w:lang w:bidi="ar"/>
              </w:rPr>
              <w:t>466,407,956.01</w:t>
            </w:r>
          </w:p>
        </w:tc>
        <w:tc>
          <w:tcPr>
            <w:tcW w:w="1168" w:type="dxa"/>
            <w:vAlign w:val="center"/>
          </w:tcPr>
          <w:p>
            <w:pPr>
              <w:jc w:val="center"/>
              <w:textAlignment w:val="center"/>
              <w:rPr>
                <w:rFonts w:ascii="Arial" w:hAnsi="Arial" w:cs="Arial"/>
                <w:color w:val="000000"/>
                <w:sz w:val="18"/>
                <w:szCs w:val="18"/>
                <w:lang w:bidi="ar"/>
              </w:rPr>
            </w:pPr>
          </w:p>
        </w:tc>
      </w:tr>
    </w:tbl>
    <w:p>
      <w:pPr>
        <w:ind w:firstLine="480" w:firstLineChars="200"/>
      </w:pPr>
    </w:p>
    <w:p>
      <w:pPr>
        <w:pStyle w:val="3"/>
        <w:rPr>
          <w:rFonts w:ascii="宋体" w:hAnsi="宋体" w:eastAsia="宋体"/>
          <w:sz w:val="21"/>
          <w:szCs w:val="21"/>
        </w:rPr>
      </w:pPr>
      <w:bookmarkStart w:id="15" w:name="_Toc13616"/>
      <w:bookmarkStart w:id="16" w:name="_Toc13775"/>
      <w:r>
        <w:rPr>
          <w:rFonts w:hint="eastAsia" w:ascii="宋体" w:hAnsi="宋体" w:eastAsia="宋体"/>
          <w:sz w:val="21"/>
          <w:szCs w:val="21"/>
        </w:rPr>
        <w:t>八、资金收支情况</w:t>
      </w:r>
      <w:bookmarkEnd w:id="15"/>
      <w:bookmarkEnd w:id="16"/>
    </w:p>
    <w:p>
      <w:pPr>
        <w:spacing w:line="360" w:lineRule="auto"/>
        <w:rPr>
          <w:rFonts w:ascii="Arial" w:hAnsi="Arial" w:cs="Arial"/>
          <w:b/>
          <w:sz w:val="21"/>
          <w:szCs w:val="21"/>
        </w:rPr>
      </w:pPr>
      <w:r>
        <w:rPr>
          <w:rFonts w:hint="eastAsia" w:ascii="Arial" w:hAnsi="Arial" w:cs="Arial"/>
          <w:b/>
          <w:sz w:val="21"/>
          <w:szCs w:val="21"/>
        </w:rPr>
        <w:t>8</w:t>
      </w:r>
      <w:r>
        <w:rPr>
          <w:rFonts w:ascii="Arial" w:hAnsi="Arial" w:cs="Arial"/>
          <w:b/>
          <w:sz w:val="21"/>
          <w:szCs w:val="21"/>
        </w:rPr>
        <w:t>.1</w:t>
      </w:r>
      <w:r>
        <w:rPr>
          <w:rFonts w:hint="eastAsia" w:ascii="Arial" w:hAnsi="Arial" w:cs="Arial"/>
          <w:b/>
          <w:sz w:val="21"/>
          <w:szCs w:val="21"/>
        </w:rPr>
        <w:t>资金收入</w:t>
      </w:r>
    </w:p>
    <w:p>
      <w:pPr>
        <w:spacing w:line="360" w:lineRule="auto"/>
        <w:ind w:firstLine="420" w:firstLineChars="200"/>
        <w:rPr>
          <w:rFonts w:ascii="Arial" w:hAnsi="Arial" w:cs="Arial"/>
          <w:bCs/>
          <w:sz w:val="21"/>
          <w:szCs w:val="21"/>
        </w:rPr>
      </w:pPr>
      <w:r>
        <w:rPr>
          <w:rFonts w:hint="eastAsia" w:ascii="Arial" w:hAnsi="Arial" w:cs="Arial"/>
          <w:bCs/>
          <w:sz w:val="21"/>
          <w:szCs w:val="21"/>
        </w:rPr>
        <w:t>2021年06月01日-2021年06月30日</w:t>
      </w:r>
      <w:r>
        <w:rPr>
          <w:rFonts w:ascii="Arial" w:hAnsi="Arial" w:cs="Arial"/>
          <w:bCs/>
          <w:sz w:val="21"/>
          <w:szCs w:val="21"/>
        </w:rPr>
        <w:t>期间，项目公司资金流入</w:t>
      </w:r>
      <w:r>
        <w:rPr>
          <w:rFonts w:hint="eastAsia" w:ascii="Arial" w:hAnsi="Arial" w:cs="Arial"/>
          <w:bCs/>
          <w:sz w:val="21"/>
          <w:szCs w:val="21"/>
        </w:rPr>
        <w:t>16,090.49</w:t>
      </w:r>
      <w:r>
        <w:rPr>
          <w:rFonts w:ascii="Arial" w:hAnsi="Arial" w:cs="Arial"/>
          <w:bCs/>
          <w:sz w:val="21"/>
          <w:szCs w:val="21"/>
        </w:rPr>
        <w:t>万元，具体明细如下：</w:t>
      </w:r>
    </w:p>
    <w:tbl>
      <w:tblPr>
        <w:tblStyle w:val="17"/>
        <w:tblW w:w="9910" w:type="dxa"/>
        <w:tblInd w:w="91" w:type="dxa"/>
        <w:tblLayout w:type="fixed"/>
        <w:tblCellMar>
          <w:top w:w="0" w:type="dxa"/>
          <w:left w:w="108" w:type="dxa"/>
          <w:bottom w:w="0" w:type="dxa"/>
          <w:right w:w="108" w:type="dxa"/>
        </w:tblCellMar>
      </w:tblPr>
      <w:tblGrid>
        <w:gridCol w:w="610"/>
        <w:gridCol w:w="1162"/>
        <w:gridCol w:w="1647"/>
        <w:gridCol w:w="1418"/>
        <w:gridCol w:w="1559"/>
        <w:gridCol w:w="3514"/>
      </w:tblGrid>
      <w:tr>
        <w:tblPrEx>
          <w:tblCellMar>
            <w:top w:w="0" w:type="dxa"/>
            <w:left w:w="108" w:type="dxa"/>
            <w:bottom w:w="0" w:type="dxa"/>
            <w:right w:w="108" w:type="dxa"/>
          </w:tblCellMar>
        </w:tblPrEx>
        <w:trPr>
          <w:trHeight w:val="482" w:hRule="atLeast"/>
          <w:tblHeader/>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color w:val="000000"/>
                <w:sz w:val="18"/>
                <w:szCs w:val="18"/>
                <w:lang w:bidi="ar"/>
              </w:rPr>
              <w:t>序号</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日期</w:t>
            </w:r>
          </w:p>
        </w:tc>
        <w:tc>
          <w:tcPr>
            <w:tcW w:w="164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付款方</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款项类型</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金额（元）</w:t>
            </w:r>
          </w:p>
        </w:tc>
        <w:tc>
          <w:tcPr>
            <w:tcW w:w="3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收款行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9,303,435.00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王芸芸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王芸芸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王芸芸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个人住房公积金委托贷款资金-住房公积金管理中心</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个人住房公积金委托贷款放款资金待结算款项专户</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个人住房公积金委托贷款放款资金待结算款项专户</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364,000.00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陈志明</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336,000.00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周康</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440,000.00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6,217,873.00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个人住房公积金委托贷款资金-住房公积金管理中心</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个人住房公积金委托贷款资金-住房公积金管理中心</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个人住房公积金委托贷款放款资金待结算款项专户</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吴建敏</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920,000.00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2021/6/3</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9,792,953.00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2021/6/3</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刘文</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18,101,903.00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汤国华</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410,000.00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吕明明</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2021/6/5</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19,115,816.00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2021/6/5</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张晓瑜</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2021/6/5</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吴惠芳</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2021/6/6</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11,904,471.00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2021/6/7</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2,315,640.00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2021/6/8</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2021/6/8</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吴惠芳</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2021/6/8</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郭燕</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2021/6/8</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王华</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503,000.00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2021/6/8</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王华</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657,000.00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2021/6/9</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4,373,318.00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2021/6/10</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9,827,291.00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2021/6/10</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何正生</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490,000.00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130,000.00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34</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仲晓辰</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钟星建设集团有限公司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钟金泉</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江苏中益建设集团有限公司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2021/6/12</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2,451,291.00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2021/6/13</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1,819,800.00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2021/6/13</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桂妍妍</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41</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2021/6/13</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顾良良</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42</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2021/6/14</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1,186,021.00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43</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2021/6/14</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卜晓萍</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44</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2021/6/15</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360,000.00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2021/6/15</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许强</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2021/6/15</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彭凤珠</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47</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2021/6/15</w:t>
            </w:r>
          </w:p>
        </w:tc>
        <w:tc>
          <w:tcPr>
            <w:tcW w:w="1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徐付春</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48</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2021/6/15</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徐付春</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sz w:val="18"/>
                <w:szCs w:val="18"/>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color w:val="000000"/>
                <w:sz w:val="18"/>
                <w:szCs w:val="18"/>
                <w:lang w:bidi="ar"/>
              </w:rPr>
              <w:t>500,000.00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bookmarkStart w:id="17" w:name="_Hlk68015253"/>
            <w:r>
              <w:rPr>
                <w:rFonts w:ascii="Arial" w:hAnsi="Arial" w:cs="Arial"/>
                <w:color w:val="000000"/>
                <w:sz w:val="18"/>
                <w:szCs w:val="18"/>
                <w:lang w:bidi="ar"/>
              </w:rPr>
              <w:t>49</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2021/6/15</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顾家伟</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780,000.00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2021/6/15</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顾家伟</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700,000.00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51</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2021/6/16</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1,808,700.00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52</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2021/6/16</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江苏省工业设备安装集团有限公司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53</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2021/6/16</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苏州巨鼎市政工程有限公司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54</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2021/6/16</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吴江市中泰建筑工程有限公司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2021/6/17</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1,349,522.00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2021/6/17</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苏州中宇建筑安装有限公司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57</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2021/6/17</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江苏合和机电安装工程有限公司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58</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2021/6/17</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仲晓辰</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462,831.00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59</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2021/6/17</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彭凤珠</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2021/6/17</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江苏鑫赛德智慧建设有限公司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61</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2021/6/17</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南通建工安装工程有限公司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62</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2021/6/18</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2,886,312.00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63</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2021/6/18</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江苏亿莱顿智能科技有限公司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64</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2021/6/18</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上海擎天电子科技有限公司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2021/6/19</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994,761.00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2021/6/19</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周伟</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67</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2021/6/19</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唐四红</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68</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2021/6/19</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吴静</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69</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2021/6/20</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1,989,519.00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2021/6/20</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利息</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2,545.80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中国银行苏州吴越支行一般户</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71</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2021/6/21</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利息</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9,148.93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工商银行盛泽舜湖支行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72</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2021/6/21</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利息</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215,709.78</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73</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2021/6/21</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5,742,642.00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74</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2021/6/21</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上海望实建筑工程有限公司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2021/6/21</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上海盈投建设发展有限公司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2021/6/21</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陈小芬</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77</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2021/6/21</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陈小芬</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650,000.00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78</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2021/6/21</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苏州巨鼎市政工程有限公司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79</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2021/6/21</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利息</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115,170.79</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江苏银行苏州盛泽支行513</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80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2021/6/21</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利息</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101.74</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江苏银行苏州盛泽支行-贷款资金专用账户</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81</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2021/6/21</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利息</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6,033.09</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江苏银行苏州盛泽支行774</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82</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2021/6/21</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利息</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1,073.74</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江苏银行苏州盛泽支行一般户</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83</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2021/6/21</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利息</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130,836.52</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江苏银行苏州盛泽支行-政府预售监管账户（8#9#10#11#）</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84</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2021/6/21</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利息</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17,321.17</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江苏银行苏州盛泽支行-政府预售监管账户（5#、7#）</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85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2021/6/22</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500,083.00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86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2021/6/22</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无锡天罡建设工程有限公司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87</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2021/6/22</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上海岩硕建设工程有限公司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88</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2021/6/22</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江苏中益建设集团有限公司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89</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2021/6/23</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2,770,702.00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2021/6/23</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张其福</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390,000.00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91</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2021/6/23</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张其福</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59,426.00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92</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2021/6/24</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688,375.00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93</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2021/6/24</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陈春芳</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94</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2021/6/25</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6,374,984.00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2021/6/25</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李建清</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2021/6/26</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7,945,490.00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97</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2021/6/26</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南通星龙房地产开发有限公司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其他</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202,000.00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98</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2021/6/26</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苏州通材建筑装饰有限公司</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保证金</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99</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2021/6/26</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钮达</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30,000.00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2021/6/26</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钮达</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101</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2021/6/27</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5,938,322.00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102</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2021/6/28</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3,810,814.00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103</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2021/6/28</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王中银</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250,000.00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104</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2021/6/28</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周伟</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746,835.00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105</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2021/6/29</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987,672.00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106</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2021/6/29</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王桂龙</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107</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2021/6/29</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吴彩珠</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1,680,000.00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108</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2021/6/29</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陈军</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109</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2021/6/30</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lang w:bidi="ar"/>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1,248,166.00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110</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2021/6/30</w:t>
            </w:r>
          </w:p>
        </w:tc>
        <w:tc>
          <w:tcPr>
            <w:tcW w:w="16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徐春民</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销售款</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50,000.00</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中国农业银行股份有限公司吴江盛泽支行</w:t>
            </w:r>
          </w:p>
        </w:tc>
      </w:tr>
      <w:tr>
        <w:tblPrEx>
          <w:tblCellMar>
            <w:top w:w="0" w:type="dxa"/>
            <w:left w:w="108" w:type="dxa"/>
            <w:bottom w:w="0" w:type="dxa"/>
            <w:right w:w="108" w:type="dxa"/>
          </w:tblCellMar>
        </w:tblPrEx>
        <w:trPr>
          <w:trHeight w:val="482" w:hRule="atLeast"/>
        </w:trPr>
        <w:tc>
          <w:tcPr>
            <w:tcW w:w="483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合计</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160,904,909.56 </w:t>
            </w:r>
          </w:p>
        </w:tc>
        <w:tc>
          <w:tcPr>
            <w:tcW w:w="35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p>
        </w:tc>
      </w:tr>
    </w:tbl>
    <w:p>
      <w:pPr>
        <w:rPr>
          <w:rFonts w:ascii="宋体" w:hAnsi="宋体" w:cs="宋体"/>
          <w:b/>
          <w:sz w:val="21"/>
          <w:szCs w:val="21"/>
        </w:rPr>
      </w:pPr>
    </w:p>
    <w:p>
      <w:pPr>
        <w:spacing w:line="360" w:lineRule="auto"/>
        <w:rPr>
          <w:rFonts w:ascii="Arial" w:hAnsi="Arial" w:cs="Arial"/>
          <w:b/>
          <w:sz w:val="21"/>
          <w:szCs w:val="21"/>
        </w:rPr>
      </w:pPr>
      <w:r>
        <w:rPr>
          <w:rFonts w:hint="eastAsia" w:ascii="Arial" w:hAnsi="Arial" w:cs="Arial"/>
          <w:b/>
          <w:sz w:val="21"/>
          <w:szCs w:val="21"/>
        </w:rPr>
        <w:t>8.2资金支出</w:t>
      </w:r>
    </w:p>
    <w:p>
      <w:pPr>
        <w:spacing w:line="360" w:lineRule="auto"/>
      </w:pPr>
      <w:r>
        <w:rPr>
          <w:rFonts w:hint="eastAsia" w:ascii="Arial" w:hAnsi="Arial" w:cs="Arial"/>
          <w:bCs/>
          <w:sz w:val="21"/>
          <w:szCs w:val="21"/>
        </w:rPr>
        <w:t>2021年06月01日-2021年06月30日期间，项目公司资金流出8,562.96万元，具体明细如下：</w:t>
      </w:r>
    </w:p>
    <w:bookmarkEnd w:id="17"/>
    <w:tbl>
      <w:tblPr>
        <w:tblStyle w:val="17"/>
        <w:tblpPr w:leftFromText="181" w:rightFromText="181" w:vertAnchor="text" w:horzAnchor="margin" w:tblpXSpec="center" w:tblpY="1"/>
        <w:tblOverlap w:val="never"/>
        <w:tblW w:w="10768" w:type="dxa"/>
        <w:jc w:val="center"/>
        <w:tblLayout w:type="fixed"/>
        <w:tblCellMar>
          <w:top w:w="0" w:type="dxa"/>
          <w:left w:w="108" w:type="dxa"/>
          <w:bottom w:w="0" w:type="dxa"/>
          <w:right w:w="108" w:type="dxa"/>
        </w:tblCellMar>
      </w:tblPr>
      <w:tblGrid>
        <w:gridCol w:w="531"/>
        <w:gridCol w:w="1153"/>
        <w:gridCol w:w="1719"/>
        <w:gridCol w:w="1875"/>
        <w:gridCol w:w="1425"/>
        <w:gridCol w:w="1925"/>
        <w:gridCol w:w="675"/>
        <w:gridCol w:w="1001"/>
        <w:gridCol w:w="464"/>
      </w:tblGrid>
      <w:tr>
        <w:tblPrEx>
          <w:tblCellMar>
            <w:top w:w="0" w:type="dxa"/>
            <w:left w:w="108" w:type="dxa"/>
            <w:bottom w:w="0" w:type="dxa"/>
            <w:right w:w="108" w:type="dxa"/>
          </w:tblCellMar>
        </w:tblPrEx>
        <w:trPr>
          <w:trHeight w:val="578" w:hRule="atLeast"/>
          <w:tblHeader/>
          <w:jc w:val="center"/>
        </w:trPr>
        <w:tc>
          <w:tcPr>
            <w:tcW w:w="531"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lang w:bidi="ar"/>
                <w14:textFill>
                  <w14:solidFill>
                    <w14:schemeClr w14:val="tx1"/>
                  </w14:solidFill>
                </w14:textFill>
              </w:rPr>
              <w:t>序号</w:t>
            </w:r>
          </w:p>
        </w:tc>
        <w:tc>
          <w:tcPr>
            <w:tcW w:w="1153"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lang w:bidi="ar"/>
                <w14:textFill>
                  <w14:solidFill>
                    <w14:schemeClr w14:val="tx1"/>
                  </w14:solidFill>
                </w14:textFill>
              </w:rPr>
              <w:t>支付时间</w:t>
            </w:r>
          </w:p>
        </w:tc>
        <w:tc>
          <w:tcPr>
            <w:tcW w:w="171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lang w:bidi="ar"/>
                <w14:textFill>
                  <w14:solidFill>
                    <w14:schemeClr w14:val="tx1"/>
                  </w14:solidFill>
                </w14:textFill>
              </w:rPr>
              <w:t>收款方</w:t>
            </w:r>
          </w:p>
        </w:tc>
        <w:tc>
          <w:tcPr>
            <w:tcW w:w="187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lang w:bidi="ar"/>
                <w14:textFill>
                  <w14:solidFill>
                    <w14:schemeClr w14:val="tx1"/>
                  </w14:solidFill>
                </w14:textFill>
              </w:rPr>
              <w:t>资金用途</w:t>
            </w:r>
          </w:p>
        </w:tc>
        <w:tc>
          <w:tcPr>
            <w:tcW w:w="142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lang w:bidi="ar"/>
                <w14:textFill>
                  <w14:solidFill>
                    <w14:schemeClr w14:val="tx1"/>
                  </w14:solidFill>
                </w14:textFill>
              </w:rPr>
              <w:t>金额（元）</w:t>
            </w:r>
          </w:p>
        </w:tc>
        <w:tc>
          <w:tcPr>
            <w:tcW w:w="19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lang w:bidi="ar"/>
                <w14:textFill>
                  <w14:solidFill>
                    <w14:schemeClr w14:val="tx1"/>
                  </w14:solidFill>
                </w14:textFill>
              </w:rPr>
              <w:t>出款行</w:t>
            </w:r>
          </w:p>
        </w:tc>
        <w:tc>
          <w:tcPr>
            <w:tcW w:w="675"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lang w:bidi="ar"/>
                <w14:textFill>
                  <w14:solidFill>
                    <w14:schemeClr w14:val="tx1"/>
                  </w14:solidFill>
                </w14:textFill>
              </w:rPr>
              <w:t>用款类型</w:t>
            </w:r>
          </w:p>
        </w:tc>
        <w:tc>
          <w:tcPr>
            <w:tcW w:w="1001"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lang w:bidi="ar"/>
                <w14:textFill>
                  <w14:solidFill>
                    <w14:schemeClr w14:val="tx1"/>
                  </w14:solidFill>
                </w14:textFill>
              </w:rPr>
              <w:t>委托方审批方式</w:t>
            </w:r>
          </w:p>
        </w:tc>
        <w:tc>
          <w:tcPr>
            <w:tcW w:w="464" w:type="dxa"/>
            <w:tcBorders>
              <w:top w:val="single" w:color="000000" w:sz="8" w:space="0"/>
              <w:left w:val="nil"/>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lang w:bidi="ar"/>
                <w14:textFill>
                  <w14:solidFill>
                    <w14:schemeClr w14:val="tx1"/>
                  </w14:solidFill>
                </w14:textFill>
              </w:rPr>
              <w:t>备注</w:t>
            </w: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260.00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个人所得税　　　　　　　　　　　　　　　　　　　　　　　　　　</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79,391.70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苏州市吴江区盛泽镇财政和资产管理局非税收入专户</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占地缴款.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157,069.00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邮件审批</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苏州市吴江区盛泽镇财政和资产管理局非税收入专户</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占地保证金.</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872,604.00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邮件审批</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240.00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2021/6/3</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220.00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380.00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2021/6/5</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2021/6/6</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360.00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2021/6/7</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电信费用（自动扣款）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1,967.00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2021/6/9</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2021/6/9</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2021/6/10</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255.00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杨瑛</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614.83</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苏州卓悦门诊部有限公司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体检.</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10,950.00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1,725.01</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李强</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1,202.03</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424.00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4,379.00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801.00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刘正云</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445.00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出差津贴.</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朱益群</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生育津贴.</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顾骧</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晋合工作餐.</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6,320.00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潘锦山</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盛泽食堂.</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28,547.00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843.38</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加油卡.</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8,000.00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王苹苹</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3,003.00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400.97</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调试服务费.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尤晶晶</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4,030.00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2,580.00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苏健</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312.00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王晓丹</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2,650.00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苏州市天佳办公设备有限公司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复印机.</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16,010.00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32.50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2021/6/12</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2021/6/12</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短信费（自动扣款）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2021/6/13</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2021/6/14</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2021/6/15</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2021/6/15</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国家金库苏州市吴江区支库</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批量扣税请求　　　　　　　　　　　　　　　　　　　　　　　　　　　　</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17,030.00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2021/6/15</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崔世林</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工资.</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28,437.49</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2021/6/15</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王珏</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工资.</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2021/6/15</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王珏</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工资.</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23,302.26</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2021/6/15</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王珏</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通讯费.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2021/6/15</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崔世林</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通讯费.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3,620.00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2021/6/15</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12.50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2021/6/15</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通讯费营销人员</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5,201.00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2021/6/15</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营销人员工资</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438,879.41</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2021/6/15</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通讯费补助</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8,704.00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2021/6/15</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员工工资</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556,695.27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2021/6/16</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2021/6/16</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上海洛翊企业管理有限公司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往来款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47,973,205.48</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往来款</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邮件审批</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2021/6/16</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2021/6/16</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增值税</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2,084,315.86</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2021/6/16</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增值税附加</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250,117.91</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2021/6/16</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残障金</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1,530.87</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2021/6/16</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土地增值税</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1,758,176.74</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2021/6/16</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国家金库吴江盛泽镇金库</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印花税</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50,354.70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2021/6/17</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140.00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苏州顺驰文化传媒有限公司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2021年5月业主生日会合同款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14,000.00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吴江区松陵镇小精灵艺术传播工作室</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盛泽项目2021年5月15日掼蛋比赛活动费用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8,000.00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吴中经济技术开发区新动力广告制作部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盛泽项目2021年5月转角大牌更换制作费用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3,580.00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吴中经济技术开发区新动力广告制作部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盛泽项目2021年4月17日加推开盘零星物料制作费用2</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苏州虎云文化传媒有限公司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盛泽项目2021年5月3日友邦保险女性插花活动费用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4,300.00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吴中经济技术开发区新动力广告制作部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盛泽项目2021年4月17日加推开盘桁架制作费用9</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9,200.00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苏州虎云文化传媒有限公司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盛泽项目2021年5月2日魅力女性插花活动费用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4,200.00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苏州世诺广告有限公司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盛泽项目2021年5月亚克力泡沫立体字制作费用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6,400.00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苏州世诺广告有限公司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盛泽项目2021年5月案场零星物料制作费用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8,317.00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苏州世诺广告有限公司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盛泽项目2021年5月桁架及停车场围挡修复制作费用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8,476.00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苏州工业园区花堂间广告设计服务部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盛泽项目3月份渠道礼品（运动水壶）采购费用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9,600.00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苏州工业园区花堂间广告设计服务部</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盛泽项目4月长柄伞制作（木质把手）费用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9,800.00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苏州工业园区多宝阁百货商行</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盛泽项目成交礼采购合同</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39,500.00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中智西安经济技术合作有限公司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支付6月社保公积金人事代理费用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25,643.36</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崔总房租费用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13,500.00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晋合物业管理（苏州）有限公司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晋合广场写字楼电费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1,407.88</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5月办公网络费用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4,277.34</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董小情</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售楼处饮用水</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营销策划部招待费报销</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4,510.00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谢燕</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谢燕报销招待企业单位餐费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17.50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吴江港华燃气有限公司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（盛泽镇）绸都大道西侧2号地块燃气工程安装协议进度款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1,008,480.00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南京工大建设监理咨询有限公司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监理工程合同进度款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159,450.64</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892"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江苏中禾建设集团有限公司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二期桩基和基坑围护分包工程进度款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11,634,460.39</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江苏中禾建设集团有限公司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一期试桩分包工程结算款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222,798.62</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江苏中禾建设集团有限公司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售楼处桩基围护及土方分包工程结算款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721,887.57</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苏州正荣辉消防工程有限公司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售楼处及样板房消防分包工程结算款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79,315.87</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苏州正荣辉消防工程有限公司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售楼处及样板房智能化分包工程付款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58,174.42</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苏州柯利达装饰股份有限公司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（盛泽镇）绸都大道西侧2号地块北区住宅公区及架空层室内设计合同 进度款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145,500.00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苏州柯利达装饰股份有限公司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（盛泽镇）绸都大道西侧2号地块北区住宅批量户型精装设计合同进度款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120,600.00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苏州柯利达装饰股份有限公司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（盛泽镇）绸都大道西侧1号地块住宅公区及架空层精装设计合同预付款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77,200.00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苏州柯利达装饰股份有限公司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（盛泽镇）绸都大道西侧1号地块住宅大货批量户型精装设计合同预付款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63,200.00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262.50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华鑫国际信托有限公司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开发贷第二季度付息</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14,311,111.11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江苏银行苏州盛泽支行774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2021/6/19</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2021/6/20</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340.00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2021/6/20</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付本账户2021年企业网银年服务费（自动扣款）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 </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工商银行盛泽舜湖支行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苏州市住房公积金管理中心</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员工公积金扣款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8,400.00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江苏楼事数字传媒有限公司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苏州楼事网络平台投放合同款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98,000.00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苏州建创广告传媒有限公司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盛泽项目2021年5月乡镇横幅户外广告投放合同款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苏州泰瓯商贸有限公司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2020-12至2021-3月图文打印费用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1,083.14</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苏州红星品唯物业管理有限公司吴江分公司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盛泽项目2020年示范区物业服务协议</w:t>
            </w:r>
            <w:r>
              <w:rPr>
                <w:rFonts w:ascii="Arial" w:hAnsi="Arial" w:cs="Arial"/>
                <w:color w:val="000000"/>
                <w:sz w:val="18"/>
                <w:szCs w:val="18"/>
                <w:lang w:bidi="ar"/>
              </w:rPr>
              <w:br w:type="textWrapping"/>
            </w:r>
            <w:r>
              <w:rPr>
                <w:rFonts w:ascii="Arial" w:hAnsi="Arial" w:cs="Arial"/>
                <w:color w:val="000000"/>
                <w:sz w:val="18"/>
                <w:szCs w:val="18"/>
                <w:lang w:bidi="ar"/>
              </w:rPr>
              <w:t>2021年5月月费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264,666.40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17.50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2021/6/21</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180.00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2021/6/22</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2021/6/22</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江苏南通二建集团有限公司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投标保证金退还</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收费退缴</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2021/6/22</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天津市建工工程总承包有限公司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投标保证金退还</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收费退缴</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2021/6/22</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王苹苹</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报销家宴费用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12,794.00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2021/6/22</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苏州工业园区顺丰速运有限公司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报销5月顺丰费用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805.00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2021/6/22</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支付晋合0601-0616晋合工作餐费用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10,720.00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2021/6/22</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支付2021年度半年会包车费用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6,700.00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2021/6/22</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35.00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2021/6/22</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对公账户银行询证函费用.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江苏银行苏州盛泽支行一般户</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2021/6/23</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苏州市天佳办公设备有限公司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售楼处打印机租赁费用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潘锦山</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报销餐费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1,820.00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潘锦山</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报销招待费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潘锦山</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报销招待费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3,100.00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朱丽婷</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报销市内交通费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502.21</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报销车辆过户、车辆清洗费用及停车费用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1,452.00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报销误餐费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180.00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报销加油卡充值费用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8,000.00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报销奥迪车维修费用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吴江市建设房产测量有限公司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支付房产面积测绘合同款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41,961.76</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吴江市吴城房地产咨询有限公司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支付盛泽1号地块施工临时占地放样合同款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2,592.00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杨瑛</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报销交通费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695.50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苏州工业园区金钥匙贸易有限公司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3-4月办公物品采购费用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3,959.00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苏州工业园区金钥匙贸易有限公司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3-4月办公物品采购费用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5,907.50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王晓丹</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报销招待费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4,603.00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苏州瑞富泉贸易有限公司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盛泽售楼处日常物料采购费用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10,320.00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160.00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苏州市深广印刷有限公司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支付盛泽项目2021年4月渠道海报印刷费用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9,600.00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苏州顺驰文化传媒有限公司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支付盛泽项目2021年5月30日天铂杯吉他展演活动费用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5,300.00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姑苏区永誉工艺品商行</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支付盛泽项目2021年5月定制矿泉水制作费用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9,000.00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江苏中益建设集团有限公司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退投标保证金.</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500,000.00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收费退缴</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苏州市墨利印刷有限公司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支付盛泽项目2021年5月渠道地推海报印刷合同款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28,800.00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苏州顺驰文化传媒有限公司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支付盛泽项目2021年6月案场椰子采购及媒体拜访礼采购费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8,000.00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苏州顺驰文化传媒有限公司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支付盛泽项目2021年5月案场零星物料定制费用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6,550.00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37.50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2021/6/26</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2021/6/27</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140.00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2021/6/28</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120.00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2021/6/29</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60.00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155</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2021/6/29</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周冲</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报销商务车过路费油费报销</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792.00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156</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2021/6/29</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周冲</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报销商务车停车费用</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470.00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157</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2021/6/29</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报销招待费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3,148.00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158</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2021/6/29</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苏州环湖酒店管理有限公司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报销住宿费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489.00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159</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2021/6/29</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王晓丹</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报销招待费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2021/6/29</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报销公司车辆停车费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2,465.00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161</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2021/6/29</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杨瑛</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报销交通费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287.63</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162</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2021/6/29</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蚌埠灵工科技有限公司</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推广费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260,000.00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163</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2021/6/29</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手续费（自动扣款）</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164</w:t>
            </w:r>
          </w:p>
        </w:tc>
        <w:tc>
          <w:tcPr>
            <w:tcW w:w="11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2021/6/30</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销售回款刷卡手续费</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80.00</w:t>
            </w:r>
          </w:p>
        </w:tc>
        <w:tc>
          <w:tcPr>
            <w:tcW w:w="1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中国农业银行股份有限公司吴江盛泽支行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资金计划内</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Arial" w:hAnsi="Arial" w:cs="Arial"/>
                <w:color w:val="000000"/>
                <w:sz w:val="18"/>
                <w:szCs w:val="18"/>
              </w:rPr>
            </w:pPr>
          </w:p>
        </w:tc>
      </w:tr>
      <w:tr>
        <w:tblPrEx>
          <w:tblCellMar>
            <w:top w:w="0" w:type="dxa"/>
            <w:left w:w="108" w:type="dxa"/>
            <w:bottom w:w="0" w:type="dxa"/>
            <w:right w:w="108" w:type="dxa"/>
          </w:tblCellMar>
        </w:tblPrEx>
        <w:trPr>
          <w:trHeight w:val="578" w:hRule="atLeast"/>
          <w:jc w:val="center"/>
        </w:trPr>
        <w:tc>
          <w:tcPr>
            <w:tcW w:w="527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合计</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85,629,568.25 </w:t>
            </w:r>
          </w:p>
        </w:tc>
        <w:tc>
          <w:tcPr>
            <w:tcW w:w="40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w:t>
            </w:r>
          </w:p>
        </w:tc>
      </w:tr>
    </w:tbl>
    <w:p>
      <w:pPr>
        <w:pStyle w:val="2"/>
        <w:ind w:firstLine="0" w:firstLineChars="0"/>
      </w:pPr>
    </w:p>
    <w:p>
      <w:pPr>
        <w:rPr>
          <w:rFonts w:ascii="宋体" w:hAnsi="宋体" w:cs="宋体"/>
          <w:b/>
          <w:sz w:val="21"/>
          <w:szCs w:val="21"/>
        </w:rPr>
      </w:pPr>
      <w:r>
        <w:rPr>
          <w:rFonts w:hint="eastAsia" w:ascii="宋体" w:hAnsi="宋体" w:cs="宋体"/>
          <w:b/>
          <w:sz w:val="21"/>
          <w:szCs w:val="21"/>
        </w:rPr>
        <w:t>8.3资金平衡表</w:t>
      </w:r>
    </w:p>
    <w:p>
      <w:pPr>
        <w:spacing w:line="360" w:lineRule="auto"/>
        <w:ind w:firstLine="420" w:firstLineChars="200"/>
        <w:rPr>
          <w:rFonts w:ascii="宋体" w:hAnsi="宋体" w:cs="宋体"/>
          <w:b/>
          <w:sz w:val="21"/>
          <w:szCs w:val="21"/>
        </w:rPr>
      </w:pPr>
      <w:r>
        <w:rPr>
          <w:rFonts w:ascii="Arial" w:hAnsi="Arial" w:cs="Arial"/>
          <w:bCs/>
          <w:sz w:val="21"/>
          <w:szCs w:val="21"/>
        </w:rPr>
        <w:t>截至2021年</w:t>
      </w:r>
      <w:r>
        <w:rPr>
          <w:rFonts w:hint="eastAsia" w:ascii="Arial" w:hAnsi="Arial" w:cs="Arial"/>
          <w:bCs/>
          <w:sz w:val="21"/>
          <w:szCs w:val="21"/>
        </w:rPr>
        <w:t>06</w:t>
      </w:r>
      <w:r>
        <w:rPr>
          <w:rFonts w:ascii="Arial" w:hAnsi="Arial" w:cs="Arial"/>
          <w:bCs/>
          <w:sz w:val="21"/>
          <w:szCs w:val="21"/>
        </w:rPr>
        <w:t>月，本项目累计销售收入</w:t>
      </w:r>
      <w:r>
        <w:rPr>
          <w:rFonts w:hint="eastAsia" w:ascii="Arial" w:hAnsi="Arial" w:cs="Arial"/>
          <w:bCs/>
          <w:sz w:val="21"/>
          <w:szCs w:val="21"/>
        </w:rPr>
        <w:t>88,154.71</w:t>
      </w:r>
      <w:r>
        <w:rPr>
          <w:rFonts w:ascii="Arial" w:hAnsi="Arial" w:cs="Arial"/>
          <w:bCs/>
          <w:sz w:val="21"/>
          <w:szCs w:val="21"/>
        </w:rPr>
        <w:t>万元，累计支出</w:t>
      </w:r>
      <w:r>
        <w:rPr>
          <w:rFonts w:hint="eastAsia" w:ascii="Arial" w:hAnsi="Arial" w:cs="Arial"/>
          <w:bCs/>
          <w:sz w:val="21"/>
          <w:szCs w:val="21"/>
        </w:rPr>
        <w:t>183,598.10</w:t>
      </w:r>
      <w:r>
        <w:rPr>
          <w:rFonts w:ascii="Arial" w:hAnsi="Arial" w:cs="Arial"/>
          <w:bCs/>
          <w:sz w:val="21"/>
          <w:szCs w:val="21"/>
        </w:rPr>
        <w:t>万元，资金平衡情况见下表：</w:t>
      </w:r>
    </w:p>
    <w:p>
      <w:pPr>
        <w:ind w:firstLine="422" w:firstLineChars="200"/>
        <w:jc w:val="center"/>
        <w:rPr>
          <w:rFonts w:ascii="宋体" w:hAnsi="宋体" w:cs="宋体"/>
          <w:b/>
          <w:sz w:val="21"/>
          <w:szCs w:val="21"/>
        </w:rPr>
      </w:pPr>
      <w:r>
        <w:rPr>
          <w:rFonts w:hint="eastAsia" w:ascii="宋体" w:hAnsi="宋体" w:cs="宋体"/>
          <w:b/>
          <w:sz w:val="21"/>
          <w:szCs w:val="21"/>
        </w:rPr>
        <w:t>表九：资金平衡情况</w:t>
      </w:r>
    </w:p>
    <w:tbl>
      <w:tblPr>
        <w:tblStyle w:val="17"/>
        <w:tblW w:w="9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1946"/>
        <w:gridCol w:w="1789"/>
        <w:gridCol w:w="2068"/>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blHeader/>
          <w:jc w:val="center"/>
        </w:trPr>
        <w:tc>
          <w:tcPr>
            <w:tcW w:w="1528" w:type="dxa"/>
            <w:vMerge w:val="restart"/>
            <w:shd w:val="clear" w:color="auto" w:fill="auto"/>
            <w:vAlign w:val="center"/>
          </w:tcPr>
          <w:p>
            <w:pPr>
              <w:jc w:val="center"/>
              <w:rPr>
                <w:rFonts w:ascii="Arial" w:hAnsi="Arial" w:cs="Arial"/>
                <w:b/>
                <w:bCs/>
                <w:color w:val="000000"/>
                <w:sz w:val="18"/>
                <w:szCs w:val="18"/>
              </w:rPr>
            </w:pPr>
          </w:p>
        </w:tc>
        <w:tc>
          <w:tcPr>
            <w:tcW w:w="1946" w:type="dxa"/>
            <w:vMerge w:val="restar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项目总预算</w:t>
            </w:r>
          </w:p>
          <w:p>
            <w:pPr>
              <w:jc w:val="center"/>
              <w:rPr>
                <w:rFonts w:ascii="Arial" w:hAnsi="Arial" w:cs="Arial"/>
                <w:b/>
                <w:bCs/>
                <w:color w:val="000000"/>
                <w:sz w:val="18"/>
                <w:szCs w:val="18"/>
              </w:rPr>
            </w:pPr>
            <w:r>
              <w:rPr>
                <w:rFonts w:ascii="Arial" w:hAnsi="Arial" w:cs="Arial"/>
                <w:b/>
                <w:bCs/>
                <w:color w:val="000000"/>
                <w:sz w:val="18"/>
                <w:szCs w:val="18"/>
              </w:rPr>
              <w:t>(</w:t>
            </w:r>
            <w:r>
              <w:rPr>
                <w:rFonts w:hint="eastAsia" w:ascii="Arial" w:hAnsi="Arial" w:cs="Arial"/>
                <w:b/>
                <w:bCs/>
                <w:color w:val="000000"/>
                <w:sz w:val="18"/>
                <w:szCs w:val="18"/>
              </w:rPr>
              <w:t>万</w:t>
            </w:r>
            <w:r>
              <w:rPr>
                <w:rFonts w:ascii="Arial" w:hAnsi="Arial" w:cs="Arial"/>
                <w:b/>
                <w:bCs/>
                <w:color w:val="000000"/>
                <w:sz w:val="18"/>
                <w:szCs w:val="18"/>
              </w:rPr>
              <w:t>元）</w:t>
            </w:r>
          </w:p>
        </w:tc>
        <w:tc>
          <w:tcPr>
            <w:tcW w:w="1789" w:type="dxa"/>
            <w:vMerge w:val="restar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本月资金实际(</w:t>
            </w:r>
            <w:r>
              <w:rPr>
                <w:rFonts w:hint="eastAsia" w:ascii="Arial" w:hAnsi="Arial" w:cs="Arial"/>
                <w:b/>
                <w:bCs/>
                <w:color w:val="000000"/>
                <w:sz w:val="18"/>
                <w:szCs w:val="18"/>
              </w:rPr>
              <w:t>万</w:t>
            </w:r>
            <w:r>
              <w:rPr>
                <w:rFonts w:ascii="Arial" w:hAnsi="Arial" w:cs="Arial"/>
                <w:b/>
                <w:bCs/>
                <w:color w:val="000000"/>
                <w:sz w:val="18"/>
                <w:szCs w:val="18"/>
              </w:rPr>
              <w:t>元）</w:t>
            </w:r>
          </w:p>
        </w:tc>
        <w:tc>
          <w:tcPr>
            <w:tcW w:w="2068" w:type="dxa"/>
            <w:vMerge w:val="restar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本年资金实际(</w:t>
            </w:r>
            <w:r>
              <w:rPr>
                <w:rFonts w:hint="eastAsia" w:ascii="Arial" w:hAnsi="Arial" w:cs="Arial"/>
                <w:b/>
                <w:bCs/>
                <w:color w:val="000000"/>
                <w:sz w:val="18"/>
                <w:szCs w:val="18"/>
              </w:rPr>
              <w:t>万</w:t>
            </w:r>
            <w:r>
              <w:rPr>
                <w:rFonts w:ascii="Arial" w:hAnsi="Arial" w:cs="Arial"/>
                <w:b/>
                <w:bCs/>
                <w:color w:val="000000"/>
                <w:sz w:val="18"/>
                <w:szCs w:val="18"/>
              </w:rPr>
              <w:t>元）</w:t>
            </w:r>
          </w:p>
        </w:tc>
        <w:tc>
          <w:tcPr>
            <w:tcW w:w="1714" w:type="dxa"/>
            <w:vMerge w:val="restar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累计资金实际(截至2021.0</w:t>
            </w:r>
            <w:r>
              <w:rPr>
                <w:rFonts w:hint="eastAsia" w:ascii="Arial" w:hAnsi="Arial" w:cs="Arial"/>
                <w:b/>
                <w:bCs/>
                <w:color w:val="000000"/>
                <w:sz w:val="18"/>
                <w:szCs w:val="18"/>
              </w:rPr>
              <w:t>6</w:t>
            </w:r>
            <w:r>
              <w:rPr>
                <w:rFonts w:ascii="Arial" w:hAnsi="Arial" w:cs="Arial"/>
                <w:b/>
                <w:bCs/>
                <w:color w:val="000000"/>
                <w:sz w:val="18"/>
                <w:szCs w:val="18"/>
              </w:rPr>
              <w:t>月）</w:t>
            </w:r>
          </w:p>
          <w:p>
            <w:pPr>
              <w:jc w:val="center"/>
              <w:rPr>
                <w:rFonts w:ascii="Arial" w:hAnsi="Arial" w:cs="Arial"/>
                <w:b/>
                <w:bCs/>
                <w:color w:val="000000"/>
                <w:sz w:val="18"/>
                <w:szCs w:val="18"/>
              </w:rPr>
            </w:pPr>
            <w:r>
              <w:rPr>
                <w:rFonts w:ascii="Arial" w:hAnsi="Arial" w:cs="Arial"/>
                <w:b/>
                <w:bCs/>
                <w:color w:val="000000"/>
                <w:sz w:val="18"/>
                <w:szCs w:val="18"/>
              </w:rPr>
              <w:t>(</w:t>
            </w:r>
            <w:r>
              <w:rPr>
                <w:rFonts w:hint="eastAsia" w:ascii="Arial" w:hAnsi="Arial" w:cs="Arial"/>
                <w:b/>
                <w:bCs/>
                <w:color w:val="000000"/>
                <w:sz w:val="18"/>
                <w:szCs w:val="18"/>
              </w:rPr>
              <w:t>万</w:t>
            </w:r>
            <w:r>
              <w:rPr>
                <w:rFonts w:ascii="Arial" w:hAnsi="Arial" w:cs="Arial"/>
                <w:b/>
                <w:bCs/>
                <w:color w:val="000000"/>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528" w:type="dxa"/>
            <w:vMerge w:val="continue"/>
            <w:vAlign w:val="center"/>
          </w:tcPr>
          <w:p>
            <w:pPr>
              <w:jc w:val="center"/>
              <w:rPr>
                <w:rFonts w:ascii="Arial" w:hAnsi="Arial" w:cs="Arial"/>
                <w:b/>
                <w:bCs/>
                <w:color w:val="000000"/>
                <w:sz w:val="18"/>
                <w:szCs w:val="18"/>
              </w:rPr>
            </w:pPr>
          </w:p>
        </w:tc>
        <w:tc>
          <w:tcPr>
            <w:tcW w:w="1946" w:type="dxa"/>
            <w:vMerge w:val="continue"/>
            <w:vAlign w:val="center"/>
          </w:tcPr>
          <w:p>
            <w:pPr>
              <w:jc w:val="center"/>
              <w:rPr>
                <w:rFonts w:ascii="Arial" w:hAnsi="Arial" w:cs="Arial"/>
                <w:b/>
                <w:bCs/>
                <w:color w:val="000000"/>
                <w:sz w:val="18"/>
                <w:szCs w:val="18"/>
              </w:rPr>
            </w:pPr>
          </w:p>
        </w:tc>
        <w:tc>
          <w:tcPr>
            <w:tcW w:w="1789" w:type="dxa"/>
            <w:vMerge w:val="continue"/>
            <w:vAlign w:val="center"/>
          </w:tcPr>
          <w:p>
            <w:pPr>
              <w:jc w:val="center"/>
              <w:rPr>
                <w:rFonts w:ascii="Arial" w:hAnsi="Arial" w:cs="Arial"/>
                <w:b/>
                <w:bCs/>
                <w:color w:val="000000"/>
                <w:sz w:val="18"/>
                <w:szCs w:val="18"/>
              </w:rPr>
            </w:pPr>
          </w:p>
        </w:tc>
        <w:tc>
          <w:tcPr>
            <w:tcW w:w="2068" w:type="dxa"/>
            <w:vMerge w:val="continue"/>
            <w:vAlign w:val="center"/>
          </w:tcPr>
          <w:p>
            <w:pPr>
              <w:jc w:val="center"/>
              <w:rPr>
                <w:rFonts w:ascii="Arial" w:hAnsi="Arial" w:cs="Arial"/>
                <w:b/>
                <w:bCs/>
                <w:color w:val="000000"/>
                <w:sz w:val="18"/>
                <w:szCs w:val="18"/>
              </w:rPr>
            </w:pPr>
          </w:p>
        </w:tc>
        <w:tc>
          <w:tcPr>
            <w:tcW w:w="1714" w:type="dxa"/>
            <w:vMerge w:val="continue"/>
            <w:vAlign w:val="center"/>
          </w:tcPr>
          <w:p>
            <w:pPr>
              <w:jc w:val="center"/>
              <w:rPr>
                <w:rFonts w:ascii="Arial" w:hAnsi="Arial" w:cs="Arial"/>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经营性资金流入</w:t>
            </w:r>
          </w:p>
        </w:tc>
        <w:tc>
          <w:tcPr>
            <w:tcW w:w="1946" w:type="dxa"/>
            <w:shd w:val="clear" w:color="auto" w:fill="auto"/>
            <w:vAlign w:val="center"/>
          </w:tcPr>
          <w:p>
            <w:pPr>
              <w:jc w:val="center"/>
              <w:rPr>
                <w:rFonts w:ascii="Arial" w:hAnsi="Arial" w:cs="Arial"/>
                <w:color w:val="000000"/>
                <w:sz w:val="18"/>
                <w:szCs w:val="18"/>
              </w:rPr>
            </w:pPr>
          </w:p>
        </w:tc>
        <w:tc>
          <w:tcPr>
            <w:tcW w:w="1789" w:type="dxa"/>
            <w:shd w:val="clear" w:color="auto" w:fill="auto"/>
            <w:vAlign w:val="center"/>
          </w:tcPr>
          <w:p>
            <w:pPr>
              <w:jc w:val="right"/>
              <w:rPr>
                <w:rFonts w:ascii="Arial" w:hAnsi="Arial" w:cs="Arial"/>
                <w:color w:val="000000"/>
                <w:sz w:val="18"/>
                <w:szCs w:val="18"/>
              </w:rPr>
            </w:pPr>
          </w:p>
        </w:tc>
        <w:tc>
          <w:tcPr>
            <w:tcW w:w="2068" w:type="dxa"/>
            <w:shd w:val="clear" w:color="auto" w:fill="auto"/>
            <w:vAlign w:val="center"/>
          </w:tcPr>
          <w:p>
            <w:pPr>
              <w:jc w:val="right"/>
              <w:rPr>
                <w:rFonts w:ascii="Arial" w:hAnsi="Arial" w:cs="Arial"/>
                <w:color w:val="000000"/>
                <w:sz w:val="18"/>
                <w:szCs w:val="18"/>
              </w:rPr>
            </w:pPr>
          </w:p>
        </w:tc>
        <w:tc>
          <w:tcPr>
            <w:tcW w:w="1714" w:type="dxa"/>
            <w:shd w:val="clear" w:color="auto" w:fill="auto"/>
            <w:vAlign w:val="center"/>
          </w:tcPr>
          <w:p>
            <w:pPr>
              <w:jc w:val="right"/>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ind w:firstLine="180" w:firstLineChars="100"/>
              <w:jc w:val="center"/>
              <w:rPr>
                <w:rFonts w:ascii="Arial" w:hAnsi="Arial" w:cs="Arial"/>
                <w:color w:val="000000"/>
                <w:sz w:val="18"/>
                <w:szCs w:val="18"/>
              </w:rPr>
            </w:pPr>
            <w:r>
              <w:rPr>
                <w:rFonts w:ascii="Arial" w:hAnsi="Arial" w:cs="Arial"/>
                <w:color w:val="000000"/>
                <w:sz w:val="18"/>
                <w:szCs w:val="18"/>
              </w:rPr>
              <w:t>销售回款</w:t>
            </w:r>
          </w:p>
        </w:tc>
        <w:tc>
          <w:tcPr>
            <w:tcW w:w="1946" w:type="dxa"/>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376,157.10 </w:t>
            </w:r>
          </w:p>
        </w:tc>
        <w:tc>
          <w:tcPr>
            <w:tcW w:w="1789" w:type="dxa"/>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15,860.50 </w:t>
            </w:r>
          </w:p>
        </w:tc>
        <w:tc>
          <w:tcPr>
            <w:tcW w:w="2068" w:type="dxa"/>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76,976.06 </w:t>
            </w:r>
          </w:p>
        </w:tc>
        <w:tc>
          <w:tcPr>
            <w:tcW w:w="1714" w:type="dxa"/>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88,154.71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ind w:firstLine="180" w:firstLineChars="100"/>
              <w:jc w:val="center"/>
              <w:rPr>
                <w:rFonts w:ascii="Arial" w:hAnsi="Arial" w:cs="Arial"/>
                <w:color w:val="000000"/>
                <w:sz w:val="18"/>
                <w:szCs w:val="18"/>
              </w:rPr>
            </w:pPr>
            <w:r>
              <w:rPr>
                <w:rFonts w:ascii="Arial" w:hAnsi="Arial" w:cs="Arial"/>
                <w:color w:val="000000"/>
                <w:sz w:val="18"/>
                <w:szCs w:val="18"/>
              </w:rPr>
              <w:t>其他收入</w:t>
            </w:r>
          </w:p>
        </w:tc>
        <w:tc>
          <w:tcPr>
            <w:tcW w:w="1946" w:type="dxa"/>
            <w:shd w:val="clear" w:color="auto" w:fill="auto"/>
            <w:vAlign w:val="center"/>
          </w:tcPr>
          <w:p>
            <w:pPr>
              <w:rPr>
                <w:rFonts w:ascii="Arial" w:hAnsi="Arial" w:cs="Arial"/>
                <w:color w:val="000000"/>
                <w:sz w:val="18"/>
                <w:szCs w:val="18"/>
                <w:lang w:bidi="ar"/>
              </w:rPr>
            </w:pP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229.99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566.03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893.87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经营性收入合计</w:t>
            </w:r>
          </w:p>
        </w:tc>
        <w:tc>
          <w:tcPr>
            <w:tcW w:w="1946" w:type="dxa"/>
            <w:shd w:val="clear" w:color="auto" w:fill="auto"/>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 xml:space="preserve">376,157.10 </w:t>
            </w:r>
          </w:p>
        </w:tc>
        <w:tc>
          <w:tcPr>
            <w:tcW w:w="1789" w:type="dxa"/>
            <w:shd w:val="clear" w:color="auto" w:fill="auto"/>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 xml:space="preserve">16,090.49 </w:t>
            </w:r>
          </w:p>
        </w:tc>
        <w:tc>
          <w:tcPr>
            <w:tcW w:w="2068" w:type="dxa"/>
            <w:shd w:val="clear" w:color="auto" w:fill="auto"/>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 xml:space="preserve">77,542.10 </w:t>
            </w:r>
          </w:p>
        </w:tc>
        <w:tc>
          <w:tcPr>
            <w:tcW w:w="1714" w:type="dxa"/>
            <w:shd w:val="clear" w:color="auto" w:fill="auto"/>
            <w:vAlign w:val="center"/>
          </w:tcPr>
          <w:p>
            <w:pPr>
              <w:jc w:val="right"/>
              <w:textAlignment w:val="center"/>
              <w:rPr>
                <w:rFonts w:ascii="Arial" w:hAnsi="Arial" w:cs="Arial"/>
                <w:b/>
                <w:bCs/>
                <w:color w:val="000000"/>
                <w:sz w:val="18"/>
                <w:szCs w:val="18"/>
                <w:lang w:bidi="ar"/>
              </w:rPr>
            </w:pPr>
            <w:r>
              <w:rPr>
                <w:rFonts w:ascii="Arial" w:hAnsi="Arial" w:cs="Arial"/>
                <w:b/>
                <w:bCs/>
                <w:color w:val="000000"/>
                <w:sz w:val="18"/>
                <w:szCs w:val="18"/>
                <w:lang w:bidi="ar"/>
              </w:rPr>
              <w:t xml:space="preserve">89,048.57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经营性资金流出</w:t>
            </w:r>
          </w:p>
        </w:tc>
        <w:tc>
          <w:tcPr>
            <w:tcW w:w="1946" w:type="dxa"/>
            <w:shd w:val="clear" w:color="auto" w:fill="auto"/>
            <w:vAlign w:val="center"/>
          </w:tcPr>
          <w:p>
            <w:pPr>
              <w:rPr>
                <w:rFonts w:ascii="Arial" w:hAnsi="Arial" w:cs="Arial"/>
                <w:color w:val="000000"/>
                <w:sz w:val="18"/>
                <w:szCs w:val="18"/>
              </w:rPr>
            </w:pP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b/>
                <w:bCs/>
                <w:color w:val="000000"/>
                <w:sz w:val="18"/>
                <w:szCs w:val="18"/>
              </w:rPr>
            </w:pPr>
            <w:r>
              <w:rPr>
                <w:rFonts w:ascii="Arial" w:hAnsi="Arial" w:cs="Arial"/>
                <w:color w:val="000000"/>
                <w:sz w:val="18"/>
                <w:szCs w:val="18"/>
                <w:lang w:bidi="ar"/>
              </w:rPr>
              <w:t>土地费用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161,730.33 </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153,773.03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4,968.00 </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61.16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1,449.05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2,022.12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建安费用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120,543.00 </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1,475.48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10,098.16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14,637.12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销售费用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9,403.93 </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135.53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1,467.10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1,689.72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管理费用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9,403.93 </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87.69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2,145.29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2,246.93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财务费用</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11,205.00 </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1,431.69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2,618.47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5,238.50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税费</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26,265.63 </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424.09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3,971.03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3,990.69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ind w:firstLine="180" w:firstLineChars="100"/>
              <w:jc w:val="center"/>
              <w:rPr>
                <w:rFonts w:ascii="Arial" w:hAnsi="Arial" w:cs="Arial"/>
                <w:color w:val="000000"/>
                <w:sz w:val="18"/>
                <w:szCs w:val="18"/>
              </w:rPr>
            </w:pPr>
            <w:r>
              <w:rPr>
                <w:rFonts w:ascii="Arial" w:hAnsi="Arial" w:cs="Arial"/>
                <w:color w:val="000000"/>
                <w:sz w:val="18"/>
                <w:szCs w:val="18"/>
              </w:rPr>
              <w:t>其他支出</w:t>
            </w:r>
          </w:p>
        </w:tc>
        <w:tc>
          <w:tcPr>
            <w:tcW w:w="1946" w:type="dxa"/>
            <w:shd w:val="clear" w:color="auto" w:fill="auto"/>
            <w:vAlign w:val="center"/>
          </w:tcPr>
          <w:p>
            <w:pPr>
              <w:rPr>
                <w:rFonts w:ascii="Arial" w:hAnsi="Arial" w:cs="Arial"/>
                <w:color w:val="000000"/>
                <w:sz w:val="18"/>
                <w:szCs w:val="18"/>
              </w:rPr>
            </w:pP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150.00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297.50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535.50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经营性支出合计</w:t>
            </w:r>
          </w:p>
        </w:tc>
        <w:tc>
          <w:tcPr>
            <w:tcW w:w="1946" w:type="dxa"/>
            <w:shd w:val="clear" w:color="auto" w:fill="auto"/>
            <w:vAlign w:val="center"/>
          </w:tcPr>
          <w:p>
            <w:pPr>
              <w:jc w:val="right"/>
              <w:textAlignment w:val="center"/>
              <w:rPr>
                <w:rFonts w:ascii="Arial" w:hAnsi="Arial" w:cs="Arial"/>
                <w:b/>
                <w:bCs/>
                <w:color w:val="000000"/>
                <w:sz w:val="18"/>
                <w:szCs w:val="18"/>
                <w:lang w:bidi="ar"/>
              </w:rPr>
            </w:pPr>
            <w:r>
              <w:rPr>
                <w:rFonts w:ascii="Arial" w:hAnsi="Arial" w:cs="Arial"/>
                <w:color w:val="000000"/>
                <w:sz w:val="18"/>
                <w:szCs w:val="18"/>
                <w:lang w:bidi="ar"/>
              </w:rPr>
              <w:t xml:space="preserve">343,519.82 </w:t>
            </w:r>
          </w:p>
        </w:tc>
        <w:tc>
          <w:tcPr>
            <w:tcW w:w="1789" w:type="dxa"/>
            <w:shd w:val="clear" w:color="auto" w:fill="auto"/>
            <w:vAlign w:val="center"/>
          </w:tcPr>
          <w:p>
            <w:pPr>
              <w:jc w:val="right"/>
              <w:textAlignment w:val="center"/>
              <w:rPr>
                <w:rFonts w:ascii="Arial" w:hAnsi="Arial" w:cs="Arial"/>
                <w:b/>
                <w:bCs/>
                <w:color w:val="000000"/>
                <w:sz w:val="18"/>
                <w:szCs w:val="18"/>
              </w:rPr>
            </w:pPr>
            <w:r>
              <w:rPr>
                <w:rFonts w:ascii="Arial" w:hAnsi="Arial" w:cs="Arial"/>
                <w:color w:val="000000"/>
                <w:sz w:val="18"/>
                <w:szCs w:val="18"/>
                <w:lang w:bidi="ar"/>
              </w:rPr>
              <w:t xml:space="preserve">3,765.64 </w:t>
            </w:r>
          </w:p>
        </w:tc>
        <w:tc>
          <w:tcPr>
            <w:tcW w:w="2068" w:type="dxa"/>
            <w:shd w:val="clear" w:color="auto" w:fill="auto"/>
            <w:vAlign w:val="center"/>
          </w:tcPr>
          <w:p>
            <w:pPr>
              <w:jc w:val="right"/>
              <w:textAlignment w:val="center"/>
              <w:rPr>
                <w:rFonts w:ascii="Arial" w:hAnsi="Arial" w:cs="Arial"/>
                <w:b/>
                <w:bCs/>
                <w:color w:val="000000"/>
                <w:sz w:val="18"/>
                <w:szCs w:val="18"/>
              </w:rPr>
            </w:pPr>
            <w:r>
              <w:rPr>
                <w:rFonts w:ascii="Arial" w:hAnsi="Arial" w:cs="Arial"/>
                <w:color w:val="000000"/>
                <w:sz w:val="18"/>
                <w:szCs w:val="18"/>
                <w:lang w:bidi="ar"/>
              </w:rPr>
              <w:t xml:space="preserve">22,046.60 </w:t>
            </w:r>
          </w:p>
        </w:tc>
        <w:tc>
          <w:tcPr>
            <w:tcW w:w="1714" w:type="dxa"/>
            <w:shd w:val="clear" w:color="auto" w:fill="auto"/>
            <w:vAlign w:val="center"/>
          </w:tcPr>
          <w:p>
            <w:pPr>
              <w:jc w:val="right"/>
              <w:textAlignment w:val="center"/>
              <w:rPr>
                <w:rFonts w:ascii="Arial" w:hAnsi="Arial" w:cs="Arial"/>
                <w:b/>
                <w:bCs/>
                <w:color w:val="000000"/>
                <w:sz w:val="18"/>
                <w:szCs w:val="18"/>
              </w:rPr>
            </w:pPr>
            <w:r>
              <w:rPr>
                <w:rFonts w:ascii="Arial" w:hAnsi="Arial" w:cs="Arial"/>
                <w:color w:val="000000"/>
                <w:sz w:val="18"/>
                <w:szCs w:val="18"/>
                <w:lang w:bidi="ar"/>
              </w:rPr>
              <w:t xml:space="preserve">184,133.60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经营性净现金流</w:t>
            </w:r>
          </w:p>
        </w:tc>
        <w:tc>
          <w:tcPr>
            <w:tcW w:w="1946"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32,637.28 </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12,324.85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55,495.49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-95,085.02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筹资性资金净现金流</w:t>
            </w:r>
          </w:p>
        </w:tc>
        <w:tc>
          <w:tcPr>
            <w:tcW w:w="1946" w:type="dxa"/>
            <w:shd w:val="clear" w:color="auto" w:fill="auto"/>
            <w:vAlign w:val="center"/>
          </w:tcPr>
          <w:p>
            <w:pPr>
              <w:jc w:val="right"/>
              <w:rPr>
                <w:rFonts w:ascii="Arial" w:hAnsi="Arial" w:cs="Arial"/>
                <w:color w:val="000000"/>
                <w:sz w:val="18"/>
                <w:szCs w:val="18"/>
                <w:lang w:bidi="ar"/>
              </w:rPr>
            </w:pP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vAlign w:val="center"/>
          </w:tcPr>
          <w:p>
            <w:pPr>
              <w:ind w:firstLine="180" w:firstLineChars="100"/>
              <w:jc w:val="center"/>
              <w:rPr>
                <w:rFonts w:ascii="Arial" w:hAnsi="Arial" w:cs="Arial"/>
                <w:color w:val="000000"/>
                <w:sz w:val="18"/>
                <w:szCs w:val="18"/>
              </w:rPr>
            </w:pPr>
            <w:r>
              <w:rPr>
                <w:rFonts w:ascii="Arial" w:hAnsi="Arial" w:cs="Arial"/>
                <w:color w:val="000000"/>
                <w:sz w:val="18"/>
                <w:szCs w:val="18"/>
              </w:rPr>
              <w:t>内部往来流入</w:t>
            </w:r>
          </w:p>
        </w:tc>
        <w:tc>
          <w:tcPr>
            <w:tcW w:w="1946"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30,000.08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207,969.93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ind w:firstLine="180" w:firstLineChars="100"/>
              <w:jc w:val="center"/>
              <w:rPr>
                <w:rFonts w:ascii="Arial" w:hAnsi="Arial" w:cs="Arial"/>
                <w:color w:val="000000"/>
                <w:sz w:val="18"/>
                <w:szCs w:val="18"/>
              </w:rPr>
            </w:pPr>
            <w:r>
              <w:rPr>
                <w:rFonts w:ascii="Arial" w:hAnsi="Arial" w:cs="Arial"/>
                <w:color w:val="000000"/>
                <w:sz w:val="18"/>
                <w:szCs w:val="18"/>
              </w:rPr>
              <w:t>内部往来流出</w:t>
            </w:r>
          </w:p>
        </w:tc>
        <w:tc>
          <w:tcPr>
            <w:tcW w:w="1946"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4,797.32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80,127.32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146,244.11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外部融资款流入</w:t>
            </w:r>
          </w:p>
        </w:tc>
        <w:tc>
          <w:tcPr>
            <w:tcW w:w="1946" w:type="dxa"/>
            <w:shd w:val="clear" w:color="auto" w:fill="auto"/>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30,000.00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外部融资款流出</w:t>
            </w:r>
          </w:p>
        </w:tc>
        <w:tc>
          <w:tcPr>
            <w:tcW w:w="194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w:t>
            </w:r>
          </w:p>
        </w:tc>
        <w:tc>
          <w:tcPr>
            <w:tcW w:w="178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2068"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714"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净现金流量</w:t>
            </w:r>
          </w:p>
        </w:tc>
        <w:tc>
          <w:tcPr>
            <w:tcW w:w="1946" w:type="dxa"/>
            <w:shd w:val="clear" w:color="auto" w:fill="auto"/>
            <w:noWrap/>
            <w:vAlign w:val="center"/>
          </w:tcPr>
          <w:p>
            <w:pPr>
              <w:jc w:val="right"/>
              <w:rPr>
                <w:rFonts w:ascii="Arial" w:hAnsi="Arial" w:cs="Arial"/>
                <w:color w:val="000000"/>
                <w:sz w:val="18"/>
                <w:szCs w:val="18"/>
                <w:lang w:bidi="ar"/>
              </w:rPr>
            </w:pPr>
          </w:p>
        </w:tc>
        <w:tc>
          <w:tcPr>
            <w:tcW w:w="1789" w:type="dxa"/>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7,527.53 </w:t>
            </w:r>
          </w:p>
        </w:tc>
        <w:tc>
          <w:tcPr>
            <w:tcW w:w="2068" w:type="dxa"/>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35,368.25 </w:t>
            </w:r>
          </w:p>
        </w:tc>
        <w:tc>
          <w:tcPr>
            <w:tcW w:w="1714" w:type="dxa"/>
            <w:shd w:val="clear" w:color="auto" w:fill="auto"/>
            <w:noWrap/>
            <w:vAlign w:val="center"/>
          </w:tcPr>
          <w:p>
            <w:pPr>
              <w:jc w:val="right"/>
              <w:textAlignment w:val="center"/>
              <w:rPr>
                <w:rFonts w:ascii="Arial" w:hAnsi="Arial" w:cs="Arial"/>
                <w:b/>
                <w:bCs/>
                <w:color w:val="000000"/>
                <w:sz w:val="18"/>
                <w:szCs w:val="18"/>
                <w:highlight w:val="yellow"/>
              </w:rPr>
            </w:pPr>
            <w:r>
              <w:rPr>
                <w:rFonts w:ascii="Arial" w:hAnsi="Arial" w:cs="Arial"/>
                <w:b/>
                <w:bCs/>
                <w:color w:val="000000"/>
                <w:sz w:val="18"/>
                <w:szCs w:val="18"/>
                <w:lang w:bidi="ar"/>
              </w:rPr>
              <w:t xml:space="preserve">46,640.80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期初余额</w:t>
            </w:r>
          </w:p>
        </w:tc>
        <w:tc>
          <w:tcPr>
            <w:tcW w:w="1946" w:type="dxa"/>
            <w:shd w:val="clear" w:color="auto" w:fill="auto"/>
            <w:noWrap/>
            <w:vAlign w:val="center"/>
          </w:tcPr>
          <w:p>
            <w:pPr>
              <w:jc w:val="right"/>
              <w:rPr>
                <w:rFonts w:ascii="Arial" w:hAnsi="Arial" w:cs="Arial"/>
                <w:color w:val="000000"/>
                <w:sz w:val="18"/>
                <w:szCs w:val="18"/>
                <w:lang w:bidi="ar"/>
              </w:rPr>
            </w:pPr>
          </w:p>
        </w:tc>
        <w:tc>
          <w:tcPr>
            <w:tcW w:w="1789" w:type="dxa"/>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39,113.26 </w:t>
            </w:r>
          </w:p>
        </w:tc>
        <w:tc>
          <w:tcPr>
            <w:tcW w:w="2068" w:type="dxa"/>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11,272.54 </w:t>
            </w:r>
          </w:p>
        </w:tc>
        <w:tc>
          <w:tcPr>
            <w:tcW w:w="1714" w:type="dxa"/>
            <w:shd w:val="clear" w:color="auto" w:fill="auto"/>
            <w:noWrap/>
            <w:vAlign w:val="center"/>
          </w:tcPr>
          <w:p>
            <w:pPr>
              <w:jc w:val="right"/>
              <w:textAlignment w:val="center"/>
              <w:rPr>
                <w:rFonts w:ascii="Arial" w:hAnsi="Arial" w:cs="Arial"/>
                <w:b/>
                <w:bCs/>
                <w:color w:val="000000"/>
                <w:sz w:val="18"/>
                <w:szCs w:val="18"/>
                <w:highlight w:val="yellow"/>
              </w:rPr>
            </w:pPr>
            <w:r>
              <w:rPr>
                <w:rFonts w:ascii="Arial" w:hAnsi="Arial" w:cs="Arial"/>
                <w:b/>
                <w:bCs/>
                <w:color w:val="000000"/>
                <w:sz w:val="18"/>
                <w:szCs w:val="18"/>
                <w:lang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dxa"/>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期末余额</w:t>
            </w:r>
          </w:p>
        </w:tc>
        <w:tc>
          <w:tcPr>
            <w:tcW w:w="1946" w:type="dxa"/>
            <w:shd w:val="clear" w:color="auto" w:fill="auto"/>
            <w:noWrap/>
            <w:vAlign w:val="center"/>
          </w:tcPr>
          <w:p>
            <w:pPr>
              <w:jc w:val="right"/>
              <w:rPr>
                <w:rFonts w:ascii="Arial" w:hAnsi="Arial" w:cs="Arial"/>
                <w:color w:val="000000"/>
                <w:sz w:val="18"/>
                <w:szCs w:val="18"/>
                <w:lang w:bidi="ar"/>
              </w:rPr>
            </w:pPr>
          </w:p>
        </w:tc>
        <w:tc>
          <w:tcPr>
            <w:tcW w:w="1789" w:type="dxa"/>
            <w:shd w:val="clear" w:color="auto" w:fill="auto"/>
            <w:noWrap/>
            <w:vAlign w:val="center"/>
          </w:tcPr>
          <w:p>
            <w:pPr>
              <w:jc w:val="right"/>
              <w:textAlignment w:val="center"/>
              <w:rPr>
                <w:rFonts w:ascii="Arial" w:hAnsi="Arial" w:cs="Arial"/>
                <w:b/>
                <w:bCs/>
                <w:color w:val="000000"/>
                <w:kern w:val="2"/>
                <w:sz w:val="18"/>
                <w:szCs w:val="18"/>
              </w:rPr>
            </w:pPr>
            <w:r>
              <w:rPr>
                <w:rFonts w:ascii="Arial" w:hAnsi="Arial" w:cs="Arial"/>
                <w:b/>
                <w:bCs/>
                <w:color w:val="000000"/>
                <w:sz w:val="18"/>
                <w:szCs w:val="18"/>
                <w:lang w:bidi="ar"/>
              </w:rPr>
              <w:t xml:space="preserve">46,640.80 </w:t>
            </w:r>
          </w:p>
        </w:tc>
        <w:tc>
          <w:tcPr>
            <w:tcW w:w="2068" w:type="dxa"/>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lang w:bidi="ar"/>
              </w:rPr>
              <w:t xml:space="preserve">46,640.80 </w:t>
            </w:r>
          </w:p>
        </w:tc>
        <w:tc>
          <w:tcPr>
            <w:tcW w:w="1714" w:type="dxa"/>
            <w:shd w:val="clear" w:color="auto" w:fill="auto"/>
            <w:noWrap/>
            <w:vAlign w:val="center"/>
          </w:tcPr>
          <w:p>
            <w:pPr>
              <w:jc w:val="right"/>
              <w:textAlignment w:val="center"/>
              <w:rPr>
                <w:rFonts w:ascii="Arial" w:hAnsi="Arial" w:cs="Arial"/>
                <w:b/>
                <w:bCs/>
                <w:color w:val="000000"/>
                <w:sz w:val="18"/>
                <w:szCs w:val="18"/>
                <w:highlight w:val="yellow"/>
              </w:rPr>
            </w:pPr>
            <w:r>
              <w:rPr>
                <w:rFonts w:ascii="Arial" w:hAnsi="Arial" w:cs="Arial"/>
                <w:b/>
                <w:bCs/>
                <w:color w:val="000000"/>
                <w:sz w:val="18"/>
                <w:szCs w:val="18"/>
                <w:lang w:bidi="ar"/>
              </w:rPr>
              <w:t xml:space="preserve">46,640.80 </w:t>
            </w:r>
          </w:p>
        </w:tc>
      </w:tr>
    </w:tbl>
    <w:p>
      <w:pPr>
        <w:pStyle w:val="2"/>
        <w:ind w:firstLine="0" w:firstLineChars="0"/>
      </w:pPr>
    </w:p>
    <w:p>
      <w:pPr>
        <w:pStyle w:val="3"/>
        <w:numPr>
          <w:ilvl w:val="0"/>
          <w:numId w:val="3"/>
        </w:numPr>
        <w:rPr>
          <w:rFonts w:ascii="宋体" w:hAnsi="宋体" w:eastAsia="宋体"/>
          <w:sz w:val="21"/>
          <w:szCs w:val="21"/>
        </w:rPr>
      </w:pPr>
      <w:bookmarkStart w:id="18" w:name="_Toc17727"/>
      <w:bookmarkStart w:id="19" w:name="_Toc9894"/>
      <w:r>
        <w:rPr>
          <w:rFonts w:hint="eastAsia" w:ascii="宋体" w:hAnsi="宋体" w:eastAsia="宋体"/>
          <w:sz w:val="21"/>
          <w:szCs w:val="21"/>
        </w:rPr>
        <w:t>项目开发贷及其他融资情况</w:t>
      </w:r>
      <w:bookmarkEnd w:id="18"/>
      <w:bookmarkEnd w:id="19"/>
    </w:p>
    <w:p>
      <w:pPr>
        <w:spacing w:line="360" w:lineRule="auto"/>
        <w:ind w:firstLine="480" w:firstLineChars="200"/>
        <w:jc w:val="both"/>
        <w:rPr>
          <w:rFonts w:ascii="Arial" w:hAnsi="Arial" w:cs="Arial"/>
          <w:color w:val="000000"/>
          <w:sz w:val="21"/>
          <w:szCs w:val="21"/>
        </w:rPr>
      </w:pPr>
      <w:r>
        <w:rPr>
          <w:rFonts w:hint="eastAsia"/>
        </w:rPr>
        <w:t xml:space="preserve"> </w:t>
      </w:r>
      <w:r>
        <w:rPr>
          <w:rFonts w:ascii="Arial" w:hAnsi="Arial" w:cs="Arial"/>
          <w:color w:val="000000"/>
          <w:sz w:val="21"/>
          <w:szCs w:val="21"/>
        </w:rPr>
        <w:t>项目公司于2020年12月16日与江苏银行签订开发贷合同，项目公司自愿将苏（2020）苏州市吴江区不动产权第9032627号、苏（2020）苏州市吴江区不动产权第9032632号作为抵押物向江苏银行申请开发贷，贷款总金额不超过15亿元，分批次放款，于2020年12月24日放款5亿元，2021年1月22日放款3亿元，本月未发生开发贷放款，本月支付开发贷2021年第</w:t>
      </w:r>
      <w:r>
        <w:rPr>
          <w:rFonts w:hint="eastAsia" w:ascii="Arial" w:hAnsi="Arial" w:cs="Arial"/>
          <w:color w:val="000000"/>
          <w:sz w:val="21"/>
          <w:szCs w:val="21"/>
        </w:rPr>
        <w:t>二</w:t>
      </w:r>
      <w:r>
        <w:rPr>
          <w:rFonts w:ascii="Arial" w:hAnsi="Arial" w:cs="Arial"/>
          <w:color w:val="000000"/>
          <w:sz w:val="21"/>
          <w:szCs w:val="21"/>
        </w:rPr>
        <w:t>季度利息费用</w:t>
      </w:r>
      <w:r>
        <w:rPr>
          <w:rFonts w:hint="eastAsia" w:ascii="Arial" w:hAnsi="Arial" w:cs="Arial"/>
          <w:color w:val="000000"/>
          <w:sz w:val="21"/>
          <w:szCs w:val="21"/>
        </w:rPr>
        <w:t>1,431.11</w:t>
      </w:r>
      <w:r>
        <w:rPr>
          <w:rFonts w:ascii="Arial" w:hAnsi="Arial" w:cs="Arial"/>
          <w:color w:val="000000"/>
          <w:sz w:val="21"/>
          <w:szCs w:val="21"/>
        </w:rPr>
        <w:t>万元。截至本月，项目未发生商业承兑以及商业保理等形式的融资。</w:t>
      </w:r>
    </w:p>
    <w:p>
      <w:pPr>
        <w:ind w:left="420"/>
        <w:rPr>
          <w:rFonts w:ascii="Arial" w:hAnsi="Arial" w:cs="Arial"/>
          <w:color w:val="000000"/>
        </w:rPr>
      </w:pPr>
    </w:p>
    <w:p>
      <w:pPr>
        <w:ind w:left="420"/>
        <w:jc w:val="center"/>
        <w:rPr>
          <w:rFonts w:ascii="宋体" w:hAnsi="宋体" w:cs="宋体"/>
          <w:b/>
          <w:sz w:val="21"/>
          <w:szCs w:val="21"/>
        </w:rPr>
      </w:pPr>
      <w:r>
        <w:rPr>
          <w:rFonts w:hint="eastAsia" w:ascii="宋体" w:hAnsi="宋体" w:cs="宋体"/>
          <w:b/>
          <w:sz w:val="21"/>
          <w:szCs w:val="21"/>
        </w:rPr>
        <w:t>表十：开发贷款情况</w:t>
      </w:r>
    </w:p>
    <w:tbl>
      <w:tblPr>
        <w:tblStyle w:val="17"/>
        <w:tblW w:w="10821" w:type="dxa"/>
        <w:tblInd w:w="-522" w:type="dxa"/>
        <w:tblLayout w:type="fixed"/>
        <w:tblCellMar>
          <w:top w:w="0" w:type="dxa"/>
          <w:left w:w="108" w:type="dxa"/>
          <w:bottom w:w="0" w:type="dxa"/>
          <w:right w:w="108" w:type="dxa"/>
        </w:tblCellMar>
      </w:tblPr>
      <w:tblGrid>
        <w:gridCol w:w="381"/>
        <w:gridCol w:w="615"/>
        <w:gridCol w:w="690"/>
        <w:gridCol w:w="1995"/>
        <w:gridCol w:w="1170"/>
        <w:gridCol w:w="510"/>
        <w:gridCol w:w="720"/>
        <w:gridCol w:w="630"/>
        <w:gridCol w:w="615"/>
        <w:gridCol w:w="810"/>
        <w:gridCol w:w="1320"/>
        <w:gridCol w:w="1365"/>
      </w:tblGrid>
      <w:tr>
        <w:tblPrEx>
          <w:tblCellMar>
            <w:top w:w="0" w:type="dxa"/>
            <w:left w:w="108" w:type="dxa"/>
            <w:bottom w:w="0" w:type="dxa"/>
            <w:right w:w="108" w:type="dxa"/>
          </w:tblCellMar>
        </w:tblPrEx>
        <w:trPr>
          <w:trHeight w:val="278" w:hRule="atLeast"/>
          <w:tblHeader/>
        </w:trPr>
        <w:tc>
          <w:tcPr>
            <w:tcW w:w="38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序号</w:t>
            </w:r>
          </w:p>
        </w:tc>
        <w:tc>
          <w:tcPr>
            <w:tcW w:w="61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贷款银行</w:t>
            </w:r>
          </w:p>
        </w:tc>
        <w:tc>
          <w:tcPr>
            <w:tcW w:w="69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授信金额</w:t>
            </w:r>
          </w:p>
        </w:tc>
        <w:tc>
          <w:tcPr>
            <w:tcW w:w="199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抵押物情况</w:t>
            </w:r>
          </w:p>
        </w:tc>
        <w:tc>
          <w:tcPr>
            <w:tcW w:w="117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期限（贷款起始日与贷款到期日）</w:t>
            </w:r>
          </w:p>
        </w:tc>
        <w:tc>
          <w:tcPr>
            <w:tcW w:w="51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利率</w:t>
            </w:r>
          </w:p>
        </w:tc>
        <w:tc>
          <w:tcPr>
            <w:tcW w:w="72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截止月初贷款余额</w:t>
            </w:r>
          </w:p>
        </w:tc>
        <w:tc>
          <w:tcPr>
            <w:tcW w:w="63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本月提款金额</w:t>
            </w:r>
          </w:p>
        </w:tc>
        <w:tc>
          <w:tcPr>
            <w:tcW w:w="61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本月还款金额</w:t>
            </w:r>
          </w:p>
        </w:tc>
        <w:tc>
          <w:tcPr>
            <w:tcW w:w="81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截止月末贷款余额</w:t>
            </w:r>
          </w:p>
        </w:tc>
        <w:tc>
          <w:tcPr>
            <w:tcW w:w="132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本月付息金额</w:t>
            </w:r>
          </w:p>
        </w:tc>
        <w:tc>
          <w:tcPr>
            <w:tcW w:w="1365"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累计付息金额</w:t>
            </w:r>
          </w:p>
        </w:tc>
      </w:tr>
      <w:tr>
        <w:tblPrEx>
          <w:tblCellMar>
            <w:top w:w="0" w:type="dxa"/>
            <w:left w:w="108" w:type="dxa"/>
            <w:bottom w:w="0" w:type="dxa"/>
            <w:right w:w="108" w:type="dxa"/>
          </w:tblCellMar>
        </w:tblPrEx>
        <w:trPr>
          <w:trHeight w:val="280" w:hRule="atLeast"/>
        </w:trPr>
        <w:tc>
          <w:tcPr>
            <w:tcW w:w="381"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w:t>
            </w:r>
          </w:p>
        </w:tc>
        <w:tc>
          <w:tcPr>
            <w:tcW w:w="61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江苏银行</w:t>
            </w:r>
            <w:r>
              <w:rPr>
                <w:rFonts w:hint="eastAsia" w:ascii="Arial" w:hAnsi="Arial" w:cs="Arial"/>
                <w:color w:val="000000"/>
                <w:sz w:val="18"/>
                <w:szCs w:val="18"/>
              </w:rPr>
              <w:t>盛泽支行</w:t>
            </w:r>
          </w:p>
        </w:tc>
        <w:tc>
          <w:tcPr>
            <w:tcW w:w="69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不超15亿元</w:t>
            </w:r>
          </w:p>
        </w:tc>
        <w:tc>
          <w:tcPr>
            <w:tcW w:w="199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苏（2020）苏州市吴江区不动产权第9032627号地块、苏（2020）苏州市吴江区不动产权第9032632号地块</w:t>
            </w:r>
          </w:p>
        </w:tc>
        <w:tc>
          <w:tcPr>
            <w:tcW w:w="117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2020</w:t>
            </w:r>
            <w:r>
              <w:rPr>
                <w:rFonts w:hint="eastAsia" w:ascii="Arial" w:hAnsi="Arial" w:cs="Arial"/>
                <w:color w:val="000000"/>
                <w:sz w:val="18"/>
                <w:szCs w:val="18"/>
              </w:rPr>
              <w:t>年</w:t>
            </w:r>
            <w:r>
              <w:rPr>
                <w:rFonts w:ascii="Arial" w:hAnsi="Arial" w:cs="Arial"/>
                <w:color w:val="000000"/>
                <w:sz w:val="18"/>
                <w:szCs w:val="18"/>
              </w:rPr>
              <w:t>12月24日-2023年4月27日</w:t>
            </w:r>
          </w:p>
        </w:tc>
        <w:tc>
          <w:tcPr>
            <w:tcW w:w="5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9%</w:t>
            </w:r>
          </w:p>
        </w:tc>
        <w:tc>
          <w:tcPr>
            <w:tcW w:w="72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不超7亿元</w:t>
            </w:r>
          </w:p>
        </w:tc>
        <w:tc>
          <w:tcPr>
            <w:tcW w:w="63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0.00</w:t>
            </w:r>
          </w:p>
        </w:tc>
        <w:tc>
          <w:tcPr>
            <w:tcW w:w="61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0.00</w:t>
            </w:r>
          </w:p>
        </w:tc>
        <w:tc>
          <w:tcPr>
            <w:tcW w:w="81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不超7亿元</w:t>
            </w:r>
          </w:p>
        </w:tc>
        <w:tc>
          <w:tcPr>
            <w:tcW w:w="1320" w:type="dxa"/>
            <w:tcBorders>
              <w:top w:val="nil"/>
              <w:left w:val="nil"/>
              <w:bottom w:val="single" w:color="auto" w:sz="4" w:space="0"/>
              <w:right w:val="single" w:color="auto"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1,431.11</w:t>
            </w:r>
            <w:r>
              <w:rPr>
                <w:rFonts w:hint="eastAsia" w:ascii="Arial" w:hAnsi="Arial" w:cs="Arial"/>
                <w:color w:val="000000"/>
                <w:sz w:val="18"/>
                <w:szCs w:val="18"/>
              </w:rPr>
              <w:t>万元</w:t>
            </w:r>
          </w:p>
        </w:tc>
        <w:tc>
          <w:tcPr>
            <w:tcW w:w="1365"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2,615.28万元</w:t>
            </w:r>
          </w:p>
        </w:tc>
      </w:tr>
    </w:tbl>
    <w:p>
      <w:pPr>
        <w:rPr>
          <w:rFonts w:ascii="宋体" w:hAnsi="宋体" w:cs="宋体"/>
          <w:bCs/>
          <w:sz w:val="21"/>
          <w:szCs w:val="21"/>
        </w:rPr>
      </w:pPr>
    </w:p>
    <w:p>
      <w:pPr>
        <w:pStyle w:val="3"/>
        <w:numPr>
          <w:ilvl w:val="0"/>
          <w:numId w:val="3"/>
        </w:numPr>
        <w:rPr>
          <w:rFonts w:ascii="宋体" w:hAnsi="宋体" w:eastAsia="宋体"/>
          <w:sz w:val="21"/>
          <w:szCs w:val="21"/>
          <w:highlight w:val="none"/>
        </w:rPr>
      </w:pPr>
      <w:bookmarkStart w:id="20" w:name="_Toc455"/>
      <w:bookmarkStart w:id="21" w:name="_Toc23668"/>
      <w:r>
        <w:rPr>
          <w:rFonts w:hint="eastAsia" w:ascii="宋体" w:hAnsi="宋体" w:eastAsia="宋体"/>
          <w:sz w:val="21"/>
          <w:szCs w:val="21"/>
          <w:highlight w:val="none"/>
        </w:rPr>
        <w:t>项目周边竞品情况分析</w:t>
      </w:r>
      <w:bookmarkEnd w:id="20"/>
      <w:bookmarkEnd w:id="21"/>
    </w:p>
    <w:p>
      <w:pPr>
        <w:spacing w:line="360" w:lineRule="auto"/>
        <w:ind w:firstLine="420" w:firstLineChars="200"/>
        <w:jc w:val="both"/>
        <w:rPr>
          <w:rFonts w:ascii="Arial" w:hAnsi="Arial" w:cs="Arial"/>
          <w:color w:val="000000"/>
          <w:sz w:val="21"/>
          <w:szCs w:val="21"/>
          <w:highlight w:val="none"/>
        </w:rPr>
      </w:pPr>
      <w:r>
        <w:rPr>
          <w:rFonts w:ascii="Arial" w:hAnsi="Arial" w:cs="Arial"/>
          <w:color w:val="000000"/>
          <w:sz w:val="21"/>
          <w:szCs w:val="21"/>
          <w:highlight w:val="none"/>
        </w:rPr>
        <w:t>2020年12月21日龙岩佰颐融房地产开发有限公司以楼面地价：8941元/㎡取得WJ-J-2020-030地块，位于吴江高新区（盛泽镇）万丽酒店东侧，距离本项目1.2公里。主要可参考的竞品是观湖春天、德信望澜庭</w:t>
      </w:r>
      <w:r>
        <w:rPr>
          <w:rFonts w:hint="eastAsia" w:ascii="Arial" w:hAnsi="Arial" w:cs="Arial"/>
          <w:color w:val="000000"/>
          <w:sz w:val="21"/>
          <w:szCs w:val="21"/>
          <w:highlight w:val="none"/>
        </w:rPr>
        <w:t>、建发云锦湾</w:t>
      </w:r>
      <w:r>
        <w:rPr>
          <w:rFonts w:ascii="Arial" w:hAnsi="Arial" w:cs="Arial"/>
          <w:color w:val="000000"/>
          <w:sz w:val="21"/>
          <w:szCs w:val="21"/>
          <w:highlight w:val="none"/>
        </w:rPr>
        <w:t>。项目周边在售楼盘位置（详见图）</w:t>
      </w:r>
    </w:p>
    <w:p>
      <w:pPr>
        <w:pStyle w:val="2"/>
      </w:pPr>
      <w:r>
        <w:rPr>
          <w:rFonts w:ascii="Arial" w:hAnsi="Arial" w:cs="Arial"/>
        </w:rPr>
        <w:drawing>
          <wp:inline distT="0" distB="0" distL="114300" distR="114300">
            <wp:extent cx="5502275" cy="2275840"/>
            <wp:effectExtent l="0" t="0" r="3175" b="1016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6"/>
                    <a:srcRect l="3882" t="5412" r="2925" b="-504"/>
                    <a:stretch>
                      <a:fillRect/>
                    </a:stretch>
                  </pic:blipFill>
                  <pic:spPr>
                    <a:xfrm>
                      <a:off x="0" y="0"/>
                      <a:ext cx="5502275" cy="2275840"/>
                    </a:xfrm>
                    <a:prstGeom prst="rect">
                      <a:avLst/>
                    </a:prstGeom>
                    <a:noFill/>
                    <a:ln>
                      <a:noFill/>
                    </a:ln>
                  </pic:spPr>
                </pic:pic>
              </a:graphicData>
            </a:graphic>
          </wp:inline>
        </w:drawing>
      </w:r>
    </w:p>
    <w:p>
      <w:pPr>
        <w:spacing w:line="360" w:lineRule="auto"/>
        <w:ind w:firstLine="480" w:firstLineChars="200"/>
        <w:jc w:val="center"/>
        <w:rPr>
          <w:rFonts w:ascii="Arial" w:hAnsi="Arial" w:cs="Arial"/>
        </w:rPr>
      </w:pPr>
      <w:r>
        <w:rPr>
          <w:rFonts w:hint="eastAsia"/>
        </w:rPr>
        <w:t xml:space="preserve">    </w:t>
      </w:r>
      <w:r>
        <w:rPr>
          <w:rFonts w:ascii="Arial" w:hAnsi="Arial" w:cs="Arial"/>
          <w:szCs w:val="21"/>
        </w:rPr>
        <w:t>WJ-J-2020-030地块</w:t>
      </w:r>
    </w:p>
    <w:p>
      <w:pPr>
        <w:rPr>
          <w:rFonts w:ascii="Arial" w:hAnsi="Arial" w:cs="Arial"/>
        </w:rPr>
      </w:pPr>
      <w:r>
        <w:rPr>
          <w:rFonts w:ascii="Arial" w:hAnsi="Arial" w:cs="Arial"/>
        </w:rPr>
        <w:drawing>
          <wp:inline distT="0" distB="0" distL="114300" distR="114300">
            <wp:extent cx="5879465" cy="2852420"/>
            <wp:effectExtent l="0" t="0" r="6985" b="5080"/>
            <wp:docPr id="25"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图片1"/>
                    <pic:cNvPicPr>
                      <a:picLocks noChangeAspect="1"/>
                    </pic:cNvPicPr>
                  </pic:nvPicPr>
                  <pic:blipFill>
                    <a:blip r:embed="rId7"/>
                    <a:stretch>
                      <a:fillRect/>
                    </a:stretch>
                  </pic:blipFill>
                  <pic:spPr>
                    <a:xfrm>
                      <a:off x="0" y="0"/>
                      <a:ext cx="5879465" cy="2852420"/>
                    </a:xfrm>
                    <a:prstGeom prst="rect">
                      <a:avLst/>
                    </a:prstGeom>
                    <a:noFill/>
                    <a:ln>
                      <a:noFill/>
                    </a:ln>
                  </pic:spPr>
                </pic:pic>
              </a:graphicData>
            </a:graphic>
          </wp:inline>
        </w:drawing>
      </w:r>
    </w:p>
    <w:p>
      <w:pPr>
        <w:spacing w:line="360" w:lineRule="auto"/>
        <w:ind w:firstLine="480" w:firstLineChars="200"/>
        <w:jc w:val="center"/>
        <w:rPr>
          <w:rFonts w:ascii="Arial" w:hAnsi="Arial" w:cs="Arial"/>
          <w:color w:val="000000" w:themeColor="text1"/>
          <w:sz w:val="21"/>
          <w:szCs w:val="21"/>
          <w14:textFill>
            <w14:solidFill>
              <w14:schemeClr w14:val="tx1"/>
            </w14:solidFill>
          </w14:textFill>
        </w:rPr>
      </w:pPr>
      <w:r>
        <w:rPr>
          <w:rFonts w:ascii="Arial" w:hAnsi="Arial" w:cs="Arial"/>
        </w:rPr>
        <w:t>项目周边在售楼盘位置</w:t>
      </w:r>
    </w:p>
    <w:p>
      <w:pPr>
        <w:jc w:val="center"/>
        <w:rPr>
          <w:rFonts w:ascii="宋体" w:hAnsi="宋体" w:cs="宋体"/>
          <w:b/>
          <w:bCs/>
          <w:color w:val="000000"/>
          <w:sz w:val="21"/>
          <w:szCs w:val="21"/>
        </w:rPr>
      </w:pPr>
      <w:r>
        <w:rPr>
          <w:rFonts w:hint="eastAsia" w:ascii="宋体" w:hAnsi="宋体" w:cs="宋体"/>
          <w:b/>
          <w:bCs/>
          <w:color w:val="000000"/>
          <w:sz w:val="21"/>
          <w:szCs w:val="21"/>
        </w:rPr>
        <w:t>表十一：</w:t>
      </w:r>
      <w:r>
        <w:rPr>
          <w:rFonts w:hint="eastAsia" w:ascii="宋体" w:hAnsi="宋体" w:cs="宋体"/>
          <w:b/>
          <w:bCs/>
          <w:sz w:val="21"/>
          <w:szCs w:val="21"/>
        </w:rPr>
        <w:t>项目周边竞品情况</w:t>
      </w:r>
    </w:p>
    <w:tbl>
      <w:tblPr>
        <w:tblStyle w:val="17"/>
        <w:tblW w:w="86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140"/>
        <w:gridCol w:w="930"/>
        <w:gridCol w:w="1259"/>
        <w:gridCol w:w="1485"/>
        <w:gridCol w:w="1418"/>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42" w:type="dxa"/>
            <w:vAlign w:val="center"/>
          </w:tcPr>
          <w:p>
            <w:pPr>
              <w:jc w:val="center"/>
              <w:textAlignment w:val="center"/>
              <w:rPr>
                <w:rFonts w:ascii="Arial" w:hAnsi="Arial" w:cs="Arial"/>
                <w:b/>
                <w:bCs/>
                <w:color w:val="000000"/>
                <w:sz w:val="18"/>
                <w:szCs w:val="18"/>
                <w:highlight w:val="none"/>
                <w:lang w:bidi="ar"/>
              </w:rPr>
            </w:pPr>
            <w:r>
              <w:rPr>
                <w:rFonts w:ascii="Arial" w:hAnsi="Arial" w:cs="Arial"/>
                <w:b/>
                <w:bCs/>
                <w:color w:val="000000"/>
                <w:sz w:val="18"/>
                <w:szCs w:val="18"/>
                <w:highlight w:val="none"/>
                <w:lang w:bidi="ar"/>
              </w:rPr>
              <w:t>序号</w:t>
            </w:r>
          </w:p>
        </w:tc>
        <w:tc>
          <w:tcPr>
            <w:tcW w:w="1140" w:type="dxa"/>
            <w:vAlign w:val="center"/>
          </w:tcPr>
          <w:p>
            <w:pPr>
              <w:jc w:val="center"/>
              <w:textAlignment w:val="center"/>
              <w:rPr>
                <w:rFonts w:ascii="Arial" w:hAnsi="Arial" w:cs="Arial"/>
                <w:b/>
                <w:bCs/>
                <w:color w:val="000000"/>
                <w:sz w:val="18"/>
                <w:szCs w:val="18"/>
                <w:highlight w:val="none"/>
                <w:lang w:bidi="ar"/>
              </w:rPr>
            </w:pPr>
            <w:r>
              <w:rPr>
                <w:rFonts w:ascii="Arial" w:hAnsi="Arial" w:cs="Arial"/>
                <w:b/>
                <w:bCs/>
                <w:color w:val="000000"/>
                <w:sz w:val="18"/>
                <w:szCs w:val="18"/>
                <w:highlight w:val="none"/>
                <w:lang w:bidi="ar"/>
              </w:rPr>
              <w:t>名称</w:t>
            </w:r>
          </w:p>
        </w:tc>
        <w:tc>
          <w:tcPr>
            <w:tcW w:w="930" w:type="dxa"/>
            <w:shd w:val="clear" w:color="auto" w:fill="FFFFFF" w:themeFill="background1"/>
            <w:vAlign w:val="center"/>
          </w:tcPr>
          <w:p>
            <w:pPr>
              <w:jc w:val="center"/>
              <w:textAlignment w:val="center"/>
              <w:rPr>
                <w:rFonts w:ascii="Arial" w:hAnsi="Arial" w:cs="Arial"/>
                <w:b/>
                <w:bCs/>
                <w:color w:val="000000"/>
                <w:sz w:val="18"/>
                <w:szCs w:val="18"/>
                <w:highlight w:val="none"/>
                <w:lang w:bidi="ar"/>
              </w:rPr>
            </w:pPr>
            <w:r>
              <w:rPr>
                <w:rFonts w:ascii="Arial" w:hAnsi="Arial" w:cs="Arial"/>
                <w:b/>
                <w:bCs/>
                <w:color w:val="000000"/>
                <w:sz w:val="18"/>
                <w:szCs w:val="18"/>
                <w:highlight w:val="none"/>
                <w:lang w:bidi="ar"/>
              </w:rPr>
              <w:t>业态</w:t>
            </w:r>
          </w:p>
        </w:tc>
        <w:tc>
          <w:tcPr>
            <w:tcW w:w="1259" w:type="dxa"/>
            <w:vAlign w:val="center"/>
          </w:tcPr>
          <w:p>
            <w:pPr>
              <w:jc w:val="center"/>
              <w:textAlignment w:val="center"/>
              <w:rPr>
                <w:rFonts w:ascii="Arial" w:hAnsi="Arial" w:cs="Arial"/>
                <w:b/>
                <w:bCs/>
                <w:color w:val="000000"/>
                <w:sz w:val="18"/>
                <w:szCs w:val="18"/>
                <w:highlight w:val="none"/>
                <w:lang w:bidi="ar"/>
              </w:rPr>
            </w:pPr>
            <w:r>
              <w:rPr>
                <w:rFonts w:ascii="Arial" w:hAnsi="Arial" w:cs="Arial"/>
                <w:b/>
                <w:bCs/>
                <w:color w:val="000000"/>
                <w:sz w:val="18"/>
                <w:szCs w:val="18"/>
                <w:highlight w:val="none"/>
                <w:lang w:bidi="ar"/>
              </w:rPr>
              <w:t>是否为直接竞品</w:t>
            </w:r>
          </w:p>
        </w:tc>
        <w:tc>
          <w:tcPr>
            <w:tcW w:w="1485" w:type="dxa"/>
            <w:vAlign w:val="center"/>
          </w:tcPr>
          <w:p>
            <w:pPr>
              <w:jc w:val="center"/>
              <w:textAlignment w:val="center"/>
              <w:rPr>
                <w:rFonts w:ascii="Arial" w:hAnsi="Arial" w:cs="Arial"/>
                <w:b/>
                <w:bCs/>
                <w:color w:val="000000"/>
                <w:sz w:val="18"/>
                <w:szCs w:val="18"/>
                <w:highlight w:val="none"/>
                <w:lang w:bidi="ar"/>
              </w:rPr>
            </w:pPr>
            <w:r>
              <w:rPr>
                <w:rFonts w:ascii="Arial" w:hAnsi="Arial" w:cs="Arial"/>
                <w:b/>
                <w:bCs/>
                <w:color w:val="000000"/>
                <w:sz w:val="18"/>
                <w:szCs w:val="18"/>
                <w:highlight w:val="none"/>
                <w:lang w:bidi="ar"/>
              </w:rPr>
              <w:t>可售面积</w:t>
            </w:r>
          </w:p>
          <w:p>
            <w:pPr>
              <w:jc w:val="center"/>
              <w:textAlignment w:val="center"/>
              <w:rPr>
                <w:rFonts w:ascii="Arial" w:hAnsi="Arial" w:cs="Arial"/>
                <w:b/>
                <w:bCs/>
                <w:color w:val="000000"/>
                <w:sz w:val="18"/>
                <w:szCs w:val="18"/>
                <w:highlight w:val="none"/>
                <w:lang w:bidi="ar"/>
              </w:rPr>
            </w:pPr>
            <w:r>
              <w:rPr>
                <w:rFonts w:ascii="Arial" w:hAnsi="Arial" w:cs="Arial"/>
                <w:b/>
                <w:bCs/>
                <w:color w:val="000000"/>
                <w:sz w:val="18"/>
                <w:szCs w:val="18"/>
                <w:highlight w:val="none"/>
                <w:lang w:bidi="ar"/>
              </w:rPr>
              <w:t>（万平米）</w:t>
            </w:r>
          </w:p>
        </w:tc>
        <w:tc>
          <w:tcPr>
            <w:tcW w:w="1418" w:type="dxa"/>
            <w:vAlign w:val="center"/>
          </w:tcPr>
          <w:p>
            <w:pPr>
              <w:jc w:val="center"/>
              <w:textAlignment w:val="center"/>
              <w:rPr>
                <w:rFonts w:ascii="Arial" w:hAnsi="Arial" w:cs="Arial"/>
                <w:b/>
                <w:bCs/>
                <w:color w:val="000000"/>
                <w:sz w:val="18"/>
                <w:szCs w:val="18"/>
                <w:highlight w:val="none"/>
                <w:lang w:bidi="ar"/>
              </w:rPr>
            </w:pPr>
            <w:r>
              <w:rPr>
                <w:rFonts w:ascii="Arial" w:hAnsi="Arial" w:cs="Arial"/>
                <w:b/>
                <w:bCs/>
                <w:color w:val="000000"/>
                <w:sz w:val="18"/>
                <w:szCs w:val="18"/>
                <w:highlight w:val="none"/>
                <w:lang w:bidi="ar"/>
              </w:rPr>
              <w:t>已推出面积</w:t>
            </w:r>
          </w:p>
          <w:p>
            <w:pPr>
              <w:jc w:val="center"/>
              <w:textAlignment w:val="center"/>
              <w:rPr>
                <w:rFonts w:ascii="Arial" w:hAnsi="Arial" w:cs="Arial"/>
                <w:b/>
                <w:bCs/>
                <w:color w:val="000000"/>
                <w:sz w:val="18"/>
                <w:szCs w:val="18"/>
                <w:highlight w:val="none"/>
                <w:lang w:bidi="ar"/>
              </w:rPr>
            </w:pPr>
            <w:r>
              <w:rPr>
                <w:rFonts w:ascii="Arial" w:hAnsi="Arial" w:cs="Arial"/>
                <w:b/>
                <w:bCs/>
                <w:color w:val="000000"/>
                <w:sz w:val="18"/>
                <w:szCs w:val="18"/>
                <w:highlight w:val="none"/>
                <w:lang w:bidi="ar"/>
              </w:rPr>
              <w:t>（万平米）</w:t>
            </w:r>
          </w:p>
        </w:tc>
        <w:tc>
          <w:tcPr>
            <w:tcW w:w="1559" w:type="dxa"/>
            <w:vAlign w:val="center"/>
          </w:tcPr>
          <w:p>
            <w:pPr>
              <w:jc w:val="center"/>
              <w:textAlignment w:val="center"/>
              <w:rPr>
                <w:rFonts w:ascii="Arial" w:hAnsi="Arial" w:cs="Arial"/>
                <w:b/>
                <w:bCs/>
                <w:color w:val="000000"/>
                <w:sz w:val="18"/>
                <w:szCs w:val="18"/>
                <w:highlight w:val="none"/>
                <w:lang w:bidi="ar"/>
              </w:rPr>
            </w:pPr>
            <w:r>
              <w:rPr>
                <w:rFonts w:hint="eastAsia" w:ascii="Arial" w:hAnsi="Arial" w:cs="Arial"/>
                <w:b/>
                <w:bCs/>
                <w:color w:val="000000"/>
                <w:sz w:val="18"/>
                <w:szCs w:val="18"/>
                <w:highlight w:val="none"/>
                <w:lang w:bidi="ar"/>
              </w:rPr>
              <w:t>最新</w:t>
            </w:r>
            <w:r>
              <w:rPr>
                <w:rFonts w:ascii="Arial" w:hAnsi="Arial" w:cs="Arial"/>
                <w:b/>
                <w:bCs/>
                <w:color w:val="000000"/>
                <w:sz w:val="18"/>
                <w:szCs w:val="18"/>
                <w:highlight w:val="none"/>
                <w:lang w:bidi="ar"/>
              </w:rPr>
              <w:t>销售均价</w:t>
            </w:r>
          </w:p>
          <w:p>
            <w:pPr>
              <w:jc w:val="center"/>
              <w:textAlignment w:val="center"/>
              <w:rPr>
                <w:rFonts w:ascii="Arial" w:hAnsi="Arial" w:cs="Arial"/>
                <w:b/>
                <w:bCs/>
                <w:color w:val="000000"/>
                <w:sz w:val="18"/>
                <w:szCs w:val="18"/>
                <w:highlight w:val="none"/>
                <w:lang w:bidi="ar"/>
              </w:rPr>
            </w:pPr>
            <w:r>
              <w:rPr>
                <w:rFonts w:ascii="Arial" w:hAnsi="Arial" w:cs="Arial"/>
                <w:b/>
                <w:bCs/>
                <w:color w:val="000000"/>
                <w:sz w:val="18"/>
                <w:szCs w:val="18"/>
                <w:highlight w:val="none"/>
                <w:lang w:bidi="ar"/>
              </w:rPr>
              <w:t>（万元/平米）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842" w:type="dxa"/>
            <w:vAlign w:val="center"/>
          </w:tcPr>
          <w:p>
            <w:pPr>
              <w:jc w:val="center"/>
              <w:textAlignment w:val="center"/>
              <w:rPr>
                <w:rFonts w:ascii="Arial" w:hAnsi="Arial" w:cs="Arial"/>
                <w:color w:val="000000"/>
                <w:sz w:val="18"/>
                <w:szCs w:val="18"/>
                <w:highlight w:val="none"/>
                <w:lang w:bidi="ar"/>
              </w:rPr>
            </w:pPr>
            <w:r>
              <w:rPr>
                <w:rFonts w:ascii="Arial" w:hAnsi="Arial" w:cs="Arial"/>
                <w:color w:val="000000"/>
                <w:sz w:val="18"/>
                <w:szCs w:val="18"/>
                <w:highlight w:val="none"/>
                <w:lang w:bidi="ar"/>
              </w:rPr>
              <w:t>1</w:t>
            </w:r>
          </w:p>
        </w:tc>
        <w:tc>
          <w:tcPr>
            <w:tcW w:w="1140" w:type="dxa"/>
            <w:vAlign w:val="center"/>
          </w:tcPr>
          <w:p>
            <w:pPr>
              <w:widowControl w:val="0"/>
              <w:jc w:val="center"/>
              <w:textAlignment w:val="center"/>
              <w:rPr>
                <w:rFonts w:ascii="Arial" w:hAnsi="Arial" w:cs="Arial"/>
                <w:color w:val="000000"/>
                <w:sz w:val="18"/>
                <w:szCs w:val="18"/>
                <w:highlight w:val="none"/>
                <w:lang w:bidi="ar"/>
              </w:rPr>
            </w:pPr>
            <w:r>
              <w:rPr>
                <w:rFonts w:ascii="Arial" w:hAnsi="Arial" w:cs="Arial"/>
                <w:color w:val="000000"/>
                <w:sz w:val="18"/>
                <w:szCs w:val="18"/>
                <w:highlight w:val="none"/>
                <w:lang w:bidi="ar"/>
              </w:rPr>
              <w:t>观湖春天</w:t>
            </w:r>
          </w:p>
        </w:tc>
        <w:tc>
          <w:tcPr>
            <w:tcW w:w="930" w:type="dxa"/>
            <w:vAlign w:val="center"/>
          </w:tcPr>
          <w:p>
            <w:pPr>
              <w:widowControl w:val="0"/>
              <w:jc w:val="center"/>
              <w:textAlignment w:val="center"/>
              <w:rPr>
                <w:rFonts w:ascii="Arial" w:hAnsi="Arial" w:cs="Arial"/>
                <w:color w:val="000000"/>
                <w:sz w:val="18"/>
                <w:szCs w:val="18"/>
                <w:highlight w:val="none"/>
                <w:lang w:bidi="ar"/>
              </w:rPr>
            </w:pPr>
            <w:r>
              <w:rPr>
                <w:rFonts w:ascii="Arial" w:hAnsi="Arial" w:cs="Arial"/>
                <w:color w:val="000000"/>
                <w:sz w:val="18"/>
                <w:szCs w:val="18"/>
                <w:highlight w:val="none"/>
                <w:lang w:bidi="ar"/>
              </w:rPr>
              <w:t>高层</w:t>
            </w:r>
          </w:p>
        </w:tc>
        <w:tc>
          <w:tcPr>
            <w:tcW w:w="1259" w:type="dxa"/>
            <w:vAlign w:val="center"/>
          </w:tcPr>
          <w:p>
            <w:pPr>
              <w:jc w:val="center"/>
              <w:textAlignment w:val="center"/>
              <w:rPr>
                <w:rFonts w:ascii="Arial" w:hAnsi="Arial" w:cs="Arial"/>
                <w:color w:val="000000"/>
                <w:sz w:val="18"/>
                <w:szCs w:val="18"/>
                <w:highlight w:val="none"/>
                <w:lang w:bidi="ar"/>
              </w:rPr>
            </w:pPr>
            <w:r>
              <w:rPr>
                <w:rFonts w:ascii="Arial" w:hAnsi="Arial" w:cs="Arial"/>
                <w:color w:val="000000"/>
                <w:sz w:val="18"/>
                <w:szCs w:val="18"/>
                <w:highlight w:val="none"/>
                <w:lang w:bidi="ar"/>
              </w:rPr>
              <w:t>否</w:t>
            </w:r>
          </w:p>
        </w:tc>
        <w:tc>
          <w:tcPr>
            <w:tcW w:w="1485" w:type="dxa"/>
            <w:vAlign w:val="center"/>
          </w:tcPr>
          <w:p>
            <w:pPr>
              <w:jc w:val="center"/>
              <w:textAlignment w:val="center"/>
              <w:rPr>
                <w:rFonts w:ascii="Arial" w:hAnsi="Arial" w:cs="Arial"/>
                <w:color w:val="000000"/>
                <w:sz w:val="18"/>
                <w:szCs w:val="18"/>
                <w:highlight w:val="none"/>
                <w:lang w:bidi="ar"/>
              </w:rPr>
            </w:pPr>
            <w:r>
              <w:rPr>
                <w:rFonts w:ascii="Arial" w:hAnsi="Arial" w:cs="Arial"/>
                <w:color w:val="000000"/>
                <w:sz w:val="18"/>
                <w:szCs w:val="18"/>
                <w:highlight w:val="none"/>
                <w:lang w:bidi="ar"/>
              </w:rPr>
              <w:t>14.20</w:t>
            </w:r>
          </w:p>
        </w:tc>
        <w:tc>
          <w:tcPr>
            <w:tcW w:w="1418" w:type="dxa"/>
            <w:vAlign w:val="center"/>
          </w:tcPr>
          <w:p>
            <w:pPr>
              <w:jc w:val="center"/>
              <w:textAlignment w:val="center"/>
              <w:rPr>
                <w:rFonts w:ascii="Arial" w:hAnsi="Arial" w:cs="Arial"/>
                <w:color w:val="000000"/>
                <w:sz w:val="18"/>
                <w:szCs w:val="18"/>
                <w:highlight w:val="none"/>
                <w:lang w:bidi="ar"/>
              </w:rPr>
            </w:pPr>
            <w:r>
              <w:rPr>
                <w:rFonts w:hint="eastAsia" w:ascii="Arial" w:hAnsi="Arial" w:cs="Arial"/>
                <w:color w:val="000000"/>
                <w:sz w:val="18"/>
                <w:szCs w:val="18"/>
                <w:highlight w:val="none"/>
                <w:lang w:bidi="ar"/>
              </w:rPr>
              <w:t>9.72</w:t>
            </w:r>
          </w:p>
        </w:tc>
        <w:tc>
          <w:tcPr>
            <w:tcW w:w="1559" w:type="dxa"/>
            <w:vAlign w:val="center"/>
          </w:tcPr>
          <w:p>
            <w:pPr>
              <w:tabs>
                <w:tab w:val="left" w:pos="524"/>
              </w:tabs>
              <w:textAlignment w:val="center"/>
              <w:rPr>
                <w:rFonts w:ascii="Arial" w:hAnsi="Arial" w:cs="Arial"/>
                <w:color w:val="000000"/>
                <w:sz w:val="18"/>
                <w:szCs w:val="18"/>
                <w:highlight w:val="none"/>
                <w:lang w:bidi="ar"/>
              </w:rPr>
            </w:pPr>
            <w:r>
              <w:rPr>
                <w:rFonts w:ascii="Arial" w:hAnsi="Arial" w:cs="Arial"/>
                <w:color w:val="000000"/>
                <w:sz w:val="18"/>
                <w:szCs w:val="18"/>
                <w:highlight w:val="none"/>
                <w:lang w:bidi="ar"/>
              </w:rPr>
              <w:tab/>
            </w:r>
            <w:r>
              <w:rPr>
                <w:rFonts w:hint="eastAsia" w:ascii="Arial" w:hAnsi="Arial" w:cs="Arial"/>
                <w:color w:val="000000"/>
                <w:sz w:val="18"/>
                <w:szCs w:val="18"/>
                <w:highlight w:val="none"/>
                <w:lang w:bidi="ar"/>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842" w:type="dxa"/>
            <w:vAlign w:val="center"/>
          </w:tcPr>
          <w:p>
            <w:pPr>
              <w:widowControl w:val="0"/>
              <w:jc w:val="center"/>
              <w:textAlignment w:val="center"/>
              <w:rPr>
                <w:rFonts w:ascii="Arial" w:hAnsi="Arial" w:cs="Arial"/>
                <w:color w:val="000000"/>
                <w:sz w:val="18"/>
                <w:szCs w:val="18"/>
                <w:highlight w:val="none"/>
                <w:lang w:bidi="ar"/>
              </w:rPr>
            </w:pPr>
            <w:r>
              <w:rPr>
                <w:rFonts w:ascii="Arial" w:hAnsi="Arial" w:cs="Arial"/>
                <w:color w:val="000000"/>
                <w:sz w:val="18"/>
                <w:szCs w:val="18"/>
                <w:highlight w:val="none"/>
                <w:lang w:bidi="ar"/>
              </w:rPr>
              <w:t>2</w:t>
            </w:r>
          </w:p>
        </w:tc>
        <w:tc>
          <w:tcPr>
            <w:tcW w:w="1140" w:type="dxa"/>
            <w:vAlign w:val="center"/>
          </w:tcPr>
          <w:p>
            <w:pPr>
              <w:widowControl w:val="0"/>
              <w:jc w:val="center"/>
              <w:textAlignment w:val="center"/>
              <w:rPr>
                <w:rFonts w:ascii="Arial" w:hAnsi="Arial" w:cs="Arial"/>
                <w:color w:val="000000"/>
                <w:sz w:val="18"/>
                <w:szCs w:val="18"/>
                <w:highlight w:val="none"/>
                <w:lang w:bidi="ar"/>
              </w:rPr>
            </w:pPr>
            <w:r>
              <w:rPr>
                <w:rFonts w:ascii="Arial" w:hAnsi="Arial" w:cs="Arial"/>
                <w:color w:val="000000"/>
                <w:sz w:val="18"/>
                <w:szCs w:val="18"/>
                <w:highlight w:val="none"/>
                <w:lang w:bidi="ar"/>
              </w:rPr>
              <w:t>德信望澜庭</w:t>
            </w:r>
          </w:p>
        </w:tc>
        <w:tc>
          <w:tcPr>
            <w:tcW w:w="930" w:type="dxa"/>
            <w:vAlign w:val="center"/>
          </w:tcPr>
          <w:p>
            <w:pPr>
              <w:widowControl w:val="0"/>
              <w:jc w:val="center"/>
              <w:textAlignment w:val="center"/>
              <w:rPr>
                <w:rFonts w:ascii="Arial" w:hAnsi="Arial" w:cs="Arial"/>
                <w:color w:val="000000"/>
                <w:sz w:val="18"/>
                <w:szCs w:val="18"/>
                <w:highlight w:val="none"/>
                <w:lang w:bidi="ar"/>
              </w:rPr>
            </w:pPr>
            <w:r>
              <w:rPr>
                <w:rFonts w:ascii="Arial" w:hAnsi="Arial" w:cs="Arial"/>
                <w:color w:val="000000"/>
                <w:sz w:val="18"/>
                <w:szCs w:val="18"/>
                <w:highlight w:val="none"/>
                <w:lang w:bidi="ar"/>
              </w:rPr>
              <w:t>高层</w:t>
            </w:r>
          </w:p>
        </w:tc>
        <w:tc>
          <w:tcPr>
            <w:tcW w:w="1259" w:type="dxa"/>
            <w:vAlign w:val="center"/>
          </w:tcPr>
          <w:p>
            <w:pPr>
              <w:jc w:val="center"/>
              <w:textAlignment w:val="center"/>
              <w:rPr>
                <w:rFonts w:ascii="Arial" w:hAnsi="Arial" w:cs="Arial"/>
                <w:color w:val="000000"/>
                <w:sz w:val="18"/>
                <w:szCs w:val="18"/>
                <w:highlight w:val="none"/>
                <w:lang w:bidi="ar"/>
              </w:rPr>
            </w:pPr>
            <w:r>
              <w:rPr>
                <w:rFonts w:ascii="Arial" w:hAnsi="Arial" w:cs="Arial"/>
                <w:color w:val="000000"/>
                <w:sz w:val="18"/>
                <w:szCs w:val="18"/>
                <w:highlight w:val="none"/>
                <w:lang w:bidi="ar"/>
              </w:rPr>
              <w:t>否</w:t>
            </w:r>
          </w:p>
        </w:tc>
        <w:tc>
          <w:tcPr>
            <w:tcW w:w="1485" w:type="dxa"/>
            <w:vAlign w:val="center"/>
          </w:tcPr>
          <w:p>
            <w:pPr>
              <w:jc w:val="center"/>
              <w:textAlignment w:val="center"/>
              <w:rPr>
                <w:rFonts w:ascii="Arial" w:hAnsi="Arial" w:cs="Arial"/>
                <w:color w:val="000000"/>
                <w:sz w:val="18"/>
                <w:szCs w:val="18"/>
                <w:highlight w:val="none"/>
                <w:lang w:bidi="ar"/>
              </w:rPr>
            </w:pPr>
            <w:r>
              <w:rPr>
                <w:rFonts w:ascii="Arial" w:hAnsi="Arial" w:cs="Arial"/>
                <w:color w:val="000000"/>
                <w:sz w:val="18"/>
                <w:szCs w:val="18"/>
                <w:highlight w:val="none"/>
                <w:lang w:bidi="ar"/>
              </w:rPr>
              <w:t>10.00</w:t>
            </w:r>
          </w:p>
        </w:tc>
        <w:tc>
          <w:tcPr>
            <w:tcW w:w="1418" w:type="dxa"/>
            <w:vAlign w:val="center"/>
          </w:tcPr>
          <w:p>
            <w:pPr>
              <w:jc w:val="center"/>
              <w:textAlignment w:val="center"/>
              <w:rPr>
                <w:rFonts w:ascii="Arial" w:hAnsi="Arial" w:cs="Arial"/>
                <w:color w:val="000000"/>
                <w:sz w:val="18"/>
                <w:szCs w:val="18"/>
                <w:highlight w:val="none"/>
                <w:lang w:bidi="ar"/>
              </w:rPr>
            </w:pPr>
            <w:r>
              <w:rPr>
                <w:rFonts w:ascii="Arial" w:hAnsi="Arial" w:cs="Arial"/>
                <w:color w:val="000000"/>
                <w:sz w:val="18"/>
                <w:szCs w:val="18"/>
                <w:highlight w:val="none"/>
                <w:lang w:bidi="ar"/>
              </w:rPr>
              <w:t>6.9</w:t>
            </w:r>
            <w:r>
              <w:rPr>
                <w:rFonts w:hint="eastAsia" w:ascii="Arial" w:hAnsi="Arial" w:cs="Arial"/>
                <w:color w:val="000000"/>
                <w:sz w:val="18"/>
                <w:szCs w:val="18"/>
                <w:highlight w:val="none"/>
                <w:lang w:bidi="ar"/>
              </w:rPr>
              <w:t>4</w:t>
            </w:r>
          </w:p>
        </w:tc>
        <w:tc>
          <w:tcPr>
            <w:tcW w:w="1559" w:type="dxa"/>
            <w:vAlign w:val="center"/>
          </w:tcPr>
          <w:p>
            <w:pPr>
              <w:jc w:val="center"/>
              <w:textAlignment w:val="center"/>
              <w:rPr>
                <w:rFonts w:ascii="Arial" w:hAnsi="Arial" w:cs="Arial"/>
                <w:color w:val="000000"/>
                <w:sz w:val="18"/>
                <w:szCs w:val="18"/>
                <w:highlight w:val="none"/>
                <w:lang w:bidi="ar"/>
              </w:rPr>
            </w:pPr>
            <w:r>
              <w:rPr>
                <w:rFonts w:hint="eastAsia" w:ascii="Arial" w:hAnsi="Arial" w:cs="Arial"/>
                <w:color w:val="000000"/>
                <w:sz w:val="18"/>
                <w:szCs w:val="18"/>
                <w:highlight w:val="none"/>
                <w:lang w:bidi="ar"/>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842" w:type="dxa"/>
            <w:vAlign w:val="center"/>
          </w:tcPr>
          <w:p>
            <w:pPr>
              <w:widowControl w:val="0"/>
              <w:jc w:val="center"/>
              <w:textAlignment w:val="center"/>
              <w:rPr>
                <w:rFonts w:ascii="Arial" w:hAnsi="Arial" w:cs="Arial"/>
                <w:color w:val="000000"/>
                <w:sz w:val="18"/>
                <w:szCs w:val="18"/>
                <w:highlight w:val="none"/>
                <w:lang w:bidi="ar"/>
              </w:rPr>
            </w:pPr>
            <w:r>
              <w:rPr>
                <w:rFonts w:hint="eastAsia" w:ascii="Arial" w:hAnsi="Arial" w:cs="Arial"/>
                <w:color w:val="000000"/>
                <w:sz w:val="18"/>
                <w:szCs w:val="18"/>
                <w:highlight w:val="none"/>
                <w:lang w:bidi="ar"/>
              </w:rPr>
              <w:t>3</w:t>
            </w:r>
          </w:p>
        </w:tc>
        <w:tc>
          <w:tcPr>
            <w:tcW w:w="1140" w:type="dxa"/>
            <w:vAlign w:val="center"/>
          </w:tcPr>
          <w:p>
            <w:pPr>
              <w:widowControl w:val="0"/>
              <w:jc w:val="center"/>
              <w:textAlignment w:val="center"/>
              <w:rPr>
                <w:rFonts w:ascii="Arial" w:hAnsi="Arial" w:cs="Arial"/>
                <w:color w:val="000000"/>
                <w:sz w:val="18"/>
                <w:szCs w:val="18"/>
                <w:highlight w:val="none"/>
                <w:lang w:bidi="ar"/>
              </w:rPr>
            </w:pPr>
            <w:r>
              <w:rPr>
                <w:rFonts w:hint="eastAsia" w:ascii="Arial" w:hAnsi="Arial" w:cs="Arial"/>
                <w:color w:val="000000"/>
                <w:sz w:val="18"/>
                <w:szCs w:val="18"/>
                <w:highlight w:val="none"/>
                <w:lang w:bidi="ar"/>
              </w:rPr>
              <w:t>建发云锦湾</w:t>
            </w:r>
          </w:p>
        </w:tc>
        <w:tc>
          <w:tcPr>
            <w:tcW w:w="930" w:type="dxa"/>
            <w:vAlign w:val="center"/>
          </w:tcPr>
          <w:p>
            <w:pPr>
              <w:widowControl w:val="0"/>
              <w:jc w:val="center"/>
              <w:textAlignment w:val="center"/>
              <w:rPr>
                <w:rFonts w:ascii="Arial" w:hAnsi="Arial" w:cs="Arial"/>
                <w:color w:val="000000"/>
                <w:sz w:val="18"/>
                <w:szCs w:val="18"/>
                <w:highlight w:val="none"/>
                <w:lang w:bidi="ar"/>
              </w:rPr>
            </w:pPr>
            <w:r>
              <w:rPr>
                <w:rFonts w:hint="eastAsia" w:ascii="Arial" w:hAnsi="Arial" w:cs="Arial"/>
                <w:color w:val="000000"/>
                <w:sz w:val="18"/>
                <w:szCs w:val="18"/>
                <w:highlight w:val="none"/>
                <w:lang w:bidi="ar"/>
              </w:rPr>
              <w:t>小高层</w:t>
            </w:r>
          </w:p>
        </w:tc>
        <w:tc>
          <w:tcPr>
            <w:tcW w:w="1259" w:type="dxa"/>
            <w:vAlign w:val="center"/>
          </w:tcPr>
          <w:p>
            <w:pPr>
              <w:jc w:val="center"/>
              <w:textAlignment w:val="center"/>
              <w:rPr>
                <w:rFonts w:ascii="Arial" w:hAnsi="Arial" w:cs="Arial"/>
                <w:color w:val="000000"/>
                <w:sz w:val="18"/>
                <w:szCs w:val="18"/>
                <w:highlight w:val="none"/>
                <w:lang w:bidi="ar"/>
              </w:rPr>
            </w:pPr>
            <w:r>
              <w:rPr>
                <w:rFonts w:hint="eastAsia" w:ascii="Arial" w:hAnsi="Arial" w:cs="Arial"/>
                <w:color w:val="000000"/>
                <w:sz w:val="18"/>
                <w:szCs w:val="18"/>
                <w:highlight w:val="none"/>
                <w:lang w:bidi="ar"/>
              </w:rPr>
              <w:t>是</w:t>
            </w:r>
          </w:p>
        </w:tc>
        <w:tc>
          <w:tcPr>
            <w:tcW w:w="1485" w:type="dxa"/>
            <w:vAlign w:val="center"/>
          </w:tcPr>
          <w:p>
            <w:pPr>
              <w:jc w:val="center"/>
              <w:textAlignment w:val="center"/>
              <w:rPr>
                <w:rFonts w:ascii="Arial" w:hAnsi="Arial" w:cs="Arial"/>
                <w:color w:val="000000"/>
                <w:sz w:val="18"/>
                <w:szCs w:val="18"/>
                <w:highlight w:val="none"/>
                <w:lang w:bidi="ar"/>
              </w:rPr>
            </w:pPr>
            <w:r>
              <w:rPr>
                <w:rFonts w:hint="eastAsia" w:ascii="Arial" w:hAnsi="Arial" w:cs="Arial"/>
                <w:color w:val="000000"/>
                <w:sz w:val="18"/>
                <w:szCs w:val="18"/>
                <w:highlight w:val="none"/>
                <w:lang w:bidi="ar"/>
              </w:rPr>
              <w:t>7.00</w:t>
            </w:r>
          </w:p>
        </w:tc>
        <w:tc>
          <w:tcPr>
            <w:tcW w:w="1418" w:type="dxa"/>
            <w:vAlign w:val="center"/>
          </w:tcPr>
          <w:p>
            <w:pPr>
              <w:jc w:val="center"/>
              <w:textAlignment w:val="center"/>
              <w:rPr>
                <w:rFonts w:ascii="Arial" w:hAnsi="Arial" w:cs="Arial"/>
                <w:color w:val="000000"/>
                <w:sz w:val="18"/>
                <w:szCs w:val="18"/>
                <w:highlight w:val="none"/>
                <w:lang w:bidi="ar"/>
              </w:rPr>
            </w:pPr>
            <w:r>
              <w:rPr>
                <w:rFonts w:hint="eastAsia" w:ascii="Arial" w:hAnsi="Arial" w:cs="Arial"/>
                <w:color w:val="000000"/>
                <w:sz w:val="18"/>
                <w:szCs w:val="18"/>
                <w:highlight w:val="none"/>
                <w:lang w:bidi="ar"/>
              </w:rPr>
              <w:t>0.00</w:t>
            </w:r>
          </w:p>
        </w:tc>
        <w:tc>
          <w:tcPr>
            <w:tcW w:w="1559" w:type="dxa"/>
            <w:vAlign w:val="center"/>
          </w:tcPr>
          <w:p>
            <w:pPr>
              <w:jc w:val="center"/>
              <w:textAlignment w:val="center"/>
              <w:rPr>
                <w:rFonts w:ascii="Arial" w:hAnsi="Arial" w:cs="Arial"/>
                <w:color w:val="000000"/>
                <w:sz w:val="18"/>
                <w:szCs w:val="18"/>
                <w:highlight w:val="none"/>
                <w:lang w:bidi="ar"/>
              </w:rPr>
            </w:pPr>
            <w:r>
              <w:rPr>
                <w:rFonts w:hint="eastAsia" w:ascii="Arial" w:hAnsi="Arial" w:cs="Arial"/>
                <w:color w:val="000000"/>
                <w:sz w:val="18"/>
                <w:szCs w:val="18"/>
                <w:highlight w:val="none"/>
                <w:lang w:bidi="ar"/>
              </w:rPr>
              <w:t>1.90</w:t>
            </w:r>
          </w:p>
        </w:tc>
      </w:tr>
    </w:tbl>
    <w:p>
      <w:pPr>
        <w:rPr>
          <w:rFonts w:ascii="宋体" w:hAnsi="宋体" w:cs="宋体"/>
          <w:bCs/>
          <w:sz w:val="21"/>
          <w:szCs w:val="21"/>
        </w:rPr>
      </w:pPr>
    </w:p>
    <w:p>
      <w:pPr>
        <w:spacing w:line="360" w:lineRule="auto"/>
        <w:rPr>
          <w:rFonts w:ascii="Arial" w:hAnsi="Arial" w:cs="Arial"/>
          <w:color w:val="000000"/>
          <w:sz w:val="21"/>
          <w:szCs w:val="21"/>
          <w:highlight w:val="none"/>
        </w:rPr>
      </w:pPr>
      <w:r>
        <w:rPr>
          <w:rFonts w:hint="eastAsia" w:ascii="宋体" w:hAnsi="宋体" w:cs="宋体"/>
          <w:bCs/>
          <w:sz w:val="21"/>
          <w:szCs w:val="21"/>
        </w:rPr>
        <w:t xml:space="preserve">  </w:t>
      </w:r>
      <w:r>
        <w:rPr>
          <w:rFonts w:hint="eastAsia" w:ascii="Arial" w:hAnsi="Arial" w:cs="Arial"/>
          <w:color w:val="000000"/>
          <w:sz w:val="21"/>
          <w:szCs w:val="21"/>
          <w:highlight w:val="none"/>
        </w:rPr>
        <w:t>观湖春天加推</w:t>
      </w:r>
      <w:r>
        <w:rPr>
          <w:rFonts w:hint="eastAsia" w:ascii="Arial" w:hAnsi="Arial" w:cs="Arial"/>
          <w:color w:val="000000"/>
          <w:sz w:val="21"/>
          <w:szCs w:val="21"/>
          <w:highlight w:val="none"/>
          <w:lang w:eastAsia="zh-CN"/>
        </w:rPr>
        <w:t>本月新客来访</w:t>
      </w:r>
      <w:r>
        <w:rPr>
          <w:rFonts w:hint="eastAsia" w:ascii="Arial" w:hAnsi="Arial" w:cs="Arial"/>
          <w:color w:val="000000"/>
          <w:sz w:val="21"/>
          <w:szCs w:val="21"/>
          <w:highlight w:val="none"/>
          <w:lang w:val="en-US" w:eastAsia="zh-CN"/>
        </w:rPr>
        <w:t>155组，去化约47套，本月加推2#楼98平和120平共计72套，2#楼加推成交以小面积为主，加推后将无小面积产品可售；均价约16800元/平，价格优势明显</w:t>
      </w:r>
      <w:r>
        <w:rPr>
          <w:rFonts w:hint="eastAsia" w:ascii="Arial" w:hAnsi="Arial" w:cs="Arial"/>
          <w:color w:val="000000"/>
          <w:sz w:val="21"/>
          <w:szCs w:val="21"/>
          <w:highlight w:val="none"/>
        </w:rPr>
        <w:t>；</w:t>
      </w:r>
    </w:p>
    <w:p>
      <w:pPr>
        <w:spacing w:line="360" w:lineRule="auto"/>
        <w:rPr>
          <w:rFonts w:hint="default" w:ascii="Arial" w:hAnsi="Arial" w:eastAsia="宋体" w:cs="Arial"/>
          <w:color w:val="000000"/>
          <w:sz w:val="21"/>
          <w:szCs w:val="21"/>
          <w:highlight w:val="none"/>
          <w:lang w:val="en-US" w:eastAsia="zh-CN"/>
        </w:rPr>
      </w:pPr>
      <w:r>
        <w:rPr>
          <w:rFonts w:hint="eastAsia" w:ascii="Arial" w:hAnsi="Arial" w:cs="Arial"/>
          <w:color w:val="000000"/>
          <w:sz w:val="21"/>
          <w:szCs w:val="21"/>
          <w:highlight w:val="none"/>
        </w:rPr>
        <w:t xml:space="preserve">  德信望澜庭</w:t>
      </w:r>
      <w:r>
        <w:rPr>
          <w:rFonts w:hint="eastAsia" w:ascii="Arial" w:hAnsi="Arial" w:cs="Arial"/>
          <w:color w:val="000000"/>
          <w:sz w:val="21"/>
          <w:szCs w:val="21"/>
          <w:highlight w:val="none"/>
          <w:lang w:val="en-US" w:eastAsia="zh-CN"/>
        </w:rPr>
        <w:t>6</w:t>
      </w:r>
      <w:r>
        <w:rPr>
          <w:rFonts w:hint="eastAsia" w:ascii="Arial" w:hAnsi="Arial" w:cs="Arial"/>
          <w:color w:val="000000"/>
          <w:sz w:val="21"/>
          <w:szCs w:val="21"/>
          <w:highlight w:val="none"/>
        </w:rPr>
        <w:t>月来访</w:t>
      </w:r>
      <w:r>
        <w:rPr>
          <w:rFonts w:hint="eastAsia" w:ascii="Arial" w:hAnsi="Arial" w:cs="Arial"/>
          <w:color w:val="000000"/>
          <w:sz w:val="21"/>
          <w:szCs w:val="21"/>
          <w:highlight w:val="none"/>
          <w:lang w:val="en-US" w:eastAsia="zh-CN"/>
        </w:rPr>
        <w:t>241</w:t>
      </w:r>
      <w:r>
        <w:rPr>
          <w:rFonts w:hint="eastAsia" w:ascii="Arial" w:hAnsi="Arial" w:cs="Arial"/>
          <w:color w:val="000000"/>
          <w:sz w:val="21"/>
          <w:szCs w:val="21"/>
          <w:highlight w:val="none"/>
        </w:rPr>
        <w:t>组，</w:t>
      </w:r>
      <w:r>
        <w:rPr>
          <w:rFonts w:hint="eastAsia" w:ascii="Arial" w:hAnsi="Arial" w:cs="Arial"/>
          <w:color w:val="000000"/>
          <w:sz w:val="21"/>
          <w:szCs w:val="21"/>
          <w:highlight w:val="none"/>
          <w:lang w:eastAsia="zh-CN"/>
        </w:rPr>
        <w:t>成交</w:t>
      </w:r>
      <w:r>
        <w:rPr>
          <w:rFonts w:hint="eastAsia" w:ascii="Arial" w:hAnsi="Arial" w:cs="Arial"/>
          <w:color w:val="000000"/>
          <w:sz w:val="21"/>
          <w:szCs w:val="21"/>
          <w:highlight w:val="none"/>
          <w:lang w:val="en-US" w:eastAsia="zh-CN"/>
        </w:rPr>
        <w:t>37套，</w:t>
      </w:r>
      <w:r>
        <w:rPr>
          <w:rFonts w:hint="eastAsia" w:ascii="Arial" w:hAnsi="Arial" w:cs="Arial"/>
          <w:color w:val="000000"/>
          <w:sz w:val="21"/>
          <w:szCs w:val="21"/>
          <w:highlight w:val="none"/>
        </w:rPr>
        <w:t>销售均价在1.69万元/平米，</w:t>
      </w:r>
      <w:r>
        <w:rPr>
          <w:rFonts w:hint="eastAsia" w:ascii="Arial" w:hAnsi="Arial" w:cs="Arial"/>
          <w:color w:val="000000"/>
          <w:sz w:val="21"/>
          <w:szCs w:val="21"/>
          <w:highlight w:val="none"/>
          <w:lang w:eastAsia="zh-CN"/>
        </w:rPr>
        <w:t>剩余月</w:t>
      </w:r>
      <w:r>
        <w:rPr>
          <w:rFonts w:hint="eastAsia" w:ascii="Arial" w:hAnsi="Arial" w:cs="Arial"/>
          <w:color w:val="000000"/>
          <w:sz w:val="21"/>
          <w:szCs w:val="21"/>
          <w:highlight w:val="none"/>
          <w:lang w:val="en-US" w:eastAsia="zh-CN"/>
        </w:rPr>
        <w:t>105套房源，启动全民营销15000元/套，在售车位月8-10万元/个。</w:t>
      </w:r>
    </w:p>
    <w:p>
      <w:pPr>
        <w:spacing w:line="360" w:lineRule="auto"/>
        <w:rPr>
          <w:rFonts w:ascii="Arial" w:hAnsi="Arial" w:cs="Arial"/>
          <w:color w:val="000000"/>
          <w:sz w:val="21"/>
          <w:szCs w:val="21"/>
          <w:highlight w:val="none"/>
        </w:rPr>
      </w:pPr>
      <w:r>
        <w:rPr>
          <w:rFonts w:hint="eastAsia" w:ascii="Arial" w:hAnsi="Arial" w:cs="Arial"/>
          <w:color w:val="000000"/>
          <w:sz w:val="21"/>
          <w:szCs w:val="21"/>
          <w:highlight w:val="none"/>
        </w:rPr>
        <w:t xml:space="preserve">  建发云锦湾，4月15日启动锁资，5月7日售楼处公开，5月22日样板间公开，</w:t>
      </w:r>
      <w:r>
        <w:rPr>
          <w:rFonts w:hint="eastAsia" w:ascii="Arial" w:hAnsi="Arial" w:cs="Arial"/>
          <w:color w:val="000000"/>
          <w:sz w:val="21"/>
          <w:szCs w:val="21"/>
          <w:highlight w:val="none"/>
          <w:lang w:eastAsia="zh-CN"/>
        </w:rPr>
        <w:t>截至</w:t>
      </w:r>
      <w:r>
        <w:rPr>
          <w:rFonts w:hint="eastAsia" w:ascii="Arial" w:hAnsi="Arial" w:cs="Arial"/>
          <w:color w:val="000000"/>
          <w:sz w:val="21"/>
          <w:szCs w:val="21"/>
          <w:highlight w:val="none"/>
          <w:lang w:val="en-US" w:eastAsia="zh-CN"/>
        </w:rPr>
        <w:t>6月30日锁资365组，锁资客户存活率约50%</w:t>
      </w:r>
      <w:r>
        <w:rPr>
          <w:rFonts w:hint="eastAsia" w:ascii="Arial" w:hAnsi="Arial" w:cs="Arial"/>
          <w:color w:val="000000"/>
          <w:sz w:val="21"/>
          <w:szCs w:val="21"/>
          <w:highlight w:val="none"/>
        </w:rPr>
        <w:t>。</w:t>
      </w:r>
    </w:p>
    <w:p>
      <w:pPr>
        <w:pStyle w:val="3"/>
        <w:rPr>
          <w:rFonts w:ascii="宋体" w:hAnsi="宋体" w:eastAsia="宋体"/>
          <w:sz w:val="21"/>
          <w:szCs w:val="21"/>
        </w:rPr>
      </w:pPr>
      <w:bookmarkStart w:id="22" w:name="_Toc23515"/>
      <w:bookmarkStart w:id="23" w:name="_Toc30376"/>
      <w:r>
        <w:rPr>
          <w:rFonts w:hint="eastAsia" w:ascii="宋体" w:hAnsi="宋体" w:eastAsia="宋体"/>
          <w:sz w:val="21"/>
          <w:szCs w:val="21"/>
        </w:rPr>
        <w:t>十一、区域市场情况分析</w:t>
      </w:r>
      <w:bookmarkEnd w:id="22"/>
      <w:bookmarkEnd w:id="23"/>
    </w:p>
    <w:p>
      <w:pPr>
        <w:numPr>
          <w:ilvl w:val="255"/>
          <w:numId w:val="0"/>
        </w:numPr>
        <w:rPr>
          <w:rFonts w:ascii="宋体" w:hAnsi="宋体" w:cs="宋体"/>
          <w:bCs/>
          <w:sz w:val="21"/>
          <w:szCs w:val="21"/>
          <w:highlight w:val="yellow"/>
        </w:rPr>
      </w:pPr>
      <w:r>
        <w:rPr>
          <w:rFonts w:hint="eastAsia" w:ascii="宋体" w:hAnsi="宋体" w:cs="宋体"/>
          <w:b/>
          <w:bCs/>
          <w:sz w:val="21"/>
          <w:szCs w:val="21"/>
        </w:rPr>
        <w:t xml:space="preserve">11.1 </w:t>
      </w:r>
      <w:r>
        <w:rPr>
          <w:rFonts w:hint="eastAsia" w:ascii="宋体" w:hAnsi="宋体" w:cs="宋体"/>
          <w:b/>
          <w:sz w:val="21"/>
          <w:szCs w:val="21"/>
        </w:rPr>
        <w:t>客群情况分析</w:t>
      </w:r>
    </w:p>
    <w:p>
      <w:pPr>
        <w:spacing w:line="360" w:lineRule="auto"/>
        <w:ind w:firstLine="420" w:firstLineChars="200"/>
        <w:rPr>
          <w:rFonts w:ascii="Arial" w:hAnsi="Arial" w:cs="Arial"/>
          <w:bCs/>
          <w:sz w:val="21"/>
          <w:szCs w:val="21"/>
        </w:rPr>
      </w:pPr>
      <w:r>
        <w:rPr>
          <w:rFonts w:hint="eastAsia" w:ascii="Arial" w:hAnsi="Arial" w:cs="Arial"/>
          <w:color w:val="000000"/>
          <w:sz w:val="21"/>
          <w:szCs w:val="21"/>
        </w:rPr>
        <w:t>项目地块位于吴江高新区（盛泽镇）绸都大道西侧、市场西路北侧、舜湖西路南侧、福州路东侧。距离新设高铁盛泽站4公里。地块位于盛泽镇行政中心马路对面，周边商业、医疗、学校资源配套齐全，尤其是教育资源丰富，地块周边即将落户三所学校，一所公立，两所私立学校。主要客户群体为盛泽镇周边区域客户，其中盛泽西部新城区和中部商务区占比最多。</w:t>
      </w:r>
      <w:r>
        <w:rPr>
          <w:rFonts w:ascii="Arial" w:hAnsi="Arial" w:cs="Arial"/>
          <w:bCs/>
          <w:sz w:val="21"/>
          <w:szCs w:val="21"/>
        </w:rPr>
        <w:t>客户主要为以下</w:t>
      </w:r>
      <w:r>
        <w:rPr>
          <w:rFonts w:hint="eastAsia" w:ascii="Arial" w:hAnsi="Arial" w:cs="Arial"/>
          <w:bCs/>
          <w:sz w:val="21"/>
          <w:szCs w:val="21"/>
        </w:rPr>
        <w:t>两</w:t>
      </w:r>
      <w:r>
        <w:rPr>
          <w:rFonts w:ascii="Arial" w:hAnsi="Arial" w:cs="Arial"/>
          <w:bCs/>
          <w:sz w:val="21"/>
          <w:szCs w:val="21"/>
        </w:rPr>
        <w:t>种类型：</w:t>
      </w:r>
    </w:p>
    <w:p>
      <w:pPr>
        <w:pStyle w:val="2"/>
        <w:numPr>
          <w:ilvl w:val="0"/>
          <w:numId w:val="4"/>
        </w:numPr>
        <w:spacing w:line="360" w:lineRule="auto"/>
        <w:rPr>
          <w:rFonts w:ascii="Arial" w:hAnsi="Arial" w:cs="Arial"/>
          <w:color w:val="000000"/>
          <w:kern w:val="0"/>
          <w:szCs w:val="21"/>
        </w:rPr>
      </w:pPr>
      <w:r>
        <w:rPr>
          <w:rFonts w:hint="eastAsia" w:ascii="Arial" w:hAnsi="Arial" w:cs="Arial"/>
          <w:color w:val="000000"/>
          <w:kern w:val="0"/>
          <w:szCs w:val="21"/>
        </w:rPr>
        <w:t>重点客群：大面积改善客群。客户看中户型选择多，视野广阔，拥有双阳台，采光通风优越，且周边商业、学校、医疗资源配套齐全，交通便利。</w:t>
      </w:r>
    </w:p>
    <w:p>
      <w:pPr>
        <w:pStyle w:val="2"/>
        <w:numPr>
          <w:ilvl w:val="0"/>
          <w:numId w:val="4"/>
        </w:numPr>
        <w:spacing w:line="360" w:lineRule="auto"/>
        <w:rPr>
          <w:rFonts w:ascii="Arial" w:hAnsi="Arial" w:cs="Arial"/>
          <w:color w:val="000000"/>
          <w:kern w:val="0"/>
          <w:szCs w:val="21"/>
        </w:rPr>
      </w:pPr>
      <w:r>
        <w:rPr>
          <w:rFonts w:hint="eastAsia" w:ascii="Arial" w:hAnsi="Arial" w:cs="Arial"/>
          <w:color w:val="000000"/>
          <w:kern w:val="0"/>
          <w:szCs w:val="21"/>
        </w:rPr>
        <w:t>补充客群：客户投资及限购客群。盛泽丝绸尤为出名，经济发达，客户期盼在盛泽购置资产，自用或收藏。</w:t>
      </w:r>
    </w:p>
    <w:p>
      <w:pPr>
        <w:numPr>
          <w:ilvl w:val="255"/>
          <w:numId w:val="0"/>
        </w:numPr>
        <w:ind w:left="60"/>
        <w:rPr>
          <w:rFonts w:ascii="宋体" w:hAnsi="宋体" w:cs="宋体"/>
          <w:b/>
          <w:bCs/>
          <w:sz w:val="21"/>
          <w:szCs w:val="21"/>
        </w:rPr>
      </w:pPr>
      <w:r>
        <w:rPr>
          <w:rFonts w:hint="eastAsia" w:ascii="宋体" w:hAnsi="宋体" w:cs="宋体"/>
          <w:b/>
          <w:sz w:val="21"/>
          <w:szCs w:val="21"/>
        </w:rPr>
        <w:t xml:space="preserve">11.2 </w:t>
      </w:r>
      <w:r>
        <w:rPr>
          <w:rFonts w:hint="eastAsia" w:ascii="宋体" w:hAnsi="宋体" w:cs="宋体"/>
          <w:b/>
          <w:bCs/>
          <w:sz w:val="21"/>
          <w:szCs w:val="21"/>
        </w:rPr>
        <w:t>政策分析</w:t>
      </w:r>
    </w:p>
    <w:p>
      <w:pPr>
        <w:spacing w:line="360" w:lineRule="auto"/>
        <w:ind w:firstLine="422" w:firstLineChars="200"/>
        <w:rPr>
          <w:rFonts w:ascii="宋体" w:hAnsi="宋体" w:cs="宋体"/>
          <w:b/>
          <w:bCs/>
          <w:sz w:val="21"/>
          <w:szCs w:val="21"/>
        </w:rPr>
      </w:pPr>
      <w:r>
        <w:rPr>
          <w:rFonts w:hint="eastAsia" w:ascii="宋体" w:hAnsi="宋体" w:cs="宋体"/>
          <w:b/>
          <w:bCs/>
          <w:sz w:val="21"/>
          <w:szCs w:val="21"/>
        </w:rPr>
        <w:t>1、预售政策：</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苏州市预售政策为：本项目位于苏州市吴江区，根据苏州市加强商品住宅项目（低密度住宅、政策性住房和非居住商品房除外）预售许可管理规定，市区30000平方米以上商品住宅项目分期开发的，每期申请预售面积不宜低于30000平方米（尾盘除外），30000平方米以下商品住宅项目宜一次性办理商品住宅预售许可。项目取得预售许可证后，预售房源应在10日内一次性全部对外公开市场销售。</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2020年2月28日市政府出台《市住房城乡建设局关于应对疫情保障房地产市场平稳健康发展的通知》（苏住建房【2020】4号）。将申请预售时原形象进度要求放宽至按投资额计算，申请预售部分完成25%以上投资即可；分期销售项目每期申请预售面积由不低于3万平方米的要求，调整为高层、小高层商品房不少于2万平方米，多层商品房不少于1万平方米。</w:t>
      </w:r>
    </w:p>
    <w:p>
      <w:pPr>
        <w:ind w:firstLine="422" w:firstLineChars="200"/>
        <w:rPr>
          <w:rFonts w:ascii="宋体" w:hAnsi="宋体" w:cs="宋体"/>
          <w:b/>
          <w:bCs/>
          <w:sz w:val="21"/>
          <w:szCs w:val="21"/>
        </w:rPr>
      </w:pPr>
      <w:r>
        <w:rPr>
          <w:rFonts w:hint="eastAsia" w:ascii="宋体" w:hAnsi="宋体" w:cs="宋体"/>
          <w:b/>
          <w:bCs/>
          <w:sz w:val="21"/>
          <w:szCs w:val="21"/>
        </w:rPr>
        <w:t>2、限购政策：</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限购区域：工业园区、姑苏区、吴中区、吴江区、相城区、高新区、太仓市、昆山市（常熟、张家港不限购）；</w:t>
      </w:r>
    </w:p>
    <w:p>
      <w:pPr>
        <w:spacing w:line="360" w:lineRule="auto"/>
        <w:ind w:firstLine="420" w:firstLineChars="200"/>
        <w:jc w:val="both"/>
        <w:rPr>
          <w:rFonts w:ascii="宋体" w:hAnsi="宋体" w:cs="宋体"/>
          <w:sz w:val="21"/>
          <w:szCs w:val="21"/>
        </w:rPr>
      </w:pPr>
      <w:r>
        <w:rPr>
          <w:rFonts w:hint="eastAsia" w:ascii="Arial" w:hAnsi="Arial" w:cs="Arial"/>
          <w:color w:val="000000"/>
          <w:sz w:val="21"/>
          <w:szCs w:val="21"/>
        </w:rPr>
        <w:t>限购要求：苏州户籍在限购区域可买3套；非苏州户籍仅可买1套，还需满足自购房之日起3年内连续交满2年社保或个人所得税（补交不算在内、社保在苏州行政范围内均认可）</w:t>
      </w:r>
      <w:r>
        <w:rPr>
          <w:rFonts w:hint="eastAsia" w:ascii="宋体" w:hAnsi="宋体" w:cs="宋体"/>
          <w:sz w:val="21"/>
          <w:szCs w:val="21"/>
        </w:rPr>
        <w:t>。</w:t>
      </w:r>
    </w:p>
    <w:p>
      <w:pPr>
        <w:ind w:firstLine="422" w:firstLineChars="200"/>
        <w:rPr>
          <w:rFonts w:ascii="宋体" w:hAnsi="宋体" w:cs="宋体"/>
          <w:b/>
          <w:bCs/>
          <w:sz w:val="21"/>
          <w:szCs w:val="21"/>
        </w:rPr>
      </w:pPr>
      <w:r>
        <w:rPr>
          <w:rFonts w:hint="eastAsia" w:ascii="宋体" w:hAnsi="宋体" w:cs="宋体"/>
          <w:b/>
          <w:bCs/>
          <w:sz w:val="21"/>
          <w:szCs w:val="21"/>
        </w:rPr>
        <w:t>3、限价政策：</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加强商品住宅价格监管，市区新批准商品住宅项目预售许可时，房地产开发企业应当科学合理确定申报价格，经价格主管部门备案后一次性公开全部准售房源及每套房屋价格，严格按照明码标价格式要求，全部进入商品房预售许可行政主管部门设立的商品房预售系统。在对外销售时，同批次房源应当一次全部公示销售价格，实际销售价格不得高于申报价格，申报价格3个月内不宜调高，6个月内调高幅度不宜超过6%，12个月内不宜超过12%，同一批次房屋间价格不得调剂使用。同一批次不同类型房屋价格可以区别定价。下一批次备案预售价格不宜高于上一批次同类型房屋成交均价的6%。</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苏州市自然资源和规划局于2020年2月19日发布了“关于做好土地出让相关工作有效应对疫情的通知”，调整了超过市场指导价报价规则，但具体细则尚未公布。</w:t>
      </w:r>
    </w:p>
    <w:p>
      <w:pPr>
        <w:spacing w:line="360" w:lineRule="auto"/>
        <w:ind w:firstLine="422" w:firstLineChars="200"/>
        <w:jc w:val="both"/>
        <w:rPr>
          <w:rFonts w:ascii="宋体" w:hAnsi="宋体" w:cs="宋体"/>
          <w:sz w:val="21"/>
          <w:szCs w:val="21"/>
        </w:rPr>
      </w:pPr>
      <w:r>
        <w:rPr>
          <w:rFonts w:hint="eastAsia" w:ascii="Arial" w:hAnsi="Arial" w:cs="Arial"/>
          <w:b/>
          <w:color w:val="000000"/>
          <w:sz w:val="21"/>
          <w:szCs w:val="21"/>
        </w:rPr>
        <w:t>注：</w:t>
      </w:r>
      <w:r>
        <w:rPr>
          <w:rFonts w:hint="eastAsia" w:ascii="Arial" w:hAnsi="Arial" w:cs="Arial"/>
          <w:color w:val="000000"/>
          <w:sz w:val="21"/>
          <w:szCs w:val="21"/>
        </w:rPr>
        <w:t>项目所在地严格执行各限价、限购政策，并要求开发企业配合进行审核工作。</w:t>
      </w:r>
    </w:p>
    <w:p>
      <w:pPr>
        <w:numPr>
          <w:ilvl w:val="255"/>
          <w:numId w:val="0"/>
        </w:numPr>
        <w:ind w:left="60"/>
        <w:rPr>
          <w:rFonts w:ascii="宋体" w:hAnsi="宋体" w:cs="宋体"/>
          <w:b/>
          <w:bCs/>
          <w:sz w:val="21"/>
          <w:szCs w:val="21"/>
        </w:rPr>
      </w:pPr>
      <w:r>
        <w:rPr>
          <w:rFonts w:hint="eastAsia" w:ascii="宋体" w:hAnsi="宋体" w:cs="宋体"/>
          <w:b/>
          <w:sz w:val="21"/>
          <w:szCs w:val="21"/>
        </w:rPr>
        <w:t xml:space="preserve">11.3 </w:t>
      </w:r>
      <w:r>
        <w:rPr>
          <w:rFonts w:hint="eastAsia" w:ascii="宋体" w:hAnsi="宋体" w:cs="宋体"/>
          <w:b/>
          <w:bCs/>
          <w:sz w:val="21"/>
          <w:szCs w:val="21"/>
        </w:rPr>
        <w:t>同业态售房成交量分析</w:t>
      </w:r>
    </w:p>
    <w:p>
      <w:pPr>
        <w:spacing w:line="360" w:lineRule="auto"/>
        <w:ind w:firstLine="420" w:firstLineChars="200"/>
        <w:jc w:val="both"/>
        <w:rPr>
          <w:rFonts w:ascii="Arial" w:hAnsi="Arial" w:cs="Arial"/>
          <w:color w:val="000000"/>
          <w:sz w:val="21"/>
          <w:szCs w:val="21"/>
          <w:lang w:bidi="ar"/>
        </w:rPr>
      </w:pPr>
      <w:r>
        <w:rPr>
          <w:rFonts w:hint="eastAsia" w:ascii="Arial" w:hAnsi="Arial" w:cs="Arial"/>
          <w:color w:val="000000"/>
          <w:sz w:val="21"/>
          <w:szCs w:val="21"/>
          <w:lang w:bidi="ar"/>
        </w:rPr>
        <w:t xml:space="preserve">2021年6月，苏州市商品住宅（不含保障性住房）新增供应63.16万㎡，环比上升35.2%，同比下降35.5%。 </w:t>
      </w:r>
    </w:p>
    <w:p>
      <w:pPr>
        <w:spacing w:line="360" w:lineRule="auto"/>
        <w:ind w:firstLine="420" w:firstLineChars="200"/>
        <w:jc w:val="both"/>
        <w:rPr>
          <w:rFonts w:ascii="Arial" w:hAnsi="Arial" w:cs="Arial"/>
          <w:color w:val="000000"/>
          <w:sz w:val="21"/>
          <w:szCs w:val="21"/>
          <w:lang w:bidi="ar"/>
        </w:rPr>
      </w:pPr>
      <w:r>
        <w:rPr>
          <w:rFonts w:hint="eastAsia" w:ascii="Arial" w:hAnsi="Arial" w:cs="Arial"/>
          <w:color w:val="000000"/>
          <w:sz w:val="21"/>
          <w:szCs w:val="21"/>
          <w:lang w:bidi="ar"/>
        </w:rPr>
        <w:t xml:space="preserve"> 2021年6月，苏州市商品住宅（不含保障性住房）成交均价为27345元/㎡，环比下降0.8%，同比下降7.9%；成交面积为71.88万㎡，环比下降11.8%，同比下降18.5%。从面积段来看，100(含)-</w:t>
      </w:r>
    </w:p>
    <w:p>
      <w:pPr>
        <w:spacing w:line="360" w:lineRule="auto"/>
        <w:ind w:firstLine="420" w:firstLineChars="200"/>
        <w:jc w:val="both"/>
        <w:rPr>
          <w:rFonts w:ascii="Arial" w:hAnsi="Arial" w:cs="Arial"/>
          <w:color w:val="000000"/>
          <w:sz w:val="21"/>
          <w:szCs w:val="21"/>
          <w:lang w:bidi="ar"/>
        </w:rPr>
      </w:pPr>
      <w:r>
        <w:rPr>
          <w:rFonts w:hint="eastAsia" w:ascii="Arial" w:hAnsi="Arial" w:cs="Arial"/>
          <w:color w:val="000000"/>
          <w:sz w:val="21"/>
          <w:szCs w:val="21"/>
          <w:lang w:bidi="ar"/>
        </w:rPr>
        <w:t>120㎡面积段成交2854套，同比下降11.09%，套数占比同比下降0.7个百分点；从总价段来看，300(含)万元以上总价段成交3356套，同比下降10.0%，套数占比同比下降0.3个百分点。</w:t>
      </w:r>
    </w:p>
    <w:p>
      <w:pPr>
        <w:spacing w:line="360" w:lineRule="auto"/>
        <w:ind w:firstLine="420" w:firstLineChars="200"/>
        <w:jc w:val="both"/>
        <w:rPr>
          <w:rFonts w:ascii="Arial" w:hAnsi="Arial" w:cs="Arial"/>
          <w:color w:val="000000"/>
          <w:sz w:val="21"/>
          <w:szCs w:val="21"/>
          <w:lang w:bidi="ar"/>
        </w:rPr>
      </w:pPr>
      <w:r>
        <w:rPr>
          <w:rFonts w:hint="eastAsia" w:ascii="Arial" w:hAnsi="Arial" w:cs="Arial"/>
          <w:color w:val="000000"/>
          <w:sz w:val="21"/>
          <w:szCs w:val="21"/>
          <w:lang w:bidi="ar"/>
        </w:rPr>
        <w:t>2021年6月，苏州市商品住宅可售面积610.27万㎡，环比下降1%，按照平均近6个月销售情况，出清周期为7.73个月，较上月缩短0.5个月。</w:t>
      </w:r>
    </w:p>
    <w:p>
      <w:pPr>
        <w:numPr>
          <w:ilvl w:val="255"/>
          <w:numId w:val="0"/>
        </w:numPr>
        <w:rPr>
          <w:rFonts w:ascii="宋体" w:hAnsi="宋体" w:cs="宋体"/>
          <w:b/>
          <w:sz w:val="21"/>
          <w:szCs w:val="21"/>
        </w:rPr>
      </w:pPr>
      <w:r>
        <w:rPr>
          <w:rFonts w:hint="eastAsia" w:ascii="宋体" w:hAnsi="宋体" w:cs="宋体"/>
          <w:b/>
          <w:bCs/>
          <w:sz w:val="21"/>
          <w:szCs w:val="21"/>
        </w:rPr>
        <w:t xml:space="preserve">11.4 </w:t>
      </w:r>
      <w:r>
        <w:rPr>
          <w:rFonts w:hint="eastAsia" w:ascii="宋体" w:hAnsi="宋体" w:cs="宋体"/>
          <w:b/>
          <w:sz w:val="21"/>
          <w:szCs w:val="21"/>
        </w:rPr>
        <w:t>土地成交量分析</w:t>
      </w:r>
    </w:p>
    <w:p>
      <w:pPr>
        <w:spacing w:line="360" w:lineRule="auto"/>
        <w:ind w:firstLine="420" w:firstLineChars="200"/>
        <w:jc w:val="both"/>
        <w:rPr>
          <w:rFonts w:ascii="Arial" w:hAnsi="Arial" w:cs="Arial"/>
          <w:color w:val="000000"/>
          <w:sz w:val="21"/>
          <w:szCs w:val="21"/>
          <w:lang w:bidi="ar"/>
        </w:rPr>
      </w:pPr>
      <w:r>
        <w:rPr>
          <w:rFonts w:hint="eastAsia" w:ascii="Arial" w:hAnsi="Arial" w:cs="Arial"/>
          <w:color w:val="000000"/>
          <w:sz w:val="21"/>
          <w:szCs w:val="21"/>
          <w:lang w:bidi="ar"/>
        </w:rPr>
        <w:t>2021年1-6月，苏州市以工业用地成交为主，占比52.8%，其次，住宅用地成交占比37.4%。2021年6月，苏州市以住宅用地成交为主，占比55.6%，比去年同期上升0.2个百分点。</w:t>
      </w:r>
    </w:p>
    <w:p>
      <w:pPr>
        <w:spacing w:line="360" w:lineRule="auto"/>
        <w:ind w:firstLine="420" w:firstLineChars="200"/>
        <w:jc w:val="both"/>
        <w:rPr>
          <w:rFonts w:ascii="Arial" w:hAnsi="Arial" w:cs="Arial"/>
          <w:sz w:val="21"/>
          <w:szCs w:val="21"/>
        </w:rPr>
      </w:pPr>
      <w:r>
        <w:rPr>
          <w:rFonts w:hint="eastAsia" w:ascii="Arial" w:hAnsi="Arial" w:cs="Arial"/>
          <w:color w:val="000000"/>
          <w:sz w:val="21"/>
          <w:szCs w:val="21"/>
          <w:lang w:bidi="ar"/>
        </w:rPr>
        <w:t>2021年1-6月，苏州市共推出各类用地374宗，共计2991.61万㎡，同比减少8.33%。其中，推出住宅用地102宗，共计1196.6万㎡，同比增长8.82%；商办用地54宗，共计178.48万㎡，同比减少41.19%。2021年6月，苏州市累计推出各类用地33宗，共计348.46万㎡，环比减少68.79%，同比减少50.19%。其中，推出住宅用地9宗，共计121.48万㎡，环比减少79.57%，同比减少59.09%；商办用地8宗，共计35.74万㎡，环比减少48.7%，同比增长111.13%。</w:t>
      </w:r>
      <w:r>
        <w:rPr>
          <w:rFonts w:ascii="Arial" w:hAnsi="Arial" w:cs="Arial"/>
          <w:color w:val="000000"/>
          <w:sz w:val="21"/>
          <w:szCs w:val="21"/>
          <w:lang w:bidi="ar"/>
        </w:rPr>
        <w:t xml:space="preserve"> </w:t>
      </w:r>
    </w:p>
    <w:p>
      <w:pPr>
        <w:spacing w:line="360" w:lineRule="auto"/>
        <w:ind w:firstLine="420" w:firstLineChars="200"/>
        <w:jc w:val="both"/>
        <w:rPr>
          <w:rFonts w:ascii="Arial" w:hAnsi="Arial" w:cs="Arial"/>
          <w:color w:val="000000"/>
          <w:sz w:val="21"/>
          <w:szCs w:val="21"/>
          <w:lang w:bidi="ar"/>
        </w:rPr>
      </w:pPr>
      <w:r>
        <w:rPr>
          <w:rFonts w:hint="eastAsia" w:ascii="Arial" w:hAnsi="Arial" w:cs="Arial"/>
          <w:color w:val="000000"/>
          <w:sz w:val="21"/>
          <w:szCs w:val="21"/>
          <w:lang w:bidi="ar"/>
        </w:rPr>
        <w:t>2021年1-6月，苏州市共成交各类用地373宗，共计2860.4万㎡，同比减少2.69%。其中，成交住宅用地100宗，共计1112.16万㎡，同比增长11.49%；商办用地52宗，共计176.08万㎡，同比减少35.43%。2021年6月，苏州市累计成交各类用地63宗，共计640.69万㎡，环比减少17.61%，同比增长9.34%。其中，成交住宅用地29宗，共计368.76万㎡，环比增长35.41%，同比增长22.47%；商办用地16宗，共计89.18万㎡，环比增长238.93%，同比增长219.31%。</w:t>
      </w:r>
    </w:p>
    <w:p>
      <w:pPr>
        <w:pStyle w:val="2"/>
      </w:pPr>
      <w:r>
        <w:rPr>
          <w:rFonts w:hint="eastAsia" w:ascii="Arial" w:hAnsi="Arial" w:cs="Arial"/>
          <w:color w:val="000000"/>
          <w:szCs w:val="21"/>
          <w:lang w:bidi="ar"/>
        </w:rPr>
        <w:t>项目所在地本月无地块成交。</w:t>
      </w:r>
    </w:p>
    <w:p>
      <w:pPr>
        <w:numPr>
          <w:ilvl w:val="255"/>
          <w:numId w:val="0"/>
        </w:numPr>
        <w:ind w:left="60"/>
        <w:rPr>
          <w:rFonts w:ascii="宋体" w:hAnsi="宋体" w:cs="宋体"/>
          <w:b/>
          <w:sz w:val="21"/>
          <w:szCs w:val="21"/>
        </w:rPr>
      </w:pPr>
      <w:r>
        <w:rPr>
          <w:rFonts w:hint="eastAsia" w:ascii="宋体" w:hAnsi="宋体" w:cs="宋体"/>
          <w:b/>
          <w:bCs/>
          <w:sz w:val="21"/>
          <w:szCs w:val="21"/>
        </w:rPr>
        <w:t xml:space="preserve">11.5 </w:t>
      </w:r>
      <w:r>
        <w:rPr>
          <w:rFonts w:hint="eastAsia" w:ascii="宋体" w:hAnsi="宋体" w:cs="宋体"/>
          <w:b/>
          <w:sz w:val="21"/>
          <w:szCs w:val="21"/>
        </w:rPr>
        <w:t>其他</w:t>
      </w:r>
    </w:p>
    <w:p>
      <w:pPr>
        <w:ind w:firstLine="630" w:firstLineChars="300"/>
        <w:rPr>
          <w:rFonts w:ascii="宋体" w:hAnsi="宋体" w:cs="宋体"/>
          <w:bCs/>
          <w:sz w:val="21"/>
          <w:szCs w:val="21"/>
        </w:rPr>
      </w:pPr>
      <w:r>
        <w:rPr>
          <w:rFonts w:hint="eastAsia" w:ascii="宋体" w:hAnsi="宋体" w:cs="宋体"/>
          <w:bCs/>
          <w:sz w:val="21"/>
          <w:szCs w:val="21"/>
        </w:rPr>
        <w:t>无。</w:t>
      </w:r>
    </w:p>
    <w:p>
      <w:pPr>
        <w:pStyle w:val="3"/>
        <w:numPr>
          <w:ilvl w:val="0"/>
          <w:numId w:val="3"/>
        </w:numPr>
        <w:rPr>
          <w:rFonts w:ascii="宋体" w:hAnsi="宋体" w:eastAsia="宋体"/>
          <w:sz w:val="21"/>
          <w:szCs w:val="21"/>
        </w:rPr>
      </w:pPr>
      <w:bookmarkStart w:id="24" w:name="_Toc28168"/>
      <w:bookmarkStart w:id="25" w:name="_Toc9890"/>
      <w:r>
        <w:rPr>
          <w:rFonts w:hint="eastAsia" w:ascii="宋体" w:hAnsi="宋体" w:eastAsia="宋体"/>
          <w:sz w:val="21"/>
          <w:szCs w:val="21"/>
        </w:rPr>
        <w:t>项目公司资金计划执行情况</w:t>
      </w:r>
      <w:bookmarkEnd w:id="24"/>
      <w:bookmarkEnd w:id="25"/>
    </w:p>
    <w:p>
      <w:pPr>
        <w:jc w:val="center"/>
      </w:pPr>
      <w:r>
        <w:rPr>
          <w:rFonts w:hint="eastAsia" w:ascii="宋体" w:hAnsi="宋体" w:cs="宋体"/>
          <w:b/>
          <w:bCs/>
          <w:color w:val="000000"/>
          <w:sz w:val="21"/>
          <w:szCs w:val="21"/>
        </w:rPr>
        <w:t>表十二：</w:t>
      </w:r>
      <w:r>
        <w:rPr>
          <w:rFonts w:hint="eastAsia" w:ascii="宋体" w:hAnsi="宋体" w:cs="宋体"/>
          <w:b/>
          <w:bCs/>
          <w:sz w:val="21"/>
          <w:szCs w:val="21"/>
        </w:rPr>
        <w:t>2021年06月资金计划执行情况</w:t>
      </w:r>
    </w:p>
    <w:tbl>
      <w:tblPr>
        <w:tblStyle w:val="17"/>
        <w:tblpPr w:leftFromText="180" w:rightFromText="180" w:vertAnchor="text" w:horzAnchor="page" w:tblpXSpec="center" w:tblpY="327"/>
        <w:tblOverlap w:val="never"/>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448"/>
        <w:gridCol w:w="1663"/>
        <w:gridCol w:w="1525"/>
        <w:gridCol w:w="1813"/>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blHeader/>
          <w:jc w:val="center"/>
        </w:trPr>
        <w:tc>
          <w:tcPr>
            <w:tcW w:w="746"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44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支出项目</w:t>
            </w:r>
          </w:p>
        </w:tc>
        <w:tc>
          <w:tcPr>
            <w:tcW w:w="166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计划金额（万元）</w:t>
            </w:r>
          </w:p>
        </w:tc>
        <w:tc>
          <w:tcPr>
            <w:tcW w:w="152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实际金额（万元）</w:t>
            </w:r>
          </w:p>
        </w:tc>
        <w:tc>
          <w:tcPr>
            <w:tcW w:w="1813" w:type="dxa"/>
            <w:vAlign w:val="center"/>
          </w:tcPr>
          <w:p>
            <w:pPr>
              <w:jc w:val="center"/>
              <w:textAlignment w:val="center"/>
              <w:rPr>
                <w:rFonts w:ascii="Arial" w:hAnsi="Arial" w:cs="Arial"/>
                <w:b/>
                <w:bCs/>
                <w:color w:val="000000"/>
                <w:sz w:val="18"/>
                <w:szCs w:val="18"/>
                <w:lang w:bidi="ar"/>
              </w:rPr>
            </w:pPr>
            <w:r>
              <w:rPr>
                <w:rFonts w:hint="eastAsia" w:ascii="Arial" w:hAnsi="Arial" w:cs="Arial"/>
                <w:b/>
                <w:bCs/>
                <w:color w:val="000000"/>
                <w:sz w:val="18"/>
                <w:szCs w:val="18"/>
                <w:lang w:eastAsia="zh-CN" w:bidi="ar"/>
              </w:rPr>
              <w:t>结余</w:t>
            </w:r>
            <w:r>
              <w:rPr>
                <w:rFonts w:ascii="Arial" w:hAnsi="Arial" w:cs="Arial"/>
                <w:b/>
                <w:bCs/>
                <w:color w:val="000000"/>
                <w:sz w:val="18"/>
                <w:szCs w:val="18"/>
                <w:lang w:bidi="ar"/>
              </w:rPr>
              <w:t>金额（万元）</w:t>
            </w:r>
          </w:p>
        </w:tc>
        <w:tc>
          <w:tcPr>
            <w:tcW w:w="167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土地费用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开发费用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0.00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前期费用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109.44</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61.16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48.28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建筑工程费用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1390.82</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1,372.51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18.31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营销费用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1291.24</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87.69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1,203.55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管理费用</w:t>
            </w:r>
          </w:p>
        </w:tc>
        <w:tc>
          <w:tcPr>
            <w:tcW w:w="1663" w:type="dxa"/>
            <w:vAlign w:val="center"/>
          </w:tcPr>
          <w:p>
            <w:pPr>
              <w:jc w:val="right"/>
              <w:textAlignment w:val="center"/>
              <w:rPr>
                <w:rFonts w:ascii="Arial" w:hAnsi="Arial" w:cs="Arial"/>
                <w:sz w:val="18"/>
                <w:szCs w:val="18"/>
              </w:rPr>
            </w:pPr>
            <w:r>
              <w:rPr>
                <w:rFonts w:ascii="Arial" w:hAnsi="Arial" w:cs="Arial"/>
                <w:color w:val="000000"/>
                <w:sz w:val="18"/>
                <w:szCs w:val="18"/>
                <w:lang w:bidi="ar"/>
              </w:rPr>
              <w:t>354.74</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135.53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219.21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财务费用</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1431.11</w:t>
            </w:r>
          </w:p>
        </w:tc>
        <w:tc>
          <w:tcPr>
            <w:tcW w:w="1525" w:type="dxa"/>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1,431.69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-0.58 </w:t>
            </w:r>
          </w:p>
        </w:tc>
        <w:tc>
          <w:tcPr>
            <w:tcW w:w="167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费用为手续费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448"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税费</w:t>
            </w:r>
          </w:p>
        </w:tc>
        <w:tc>
          <w:tcPr>
            <w:tcW w:w="1663" w:type="dxa"/>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600.00 </w:t>
            </w:r>
          </w:p>
        </w:tc>
        <w:tc>
          <w:tcPr>
            <w:tcW w:w="1525"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424.09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175.91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144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其他</w:t>
            </w:r>
          </w:p>
        </w:tc>
        <w:tc>
          <w:tcPr>
            <w:tcW w:w="166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259.00 </w:t>
            </w:r>
          </w:p>
        </w:tc>
        <w:tc>
          <w:tcPr>
            <w:tcW w:w="1525" w:type="dxa"/>
            <w:vAlign w:val="center"/>
          </w:tcPr>
          <w:p>
            <w:pPr>
              <w:jc w:val="right"/>
              <w:textAlignment w:val="center"/>
              <w:rPr>
                <w:rFonts w:ascii="Arial" w:hAnsi="Arial" w:cs="Arial"/>
                <w:sz w:val="18"/>
                <w:szCs w:val="18"/>
              </w:rPr>
            </w:pPr>
            <w:r>
              <w:rPr>
                <w:rFonts w:ascii="Arial" w:hAnsi="Arial" w:cs="Arial"/>
                <w:color w:val="000000"/>
                <w:sz w:val="18"/>
                <w:szCs w:val="18"/>
                <w:lang w:bidi="ar"/>
              </w:rPr>
              <w:t xml:space="preserve">150.00 </w:t>
            </w:r>
          </w:p>
        </w:tc>
        <w:tc>
          <w:tcPr>
            <w:tcW w:w="1813" w:type="dxa"/>
            <w:vAlign w:val="center"/>
          </w:tcPr>
          <w:p>
            <w:pPr>
              <w:jc w:val="right"/>
              <w:textAlignment w:val="center"/>
              <w:rPr>
                <w:rFonts w:ascii="Arial" w:hAnsi="Arial" w:cs="Arial"/>
                <w:color w:val="000000"/>
                <w:sz w:val="18"/>
                <w:szCs w:val="18"/>
                <w:lang w:bidi="ar"/>
              </w:rPr>
            </w:pPr>
            <w:r>
              <w:rPr>
                <w:rFonts w:ascii="Arial" w:hAnsi="Arial" w:cs="Arial"/>
                <w:color w:val="000000"/>
                <w:sz w:val="18"/>
                <w:szCs w:val="18"/>
                <w:lang w:bidi="ar"/>
              </w:rPr>
              <w:t xml:space="preserve">109.00 </w:t>
            </w:r>
          </w:p>
        </w:tc>
        <w:tc>
          <w:tcPr>
            <w:tcW w:w="1673" w:type="dxa"/>
            <w:vAlign w:val="center"/>
          </w:tcPr>
          <w:p>
            <w:pPr>
              <w:jc w:val="center"/>
              <w:rPr>
                <w:rFonts w:ascii="Arial" w:hAnsi="Arial" w:cs="Arial"/>
                <w:color w:val="000000"/>
                <w:sz w:val="18"/>
                <w:szCs w:val="18"/>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10</w:t>
            </w:r>
          </w:p>
        </w:tc>
        <w:tc>
          <w:tcPr>
            <w:tcW w:w="1448" w:type="dxa"/>
            <w:vAlign w:val="center"/>
          </w:tcPr>
          <w:p>
            <w:pPr>
              <w:jc w:val="center"/>
              <w:textAlignment w:val="center"/>
              <w:rPr>
                <w:rFonts w:ascii="Arial" w:hAnsi="Arial" w:cs="Arial"/>
                <w:b/>
                <w:color w:val="000000"/>
                <w:sz w:val="18"/>
                <w:szCs w:val="18"/>
                <w:lang w:bidi="ar"/>
              </w:rPr>
            </w:pPr>
            <w:r>
              <w:rPr>
                <w:rFonts w:ascii="Arial" w:hAnsi="Arial" w:cs="Arial"/>
                <w:b/>
                <w:bCs/>
                <w:color w:val="000000"/>
                <w:sz w:val="18"/>
                <w:szCs w:val="18"/>
                <w:lang w:bidi="ar"/>
              </w:rPr>
              <w:t>往来款</w:t>
            </w:r>
          </w:p>
        </w:tc>
        <w:tc>
          <w:tcPr>
            <w:tcW w:w="1663" w:type="dxa"/>
            <w:vAlign w:val="center"/>
          </w:tcPr>
          <w:p>
            <w:pPr>
              <w:jc w:val="right"/>
              <w:rPr>
                <w:rFonts w:ascii="Arial" w:hAnsi="Arial" w:cs="Arial"/>
                <w:b/>
                <w:color w:val="000000"/>
                <w:sz w:val="18"/>
                <w:szCs w:val="18"/>
                <w:lang w:bidi="ar"/>
              </w:rPr>
            </w:pPr>
          </w:p>
        </w:tc>
        <w:tc>
          <w:tcPr>
            <w:tcW w:w="1525" w:type="dxa"/>
            <w:vAlign w:val="center"/>
          </w:tcPr>
          <w:p>
            <w:pPr>
              <w:jc w:val="right"/>
              <w:textAlignment w:val="center"/>
              <w:rPr>
                <w:rFonts w:ascii="Arial" w:hAnsi="Arial" w:cs="Arial"/>
                <w:b/>
                <w:bCs/>
                <w:color w:val="000000"/>
                <w:sz w:val="18"/>
                <w:szCs w:val="18"/>
                <w:lang w:bidi="ar"/>
              </w:rPr>
            </w:pPr>
            <w:r>
              <w:rPr>
                <w:rFonts w:ascii="Arial" w:hAnsi="Arial" w:cs="Arial"/>
                <w:color w:val="000000"/>
                <w:sz w:val="18"/>
                <w:szCs w:val="18"/>
                <w:lang w:bidi="ar"/>
              </w:rPr>
              <w:t xml:space="preserve">4,797.32 </w:t>
            </w:r>
          </w:p>
        </w:tc>
        <w:tc>
          <w:tcPr>
            <w:tcW w:w="1813" w:type="dxa"/>
            <w:vAlign w:val="center"/>
          </w:tcPr>
          <w:p>
            <w:pPr>
              <w:jc w:val="right"/>
              <w:textAlignment w:val="center"/>
              <w:rPr>
                <w:rFonts w:ascii="Arial" w:hAnsi="Arial" w:cs="Arial"/>
                <w:b/>
                <w:bCs/>
                <w:color w:val="000000"/>
                <w:sz w:val="18"/>
                <w:szCs w:val="18"/>
                <w:lang w:bidi="ar"/>
              </w:rPr>
            </w:pPr>
            <w:r>
              <w:rPr>
                <w:rFonts w:ascii="Arial" w:hAnsi="Arial" w:cs="Arial"/>
                <w:color w:val="000000"/>
                <w:sz w:val="18"/>
                <w:szCs w:val="18"/>
                <w:lang w:bidi="ar"/>
              </w:rPr>
              <w:t xml:space="preserve">-4,797.32 </w:t>
            </w:r>
          </w:p>
        </w:tc>
        <w:tc>
          <w:tcPr>
            <w:tcW w:w="1673"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支付中航利益分配，已走中航系统审批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11</w:t>
            </w:r>
          </w:p>
        </w:tc>
        <w:tc>
          <w:tcPr>
            <w:tcW w:w="1448" w:type="dxa"/>
            <w:vAlign w:val="center"/>
          </w:tcPr>
          <w:p>
            <w:pPr>
              <w:jc w:val="center"/>
              <w:textAlignment w:val="center"/>
              <w:rPr>
                <w:rFonts w:ascii="Arial" w:hAnsi="Arial" w:cs="Arial"/>
                <w:b/>
                <w:color w:val="000000"/>
                <w:sz w:val="18"/>
                <w:szCs w:val="18"/>
                <w:lang w:bidi="ar"/>
              </w:rPr>
            </w:pPr>
            <w:r>
              <w:rPr>
                <w:rFonts w:ascii="Arial" w:hAnsi="Arial" w:cs="Arial"/>
                <w:b/>
                <w:bCs/>
                <w:color w:val="000000"/>
                <w:sz w:val="18"/>
                <w:szCs w:val="18"/>
                <w:lang w:bidi="ar"/>
              </w:rPr>
              <w:t>合计</w:t>
            </w:r>
          </w:p>
        </w:tc>
        <w:tc>
          <w:tcPr>
            <w:tcW w:w="1663" w:type="dxa"/>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5436.35</w:t>
            </w:r>
          </w:p>
        </w:tc>
        <w:tc>
          <w:tcPr>
            <w:tcW w:w="1525" w:type="dxa"/>
            <w:vAlign w:val="center"/>
          </w:tcPr>
          <w:p>
            <w:pPr>
              <w:jc w:val="center"/>
            </w:pPr>
            <w:r>
              <w:rPr>
                <w:rFonts w:hint="eastAsia" w:ascii="Arial" w:hAnsi="Arial" w:cs="Arial"/>
                <w:color w:val="000000"/>
                <w:sz w:val="18"/>
                <w:szCs w:val="18"/>
                <w:lang w:val="en-US" w:eastAsia="zh-CN" w:bidi="ar"/>
              </w:rPr>
              <w:t>8459.99</w:t>
            </w:r>
          </w:p>
        </w:tc>
        <w:tc>
          <w:tcPr>
            <w:tcW w:w="1813" w:type="dxa"/>
            <w:vAlign w:val="center"/>
          </w:tcPr>
          <w:p>
            <w:pPr>
              <w:jc w:val="right"/>
              <w:textAlignment w:val="center"/>
              <w:rPr>
                <w:rFonts w:hint="default" w:ascii="Arial" w:hAnsi="Arial" w:cs="Arial"/>
                <w:color w:val="000000"/>
                <w:sz w:val="18"/>
                <w:szCs w:val="18"/>
                <w:lang w:val="en-US"/>
              </w:rPr>
            </w:pPr>
            <w:r>
              <w:rPr>
                <w:rFonts w:hint="eastAsia" w:ascii="Arial" w:hAnsi="Arial" w:cs="Arial"/>
                <w:color w:val="000000"/>
                <w:sz w:val="18"/>
                <w:szCs w:val="18"/>
                <w:lang w:val="en-US" w:eastAsia="zh-CN" w:bidi="ar"/>
              </w:rPr>
              <w:t>-3023.64</w:t>
            </w:r>
          </w:p>
        </w:tc>
        <w:tc>
          <w:tcPr>
            <w:tcW w:w="1673" w:type="dxa"/>
            <w:vAlign w:val="center"/>
          </w:tcPr>
          <w:p>
            <w:pPr>
              <w:rPr>
                <w:rFonts w:ascii="Arial" w:hAnsi="Arial" w:cs="Arial"/>
                <w:color w:val="000000"/>
                <w:sz w:val="18"/>
                <w:szCs w:val="18"/>
                <w:lang w:bidi="ar"/>
              </w:rPr>
            </w:pPr>
          </w:p>
        </w:tc>
      </w:tr>
    </w:tbl>
    <w:p>
      <w:pPr>
        <w:pStyle w:val="3"/>
        <w:rPr>
          <w:rFonts w:ascii="宋体" w:hAnsi="宋体" w:eastAsia="宋体"/>
          <w:sz w:val="21"/>
          <w:szCs w:val="21"/>
        </w:rPr>
      </w:pPr>
      <w:bookmarkStart w:id="26" w:name="_Toc10230"/>
      <w:bookmarkStart w:id="27" w:name="_Toc18080"/>
      <w:r>
        <w:rPr>
          <w:rFonts w:hint="eastAsia" w:ascii="宋体" w:hAnsi="宋体" w:eastAsia="宋体"/>
          <w:sz w:val="21"/>
          <w:szCs w:val="21"/>
        </w:rPr>
        <w:t>十三、项目公司及SPV用印情况</w:t>
      </w:r>
      <w:bookmarkEnd w:id="26"/>
      <w:bookmarkEnd w:id="27"/>
    </w:p>
    <w:p>
      <w:pPr>
        <w:jc w:val="center"/>
      </w:pPr>
      <w:r>
        <w:rPr>
          <w:rFonts w:hint="eastAsia" w:ascii="宋体" w:hAnsi="宋体" w:cs="宋体"/>
          <w:b/>
          <w:bCs/>
          <w:color w:val="000000"/>
          <w:sz w:val="21"/>
          <w:szCs w:val="21"/>
        </w:rPr>
        <w:t>表十三：</w:t>
      </w:r>
      <w:r>
        <w:rPr>
          <w:rFonts w:hint="eastAsia" w:ascii="宋体" w:hAnsi="宋体" w:cs="宋体"/>
          <w:b/>
          <w:bCs/>
          <w:sz w:val="21"/>
          <w:szCs w:val="21"/>
        </w:rPr>
        <w:t>项目公司用印情况统计表</w:t>
      </w:r>
    </w:p>
    <w:tbl>
      <w:tblPr>
        <w:tblStyle w:val="17"/>
        <w:tblW w:w="5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461"/>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08"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序号</w:t>
            </w:r>
          </w:p>
        </w:tc>
        <w:tc>
          <w:tcPr>
            <w:tcW w:w="3461"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用途（合同、内部文件等）</w:t>
            </w:r>
          </w:p>
        </w:tc>
        <w:tc>
          <w:tcPr>
            <w:tcW w:w="1489"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08"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1</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财务管理部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08" w:type="dxa"/>
            <w:vAlign w:val="center"/>
          </w:tcPr>
          <w:p>
            <w:pPr>
              <w:jc w:val="center"/>
              <w:textAlignment w:val="center"/>
              <w:rPr>
                <w:rFonts w:ascii="Arial" w:hAnsi="Arial" w:cs="宋体"/>
                <w:color w:val="000000"/>
                <w:sz w:val="18"/>
                <w:szCs w:val="18"/>
                <w:lang w:bidi="ar"/>
              </w:rPr>
            </w:pPr>
            <w:r>
              <w:rPr>
                <w:rFonts w:ascii="Arial" w:hAnsi="Arial" w:cs="宋体"/>
                <w:color w:val="000000"/>
                <w:sz w:val="18"/>
                <w:szCs w:val="18"/>
                <w:lang w:bidi="ar"/>
              </w:rPr>
              <w:t>2</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规划设计部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3</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合约管理部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4</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人事行政部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5</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投资报建部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6</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项目发展部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7</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营销策划部</w:t>
            </w:r>
          </w:p>
        </w:tc>
        <w:tc>
          <w:tcPr>
            <w:tcW w:w="1489" w:type="dxa"/>
            <w:vAlign w:val="center"/>
          </w:tcPr>
          <w:p>
            <w:pPr>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808" w:type="dxa"/>
            <w:vAlign w:val="center"/>
          </w:tcPr>
          <w:p>
            <w:pPr>
              <w:widowControl w:val="0"/>
              <w:textAlignment w:val="center"/>
              <w:rPr>
                <w:rFonts w:ascii="Arial" w:hAnsi="Arial" w:cs="宋体"/>
                <w:color w:val="000000"/>
                <w:sz w:val="18"/>
                <w:szCs w:val="18"/>
                <w:lang w:bidi="ar"/>
              </w:rPr>
            </w:pPr>
          </w:p>
          <w:p>
            <w:pPr>
              <w:rPr>
                <w:rFonts w:ascii="Arial" w:hAnsi="Arial"/>
              </w:rPr>
            </w:pPr>
          </w:p>
        </w:tc>
        <w:tc>
          <w:tcPr>
            <w:tcW w:w="3461" w:type="dxa"/>
            <w:vAlign w:val="center"/>
          </w:tcPr>
          <w:p>
            <w:pPr>
              <w:jc w:val="center"/>
              <w:textAlignment w:val="center"/>
              <w:rPr>
                <w:rFonts w:ascii="Arial" w:hAnsi="Arial" w:cs="宋体"/>
                <w:b/>
                <w:color w:val="000000"/>
                <w:sz w:val="18"/>
                <w:szCs w:val="18"/>
                <w:lang w:bidi="ar"/>
              </w:rPr>
            </w:pPr>
            <w:r>
              <w:rPr>
                <w:rFonts w:hint="eastAsia" w:ascii="Arial" w:hAnsi="Arial" w:cs="宋体"/>
                <w:b/>
                <w:color w:val="000000"/>
                <w:sz w:val="18"/>
                <w:szCs w:val="18"/>
                <w:lang w:bidi="ar"/>
              </w:rPr>
              <w:t>合计</w:t>
            </w:r>
          </w:p>
        </w:tc>
        <w:tc>
          <w:tcPr>
            <w:tcW w:w="1489" w:type="dxa"/>
            <w:vAlign w:val="center"/>
          </w:tcPr>
          <w:p>
            <w:pPr>
              <w:jc w:val="center"/>
              <w:textAlignment w:val="center"/>
              <w:rPr>
                <w:rFonts w:ascii="Arial" w:hAnsi="Arial" w:cs="宋体"/>
                <w:b/>
                <w:color w:val="000000"/>
                <w:sz w:val="18"/>
                <w:szCs w:val="18"/>
                <w:lang w:bidi="ar"/>
              </w:rPr>
            </w:pPr>
            <w:r>
              <w:rPr>
                <w:rFonts w:hint="eastAsia" w:ascii="Arial" w:hAnsi="Arial" w:cs="宋体"/>
                <w:b/>
                <w:color w:val="000000"/>
                <w:sz w:val="18"/>
                <w:szCs w:val="18"/>
                <w:lang w:bidi="ar"/>
              </w:rPr>
              <w:t>72</w:t>
            </w:r>
          </w:p>
        </w:tc>
      </w:tr>
    </w:tbl>
    <w:p/>
    <w:p>
      <w:pPr>
        <w:pStyle w:val="2"/>
        <w:ind w:firstLine="422"/>
        <w:jc w:val="center"/>
        <w:rPr>
          <w:rFonts w:ascii="宋体" w:hAnsi="宋体" w:cs="宋体"/>
          <w:b/>
          <w:bCs/>
          <w:szCs w:val="21"/>
        </w:rPr>
      </w:pPr>
      <w:r>
        <w:rPr>
          <w:rFonts w:hint="eastAsia" w:ascii="宋体" w:hAnsi="宋体" w:cs="宋体"/>
          <w:b/>
          <w:bCs/>
          <w:szCs w:val="21"/>
        </w:rPr>
        <w:t>SPV用印情况统计表</w:t>
      </w:r>
    </w:p>
    <w:tbl>
      <w:tblPr>
        <w:tblStyle w:val="17"/>
        <w:tblW w:w="5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461"/>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08" w:type="dxa"/>
            <w:vAlign w:val="center"/>
          </w:tcPr>
          <w:p>
            <w:pPr>
              <w:jc w:val="center"/>
              <w:textAlignment w:val="center"/>
              <w:rPr>
                <w:rFonts w:ascii="Arial" w:hAnsi="Arial" w:cs="宋体"/>
                <w:b/>
                <w:bCs/>
                <w:color w:val="000000"/>
                <w:sz w:val="18"/>
                <w:szCs w:val="18"/>
                <w:lang w:bidi="ar"/>
              </w:rPr>
            </w:pPr>
            <w:r>
              <w:rPr>
                <w:rFonts w:hint="eastAsia" w:ascii="Arial" w:hAnsi="Arial" w:cs="宋体"/>
                <w:b/>
                <w:bCs/>
                <w:color w:val="000000"/>
                <w:sz w:val="18"/>
                <w:szCs w:val="18"/>
                <w:lang w:bidi="ar"/>
              </w:rPr>
              <w:t>序号</w:t>
            </w:r>
          </w:p>
        </w:tc>
        <w:tc>
          <w:tcPr>
            <w:tcW w:w="3461"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用途（合同、内部文件等）</w:t>
            </w:r>
          </w:p>
        </w:tc>
        <w:tc>
          <w:tcPr>
            <w:tcW w:w="1489" w:type="dxa"/>
            <w:vAlign w:val="center"/>
          </w:tcPr>
          <w:p>
            <w:pPr>
              <w:jc w:val="center"/>
              <w:textAlignment w:val="center"/>
              <w:rPr>
                <w:rFonts w:ascii="Arial" w:hAnsi="Arial" w:cs="宋体"/>
                <w:b/>
                <w:bCs/>
                <w:color w:val="000000"/>
                <w:sz w:val="18"/>
                <w:szCs w:val="18"/>
                <w:lang w:bidi="ar"/>
              </w:rPr>
            </w:pPr>
            <w:r>
              <w:rPr>
                <w:rFonts w:ascii="Arial" w:hAnsi="Arial" w:cs="宋体"/>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08"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w:t>
            </w:r>
          </w:p>
        </w:tc>
        <w:tc>
          <w:tcPr>
            <w:tcW w:w="3461"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财务管理类</w:t>
            </w:r>
          </w:p>
        </w:tc>
        <w:tc>
          <w:tcPr>
            <w:tcW w:w="1489" w:type="dxa"/>
            <w:vAlign w:val="center"/>
          </w:tcPr>
          <w:p>
            <w:pPr>
              <w:widowControl w:val="0"/>
              <w:jc w:val="center"/>
              <w:textAlignment w:val="center"/>
              <w:rPr>
                <w:rFonts w:ascii="Arial" w:hAnsi="Arial" w:cs="宋体"/>
                <w:color w:val="000000"/>
                <w:sz w:val="18"/>
                <w:szCs w:val="18"/>
                <w:lang w:bidi="ar"/>
              </w:rPr>
            </w:pPr>
            <w:r>
              <w:rPr>
                <w:rFonts w:hint="eastAsia" w:ascii="Arial" w:hAnsi="Arial" w:cs="宋体"/>
                <w:color w:val="000000"/>
                <w:sz w:val="18"/>
                <w:szCs w:val="18"/>
                <w:lang w:bidi="ar"/>
              </w:rPr>
              <w:t>1</w:t>
            </w:r>
          </w:p>
        </w:tc>
      </w:tr>
    </w:tbl>
    <w:p>
      <w:pPr>
        <w:pStyle w:val="2"/>
        <w:ind w:firstLine="422"/>
        <w:jc w:val="center"/>
        <w:rPr>
          <w:rFonts w:ascii="宋体" w:hAnsi="宋体" w:cs="宋体"/>
          <w:b/>
          <w:bCs/>
          <w:szCs w:val="21"/>
        </w:rPr>
      </w:pPr>
    </w:p>
    <w:p>
      <w:pPr>
        <w:pStyle w:val="3"/>
        <w:rPr>
          <w:rFonts w:ascii="宋体" w:hAnsi="宋体" w:eastAsia="宋体"/>
          <w:sz w:val="21"/>
          <w:szCs w:val="21"/>
        </w:rPr>
      </w:pPr>
      <w:bookmarkStart w:id="28" w:name="_Toc29626"/>
      <w:bookmarkStart w:id="29" w:name="_Toc5079"/>
      <w:r>
        <w:rPr>
          <w:rFonts w:hint="eastAsia" w:ascii="宋体" w:hAnsi="宋体" w:eastAsia="宋体"/>
          <w:sz w:val="21"/>
          <w:szCs w:val="21"/>
        </w:rPr>
        <w:t>十四、项目公司及SPV公司印章证照外出使用情况</w:t>
      </w:r>
      <w:bookmarkEnd w:id="28"/>
      <w:bookmarkEnd w:id="29"/>
    </w:p>
    <w:p>
      <w:pPr>
        <w:spacing w:line="480" w:lineRule="auto"/>
        <w:ind w:firstLine="420" w:firstLineChars="200"/>
      </w:pPr>
      <w:r>
        <w:rPr>
          <w:rFonts w:ascii="Arial" w:hAnsi="Arial" w:cs="Arial"/>
          <w:bCs/>
          <w:kern w:val="44"/>
          <w:sz w:val="21"/>
          <w:szCs w:val="21"/>
        </w:rPr>
        <w:t>2021年</w:t>
      </w:r>
      <w:r>
        <w:rPr>
          <w:rFonts w:hint="eastAsia" w:ascii="Arial" w:hAnsi="Arial" w:cs="Arial"/>
          <w:bCs/>
          <w:kern w:val="44"/>
          <w:sz w:val="21"/>
          <w:szCs w:val="21"/>
        </w:rPr>
        <w:t>6</w:t>
      </w:r>
      <w:r>
        <w:rPr>
          <w:rFonts w:ascii="Arial" w:hAnsi="Arial" w:cs="Arial"/>
          <w:bCs/>
          <w:kern w:val="44"/>
          <w:sz w:val="21"/>
          <w:szCs w:val="21"/>
        </w:rPr>
        <w:t>月1日至</w:t>
      </w:r>
      <w:r>
        <w:rPr>
          <w:rFonts w:hint="eastAsia" w:ascii="Arial" w:hAnsi="Arial" w:cs="Arial"/>
          <w:bCs/>
          <w:kern w:val="44"/>
          <w:sz w:val="21"/>
          <w:szCs w:val="21"/>
        </w:rPr>
        <w:t>2021年6月30日</w:t>
      </w:r>
      <w:r>
        <w:rPr>
          <w:rFonts w:ascii="Arial" w:hAnsi="Arial" w:cs="Arial"/>
          <w:bCs/>
          <w:kern w:val="44"/>
          <w:sz w:val="21"/>
          <w:szCs w:val="21"/>
        </w:rPr>
        <w:t>，SPV公司印鉴、证照无外出情况。</w:t>
      </w:r>
    </w:p>
    <w:p>
      <w:pPr>
        <w:jc w:val="center"/>
      </w:pPr>
      <w:r>
        <w:rPr>
          <w:rFonts w:hint="eastAsia" w:ascii="宋体" w:hAnsi="宋体" w:cs="宋体"/>
          <w:b/>
          <w:bCs/>
          <w:color w:val="000000"/>
          <w:sz w:val="21"/>
          <w:szCs w:val="21"/>
        </w:rPr>
        <w:t>表十四：</w:t>
      </w:r>
      <w:r>
        <w:rPr>
          <w:rFonts w:hint="eastAsia" w:ascii="宋体" w:hAnsi="宋体" w:cs="宋体"/>
          <w:b/>
          <w:bCs/>
          <w:sz w:val="21"/>
          <w:szCs w:val="21"/>
        </w:rPr>
        <w:t>项目公司印章证照外出使用情况</w:t>
      </w:r>
    </w:p>
    <w:tbl>
      <w:tblPr>
        <w:tblStyle w:val="17"/>
        <w:tblW w:w="10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178"/>
        <w:gridCol w:w="2283"/>
        <w:gridCol w:w="1714"/>
        <w:gridCol w:w="943"/>
        <w:gridCol w:w="1028"/>
        <w:gridCol w:w="1125"/>
        <w:gridCol w:w="718"/>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79"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17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外借时间</w:t>
            </w:r>
          </w:p>
        </w:tc>
        <w:tc>
          <w:tcPr>
            <w:tcW w:w="228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印鉴证照名称</w:t>
            </w:r>
          </w:p>
        </w:tc>
        <w:tc>
          <w:tcPr>
            <w:tcW w:w="1714"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事由</w:t>
            </w:r>
          </w:p>
        </w:tc>
        <w:tc>
          <w:tcPr>
            <w:tcW w:w="94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经办部门</w:t>
            </w:r>
          </w:p>
        </w:tc>
        <w:tc>
          <w:tcPr>
            <w:tcW w:w="102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经办人</w:t>
            </w:r>
          </w:p>
        </w:tc>
        <w:tc>
          <w:tcPr>
            <w:tcW w:w="112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监印/证人</w:t>
            </w:r>
          </w:p>
        </w:tc>
        <w:tc>
          <w:tcPr>
            <w:tcW w:w="718"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是否陪同</w:t>
            </w:r>
          </w:p>
        </w:tc>
        <w:tc>
          <w:tcPr>
            <w:tcW w:w="1111"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归还日期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57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178" w:type="dxa"/>
            <w:vAlign w:val="center"/>
          </w:tcPr>
          <w:p>
            <w:pPr>
              <w:jc w:val="center"/>
              <w:textAlignment w:val="center"/>
              <w:rPr>
                <w:rFonts w:ascii="Arial" w:hAnsi="Arial" w:cs="Arial"/>
                <w:sz w:val="18"/>
                <w:szCs w:val="18"/>
              </w:rPr>
            </w:pPr>
            <w:r>
              <w:rPr>
                <w:rFonts w:ascii="Arial" w:hAnsi="Arial" w:cs="Arial"/>
                <w:color w:val="000000"/>
                <w:sz w:val="18"/>
                <w:szCs w:val="18"/>
                <w:lang w:bidi="ar"/>
              </w:rPr>
              <w:t>2021/6/23</w:t>
            </w:r>
          </w:p>
        </w:tc>
        <w:tc>
          <w:tcPr>
            <w:tcW w:w="22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公章、营业执照正副本</w:t>
            </w:r>
          </w:p>
        </w:tc>
        <w:tc>
          <w:tcPr>
            <w:tcW w:w="17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办理车辆过户</w:t>
            </w:r>
          </w:p>
        </w:tc>
        <w:tc>
          <w:tcPr>
            <w:tcW w:w="94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吴江二手车市场</w:t>
            </w:r>
          </w:p>
        </w:tc>
        <w:tc>
          <w:tcPr>
            <w:tcW w:w="102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丁杰</w:t>
            </w:r>
          </w:p>
        </w:tc>
        <w:tc>
          <w:tcPr>
            <w:tcW w:w="11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范青杰</w:t>
            </w:r>
          </w:p>
        </w:tc>
        <w:tc>
          <w:tcPr>
            <w:tcW w:w="718"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11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79"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17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2021/6/28</w:t>
            </w:r>
          </w:p>
        </w:tc>
        <w:tc>
          <w:tcPr>
            <w:tcW w:w="22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公章、营业执照正副本</w:t>
            </w:r>
          </w:p>
        </w:tc>
        <w:tc>
          <w:tcPr>
            <w:tcW w:w="1714"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办理车辆ETC</w:t>
            </w:r>
          </w:p>
        </w:tc>
        <w:tc>
          <w:tcPr>
            <w:tcW w:w="94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工商银行</w:t>
            </w:r>
          </w:p>
        </w:tc>
        <w:tc>
          <w:tcPr>
            <w:tcW w:w="1028"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丁杰</w:t>
            </w:r>
          </w:p>
        </w:tc>
        <w:tc>
          <w:tcPr>
            <w:tcW w:w="112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范青杰</w:t>
            </w:r>
          </w:p>
        </w:tc>
        <w:tc>
          <w:tcPr>
            <w:tcW w:w="718"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是</w:t>
            </w:r>
          </w:p>
        </w:tc>
        <w:tc>
          <w:tcPr>
            <w:tcW w:w="1111"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2021/6/28</w:t>
            </w:r>
          </w:p>
        </w:tc>
      </w:tr>
    </w:tbl>
    <w:p/>
    <w:p>
      <w:pPr>
        <w:pStyle w:val="3"/>
        <w:rPr>
          <w:rFonts w:ascii="宋体" w:hAnsi="宋体" w:eastAsia="宋体"/>
          <w:sz w:val="21"/>
          <w:szCs w:val="21"/>
        </w:rPr>
      </w:pPr>
      <w:bookmarkStart w:id="30" w:name="_Toc756"/>
      <w:bookmarkStart w:id="31" w:name="_Toc11727"/>
      <w:r>
        <w:rPr>
          <w:rFonts w:hint="eastAsia" w:ascii="宋体" w:hAnsi="宋体" w:eastAsia="宋体"/>
          <w:sz w:val="21"/>
          <w:szCs w:val="21"/>
        </w:rPr>
        <w:t>十五、项目公司签约情况</w:t>
      </w:r>
      <w:bookmarkEnd w:id="30"/>
      <w:bookmarkEnd w:id="31"/>
    </w:p>
    <w:p>
      <w:pPr>
        <w:jc w:val="center"/>
        <w:rPr>
          <w:rFonts w:ascii="Arial" w:hAnsi="Arial" w:cs="Arial"/>
        </w:rPr>
      </w:pPr>
      <w:r>
        <w:rPr>
          <w:rFonts w:hint="eastAsia" w:ascii="宋体" w:hAnsi="宋体" w:cs="宋体"/>
          <w:b/>
          <w:bCs/>
          <w:color w:val="000000"/>
          <w:sz w:val="21"/>
          <w:szCs w:val="21"/>
        </w:rPr>
        <w:t>表十五：</w:t>
      </w:r>
      <w:r>
        <w:rPr>
          <w:rFonts w:ascii="Arial" w:hAnsi="Arial" w:cs="Arial"/>
          <w:b/>
          <w:bCs/>
          <w:color w:val="000000"/>
          <w:sz w:val="21"/>
          <w:szCs w:val="21"/>
        </w:rPr>
        <w:t>2021年</w:t>
      </w:r>
      <w:r>
        <w:rPr>
          <w:rFonts w:hint="eastAsia" w:ascii="Arial" w:hAnsi="Arial" w:cs="Arial"/>
          <w:b/>
          <w:bCs/>
          <w:color w:val="000000"/>
          <w:sz w:val="21"/>
          <w:szCs w:val="21"/>
        </w:rPr>
        <w:t>6</w:t>
      </w:r>
      <w:r>
        <w:rPr>
          <w:rFonts w:ascii="Arial" w:hAnsi="Arial" w:cs="Arial"/>
          <w:b/>
          <w:bCs/>
          <w:color w:val="000000"/>
          <w:sz w:val="21"/>
          <w:szCs w:val="21"/>
        </w:rPr>
        <w:t>月份</w:t>
      </w:r>
      <w:r>
        <w:rPr>
          <w:rFonts w:ascii="Arial" w:hAnsi="Arial" w:cs="Arial"/>
          <w:b/>
          <w:bCs/>
          <w:sz w:val="21"/>
          <w:szCs w:val="21"/>
        </w:rPr>
        <w:t>项目公司签约情况统计表</w:t>
      </w:r>
    </w:p>
    <w:tbl>
      <w:tblPr>
        <w:tblStyle w:val="17"/>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546"/>
        <w:gridCol w:w="5200"/>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83"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1546"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合同类型</w:t>
            </w:r>
          </w:p>
        </w:tc>
        <w:tc>
          <w:tcPr>
            <w:tcW w:w="5200"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用途（工程类、办公类、销售类、其他类等）</w:t>
            </w:r>
          </w:p>
        </w:tc>
        <w:tc>
          <w:tcPr>
            <w:tcW w:w="1265" w:type="dxa"/>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83"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土地合同</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26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前期设计类</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工程施工类</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盛泽项目一期栏杆及百叶分包工程合同、吴江盛泽项目一期厨房电器供货合同、盛泽项目一期科勒品牌洁具供货合同、盛泽项目一期场地平整和桩基分包工程补充协议书二等合同</w:t>
            </w: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营销类</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盛泽项目2021年5月歌林公园商超巡展合同、盛泽项目2021年5月29日开盘现场抽奖礼品采购合同、中介合同及推广合同等</w:t>
            </w: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管理类</w:t>
            </w:r>
          </w:p>
        </w:tc>
        <w:tc>
          <w:tcPr>
            <w:tcW w:w="5200" w:type="dxa"/>
            <w:vAlign w:val="center"/>
          </w:tcPr>
          <w:p>
            <w:pPr>
              <w:jc w:val="center"/>
              <w:textAlignment w:val="center"/>
              <w:rPr>
                <w:rFonts w:ascii="宋体" w:hAnsi="宋体" w:cs="宋体"/>
                <w:color w:val="000000"/>
                <w:sz w:val="20"/>
                <w:szCs w:val="20"/>
              </w:rPr>
            </w:pPr>
            <w:r>
              <w:rPr>
                <w:rFonts w:hint="eastAsia" w:ascii="宋体" w:hAnsi="宋体" w:cs="宋体"/>
                <w:color w:val="000000"/>
                <w:sz w:val="20"/>
                <w:szCs w:val="20"/>
                <w:lang w:bidi="ar"/>
              </w:rPr>
              <w:t>体检服务协议</w:t>
            </w: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财务及融资类</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无</w:t>
            </w: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税费</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无</w:t>
            </w:r>
          </w:p>
        </w:tc>
        <w:tc>
          <w:tcPr>
            <w:tcW w:w="126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其他</w:t>
            </w:r>
          </w:p>
        </w:tc>
        <w:tc>
          <w:tcPr>
            <w:tcW w:w="5200" w:type="dxa"/>
            <w:vAlign w:val="center"/>
          </w:tcPr>
          <w:p>
            <w:pPr>
              <w:widowControl w:val="0"/>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无</w:t>
            </w:r>
          </w:p>
        </w:tc>
        <w:tc>
          <w:tcPr>
            <w:tcW w:w="1265" w:type="dxa"/>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683" w:type="dxa"/>
            <w:vAlign w:val="center"/>
          </w:tcPr>
          <w:p>
            <w:pPr>
              <w:widowControl w:val="0"/>
              <w:jc w:val="center"/>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1546" w:type="dxa"/>
            <w:vAlign w:val="center"/>
          </w:tcPr>
          <w:p>
            <w:pPr>
              <w:jc w:val="center"/>
              <w:textAlignment w:val="center"/>
              <w:rPr>
                <w:rFonts w:ascii="Arial" w:hAnsi="Arial" w:cs="Arial"/>
                <w:color w:val="000000"/>
                <w:sz w:val="18"/>
                <w:szCs w:val="18"/>
                <w:lang w:bidi="ar"/>
              </w:rPr>
            </w:pPr>
            <w:r>
              <w:rPr>
                <w:rFonts w:ascii="Arial" w:hAnsi="Arial" w:cs="Arial"/>
                <w:b/>
                <w:bCs/>
                <w:color w:val="000000"/>
                <w:sz w:val="18"/>
                <w:szCs w:val="18"/>
                <w:lang w:bidi="ar"/>
              </w:rPr>
              <w:t>合计</w:t>
            </w:r>
          </w:p>
        </w:tc>
        <w:tc>
          <w:tcPr>
            <w:tcW w:w="5200" w:type="dxa"/>
            <w:vAlign w:val="center"/>
          </w:tcPr>
          <w:p>
            <w:pPr>
              <w:widowControl w:val="0"/>
              <w:jc w:val="center"/>
              <w:textAlignment w:val="center"/>
              <w:rPr>
                <w:rFonts w:ascii="Arial" w:hAnsi="Arial" w:cs="Arial"/>
                <w:color w:val="000000"/>
                <w:sz w:val="18"/>
                <w:szCs w:val="18"/>
                <w:lang w:bidi="ar"/>
              </w:rPr>
            </w:pPr>
          </w:p>
        </w:tc>
        <w:tc>
          <w:tcPr>
            <w:tcW w:w="1265" w:type="dxa"/>
            <w:vAlign w:val="center"/>
          </w:tcPr>
          <w:p>
            <w:pPr>
              <w:jc w:val="center"/>
              <w:textAlignment w:val="center"/>
              <w:rPr>
                <w:rFonts w:ascii="Arial" w:hAnsi="Arial" w:cs="Arial"/>
                <w:color w:val="000000"/>
                <w:sz w:val="18"/>
                <w:szCs w:val="18"/>
                <w:lang w:bidi="ar"/>
              </w:rPr>
            </w:pPr>
            <w:r>
              <w:rPr>
                <w:rFonts w:hint="eastAsia" w:ascii="Arial" w:hAnsi="Arial" w:cs="Arial"/>
                <w:color w:val="000000"/>
                <w:sz w:val="18"/>
                <w:szCs w:val="18"/>
                <w:lang w:bidi="ar"/>
              </w:rPr>
              <w:t>42</w:t>
            </w:r>
          </w:p>
        </w:tc>
      </w:tr>
    </w:tbl>
    <w:p>
      <w:pPr>
        <w:pStyle w:val="3"/>
        <w:rPr>
          <w:rFonts w:ascii="宋体" w:hAnsi="宋体" w:eastAsia="宋体"/>
          <w:sz w:val="21"/>
          <w:szCs w:val="21"/>
        </w:rPr>
      </w:pPr>
      <w:bookmarkStart w:id="32" w:name="_Toc8228"/>
      <w:bookmarkStart w:id="33" w:name="_Toc32638"/>
      <w:r>
        <w:rPr>
          <w:rFonts w:hint="eastAsia" w:ascii="宋体" w:hAnsi="宋体" w:eastAsia="宋体"/>
          <w:sz w:val="21"/>
          <w:szCs w:val="21"/>
        </w:rPr>
        <w:t>十六、项目整体运行情况分析</w:t>
      </w:r>
      <w:bookmarkEnd w:id="32"/>
      <w:bookmarkEnd w:id="33"/>
    </w:p>
    <w:p>
      <w:pPr>
        <w:spacing w:line="360" w:lineRule="auto"/>
        <w:ind w:firstLine="422" w:firstLineChars="200"/>
        <w:rPr>
          <w:rFonts w:ascii="宋体" w:hAnsi="宋体" w:cs="宋体"/>
          <w:bCs/>
          <w:sz w:val="21"/>
          <w:szCs w:val="21"/>
        </w:rPr>
      </w:pPr>
      <w:r>
        <w:rPr>
          <w:rFonts w:hint="eastAsia" w:ascii="宋体" w:hAnsi="宋体" w:cs="宋体"/>
          <w:b/>
          <w:sz w:val="21"/>
          <w:szCs w:val="21"/>
        </w:rPr>
        <w:t>16.1项目开发建设情况评价</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1、截</w:t>
      </w:r>
      <w:r>
        <w:rPr>
          <w:rFonts w:ascii="Arial" w:hAnsi="Arial" w:cs="Arial"/>
          <w:color w:val="000000"/>
          <w:sz w:val="21"/>
          <w:szCs w:val="21"/>
        </w:rPr>
        <w:t>至</w:t>
      </w:r>
      <w:r>
        <w:rPr>
          <w:rFonts w:hint="eastAsia" w:ascii="Arial" w:hAnsi="Arial" w:cs="Arial"/>
          <w:color w:val="000000"/>
          <w:sz w:val="21"/>
          <w:szCs w:val="21"/>
        </w:rPr>
        <w:t>2021年6月30日</w:t>
      </w:r>
      <w:r>
        <w:rPr>
          <w:rFonts w:ascii="Arial" w:hAnsi="Arial" w:cs="Arial"/>
          <w:color w:val="000000"/>
          <w:sz w:val="21"/>
          <w:szCs w:val="21"/>
        </w:rPr>
        <w:t>，已取得1#、2#地块不动产权证书、用地规划许可证、工程规划许可证、施工许可证，</w:t>
      </w:r>
      <w:r>
        <w:rPr>
          <w:rFonts w:hint="eastAsia" w:ascii="Arial" w:hAnsi="Arial" w:cs="Arial"/>
          <w:color w:val="000000"/>
          <w:sz w:val="21"/>
          <w:szCs w:val="21"/>
        </w:rPr>
        <w:t>2#地块所有楼栋预售证</w:t>
      </w:r>
      <w:r>
        <w:rPr>
          <w:rFonts w:ascii="Arial" w:hAnsi="Arial" w:cs="Arial"/>
          <w:color w:val="000000"/>
          <w:sz w:val="21"/>
          <w:szCs w:val="21"/>
        </w:rPr>
        <w:t>。除1#地块预售证外，均已办理完成。办理进度符合第一次董事会决议的商业计划节点要求。</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Arial" w:hAnsi="Arial" w:cs="Arial"/>
          <w:color w:val="000000"/>
          <w:sz w:val="21"/>
          <w:szCs w:val="21"/>
          <w:lang w:val="en-US" w:eastAsia="zh-CN"/>
        </w:rPr>
      </w:pPr>
      <w:r>
        <w:rPr>
          <w:rFonts w:hint="eastAsia" w:ascii="Arial" w:hAnsi="Arial" w:cs="Arial"/>
          <w:color w:val="000000"/>
          <w:sz w:val="21"/>
          <w:szCs w:val="21"/>
        </w:rPr>
        <w:t>2、2#地块（一期）一标段8#十八层结构梁板钢筋安装，腰梁以下墙体2-8层，腰梁以上墙体2-8层，构造柱2-6层；11#二十层结构墙柱钢筋安装，腰梁以下墙体2-8层，腰梁以上墙体2-7层，构造柱2-6层；5#十二层结构叠合板安装；6#九层墙柱钢筋安装；3#八层砼待浇筑；二标段9#屋面构架砼浇筑完成，腰梁以下2-8层，腰梁以上2-5层，构造柱2-4层；10#二十二层结构排架搭设完成，腰梁以下2-8层，腰梁以上2-4层，构造柱2-4层；4#十一层结构梁板钢筋安装、7#十二层面砼待浇筑，2#八层砼待浇筑</w:t>
      </w:r>
      <w:r>
        <w:rPr>
          <w:rFonts w:hint="eastAsia" w:ascii="Arial" w:hAnsi="Arial" w:cs="Arial"/>
          <w:color w:val="000000"/>
          <w:sz w:val="21"/>
          <w:szCs w:val="21"/>
          <w:lang w:eastAsia="zh-CN"/>
        </w:rPr>
        <w:t>。</w:t>
      </w:r>
      <w:r>
        <w:rPr>
          <w:rFonts w:hint="eastAsia" w:ascii="Arial" w:hAnsi="Arial" w:cs="Arial"/>
          <w:color w:val="000000"/>
          <w:sz w:val="21"/>
          <w:szCs w:val="21"/>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auto"/>
        <w:ind w:firstLine="630" w:firstLineChars="300"/>
        <w:jc w:val="both"/>
        <w:textAlignment w:val="auto"/>
        <w:rPr>
          <w:rFonts w:ascii="Arial" w:hAnsi="Arial" w:cs="Arial"/>
          <w:color w:val="000000"/>
          <w:sz w:val="21"/>
          <w:szCs w:val="21"/>
        </w:rPr>
      </w:pPr>
      <w:r>
        <w:rPr>
          <w:rFonts w:hint="eastAsia" w:ascii="Arial" w:hAnsi="Arial" w:cs="Arial"/>
          <w:color w:val="000000"/>
          <w:sz w:val="21"/>
          <w:szCs w:val="21"/>
        </w:rPr>
        <w:t>1#地块（二期）1#楼东侧双轴围护已完成；2#楼坑中坑及主楼边双轴施工完成；地库桩基完成95%；6#、8#楼土方开挖完成30%。</w:t>
      </w:r>
      <w:r>
        <w:rPr>
          <w:rFonts w:ascii="Arial" w:hAnsi="Arial" w:cs="Arial"/>
          <w:color w:val="000000"/>
          <w:sz w:val="21"/>
          <w:szCs w:val="21"/>
        </w:rPr>
        <w:t>总体工程进度符合第一次董事会的商业计划进度要求。</w:t>
      </w:r>
    </w:p>
    <w:p>
      <w:pPr>
        <w:spacing w:line="360" w:lineRule="auto"/>
        <w:ind w:firstLine="422" w:firstLineChars="200"/>
        <w:rPr>
          <w:rFonts w:ascii="宋体" w:hAnsi="宋体" w:cs="宋体"/>
          <w:b/>
          <w:sz w:val="21"/>
          <w:szCs w:val="21"/>
        </w:rPr>
      </w:pPr>
      <w:r>
        <w:rPr>
          <w:rFonts w:hint="eastAsia" w:ascii="宋体" w:hAnsi="宋体" w:cs="宋体"/>
          <w:b/>
          <w:sz w:val="21"/>
          <w:szCs w:val="21"/>
        </w:rPr>
        <w:t>16.2项目销售情况评价</w:t>
      </w:r>
    </w:p>
    <w:p>
      <w:pPr>
        <w:spacing w:line="360" w:lineRule="auto"/>
        <w:ind w:firstLine="422" w:firstLineChars="200"/>
        <w:rPr>
          <w:rFonts w:ascii="Arial" w:hAnsi="Arial" w:cs="Arial"/>
          <w:color w:val="000000"/>
          <w:sz w:val="21"/>
          <w:szCs w:val="21"/>
        </w:rPr>
      </w:pPr>
      <w:r>
        <w:rPr>
          <w:rFonts w:ascii="Arial" w:hAnsi="Arial" w:cs="Arial"/>
          <w:b/>
          <w:color w:val="000000"/>
          <w:sz w:val="21"/>
          <w:szCs w:val="21"/>
        </w:rPr>
        <w:t>本月：</w:t>
      </w:r>
      <w:r>
        <w:rPr>
          <w:rFonts w:ascii="Arial" w:hAnsi="Arial" w:cs="Arial"/>
          <w:kern w:val="2"/>
          <w:sz w:val="21"/>
          <w:szCs w:val="21"/>
        </w:rPr>
        <w:t>2021年</w:t>
      </w:r>
      <w:r>
        <w:rPr>
          <w:rFonts w:hint="eastAsia" w:ascii="Arial" w:hAnsi="Arial" w:cs="Arial"/>
          <w:kern w:val="2"/>
          <w:sz w:val="21"/>
          <w:szCs w:val="21"/>
        </w:rPr>
        <w:t>6</w:t>
      </w:r>
      <w:r>
        <w:rPr>
          <w:rFonts w:ascii="Arial" w:hAnsi="Arial" w:cs="Arial"/>
          <w:kern w:val="2"/>
          <w:sz w:val="21"/>
          <w:szCs w:val="21"/>
        </w:rPr>
        <w:t>月共计销售</w:t>
      </w:r>
      <w:r>
        <w:rPr>
          <w:rFonts w:hint="eastAsia" w:ascii="Arial" w:hAnsi="Arial" w:cs="Arial"/>
          <w:kern w:val="2"/>
          <w:sz w:val="21"/>
          <w:szCs w:val="21"/>
        </w:rPr>
        <w:t>64</w:t>
      </w:r>
      <w:r>
        <w:rPr>
          <w:rFonts w:ascii="Arial" w:hAnsi="Arial" w:cs="Arial"/>
          <w:kern w:val="2"/>
          <w:sz w:val="21"/>
          <w:szCs w:val="21"/>
        </w:rPr>
        <w:t>套，销售面积为</w:t>
      </w:r>
      <w:r>
        <w:rPr>
          <w:rFonts w:hint="eastAsia" w:ascii="Arial" w:hAnsi="Arial" w:cs="Arial"/>
          <w:kern w:val="2"/>
          <w:sz w:val="21"/>
          <w:szCs w:val="21"/>
        </w:rPr>
        <w:t>9,205.56</w:t>
      </w:r>
      <w:r>
        <w:rPr>
          <w:rFonts w:ascii="Arial" w:hAnsi="Arial" w:cs="Arial"/>
          <w:kern w:val="2"/>
          <w:sz w:val="21"/>
          <w:szCs w:val="21"/>
        </w:rPr>
        <w:t>㎡，合同金额</w:t>
      </w:r>
      <w:r>
        <w:rPr>
          <w:rFonts w:hint="eastAsia" w:ascii="Arial" w:hAnsi="Arial" w:cs="Arial"/>
          <w:kern w:val="2"/>
          <w:sz w:val="21"/>
          <w:szCs w:val="21"/>
        </w:rPr>
        <w:t>15,945.97</w:t>
      </w:r>
      <w:r>
        <w:rPr>
          <w:rFonts w:ascii="Arial" w:hAnsi="Arial" w:cs="Arial"/>
          <w:kern w:val="2"/>
          <w:sz w:val="21"/>
          <w:szCs w:val="21"/>
        </w:rPr>
        <w:t>万元，本月销售回款</w:t>
      </w:r>
      <w:r>
        <w:rPr>
          <w:rFonts w:hint="eastAsia" w:ascii="Arial" w:hAnsi="Arial" w:cs="Arial"/>
          <w:kern w:val="2"/>
          <w:sz w:val="21"/>
          <w:szCs w:val="21"/>
        </w:rPr>
        <w:t>15,860.50</w:t>
      </w:r>
      <w:r>
        <w:rPr>
          <w:rFonts w:ascii="Arial" w:hAnsi="Arial" w:cs="Arial"/>
          <w:kern w:val="2"/>
          <w:sz w:val="21"/>
          <w:szCs w:val="21"/>
        </w:rPr>
        <w:t>万元</w:t>
      </w:r>
      <w:r>
        <w:rPr>
          <w:rFonts w:hint="eastAsia" w:ascii="Arial" w:hAnsi="Arial" w:cs="Arial"/>
          <w:kern w:val="2"/>
          <w:sz w:val="21"/>
          <w:szCs w:val="21"/>
        </w:rPr>
        <w:t>。</w:t>
      </w:r>
    </w:p>
    <w:p>
      <w:pPr>
        <w:spacing w:line="360" w:lineRule="auto"/>
        <w:ind w:firstLine="422" w:firstLineChars="200"/>
        <w:rPr>
          <w:rFonts w:ascii="Arial" w:hAnsi="Arial" w:cs="Arial"/>
          <w:kern w:val="2"/>
          <w:sz w:val="21"/>
          <w:szCs w:val="21"/>
        </w:rPr>
      </w:pPr>
      <w:r>
        <w:rPr>
          <w:rFonts w:ascii="Arial" w:hAnsi="Arial" w:cs="Arial"/>
          <w:b/>
          <w:color w:val="000000"/>
          <w:sz w:val="21"/>
          <w:szCs w:val="21"/>
        </w:rPr>
        <w:t>累计</w:t>
      </w:r>
      <w:r>
        <w:rPr>
          <w:rFonts w:hint="eastAsia" w:ascii="Arial" w:hAnsi="Arial" w:cs="Arial"/>
          <w:b/>
          <w:color w:val="000000"/>
          <w:sz w:val="21"/>
          <w:szCs w:val="21"/>
        </w:rPr>
        <w:t>：</w:t>
      </w:r>
      <w:r>
        <w:rPr>
          <w:rFonts w:hint="eastAsia" w:ascii="Arial" w:hAnsi="Arial" w:cs="Arial"/>
          <w:kern w:val="2"/>
          <w:sz w:val="21"/>
          <w:szCs w:val="21"/>
        </w:rPr>
        <w:t>项目于2020年12月27日首次开盘推出住宅306套，可售面积42,816.66㎡。于2021年4月17日二次开盘推出住宅136套，可售面积为20,810.76平方米。于2021年5月26日取得2#、3#、4#、6#楼预售证，预售住宅324套，预售面积46,268.36平方米，2021年5月29日加推4#、6#楼，172套，面积24,609.12㎡，于2021年6月19日加推3#楼，面积10,829.62㎡。截至报告提交日，已取得预售证房源766套，面积为109,895.78平方米，已推出房源690套，面积99,066.16㎡。</w:t>
      </w:r>
    </w:p>
    <w:p>
      <w:pPr>
        <w:spacing w:line="360" w:lineRule="auto"/>
        <w:ind w:firstLine="420" w:firstLineChars="200"/>
        <w:rPr>
          <w:rFonts w:ascii="Arial" w:hAnsi="Arial" w:cs="Arial"/>
          <w:kern w:val="2"/>
          <w:sz w:val="21"/>
          <w:szCs w:val="21"/>
        </w:rPr>
      </w:pPr>
      <w:r>
        <w:rPr>
          <w:rFonts w:ascii="Arial" w:hAnsi="Arial" w:cs="Arial"/>
          <w:kern w:val="2"/>
          <w:sz w:val="21"/>
          <w:szCs w:val="21"/>
        </w:rPr>
        <w:t>截至</w:t>
      </w:r>
      <w:r>
        <w:rPr>
          <w:rFonts w:hint="eastAsia" w:ascii="Arial" w:hAnsi="Arial" w:cs="Arial"/>
          <w:kern w:val="2"/>
          <w:sz w:val="21"/>
          <w:szCs w:val="21"/>
        </w:rPr>
        <w:t>2021年6月30日</w:t>
      </w:r>
      <w:r>
        <w:rPr>
          <w:rFonts w:ascii="Arial" w:hAnsi="Arial" w:cs="Arial"/>
          <w:kern w:val="2"/>
          <w:sz w:val="21"/>
          <w:szCs w:val="21"/>
        </w:rPr>
        <w:t>：项目累计销售</w:t>
      </w:r>
      <w:r>
        <w:rPr>
          <w:rFonts w:hint="eastAsia" w:ascii="Arial" w:hAnsi="Arial" w:cs="Arial"/>
          <w:kern w:val="2"/>
          <w:sz w:val="21"/>
          <w:szCs w:val="21"/>
        </w:rPr>
        <w:t>562</w:t>
      </w:r>
      <w:r>
        <w:rPr>
          <w:rFonts w:ascii="Arial" w:hAnsi="Arial" w:cs="Arial"/>
          <w:kern w:val="2"/>
          <w:sz w:val="21"/>
          <w:szCs w:val="21"/>
        </w:rPr>
        <w:t>套，销售面积为</w:t>
      </w:r>
      <w:r>
        <w:rPr>
          <w:rFonts w:hint="eastAsia" w:ascii="Arial" w:hAnsi="Arial" w:cs="Arial"/>
          <w:kern w:val="2"/>
          <w:sz w:val="21"/>
          <w:szCs w:val="21"/>
        </w:rPr>
        <w:t>80,579.63</w:t>
      </w:r>
      <w:r>
        <w:rPr>
          <w:rFonts w:ascii="Arial" w:hAnsi="Arial" w:cs="Arial"/>
          <w:kern w:val="2"/>
          <w:sz w:val="21"/>
          <w:szCs w:val="21"/>
        </w:rPr>
        <w:t>㎡。累计认购、签约合同总价</w:t>
      </w:r>
      <w:r>
        <w:rPr>
          <w:rFonts w:hint="eastAsia" w:ascii="Arial" w:hAnsi="Arial" w:cs="Arial"/>
          <w:kern w:val="2"/>
          <w:sz w:val="21"/>
          <w:szCs w:val="21"/>
        </w:rPr>
        <w:t xml:space="preserve">138,963.44 </w:t>
      </w:r>
      <w:r>
        <w:rPr>
          <w:rFonts w:ascii="Arial" w:hAnsi="Arial" w:cs="Arial"/>
          <w:kern w:val="2"/>
          <w:sz w:val="21"/>
          <w:szCs w:val="21"/>
        </w:rPr>
        <w:t>万元，其中认购备案合同总价</w:t>
      </w:r>
      <w:r>
        <w:rPr>
          <w:rFonts w:hint="eastAsia" w:ascii="Arial" w:hAnsi="Arial" w:cs="Arial"/>
          <w:kern w:val="2"/>
          <w:sz w:val="21"/>
          <w:szCs w:val="21"/>
        </w:rPr>
        <w:t xml:space="preserve">3,907.73 </w:t>
      </w:r>
      <w:r>
        <w:rPr>
          <w:rFonts w:ascii="Arial" w:hAnsi="Arial" w:cs="Arial"/>
          <w:kern w:val="2"/>
          <w:sz w:val="21"/>
          <w:szCs w:val="21"/>
        </w:rPr>
        <w:t>万元,签约合同总价</w:t>
      </w:r>
      <w:r>
        <w:rPr>
          <w:rFonts w:hint="eastAsia" w:ascii="Arial" w:hAnsi="Arial" w:cs="Arial"/>
          <w:kern w:val="2"/>
          <w:sz w:val="21"/>
          <w:szCs w:val="21"/>
        </w:rPr>
        <w:t xml:space="preserve">135,055.70 </w:t>
      </w:r>
      <w:r>
        <w:rPr>
          <w:rFonts w:ascii="Arial" w:hAnsi="Arial" w:cs="Arial"/>
          <w:kern w:val="2"/>
          <w:sz w:val="21"/>
          <w:szCs w:val="21"/>
        </w:rPr>
        <w:t>万元；回款总额</w:t>
      </w:r>
      <w:r>
        <w:rPr>
          <w:rFonts w:hint="eastAsia" w:ascii="Arial" w:hAnsi="Arial" w:cs="Arial"/>
          <w:kern w:val="2"/>
          <w:sz w:val="21"/>
          <w:szCs w:val="21"/>
        </w:rPr>
        <w:t>88,154.71万</w:t>
      </w:r>
      <w:r>
        <w:rPr>
          <w:rFonts w:ascii="Arial" w:hAnsi="Arial" w:cs="Arial"/>
          <w:kern w:val="2"/>
          <w:sz w:val="21"/>
          <w:szCs w:val="21"/>
        </w:rPr>
        <w:t>元，</w:t>
      </w:r>
      <w:r>
        <w:rPr>
          <w:rFonts w:hint="eastAsia" w:ascii="Arial" w:hAnsi="Arial" w:cs="Arial"/>
          <w:kern w:val="2"/>
          <w:sz w:val="21"/>
          <w:szCs w:val="21"/>
        </w:rPr>
        <w:t>开盘</w:t>
      </w:r>
      <w:r>
        <w:rPr>
          <w:rFonts w:ascii="Arial" w:hAnsi="Arial" w:cs="Arial"/>
          <w:kern w:val="2"/>
          <w:sz w:val="21"/>
          <w:szCs w:val="21"/>
        </w:rPr>
        <w:t>去化率</w:t>
      </w:r>
      <w:r>
        <w:rPr>
          <w:rFonts w:hint="eastAsia" w:ascii="Arial" w:hAnsi="Arial" w:cs="Arial"/>
          <w:kern w:val="2"/>
          <w:sz w:val="21"/>
          <w:szCs w:val="21"/>
        </w:rPr>
        <w:t>81.45</w:t>
      </w:r>
      <w:r>
        <w:rPr>
          <w:rFonts w:ascii="Arial" w:hAnsi="Arial" w:cs="Arial"/>
          <w:kern w:val="2"/>
          <w:sz w:val="21"/>
          <w:szCs w:val="21"/>
        </w:rPr>
        <w:t>%。</w:t>
      </w:r>
    </w:p>
    <w:p>
      <w:pPr>
        <w:spacing w:line="360" w:lineRule="auto"/>
        <w:ind w:firstLine="422" w:firstLineChars="200"/>
        <w:rPr>
          <w:rFonts w:ascii="宋体" w:hAnsi="宋体" w:cs="宋体"/>
          <w:b/>
          <w:sz w:val="21"/>
          <w:szCs w:val="21"/>
        </w:rPr>
      </w:pPr>
      <w:r>
        <w:rPr>
          <w:rFonts w:hint="eastAsia" w:ascii="宋体" w:hAnsi="宋体" w:cs="宋体"/>
          <w:b/>
          <w:sz w:val="21"/>
          <w:szCs w:val="21"/>
        </w:rPr>
        <w:t>16.3</w:t>
      </w:r>
      <w:r>
        <w:rPr>
          <w:rFonts w:ascii="宋体" w:hAnsi="宋体" w:cs="宋体"/>
          <w:b/>
          <w:sz w:val="21"/>
          <w:szCs w:val="21"/>
        </w:rPr>
        <w:t>操作风险评价</w:t>
      </w:r>
    </w:p>
    <w:p>
      <w:pPr>
        <w:spacing w:line="360" w:lineRule="auto"/>
        <w:ind w:firstLine="420" w:firstLineChars="200"/>
        <w:rPr>
          <w:rFonts w:ascii="Arial" w:hAnsi="Arial" w:cs="Arial"/>
          <w:bCs/>
          <w:color w:val="000000"/>
          <w:sz w:val="21"/>
          <w:szCs w:val="21"/>
        </w:rPr>
      </w:pPr>
      <w:r>
        <w:rPr>
          <w:rFonts w:ascii="Arial" w:hAnsi="Arial" w:cs="Arial"/>
          <w:bCs/>
          <w:color w:val="000000"/>
          <w:sz w:val="21"/>
          <w:szCs w:val="21"/>
        </w:rPr>
        <w:t>截至本期期末，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p>
    <w:p>
      <w:pPr>
        <w:spacing w:line="360" w:lineRule="auto"/>
        <w:ind w:firstLine="422" w:firstLineChars="200"/>
        <w:rPr>
          <w:rFonts w:ascii="宋体" w:hAnsi="宋体" w:cs="宋体"/>
          <w:b/>
          <w:bCs/>
          <w:sz w:val="21"/>
          <w:szCs w:val="21"/>
        </w:rPr>
      </w:pPr>
      <w:r>
        <w:rPr>
          <w:rFonts w:hint="eastAsia" w:ascii="宋体" w:hAnsi="宋体" w:cs="宋体"/>
          <w:b/>
          <w:sz w:val="21"/>
          <w:szCs w:val="21"/>
        </w:rPr>
        <w:t>16.4</w:t>
      </w:r>
      <w:r>
        <w:rPr>
          <w:rFonts w:hint="eastAsia" w:ascii="宋体" w:hAnsi="宋体" w:cs="宋体"/>
          <w:b/>
          <w:bCs/>
          <w:sz w:val="21"/>
          <w:szCs w:val="21"/>
        </w:rPr>
        <w:t>其他</w:t>
      </w:r>
    </w:p>
    <w:p>
      <w:pPr>
        <w:pStyle w:val="2"/>
        <w:ind w:left="480" w:leftChars="200"/>
        <w:rPr>
          <w:rFonts w:ascii="宋体" w:hAnsi="宋体"/>
          <w:b/>
          <w:bCs/>
          <w:szCs w:val="21"/>
        </w:rPr>
      </w:pPr>
      <w:r>
        <w:rPr>
          <w:rFonts w:hint="eastAsia" w:ascii="Arial" w:hAnsi="Arial" w:cs="Arial"/>
          <w:bCs/>
          <w:szCs w:val="21"/>
        </w:rPr>
        <w:t>无。</w:t>
      </w:r>
    </w:p>
    <w:p>
      <w:pPr>
        <w:outlineLvl w:val="0"/>
        <w:rPr>
          <w:rFonts w:ascii="宋体" w:hAnsi="宋体"/>
          <w:b/>
          <w:bCs/>
          <w:sz w:val="21"/>
          <w:szCs w:val="21"/>
        </w:rPr>
      </w:pPr>
      <w:bookmarkStart w:id="34" w:name="_Toc16555"/>
    </w:p>
    <w:p>
      <w:pPr>
        <w:outlineLvl w:val="0"/>
        <w:rPr>
          <w:rFonts w:ascii="宋体" w:hAnsi="宋体"/>
          <w:b/>
          <w:bCs/>
          <w:sz w:val="21"/>
          <w:szCs w:val="21"/>
        </w:rPr>
      </w:pPr>
    </w:p>
    <w:p>
      <w:pPr>
        <w:outlineLvl w:val="0"/>
        <w:rPr>
          <w:rFonts w:ascii="宋体" w:hAnsi="宋体"/>
          <w:b/>
          <w:bCs/>
          <w:sz w:val="21"/>
          <w:szCs w:val="21"/>
        </w:rPr>
      </w:pPr>
    </w:p>
    <w:p>
      <w:pPr>
        <w:outlineLvl w:val="0"/>
        <w:rPr>
          <w:rFonts w:ascii="宋体" w:hAnsi="宋体"/>
          <w:b/>
          <w:bCs/>
          <w:sz w:val="21"/>
          <w:szCs w:val="21"/>
        </w:rPr>
      </w:pPr>
    </w:p>
    <w:p>
      <w:pPr>
        <w:outlineLvl w:val="0"/>
        <w:rPr>
          <w:rFonts w:ascii="宋体" w:hAnsi="宋体"/>
          <w:b/>
          <w:bCs/>
          <w:sz w:val="21"/>
          <w:szCs w:val="21"/>
        </w:rPr>
      </w:pPr>
    </w:p>
    <w:p>
      <w:pPr>
        <w:outlineLvl w:val="0"/>
        <w:rPr>
          <w:rFonts w:ascii="宋体" w:hAnsi="宋体"/>
          <w:b/>
          <w:bCs/>
          <w:sz w:val="21"/>
          <w:szCs w:val="21"/>
        </w:rPr>
      </w:pPr>
    </w:p>
    <w:p>
      <w:pPr>
        <w:pStyle w:val="2"/>
      </w:pPr>
    </w:p>
    <w:p>
      <w:pPr>
        <w:pStyle w:val="2"/>
      </w:pPr>
    </w:p>
    <w:p>
      <w:pPr>
        <w:pStyle w:val="2"/>
      </w:pPr>
    </w:p>
    <w:p>
      <w:pPr>
        <w:pStyle w:val="2"/>
      </w:pPr>
    </w:p>
    <w:p>
      <w:pPr>
        <w:pStyle w:val="2"/>
      </w:pPr>
    </w:p>
    <w:p>
      <w:pPr>
        <w:outlineLvl w:val="0"/>
        <w:rPr>
          <w:rFonts w:hint="eastAsia" w:ascii="宋体" w:hAnsi="宋体"/>
          <w:b/>
          <w:bCs/>
          <w:sz w:val="21"/>
          <w:szCs w:val="21"/>
        </w:rPr>
      </w:pPr>
    </w:p>
    <w:p>
      <w:pPr>
        <w:outlineLvl w:val="0"/>
        <w:rPr>
          <w:rFonts w:ascii="宋体" w:hAnsi="宋体"/>
          <w:b/>
          <w:bCs/>
          <w:sz w:val="21"/>
          <w:szCs w:val="21"/>
        </w:rPr>
      </w:pPr>
      <w:bookmarkStart w:id="35" w:name="_Toc32353"/>
      <w:r>
        <w:rPr>
          <w:rFonts w:hint="eastAsia" w:ascii="宋体" w:hAnsi="宋体"/>
          <w:b/>
          <w:bCs/>
          <w:sz w:val="21"/>
          <w:szCs w:val="21"/>
        </w:rPr>
        <w:t>十七、附件</w:t>
      </w:r>
      <w:bookmarkEnd w:id="34"/>
      <w:bookmarkEnd w:id="35"/>
    </w:p>
    <w:p>
      <w:pPr>
        <w:ind w:firstLine="422" w:firstLineChars="200"/>
        <w:rPr>
          <w:rFonts w:ascii="宋体" w:hAnsi="宋体" w:cs="宋体"/>
          <w:b/>
          <w:sz w:val="21"/>
          <w:szCs w:val="21"/>
        </w:rPr>
      </w:pPr>
      <w:r>
        <w:rPr>
          <w:rFonts w:hint="eastAsia" w:ascii="宋体" w:hAnsi="宋体" w:cs="宋体"/>
          <w:b/>
          <w:sz w:val="21"/>
          <w:szCs w:val="21"/>
        </w:rPr>
        <w:t>附件一：银行账户余额</w:t>
      </w:r>
    </w:p>
    <w:p>
      <w:pPr>
        <w:jc w:val="center"/>
        <w:rPr>
          <w:rFonts w:ascii="宋体" w:hAnsi="宋体" w:cs="宋体"/>
          <w:bCs/>
          <w:sz w:val="21"/>
          <w:szCs w:val="21"/>
        </w:rPr>
      </w:pPr>
      <w:r>
        <w:rPr>
          <w:rFonts w:hint="eastAsia" w:ascii="宋体" w:hAnsi="宋体" w:cs="宋体"/>
          <w:bCs/>
          <w:sz w:val="21"/>
          <w:szCs w:val="21"/>
        </w:rPr>
        <w:t>苏州星盛房地产开发有限公司（农行盛泽支行0760）</w:t>
      </w:r>
    </w:p>
    <w:p>
      <w:pPr>
        <w:pStyle w:val="2"/>
      </w:pPr>
      <w:r>
        <w:rPr>
          <w:rFonts w:hint="eastAsia"/>
        </w:rPr>
        <w:drawing>
          <wp:inline distT="0" distB="0" distL="114300" distR="114300">
            <wp:extent cx="6118860" cy="3152140"/>
            <wp:effectExtent l="0" t="0" r="15240" b="10160"/>
            <wp:docPr id="4" name="图片 4" descr="8bc812600cba463c9f3cc3485def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bc812600cba463c9f3cc3485defeb3"/>
                    <pic:cNvPicPr>
                      <a:picLocks noChangeAspect="1"/>
                    </pic:cNvPicPr>
                  </pic:nvPicPr>
                  <pic:blipFill>
                    <a:blip r:embed="rId8"/>
                    <a:stretch>
                      <a:fillRect/>
                    </a:stretch>
                  </pic:blipFill>
                  <pic:spPr>
                    <a:xfrm>
                      <a:off x="0" y="0"/>
                      <a:ext cx="6118860" cy="3152140"/>
                    </a:xfrm>
                    <a:prstGeom prst="rect">
                      <a:avLst/>
                    </a:prstGeom>
                  </pic:spPr>
                </pic:pic>
              </a:graphicData>
            </a:graphic>
          </wp:inline>
        </w:drawing>
      </w:r>
    </w:p>
    <w:p>
      <w:pPr>
        <w:jc w:val="center"/>
        <w:rPr>
          <w:rFonts w:ascii="宋体" w:hAnsi="宋体" w:cs="宋体"/>
          <w:bCs/>
          <w:sz w:val="21"/>
          <w:szCs w:val="21"/>
        </w:rPr>
      </w:pPr>
      <w:r>
        <w:rPr>
          <w:rFonts w:hint="eastAsia" w:ascii="宋体" w:hAnsi="宋体" w:cs="宋体"/>
          <w:bCs/>
          <w:sz w:val="21"/>
          <w:szCs w:val="21"/>
        </w:rPr>
        <w:t>江苏银行盛泽支行（1513、1692、1774、2079）</w:t>
      </w:r>
    </w:p>
    <w:p>
      <w:pPr>
        <w:pStyle w:val="2"/>
        <w:rPr>
          <w:rFonts w:ascii="宋体" w:hAnsi="宋体" w:cs="宋体"/>
          <w:bCs/>
          <w:szCs w:val="21"/>
        </w:rPr>
      </w:pPr>
      <w:r>
        <w:rPr>
          <w:rFonts w:hint="eastAsia" w:ascii="宋体" w:hAnsi="宋体" w:cs="宋体"/>
          <w:bCs/>
          <w:szCs w:val="21"/>
        </w:rPr>
        <w:drawing>
          <wp:inline distT="0" distB="0" distL="114300" distR="114300">
            <wp:extent cx="6116955" cy="2525395"/>
            <wp:effectExtent l="0" t="0" r="17145" b="8255"/>
            <wp:docPr id="6" name="图片 6" descr="39f6a10a8bbd7767d11bbde06e56b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9f6a10a8bbd7767d11bbde06e56b9f"/>
                    <pic:cNvPicPr>
                      <a:picLocks noChangeAspect="1"/>
                    </pic:cNvPicPr>
                  </pic:nvPicPr>
                  <pic:blipFill>
                    <a:blip r:embed="rId9"/>
                    <a:stretch>
                      <a:fillRect/>
                    </a:stretch>
                  </pic:blipFill>
                  <pic:spPr>
                    <a:xfrm>
                      <a:off x="0" y="0"/>
                      <a:ext cx="6116955" cy="2525395"/>
                    </a:xfrm>
                    <a:prstGeom prst="rect">
                      <a:avLst/>
                    </a:prstGeom>
                  </pic:spPr>
                </pic:pic>
              </a:graphicData>
            </a:graphic>
          </wp:inline>
        </w:drawing>
      </w:r>
    </w:p>
    <w:p>
      <w:pPr>
        <w:jc w:val="center"/>
        <w:rPr>
          <w:rFonts w:ascii="宋体" w:hAnsi="宋体" w:cs="宋体"/>
          <w:bCs/>
          <w:sz w:val="21"/>
          <w:szCs w:val="21"/>
        </w:rPr>
      </w:pPr>
      <w:r>
        <w:rPr>
          <w:rFonts w:hint="eastAsia" w:ascii="宋体" w:hAnsi="宋体" w:cs="宋体"/>
          <w:bCs/>
          <w:sz w:val="21"/>
          <w:szCs w:val="21"/>
        </w:rPr>
        <w:t>江苏银行盛泽支行（8457、1343）（政府预售资金监管户）</w:t>
      </w:r>
    </w:p>
    <w:p>
      <w:pPr>
        <w:pStyle w:val="2"/>
      </w:pPr>
      <w:r>
        <w:rPr>
          <w:rFonts w:hint="eastAsia"/>
        </w:rPr>
        <w:drawing>
          <wp:inline distT="0" distB="0" distL="114300" distR="114300">
            <wp:extent cx="6113145" cy="676275"/>
            <wp:effectExtent l="0" t="0" r="1905" b="9525"/>
            <wp:docPr id="7" name="图片 7" descr="02dc3206b40c7f3f468ffcaa00b8e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2dc3206b40c7f3f468ffcaa00b8ef4"/>
                    <pic:cNvPicPr>
                      <a:picLocks noChangeAspect="1"/>
                    </pic:cNvPicPr>
                  </pic:nvPicPr>
                  <pic:blipFill>
                    <a:blip r:embed="rId10"/>
                    <a:stretch>
                      <a:fillRect/>
                    </a:stretch>
                  </pic:blipFill>
                  <pic:spPr>
                    <a:xfrm>
                      <a:off x="0" y="0"/>
                      <a:ext cx="6113145" cy="676275"/>
                    </a:xfrm>
                    <a:prstGeom prst="rect">
                      <a:avLst/>
                    </a:prstGeom>
                  </pic:spPr>
                </pic:pic>
              </a:graphicData>
            </a:graphic>
          </wp:inline>
        </w:drawing>
      </w:r>
    </w:p>
    <w:p>
      <w:pPr>
        <w:pStyle w:val="2"/>
      </w:pPr>
    </w:p>
    <w:p>
      <w:pPr>
        <w:jc w:val="center"/>
        <w:rPr>
          <w:rFonts w:ascii="宋体" w:hAnsi="宋体" w:cs="宋体"/>
          <w:bCs/>
          <w:sz w:val="21"/>
          <w:szCs w:val="21"/>
        </w:rPr>
      </w:pPr>
      <w:r>
        <w:rPr>
          <w:rFonts w:hint="eastAsia" w:ascii="宋体" w:hAnsi="宋体" w:cs="宋体"/>
          <w:bCs/>
          <w:sz w:val="21"/>
          <w:szCs w:val="21"/>
        </w:rPr>
        <w:t>江苏银行盛泽支行（2407）（政府预售资金监管户）</w:t>
      </w:r>
    </w:p>
    <w:p>
      <w:pPr>
        <w:pStyle w:val="2"/>
      </w:pPr>
      <w:r>
        <w:rPr>
          <w:rFonts w:hint="eastAsia"/>
        </w:rPr>
        <w:drawing>
          <wp:inline distT="0" distB="0" distL="114300" distR="114300">
            <wp:extent cx="6114415" cy="3683000"/>
            <wp:effectExtent l="0" t="0" r="635" b="12700"/>
            <wp:docPr id="5" name="图片 5" descr="b5d5fa87aba4bf8be04125b2ec93b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5d5fa87aba4bf8be04125b2ec93b11"/>
                    <pic:cNvPicPr>
                      <a:picLocks noChangeAspect="1"/>
                    </pic:cNvPicPr>
                  </pic:nvPicPr>
                  <pic:blipFill>
                    <a:blip r:embed="rId11"/>
                    <a:stretch>
                      <a:fillRect/>
                    </a:stretch>
                  </pic:blipFill>
                  <pic:spPr>
                    <a:xfrm>
                      <a:off x="0" y="0"/>
                      <a:ext cx="6114415" cy="3683000"/>
                    </a:xfrm>
                    <a:prstGeom prst="rect">
                      <a:avLst/>
                    </a:prstGeom>
                  </pic:spPr>
                </pic:pic>
              </a:graphicData>
            </a:graphic>
          </wp:inline>
        </w:drawing>
      </w:r>
    </w:p>
    <w:p>
      <w:pPr>
        <w:jc w:val="center"/>
        <w:rPr>
          <w:rFonts w:ascii="宋体" w:hAnsi="宋体" w:cs="宋体"/>
          <w:bCs/>
          <w:sz w:val="21"/>
          <w:szCs w:val="21"/>
        </w:rPr>
      </w:pPr>
    </w:p>
    <w:p>
      <w:pPr>
        <w:jc w:val="center"/>
        <w:rPr>
          <w:rFonts w:ascii="宋体" w:hAnsi="宋体" w:cs="宋体"/>
          <w:bCs/>
          <w:sz w:val="21"/>
          <w:szCs w:val="21"/>
        </w:rPr>
      </w:pPr>
    </w:p>
    <w:p>
      <w:pPr>
        <w:jc w:val="center"/>
        <w:rPr>
          <w:rFonts w:ascii="宋体" w:hAnsi="宋体" w:cs="宋体"/>
          <w:bCs/>
          <w:sz w:val="21"/>
          <w:szCs w:val="21"/>
        </w:rPr>
      </w:pPr>
      <w:r>
        <w:rPr>
          <w:rFonts w:hint="eastAsia" w:ascii="宋体" w:hAnsi="宋体" w:cs="宋体"/>
          <w:bCs/>
          <w:sz w:val="21"/>
          <w:szCs w:val="21"/>
        </w:rPr>
        <w:t>中国银行吴越支行（9157）</w:t>
      </w:r>
    </w:p>
    <w:p>
      <w:pPr>
        <w:pStyle w:val="2"/>
        <w:ind w:firstLine="0" w:firstLineChars="0"/>
      </w:pPr>
      <w:r>
        <w:rPr>
          <w:rFonts w:hint="eastAsia"/>
        </w:rPr>
        <w:drawing>
          <wp:inline distT="0" distB="0" distL="114300" distR="114300">
            <wp:extent cx="6120130" cy="2996565"/>
            <wp:effectExtent l="0" t="0" r="13970" b="13335"/>
            <wp:docPr id="8" name="图片 8" descr="c43db8ed9e4ca619487bf46cbf4d3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43db8ed9e4ca619487bf46cbf4d3ee"/>
                    <pic:cNvPicPr>
                      <a:picLocks noChangeAspect="1"/>
                    </pic:cNvPicPr>
                  </pic:nvPicPr>
                  <pic:blipFill>
                    <a:blip r:embed="rId12"/>
                    <a:stretch>
                      <a:fillRect/>
                    </a:stretch>
                  </pic:blipFill>
                  <pic:spPr>
                    <a:xfrm>
                      <a:off x="0" y="0"/>
                      <a:ext cx="6120130" cy="2996565"/>
                    </a:xfrm>
                    <a:prstGeom prst="rect">
                      <a:avLst/>
                    </a:prstGeom>
                  </pic:spPr>
                </pic:pic>
              </a:graphicData>
            </a:graphic>
          </wp:inline>
        </w:drawing>
      </w:r>
    </w:p>
    <w:p>
      <w:pPr>
        <w:pStyle w:val="2"/>
      </w:pPr>
    </w:p>
    <w:p>
      <w:pPr>
        <w:jc w:val="center"/>
        <w:rPr>
          <w:rFonts w:ascii="宋体" w:hAnsi="宋体" w:cs="宋体"/>
          <w:bCs/>
          <w:sz w:val="21"/>
          <w:szCs w:val="21"/>
        </w:rPr>
      </w:pPr>
      <w:r>
        <w:rPr>
          <w:rFonts w:hint="eastAsia" w:ascii="宋体" w:hAnsi="宋体" w:cs="宋体"/>
          <w:bCs/>
          <w:sz w:val="21"/>
          <w:szCs w:val="21"/>
        </w:rPr>
        <w:t>工商银行盛泽支行（2704）</w:t>
      </w:r>
    </w:p>
    <w:p>
      <w:pPr>
        <w:pStyle w:val="2"/>
        <w:ind w:firstLine="0" w:firstLineChars="0"/>
      </w:pPr>
      <w:r>
        <w:rPr>
          <w:rFonts w:hint="eastAsia"/>
        </w:rPr>
        <w:drawing>
          <wp:inline distT="0" distB="0" distL="114300" distR="114300">
            <wp:extent cx="6108700" cy="2135505"/>
            <wp:effectExtent l="0" t="0" r="6350" b="17145"/>
            <wp:docPr id="11" name="图片 11" descr="cbf983f8930a2199913390b27d88b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bf983f8930a2199913390b27d88b3b"/>
                    <pic:cNvPicPr>
                      <a:picLocks noChangeAspect="1"/>
                    </pic:cNvPicPr>
                  </pic:nvPicPr>
                  <pic:blipFill>
                    <a:blip r:embed="rId13"/>
                    <a:stretch>
                      <a:fillRect/>
                    </a:stretch>
                  </pic:blipFill>
                  <pic:spPr>
                    <a:xfrm>
                      <a:off x="0" y="0"/>
                      <a:ext cx="6108700" cy="2135505"/>
                    </a:xfrm>
                    <a:prstGeom prst="rect">
                      <a:avLst/>
                    </a:prstGeom>
                  </pic:spPr>
                </pic:pic>
              </a:graphicData>
            </a:graphic>
          </wp:inline>
        </w:drawing>
      </w:r>
    </w:p>
    <w:p>
      <w:pPr>
        <w:jc w:val="center"/>
        <w:rPr>
          <w:rFonts w:ascii="宋体" w:hAnsi="宋体" w:cs="宋体"/>
          <w:bCs/>
          <w:sz w:val="21"/>
          <w:szCs w:val="21"/>
        </w:rPr>
      </w:pPr>
      <w:r>
        <w:rPr>
          <w:rFonts w:hint="eastAsia" w:ascii="宋体" w:hAnsi="宋体" w:cs="宋体"/>
          <w:bCs/>
          <w:sz w:val="21"/>
          <w:szCs w:val="21"/>
        </w:rPr>
        <w:t>浙商银行吴江支行（0061）</w:t>
      </w:r>
    </w:p>
    <w:p>
      <w:pPr>
        <w:pStyle w:val="2"/>
        <w:ind w:firstLine="0" w:firstLineChars="0"/>
      </w:pPr>
      <w:r>
        <w:rPr>
          <w:rFonts w:hint="eastAsia"/>
        </w:rPr>
        <w:drawing>
          <wp:inline distT="0" distB="0" distL="114300" distR="114300">
            <wp:extent cx="6104890" cy="2974340"/>
            <wp:effectExtent l="0" t="0" r="10160" b="16510"/>
            <wp:docPr id="14" name="图片 14" descr="e3c070184039f42dfab123c9d92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3c070184039f42dfab123c9d923049"/>
                    <pic:cNvPicPr>
                      <a:picLocks noChangeAspect="1"/>
                    </pic:cNvPicPr>
                  </pic:nvPicPr>
                  <pic:blipFill>
                    <a:blip r:embed="rId14"/>
                    <a:stretch>
                      <a:fillRect/>
                    </a:stretch>
                  </pic:blipFill>
                  <pic:spPr>
                    <a:xfrm>
                      <a:off x="0" y="0"/>
                      <a:ext cx="6104890" cy="2974340"/>
                    </a:xfrm>
                    <a:prstGeom prst="rect">
                      <a:avLst/>
                    </a:prstGeom>
                  </pic:spPr>
                </pic:pic>
              </a:graphicData>
            </a:graphic>
          </wp:inline>
        </w:drawing>
      </w:r>
    </w:p>
    <w:p>
      <w:pPr>
        <w:pStyle w:val="2"/>
        <w:ind w:firstLine="0" w:firstLineChars="0"/>
        <w:outlineLvl w:val="1"/>
        <w:rPr>
          <w:rFonts w:hint="eastAsia" w:ascii="宋体" w:hAnsi="宋体" w:cs="宋体"/>
          <w:b/>
          <w:sz w:val="21"/>
          <w:szCs w:val="21"/>
          <w:lang w:eastAsia="zh-CN"/>
        </w:rPr>
        <w:sectPr>
          <w:footerReference r:id="rId3" w:type="default"/>
          <w:pgSz w:w="11906" w:h="16838"/>
          <w:pgMar w:top="1134" w:right="1134" w:bottom="1134" w:left="1134" w:header="851" w:footer="992" w:gutter="0"/>
          <w:cols w:space="425" w:num="1"/>
          <w:docGrid w:linePitch="326" w:charSpace="0"/>
        </w:sectPr>
      </w:pPr>
    </w:p>
    <w:p>
      <w:pPr>
        <w:pStyle w:val="2"/>
        <w:ind w:firstLine="0" w:firstLineChars="0"/>
        <w:outlineLvl w:val="1"/>
        <w:rPr>
          <w:rFonts w:hint="eastAsia" w:ascii="宋体" w:hAnsi="宋体" w:cs="宋体"/>
          <w:b/>
          <w:sz w:val="21"/>
          <w:szCs w:val="21"/>
          <w:lang w:eastAsia="zh-CN"/>
        </w:rPr>
      </w:pPr>
    </w:p>
    <w:p>
      <w:pPr>
        <w:outlineLvl w:val="9"/>
        <w:rPr>
          <w:rFonts w:hint="default" w:ascii="宋体" w:hAnsi="宋体" w:cs="宋体"/>
          <w:b/>
          <w:sz w:val="21"/>
          <w:szCs w:val="21"/>
          <w:lang w:val="en-US" w:eastAsia="zh-CN"/>
        </w:rPr>
      </w:pPr>
      <w:r>
        <w:rPr>
          <w:rFonts w:hint="eastAsia" w:ascii="宋体" w:hAnsi="宋体" w:cs="宋体"/>
          <w:b/>
          <w:sz w:val="21"/>
          <w:szCs w:val="21"/>
          <w:lang w:eastAsia="zh-CN"/>
        </w:rPr>
        <w:t>附件二</w:t>
      </w:r>
      <w:r>
        <w:rPr>
          <w:rFonts w:hint="eastAsia" w:ascii="宋体" w:hAnsi="宋体" w:cs="宋体"/>
          <w:b/>
          <w:sz w:val="21"/>
          <w:szCs w:val="21"/>
          <w:lang w:val="en-US" w:eastAsia="zh-CN"/>
        </w:rPr>
        <w:t xml:space="preserve"> 本月合同签约台账</w:t>
      </w:r>
    </w:p>
    <w:tbl>
      <w:tblPr>
        <w:tblStyle w:val="17"/>
        <w:tblpPr w:leftFromText="180" w:rightFromText="180" w:vertAnchor="text" w:horzAnchor="page" w:tblpX="681" w:tblpY="397"/>
        <w:tblOverlap w:val="never"/>
        <w:tblW w:w="15134" w:type="dxa"/>
        <w:tblInd w:w="0" w:type="dxa"/>
        <w:shd w:val="clear" w:color="auto" w:fill="FFFFFF" w:themeFill="background1"/>
        <w:tblLayout w:type="fixed"/>
        <w:tblCellMar>
          <w:top w:w="0" w:type="dxa"/>
          <w:left w:w="108" w:type="dxa"/>
          <w:bottom w:w="0" w:type="dxa"/>
          <w:right w:w="108" w:type="dxa"/>
        </w:tblCellMar>
      </w:tblPr>
      <w:tblGrid>
        <w:gridCol w:w="490"/>
        <w:gridCol w:w="893"/>
        <w:gridCol w:w="1277"/>
        <w:gridCol w:w="1559"/>
        <w:gridCol w:w="7796"/>
        <w:gridCol w:w="1843"/>
        <w:gridCol w:w="1276"/>
      </w:tblGrid>
      <w:tr>
        <w:tblPrEx>
          <w:shd w:val="clear" w:color="auto" w:fill="FFFFFF" w:themeFill="background1"/>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序号</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用印日期</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对方单位</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合同文件名称</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合同内容</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合同金额（元）</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b/>
                <w:bCs/>
                <w:color w:val="000000"/>
                <w:sz w:val="15"/>
                <w:szCs w:val="15"/>
              </w:rPr>
            </w:pPr>
            <w:r>
              <w:rPr>
                <w:rFonts w:ascii="Arial" w:hAnsi="Arial" w:cs="Arial"/>
                <w:b/>
                <w:bCs/>
                <w:color w:val="000000"/>
                <w:sz w:val="15"/>
                <w:szCs w:val="15"/>
                <w:lang w:bidi="ar"/>
              </w:rPr>
              <w:t>审批方式</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2021/6/1</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苏州凯迪仕智能科技有限公司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盛泽项目一期电子锁供货合同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确定苏州凯迪仕为盛泽项目一期电子锁供应商，并应在自现场具备该批次电子锁安装条件并书面通知供方之日起，供方应 50 日内抵达项目现场并开始安装。2供货周期为 50 天，自需方书面通知批量供货之日起至全部货物到达需方指定位置止。项目现场仓储货物的场地由需方提供，货物安装前的保管以及因防护恶劣天气应采取的保护措施由供方负责。</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764,307.14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2021/6/4</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苏州顺驰文化传媒有限公司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盛泽天铂5月开盘加推现场物料制作合同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甲、乙双方根据《中华人民共和国合同法》，在自愿、平等、互利基础上，经协商一致，就甲方委托乙方制作写真喷绘物料事宜达成如下条款，以资双方共同遵守。一、印刷品名称或项目：盛泽天铂5月开盘加推现场物料</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24,300.00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3</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2021/6/4</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苏州顺驰文化传媒有限公司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环沪公司盛泽项目2021年5月业</w:t>
            </w:r>
            <w:r>
              <w:rPr>
                <w:rFonts w:ascii="Arial" w:hAnsi="Arial" w:cs="Arial"/>
                <w:color w:val="000000"/>
                <w:sz w:val="15"/>
                <w:szCs w:val="15"/>
                <w:lang w:bidi="ar"/>
              </w:rPr>
              <w:br w:type="textWrapping"/>
            </w:r>
            <w:r>
              <w:rPr>
                <w:rFonts w:ascii="Arial" w:hAnsi="Arial" w:cs="Arial"/>
                <w:color w:val="000000"/>
                <w:sz w:val="15"/>
                <w:szCs w:val="15"/>
                <w:lang w:bidi="ar"/>
              </w:rPr>
              <w:t>主生日会合同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甲方与乙方就红星天铂盛泽项目业主生日会活动（5月）合同事宜进行合作，由乙方负责红星天铂盛泽项目业主生日会活动（5月）策划、执行。甲乙双方在平等基础上经友好协商，达成以下协议：乙方负责策划并执行红星天铂盛泽项目业主生日会活动（5月）活动地点：盛泽项目售楼处.活动服务内容：（1）乙方负责为主题活动的内容、活动安排等进行策划；（2）乙方负责为甲方布置活动场地，并组织现场活动。</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14,000.00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4</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2021/6/4</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上海晟宏贸易发展有限公司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一期水槽及水龙头采购合同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确定上海晟宏贸易为盛泽项目一期水槽及水龙头供应商，2供货周期为 45 天，自需方书面通知供货之日起至该批次货物全部到达需方指定位置止。项目现场仓储货物的场地由 需方  提供，货物的保管以及因防护恶劣天气应采取相应的保护措施由 橱柜厂家  负责。货物名称及数量：厨盆（692个）、厨房冷热水龙头（692个）、厨盆74、厨房冷热水龙头74个。</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722,509.82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5</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2021/6/4</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福建省冠林科技有限公司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一期可视对讲设备采购合同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鉴于需方就可视对讲设备采购供货事宜与供方达成一致，兹订立协议如下：2供货周期为45日历天，自需方书面通知之日起至货物全部到达需方指定位置。货物名称及数量：可视对讲室内机（766台），可视对讲单位门口机（40台）</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364,700.72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6</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2021/6/8</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宁波方太营销有限公司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吴江盛泽项目一期厨房电器供货合同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确定对方单位为盛泽项目一期厨房电器供应商，2供货周期为 30 天，自需方书面通知供货之日起至该批次货物全部到达需方指定位置止。项目现场仓储货物的场地由需方提供，货物的保管以及因防护恶劣天气应采取相应的保护措施由供方负责。需方自现场具备该批次厨电设备安装条件并通知供方之日起，供方应 7 日内抵达项目现场并开始安装。货物名称及数量：油烟机692+74，燃气灶692+74</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1,607,684.90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7</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2021/6/8</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苏州卓悦门诊有限公司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体检服务协议</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甲乙双方在相互了解、相互信任的基础上，本着平等合作、互惠互利的原则，经友好协商，于【2021】年【6】月【8】日达成如下合作协议：合作内容：甲方同意由乙方为甲方员工提供健康体检服务（体检项目及价格见《附件1》），并自本协议签署之日起【2】个月内为甲方员工提供后续健康管理服务；甲方员工的预计总体检人数为【47】人，其中男性【29】人，女性【18】人，甲方承诺到检率（即实际体检的人数和预计体检人数的比例）不低于80%;</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36,500.00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8</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2021/6/9</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上海铁甲建筑装饰工程有限公司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吴江盛泽项目一期栏杆及百叶分包工程合同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鉴于发包人愿将名称为 吴江盛泽项目一期栏杆及百叶分包工程交由分包人实施，并已接受了分包人提出为进行本工程的施工、竣工、交付并修复其中任何的缺陷，并完成档案及验收所收取的下述报酬金额。又鉴于分包人同意按照下文约定的合同文件的要求履行其合同责任和义务，并保证以诚信、敬业和积极的态度与发包人、总承包人及本工程渉及的任何其他人员保持充分有效的合作，进而保证本工程的圆满竣工。兹订立协议如下：本工程包括吴江盛泽项目一期栏杆及百叶分包工程。分包工程经发包人确认的施工图所包含的所有栏杆、百叶工程（深化设计、包验收、包成品保护等），主要包含楼梯间栏杆、扶手、屋面女儿墙栏杆、室内外护窗栏杆、阳台栏杆、飘窗栏杆、机房栏杆、残坡栏杆，。风井百叶、空调百叶等项目</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3,899,482.30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9</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2021/6/10</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苏州正信广告有限公司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环沪公司盛泽项目2021年5月歌林公园商超巡展合同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甲乙双方经友好协商，就甲方委托乙方进行 歌林公园巡展位租赁及物料制作安装事宜达成一致，1.甲方委托乙方为 红星盛泽歌林公园场地租赁  项目（简称“项目”或“本项目”）进行物料制作安装，由乙方根据甲方具体要求执行，安装地点由甲方指定。2、乙方按本合同附件一所示点位向甲方提供符合要求的巡展位。</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98,000.00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10</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2021/6/10</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苏州市墨利印刷有限公司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环沪公司盛泽项目2021年5月渠道地推海报印刷合同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甲、乙双方根据《中华人民共和国合同法》，在自愿、平等、互利基础上，经协商一致，就甲方委托乙方制作印刷品事宜达成如下条款，以资双方共同遵守。盛泽项目海顺户型图印刷制作，制作A3海报，12万份。</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28,800.00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11</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2021/6/10</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姑苏区永誉工艺品商行</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环沪公盛泽项目2021年5月29日开盘现场抽奖礼品采购合同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根据《中华人民共和国合同法》的有关规定，甲、乙双方经友好协商，就抽奖礼品采购事宜，为明确双方权利义务，达成如下协议，供双方共同遵守。采购物品：苏泊尔养生壶50个，美的搅拌机50个、小米电水壶50个、苹果12手机1台。</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28,800.00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12</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2021/6/10</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苏州小红帽商务信息咨询有限公司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环沪公司盛泽项目2021年5月渠道乡镇拓展服务合同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甲方委托乙方为甲方开发的【盛泽 】项目提供派单服务，现依据《中华人民共和国广告法》等法律法规签署本协议，以资共同遵守，协议有效期为：2021年5月22日至2021年6月15 日，3.每次派单的内容、时间、地点、方式等以甲方的书面派送要求为准，该书面要求作为附件与协议具有相同效力。4.派单确认单是在本协议有效期内，对每次派单的数量、价款及支付方式等进行确认的文件，确认单构成本协议的实质性内容，并作为双方结算付款的直接依据。</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92,000.00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13</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2021/6/11</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河南郑州碟阀厂股份有限公司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盛泽项目一期阀门采购合同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鉴于需方就一期阀门供货事宜与供方达成一致，兹订立协议如下：供货周期为 30日历天，自需方书面通知之日起至货物全部到达需方指定位置。物品及数量：阀门 426个</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159,131.00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14</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2021/6/11</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吴江市建设工程质量检测中心有限公司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盛泽项目二期桩基检测技术服务合同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甲方 苏州星盛房地产开发有限公司  已取得政府批准发展 关于苏州星盛房地产开发有限公司吴江高新区（盛泽镇）绸都大道西侧1#地块住宅项目核准的批复 ，并就 盛泽项目二期桩基检测技术服务进行了招标；乙方已经提供给甲方一份附有全部标价的工程量清单，并就合同总价、工期与甲方进行友好协商，达成一致意见。合同范围：包括盛泽项目设计所需的桩基检测全部内容。</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759,977.60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中航系统及邮件审批</w:t>
            </w:r>
          </w:p>
        </w:tc>
      </w:tr>
      <w:tr>
        <w:tblPrEx>
          <w:tblCellMar>
            <w:top w:w="0" w:type="dxa"/>
            <w:left w:w="108" w:type="dxa"/>
            <w:bottom w:w="0" w:type="dxa"/>
            <w:right w:w="108" w:type="dxa"/>
          </w:tblCellMar>
        </w:tblPrEx>
        <w:trPr>
          <w:trHeight w:val="744"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15</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2021/6/11</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东莞市中亚电缆有限公司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吴江盛泽项目一期矿物绝缘电缆采购合同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鉴于需方就一期矿物绝缘电缆供货事宜与供方达成一致，兹订立协议如下：3供货周期为28日历天，自需方书面通知之日起至货物全部到达需方指定位置。货物名称及数量：矿物绝缘电缆(分批次），9679m</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778,160.35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邮件审批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16</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2021/6/16</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苏州市墨利印刷有限公司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盛泽项目2021年5月渠道地推海报增补印刷合同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甲、乙双方根据《中华人民共和国民法典》，在自愿、平等、互利基础上，经协商一致，就甲方委托乙方制作印刷品事宜达成如下条款，以资双方共同遵守。印刷品名称或项目:盛泽项目单页印刷制作,含税合同单价：0.24元/份,数量：20万份。</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48,000.00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中航系统及邮件审批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17</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2021/6/16</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苏州建创广告传媒有限公司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盛泽项目2021年5月乡镇横幅户外广告投放合同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根据《中华人民共和国广告法》、《中华人民共和国合同法》及国家有关法律、法规的规定，甲、乙双方在平等、自愿、等价有偿、公平、诚实信用的基础上，经友好协商，就乙方为甲方发布户外广告及相关工作达成如下协议，并在售楼处签订本合同：广告名称：乡镇横幅户外广告，广告位置：街道。广告规格：5米*0.6米，广告形式：户外。3.1发布期限【半】个月，暂定自 【2020】年【5】月【15】日至【2021】年【5】月【29】日。实际广告发布期起算日从画面制作安装完毕，经甲方书面验收合格之日起开始计算。(实际发布日期与上述约定发布日期不一致的，以实际发布日期为准）。</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rPr>
            </w:pPr>
            <w:r>
              <w:rPr>
                <w:rFonts w:ascii="Arial" w:hAnsi="Arial" w:cs="Arial"/>
                <w:color w:val="000000"/>
                <w:sz w:val="15"/>
                <w:szCs w:val="15"/>
                <w:lang w:bidi="ar"/>
              </w:rPr>
              <w:t xml:space="preserve">50,000.00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rPr>
            </w:pPr>
            <w:r>
              <w:rPr>
                <w:rFonts w:ascii="Arial" w:hAnsi="Arial" w:cs="Arial"/>
                <w:color w:val="000000"/>
                <w:sz w:val="15"/>
                <w:szCs w:val="15"/>
                <w:lang w:bidi="ar"/>
              </w:rPr>
              <w:t>授权审批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18</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2021/6/16</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苏州永传广告有限公司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盛泽项目2021年6月小区公告栏广告投放合同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根据《中华人民共和国广告法》、《中华人民共和国合同法》及国家有关法律、法规的规定，甲、乙双方在平等、自愿、等价有偿、公平、诚实信用的基础上，经友好协商，就乙方为甲方发布户外广告及相关工作达成如下协议，并在签订本合同：广告名称：小区公告栏广告：广告规格：1.46*1.76:广告形式：公告栏。发布期限【1】个月，暂定自 【2021】年【6】月【10】日至【2021】年【7】月【9】日。实际广告发布期起算日从画面作安装完毕，经甲方书面验收合格之日起开始计算。(实际发布日期与上述约定发布日期不一致的，以实际发布日期为准）。</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78,000.00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授权审批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19</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2021/6/16</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苏州小红帽商务信息咨询有限公司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盛泽项目2021年6月渠道乡镇拓展服务合同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甲方委托乙方为甲方开发的【盛泽 】项目提供派单服务，现依据《中华人民共和国广告法》等法律法规签署本协议，以资共同遵守。1.协议有效期为： 2021  年  6  月 5  日至  2021年7月4日（具体时间双方根据实际情况调整）。2.在协议有效期及总金额内甲方委托乙方对项目进行派单，甲方定期支付价款给乙方。3.每次派单的内容、时间、地点、方式等以甲方的书面派送要求为准，该书面要求作为附件与协议具有相同效力。4.派单确认单是在本协议有效期内，对每次派单的数量、价款及支付方式等进行确认的文件，确认单构成本协议的实质性内容，并作为双方结算付款的直接依据。5.协议有效期内发生的各派单均需履行完毕，双方不得以协议有效期届满拒绝或怠于履行尚未完成的派单。</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99,800.00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授权审批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2021/6/16</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苏州波普广告传媒有限公司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盛泽项目2021年6月吴江小区道闸护栏广告投放合同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根据《中华人民共和国广告法》、《中华人民共和国合同法》及国家有关法律、法规的规定，甲、乙双方在平等、自愿、等价有偿、公平、诚实信用的基础上，经友好协商，就乙方为甲方发布户外广告及相关工作达成如下协议，并在苏州签订本合同：广告名称：社区广告投放；广告位置：吴江各中高档小区；广告规格：长1800mm*300mm,护栏：长2000mm*高700mm;广告形式：道闸、护栏。发布期限【1】个月，暂定自 【2021】年【06】月【10】日至【2021】年【07】月【9】日。实际广告发布期起算日从画面制作安装完毕，经甲方书面验收合格之日起开始计算。(实际发布日期与上述约定发布日期不一致的，以实际发布日期为准）。</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82,000.00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授权审批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21</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2021/6/16</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苏州义方达文化传媒有限公司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盛泽项目2021年6月户外广告（竞品阵地桁架）合同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根据《中华人民共和国广告法》、《中华人民共和国合同法》及国家有关法律、法规的规定，甲、乙双方在平等、自愿、等价有偿、公平、诚实信用的基础上，经友好协商，就乙方为甲方发布户外广告及相关工作达成如下协议，并在苏州签订本合同：广告名称：户外广告投放；广告位置：吴江盛泽城区范围内；广告规格：桁架：5*3m,广告形式：户外桁架。3.1发布期限【1】个月，暂定自 【2021】年【06】月【10】日至【2021】年【07】月【9】日。实际广告发布期起算日从画面制作安装完毕，经甲方书面验收合格之日起开始计算。(实际发布日期与上述约定发布日期不一致的，以实际发布日期为准）。</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96,000.00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授权审批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22</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2021/6/16</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苏州波普广告传媒有限公司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盛泽项目2021年6月吴江小区电梯框架广告投放合同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根据《中华人民共和国广告法》、《中华人民共和国合同法》及国家有关法律、法规的规定，甲、乙双方在平等、自愿、等价有偿、公平、诚实信用的基础上，经友好协商，就乙方为甲方发布户外广告及相关工作达成如下协议，并在苏州签订本合同：广告名称：社区广告投放；广告位置：吴江各中高档小区；广告规格：电梯框架：宽420mm*高570mm,广告形式：电梯框架。发布期限【1】个月，暂定自 【2021】年【06】月【10】日至【2021】年【07】月【9】日。实际广告发布期起算日从画面制作安装完毕，经甲方书面验收合格之日起开始计算。(实际发布日期与上述约定发布日期不一致的，以实际发布日期为准）。</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96,000.00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授权审批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23</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2021/6/16</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苏州永传广告有限公司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盛泽项目2021年6月加油站广告投放合同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根据《中华人民共和国广告法》、《中华人民共和国合同法》及国家有关法律、法规的规定，甲、乙双方在平等、自愿、等价有偿、公平、诚实信用的基础上，经友好协商，就乙方为甲方发布户外广告及相关工作达成如下协议，并在签订本合同：广告名称：加油站广告；广告位置：苏州红星，天力，八坼，新大，吴州河路，明达，南麻，吴娄，盛泽中心大道，盛泽西二环路，广告规格：2.4X4；广告形式：桁架。3.1发布期限【1】个月，暂定自 【2021】年【6】月【10】日至【2021】年【7】月【9】日。实际广告发布期起算日从画面制作安装完毕，经甲方书面验收合格之日起开始计算。(实际发布日期与上述约定发布日期不一致的，以实际发布日期为准）。</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80,000.00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授权审批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24</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2021/6/21</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江苏中禾建设有限公司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盛泽项目一期场地平整和桩基分包工程补充协议书二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鉴于发包人与分包人于2020年8月已经签订了合同编号为WJSZCDDDXM-Q1-JA-2020-08-0013的吴江盛泽项目一期场地平整和桩基分包工程的合同文件（以下简称原合同）。根据现场补桩情况发生，经友好协商，就吴江盛泽项目一期补桩工程达成以下补充协议，以资信守。兹订立协议如下：1、本补充协议调整的内容为第【1.1】。1.1 承包范围调整的内容为： （1）增加补桩。1.2原合同材差调整。</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906,536.80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授权审批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25</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2021/6/21</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苏州舜合房地产经纪有限公司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红星盛泽天铂项目中介合作协议</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由乙方通过红"星E家“向甲方推荐客户，乙方须在客户到访前30分钟提起向甲方报备。若客户本人及其直系亲属在乙方宝贝后30天无任何来访记录，不在视为乙方推荐客户。协议期为2021年1月1日-2021年6月30日.</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邮件审批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26</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2021/6/21</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苏州吴江鼎好不动产经纪有限公司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红星盛泽天铂项目中介合作协议</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由乙方通过红"星E家“向甲方推荐客户，乙方须在客户到访前30分钟提起向甲方报备。若客户本人及其直系亲属在乙方宝贝后30天无任何来访记录，不在视为乙方推荐客户。协议期为2021年1月1日-2021年6月30日.</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邮件审批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27</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2021/6/21</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苏州到位房产经纪有限公司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红星盛泽天铂项目中介合作协议</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由乙方通过红"星E家“向甲方推荐客户，乙方须在客户到访前30分钟提起向甲方报备。若客户本人及其直系亲属在乙方宝贝后30天无任何来访记录，不在视为乙方推荐客户。协议期为2021年1月1日-2021年6月30日.</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邮件审批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28</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2021/6/21</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苏州房泽先生不动产有限公司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红星盛泽天铂项目中介合作协议</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由乙方通过红"星E家“向甲方推荐客户，乙方须在客户到访前30分钟提起向甲方报备。若客户本人及其直系亲属在乙方宝贝后30天无任何来访记录，不在视为乙方推荐客户。协议期为2021年1月1日-2021年6月30日.</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邮件审批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29</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2021/6/21</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苏州福上居房产信息咨询有限公司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红星盛泽天铂项目中介合作协议</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由乙方通过红"星E家“向甲方推荐客户，乙方须在客户到访前30分钟提起向甲方报备。若客户本人及其直系亲属在乙方宝贝后30天无任何来访记录，不在视为乙方推荐客户。协议期为2021年1月1日-2021年6月30日.</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邮件审批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30</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2021/6/21</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苏州高泽房产经纪有限公司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红星盛泽天铂项目中介合作协议</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由乙方通过红"星E家“向甲方推荐客户，乙方须在客户到访前30分钟提起向甲方报备。若客户本人及其直系亲属在乙方宝贝后30天无任何来访记录，不在视为乙方推荐客户。协议期为2021年1月1日-2021年6月30日.</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邮件审批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31</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2021/6/21</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苏州龙家房地产营销策划有限公司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红星盛泽天铂项目中介合作协议</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由乙方通过红"星E家“向甲方推荐客户，乙方须在客户到访前30分钟提起向甲方报备。若客户本人及其直系亲属在乙方宝贝后30天无任何来访记录，不在视为乙方推荐客户。协议期为2021年1月1日-2021年6月30日.</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邮件审批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32</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2021/6/21</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苏州隆沣房地产营销策划有限公司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红星盛泽天铂项目中介合作协议</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由乙方通过红"星E家“向甲方推荐客户，乙方须在客户到访前30分钟提起向甲方报备。若客户本人及其直系亲属在乙方宝贝后30天无任何来访记录，不在视为乙方推荐客户。协议期为2021年1月1日-2021年6月30日.</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邮件审批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33</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2021/6/21</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苏州全屋不动产经纪有限公司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红星盛泽天铂项目中介合作协议</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由乙方通过红"星E家“向甲方推荐客户，乙方须在客户到访前30分钟提起向甲方报备。若客户本人及其直系亲属在乙方宝贝后30天无任何来访记录，不在视为乙方推荐客户。协议期为2021年1月1日-2021年6月30日.</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邮件审批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34</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2021/6/21</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苏州尚品屋房地产信息咨询有限公司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红星盛泽天铂项目中介合作协议</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由乙方通过红"星E家“向甲方推荐客户，乙方须在客户到访前30分钟提起向甲方报备。若客户本人及其直系亲属在乙方宝贝后30天无任何来访记录，不在视为乙方推荐客户。协议期为2021年1月1日-2021年6月30日.</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邮件审批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35</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2021/6/21</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苏州苏胜行房产经纪有限公司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红星盛泽天铂项目中介合作协议</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由乙方通过红"星E家“向甲方推荐客户，乙方须在客户到访前30分钟提起向甲方报备。若客户本人及其直系亲属在乙方宝贝后30天无任何来访记录，不在视为乙方推荐客户。协议期为2021年1月1日-2021年6月30日.</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邮件审批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36</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2021/6/21</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苏州先卓房产经纪有限公司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红星盛泽天铂项目中介合作协议</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由乙方通过红"星E家“向甲方推荐客户，乙方须在客户到访前30分钟提起向甲方报备。若客户本人及其直系亲属在乙方宝贝后30天无任何来访记录，不在视为乙方推荐客户。协议期为2021年1月1日-2021年6月30日.</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邮件审批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37</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2021/6/21</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苏州市万丰房地产经纪有限公司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红星盛泽天铂项目中介合作协议</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由乙方通过红"星E家“向甲方推荐客户，乙方须在客户到访前30分钟提起向甲方报备。若客户本人及其直系亲属在乙方宝贝后30天无任何来访记录，不在视为乙方推荐客户。协议期为2021年1月1日-2021年6月30日.</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邮件审批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38</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2021/6/21</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苏州盛家泽房产经纪有限公司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红星盛泽天铂项目中介合作协议</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由乙方通过红"星E家“向甲方推荐客户，乙方须在客户到访前30分钟提起向甲方报备。若客户本人及其直系亲属在乙方宝贝后30天无任何来访记录，不在视为乙方推荐客户。协议期为2021年1月1日-2021年6月30日.</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邮件审批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39</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2021/6/21</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苏州风之扬营销策划管理有限公司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红星盛泽天铂项目中介合作协议</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由乙方通过红"星E家“向甲方推荐客户，乙方须在客户到访前30分钟提起向甲方报备。若客户本人及其直系亲属在乙方宝贝后30天无任何来访记录，不在视为乙方推荐客户。协议期为2021年1月1日-2021年6月30日.</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邮件审批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40</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2021/6/21</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芜湖国敬网络科技有限公司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服务合同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由乙方负责市场推广等服务，运用共享经济智能交互平台及管理系统，接受甲方委托其提供综合服务，包括但不限于为其寻找、筛选、匹配适合的自由职业者承接服务项目，向自由职业者宣贯服务内容、服务标准等。 收费标准：服务费＝绩效费（税后）＋管理费</w:t>
            </w:r>
            <w:r>
              <w:rPr>
                <w:rFonts w:hint="eastAsia" w:ascii="Arial" w:hAnsi="Arial" w:cs="Arial"/>
                <w:color w:val="000000"/>
                <w:sz w:val="15"/>
                <w:szCs w:val="15"/>
                <w:lang w:bidi="ar"/>
              </w:rPr>
              <w:t>，</w:t>
            </w:r>
            <w:r>
              <w:rPr>
                <w:rFonts w:ascii="Arial" w:hAnsi="Arial" w:cs="Arial"/>
                <w:color w:val="000000"/>
                <w:sz w:val="15"/>
                <w:szCs w:val="15"/>
                <w:lang w:bidi="ar"/>
              </w:rPr>
              <w:t>上述管理费＝服务费x【7】％（含税，税率适用【6】％）</w:t>
            </w:r>
            <w:r>
              <w:rPr>
                <w:rFonts w:hint="eastAsia" w:ascii="Arial" w:hAnsi="Arial" w:cs="Arial"/>
                <w:color w:val="000000"/>
                <w:sz w:val="15"/>
                <w:szCs w:val="15"/>
                <w:lang w:bidi="ar"/>
              </w:rPr>
              <w:t>，</w:t>
            </w:r>
            <w:r>
              <w:rPr>
                <w:rFonts w:ascii="Arial" w:hAnsi="Arial" w:cs="Arial"/>
                <w:color w:val="000000"/>
                <w:sz w:val="15"/>
                <w:szCs w:val="15"/>
                <w:lang w:bidi="ar"/>
              </w:rPr>
              <w:t>甲乙双方同意，现阶段合作项目的自由职业者的绩效费标准将不超过9万元／人／月，因此以上管理费标准适用于月绩效费9.8万元（含）以下的自由职业者。如甲方要求乙方推荐自由职业者产生的月绩效费超过9.9万元，甲乙双方将另行协商管理费率。期限为2021年6月3日至2021年12月31日。</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0.00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邮件审批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41</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2021/6/25</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远东电缆有限公司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盛泽项目一期普通电缆供货合同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鉴于需方就 盛泽项目一期普通电缆 供货事宜与供方达成一致，兹订立协议如下：供货周期为 35 日历天，自需方书面通知之日起至货物全部到达需方指定位置。货物名称：普通电缆，预计下单日期为2021.8.1日，预计交货时间2021.9.4日，</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621,922.98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授权审批</w:t>
            </w:r>
          </w:p>
        </w:tc>
      </w:tr>
      <w:tr>
        <w:tblPrEx>
          <w:tblCellMar>
            <w:top w:w="0" w:type="dxa"/>
            <w:left w:w="108" w:type="dxa"/>
            <w:bottom w:w="0" w:type="dxa"/>
            <w:right w:w="108" w:type="dxa"/>
          </w:tblCellMar>
        </w:tblPrEx>
        <w:trPr>
          <w:trHeight w:val="460" w:hRule="atLeast"/>
        </w:trPr>
        <w:tc>
          <w:tcPr>
            <w:tcW w:w="490"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42</w:t>
            </w:r>
          </w:p>
        </w:tc>
        <w:tc>
          <w:tcPr>
            <w:tcW w:w="89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2021/6/30</w:t>
            </w:r>
          </w:p>
        </w:tc>
        <w:tc>
          <w:tcPr>
            <w:tcW w:w="1277"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上海协丽建材有限公司</w:t>
            </w:r>
          </w:p>
        </w:tc>
        <w:tc>
          <w:tcPr>
            <w:tcW w:w="1559"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盛泽项目一期科勒品牌洁具供货合同</w:t>
            </w:r>
          </w:p>
        </w:tc>
        <w:tc>
          <w:tcPr>
            <w:tcW w:w="7796"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由乙方负责盛泽项目一期洁具的供货，供货周期为 45天，自需方书面通知供货之日起至该批次货物全部到达需方指定位置止。项目现场仓储货物的场地由   需方  提供，货物的保管以及因防护恶劣天气应采取相应的保护措施由 项目使用的精装单位  需方负责</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6,917,373.17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邮件审批</w:t>
            </w:r>
          </w:p>
        </w:tc>
      </w:tr>
      <w:tr>
        <w:tblPrEx>
          <w:tblCellMar>
            <w:top w:w="0" w:type="dxa"/>
            <w:left w:w="108" w:type="dxa"/>
            <w:bottom w:w="0" w:type="dxa"/>
            <w:right w:w="108" w:type="dxa"/>
          </w:tblCellMar>
        </w:tblPrEx>
        <w:trPr>
          <w:trHeight w:val="460" w:hRule="atLeast"/>
        </w:trPr>
        <w:tc>
          <w:tcPr>
            <w:tcW w:w="12015" w:type="dxa"/>
            <w:gridSpan w:val="5"/>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r>
              <w:rPr>
                <w:rFonts w:hint="eastAsia" w:ascii="Arial" w:hAnsi="Arial" w:cs="Arial"/>
                <w:color w:val="000000"/>
                <w:sz w:val="15"/>
                <w:szCs w:val="15"/>
                <w:lang w:bidi="ar"/>
              </w:rPr>
              <w:t>合计</w:t>
            </w:r>
          </w:p>
        </w:tc>
        <w:tc>
          <w:tcPr>
            <w:tcW w:w="1843" w:type="dxa"/>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jc w:val="right"/>
              <w:textAlignment w:val="center"/>
              <w:rPr>
                <w:rFonts w:ascii="Arial" w:hAnsi="Arial" w:cs="Arial"/>
                <w:color w:val="000000"/>
                <w:sz w:val="15"/>
                <w:szCs w:val="15"/>
                <w:lang w:bidi="ar"/>
              </w:rPr>
            </w:pPr>
            <w:r>
              <w:rPr>
                <w:rFonts w:hint="eastAsia" w:ascii="Arial" w:hAnsi="Arial" w:cs="Arial"/>
                <w:b/>
                <w:bCs/>
                <w:color w:val="000000"/>
                <w:sz w:val="15"/>
                <w:szCs w:val="15"/>
                <w:lang w:bidi="ar"/>
              </w:rPr>
              <w:t xml:space="preserve">18,453,986.78 </w:t>
            </w:r>
          </w:p>
        </w:tc>
        <w:tc>
          <w:tcPr>
            <w:tcW w:w="1276" w:type="dxa"/>
            <w:tcBorders>
              <w:top w:val="single" w:color="000000" w:sz="8" w:space="0"/>
              <w:left w:val="single" w:color="000000" w:sz="8" w:space="0"/>
              <w:bottom w:val="single" w:color="000000" w:sz="8" w:space="0"/>
              <w:right w:val="single" w:color="000000" w:sz="8" w:space="0"/>
            </w:tcBorders>
            <w:shd w:val="clear" w:color="auto" w:fill="FFFFFF" w:themeFill="background1"/>
            <w:noWrap/>
            <w:vAlign w:val="center"/>
          </w:tcPr>
          <w:p>
            <w:pPr>
              <w:jc w:val="center"/>
              <w:textAlignment w:val="center"/>
              <w:rPr>
                <w:rFonts w:ascii="Arial" w:hAnsi="Arial" w:cs="Arial"/>
                <w:color w:val="000000"/>
                <w:sz w:val="15"/>
                <w:szCs w:val="15"/>
                <w:lang w:bidi="ar"/>
              </w:rPr>
            </w:pPr>
          </w:p>
        </w:tc>
      </w:tr>
    </w:tbl>
    <w:p>
      <w:pPr>
        <w:ind w:firstLine="420" w:firstLineChars="200"/>
        <w:rPr>
          <w:rFonts w:ascii="宋体" w:hAnsi="宋体" w:cs="宋体"/>
          <w:bCs/>
          <w:sz w:val="21"/>
          <w:szCs w:val="21"/>
        </w:rPr>
      </w:pPr>
    </w:p>
    <w:p>
      <w:pPr>
        <w:rPr>
          <w:rFonts w:ascii="宋体" w:hAnsi="宋体" w:cs="宋体"/>
          <w:bCs/>
          <w:sz w:val="21"/>
          <w:szCs w:val="21"/>
        </w:rPr>
        <w:sectPr>
          <w:pgSz w:w="16838" w:h="11906" w:orient="landscape"/>
          <w:pgMar w:top="1134" w:right="1134" w:bottom="1134" w:left="1134" w:header="851" w:footer="992" w:gutter="0"/>
          <w:cols w:space="425" w:num="1"/>
          <w:docGrid w:linePitch="326" w:charSpace="0"/>
        </w:sectPr>
      </w:pPr>
      <w:r>
        <w:rPr>
          <w:rFonts w:ascii="宋体" w:hAnsi="宋体" w:cs="宋体"/>
          <w:bCs/>
          <w:sz w:val="21"/>
          <w:szCs w:val="21"/>
        </w:rPr>
        <w:br w:type="page"/>
      </w:r>
    </w:p>
    <w:p>
      <w:pPr>
        <w:rPr>
          <w:rFonts w:ascii="宋体" w:hAnsi="宋体" w:cs="宋体"/>
          <w:bCs/>
          <w:sz w:val="21"/>
          <w:szCs w:val="21"/>
        </w:rPr>
      </w:pPr>
      <w:r>
        <w:rPr>
          <w:rFonts w:hint="eastAsia" w:ascii="宋体" w:hAnsi="宋体" w:cs="宋体"/>
          <w:b/>
          <w:sz w:val="21"/>
          <w:szCs w:val="21"/>
        </w:rPr>
        <w:t>附件三：本期合同付款台账</w:t>
      </w:r>
    </w:p>
    <w:tbl>
      <w:tblPr>
        <w:tblStyle w:val="17"/>
        <w:tblpPr w:leftFromText="180" w:rightFromText="180" w:vertAnchor="text" w:horzAnchor="page" w:tblpX="398" w:tblpY="93"/>
        <w:tblOverlap w:val="never"/>
        <w:tblW w:w="1584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94"/>
        <w:gridCol w:w="990"/>
        <w:gridCol w:w="851"/>
        <w:gridCol w:w="1134"/>
        <w:gridCol w:w="3260"/>
        <w:gridCol w:w="3260"/>
        <w:gridCol w:w="1418"/>
        <w:gridCol w:w="992"/>
        <w:gridCol w:w="1276"/>
        <w:gridCol w:w="1275"/>
        <w:gridCol w:w="99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17" w:hRule="atLeast"/>
          <w:tblHeader/>
        </w:trPr>
        <w:tc>
          <w:tcPr>
            <w:tcW w:w="394" w:type="dxa"/>
            <w:shd w:val="clear" w:color="auto" w:fill="auto"/>
            <w:vAlign w:val="center"/>
          </w:tcPr>
          <w:p>
            <w:pPr>
              <w:jc w:val="center"/>
              <w:textAlignment w:val="center"/>
              <w:rPr>
                <w:rFonts w:ascii="Arial" w:hAnsi="Arial" w:cs="Arial"/>
                <w:b/>
                <w:bCs/>
                <w:sz w:val="15"/>
                <w:szCs w:val="15"/>
              </w:rPr>
            </w:pPr>
            <w:r>
              <w:rPr>
                <w:rFonts w:ascii="Arial" w:hAnsi="Arial" w:cs="Arial"/>
                <w:b/>
                <w:bCs/>
                <w:sz w:val="15"/>
                <w:szCs w:val="15"/>
                <w:lang w:bidi="ar"/>
              </w:rPr>
              <w:t>序号</w:t>
            </w:r>
          </w:p>
        </w:tc>
        <w:tc>
          <w:tcPr>
            <w:tcW w:w="990" w:type="dxa"/>
            <w:shd w:val="clear" w:color="auto" w:fill="auto"/>
            <w:vAlign w:val="center"/>
          </w:tcPr>
          <w:p>
            <w:pPr>
              <w:jc w:val="center"/>
              <w:textAlignment w:val="center"/>
              <w:rPr>
                <w:rFonts w:ascii="Arial" w:hAnsi="Arial" w:cs="Arial"/>
                <w:b/>
                <w:bCs/>
                <w:sz w:val="15"/>
                <w:szCs w:val="15"/>
              </w:rPr>
            </w:pPr>
            <w:r>
              <w:rPr>
                <w:rFonts w:ascii="Arial" w:hAnsi="Arial" w:cs="Arial"/>
                <w:b/>
                <w:bCs/>
                <w:sz w:val="15"/>
                <w:szCs w:val="15"/>
                <w:lang w:bidi="ar"/>
              </w:rPr>
              <w:t>签约日期</w:t>
            </w:r>
          </w:p>
        </w:tc>
        <w:tc>
          <w:tcPr>
            <w:tcW w:w="851" w:type="dxa"/>
            <w:shd w:val="clear" w:color="auto" w:fill="auto"/>
            <w:vAlign w:val="center"/>
          </w:tcPr>
          <w:p>
            <w:pPr>
              <w:jc w:val="center"/>
              <w:textAlignment w:val="center"/>
              <w:rPr>
                <w:rFonts w:ascii="Arial" w:hAnsi="Arial" w:cs="Arial"/>
                <w:b/>
                <w:bCs/>
                <w:sz w:val="15"/>
                <w:szCs w:val="15"/>
              </w:rPr>
            </w:pPr>
            <w:r>
              <w:rPr>
                <w:rFonts w:ascii="Arial" w:hAnsi="Arial" w:cs="Arial"/>
                <w:b/>
                <w:bCs/>
                <w:sz w:val="15"/>
                <w:szCs w:val="15"/>
                <w:lang w:bidi="ar"/>
              </w:rPr>
              <w:t>对方单位</w:t>
            </w:r>
          </w:p>
        </w:tc>
        <w:tc>
          <w:tcPr>
            <w:tcW w:w="1134" w:type="dxa"/>
            <w:shd w:val="clear" w:color="auto" w:fill="auto"/>
            <w:vAlign w:val="center"/>
          </w:tcPr>
          <w:p>
            <w:pPr>
              <w:jc w:val="center"/>
              <w:textAlignment w:val="center"/>
              <w:rPr>
                <w:rFonts w:ascii="Arial" w:hAnsi="Arial" w:cs="Arial"/>
                <w:b/>
                <w:bCs/>
                <w:sz w:val="15"/>
                <w:szCs w:val="15"/>
              </w:rPr>
            </w:pPr>
            <w:r>
              <w:rPr>
                <w:rFonts w:ascii="Arial" w:hAnsi="Arial" w:cs="Arial"/>
                <w:b/>
                <w:bCs/>
                <w:sz w:val="15"/>
                <w:szCs w:val="15"/>
                <w:lang w:bidi="ar"/>
              </w:rPr>
              <w:t>合同文件名称</w:t>
            </w:r>
          </w:p>
        </w:tc>
        <w:tc>
          <w:tcPr>
            <w:tcW w:w="3260" w:type="dxa"/>
            <w:shd w:val="clear" w:color="auto" w:fill="auto"/>
            <w:vAlign w:val="center"/>
          </w:tcPr>
          <w:p>
            <w:pPr>
              <w:jc w:val="center"/>
              <w:textAlignment w:val="center"/>
              <w:rPr>
                <w:rFonts w:ascii="Arial" w:hAnsi="Arial" w:cs="Arial"/>
                <w:b/>
                <w:bCs/>
                <w:sz w:val="15"/>
                <w:szCs w:val="15"/>
              </w:rPr>
            </w:pPr>
            <w:r>
              <w:rPr>
                <w:rFonts w:ascii="Arial" w:hAnsi="Arial" w:cs="Arial"/>
                <w:b/>
                <w:bCs/>
                <w:sz w:val="15"/>
                <w:szCs w:val="15"/>
                <w:lang w:bidi="ar"/>
              </w:rPr>
              <w:t>合同内容</w:t>
            </w:r>
          </w:p>
        </w:tc>
        <w:tc>
          <w:tcPr>
            <w:tcW w:w="3260" w:type="dxa"/>
            <w:shd w:val="clear" w:color="auto" w:fill="auto"/>
            <w:vAlign w:val="center"/>
          </w:tcPr>
          <w:p>
            <w:pPr>
              <w:jc w:val="center"/>
              <w:textAlignment w:val="center"/>
              <w:rPr>
                <w:rFonts w:ascii="Arial" w:hAnsi="Arial" w:cs="Arial"/>
                <w:b/>
                <w:bCs/>
                <w:sz w:val="15"/>
                <w:szCs w:val="15"/>
              </w:rPr>
            </w:pPr>
            <w:r>
              <w:rPr>
                <w:rFonts w:ascii="Arial" w:hAnsi="Arial" w:cs="Arial"/>
                <w:b/>
                <w:bCs/>
                <w:sz w:val="15"/>
                <w:szCs w:val="15"/>
                <w:lang w:bidi="ar"/>
              </w:rPr>
              <w:t>付款节点</w:t>
            </w:r>
          </w:p>
        </w:tc>
        <w:tc>
          <w:tcPr>
            <w:tcW w:w="1418" w:type="dxa"/>
            <w:shd w:val="clear" w:color="auto" w:fill="auto"/>
            <w:vAlign w:val="center"/>
          </w:tcPr>
          <w:p>
            <w:pPr>
              <w:jc w:val="center"/>
              <w:textAlignment w:val="center"/>
              <w:rPr>
                <w:rFonts w:ascii="Arial" w:hAnsi="Arial" w:cs="Arial"/>
                <w:b/>
                <w:bCs/>
                <w:sz w:val="15"/>
                <w:szCs w:val="15"/>
              </w:rPr>
            </w:pPr>
            <w:r>
              <w:rPr>
                <w:rFonts w:ascii="Arial" w:hAnsi="Arial" w:cs="Arial"/>
                <w:b/>
                <w:bCs/>
                <w:sz w:val="15"/>
                <w:szCs w:val="15"/>
                <w:lang w:bidi="ar"/>
              </w:rPr>
              <w:t>合同金额（元）</w:t>
            </w:r>
          </w:p>
        </w:tc>
        <w:tc>
          <w:tcPr>
            <w:tcW w:w="992" w:type="dxa"/>
            <w:shd w:val="clear" w:color="auto" w:fill="auto"/>
            <w:vAlign w:val="center"/>
          </w:tcPr>
          <w:p>
            <w:pPr>
              <w:jc w:val="center"/>
              <w:textAlignment w:val="center"/>
              <w:rPr>
                <w:rFonts w:ascii="Arial" w:hAnsi="Arial" w:cs="Arial"/>
                <w:b/>
                <w:bCs/>
                <w:sz w:val="15"/>
                <w:szCs w:val="15"/>
              </w:rPr>
            </w:pPr>
            <w:r>
              <w:rPr>
                <w:rFonts w:ascii="Arial" w:hAnsi="Arial" w:cs="Arial"/>
                <w:b/>
                <w:bCs/>
                <w:sz w:val="15"/>
                <w:szCs w:val="15"/>
                <w:lang w:bidi="ar"/>
              </w:rPr>
              <w:t>合同类别</w:t>
            </w:r>
          </w:p>
        </w:tc>
        <w:tc>
          <w:tcPr>
            <w:tcW w:w="1276" w:type="dxa"/>
            <w:shd w:val="clear" w:color="auto" w:fill="auto"/>
            <w:vAlign w:val="center"/>
          </w:tcPr>
          <w:p>
            <w:pPr>
              <w:jc w:val="center"/>
              <w:textAlignment w:val="center"/>
              <w:rPr>
                <w:rFonts w:ascii="Arial" w:hAnsi="Arial" w:cs="Arial"/>
                <w:b/>
                <w:bCs/>
                <w:sz w:val="15"/>
                <w:szCs w:val="15"/>
              </w:rPr>
            </w:pPr>
            <w:r>
              <w:rPr>
                <w:rFonts w:hint="eastAsia" w:ascii="Arial" w:hAnsi="Arial" w:cs="Arial"/>
                <w:b/>
                <w:bCs/>
                <w:sz w:val="15"/>
                <w:szCs w:val="15"/>
                <w:lang w:bidi="ar"/>
              </w:rPr>
              <w:t>累计付款金额（元）</w:t>
            </w:r>
          </w:p>
        </w:tc>
        <w:tc>
          <w:tcPr>
            <w:tcW w:w="1275" w:type="dxa"/>
            <w:shd w:val="clear" w:color="auto" w:fill="auto"/>
            <w:vAlign w:val="center"/>
          </w:tcPr>
          <w:p>
            <w:pPr>
              <w:jc w:val="center"/>
              <w:textAlignment w:val="center"/>
              <w:rPr>
                <w:rFonts w:ascii="Arial" w:hAnsi="Arial" w:cs="Arial"/>
                <w:b/>
                <w:bCs/>
                <w:sz w:val="15"/>
                <w:szCs w:val="15"/>
              </w:rPr>
            </w:pPr>
            <w:r>
              <w:rPr>
                <w:rFonts w:hint="eastAsia" w:ascii="Arial" w:hAnsi="Arial" w:cs="Arial"/>
                <w:b/>
                <w:bCs/>
                <w:sz w:val="15"/>
                <w:szCs w:val="15"/>
              </w:rPr>
              <w:t>未付金额（元）</w:t>
            </w:r>
          </w:p>
        </w:tc>
        <w:tc>
          <w:tcPr>
            <w:tcW w:w="993" w:type="dxa"/>
            <w:shd w:val="clear" w:color="auto" w:fill="auto"/>
            <w:vAlign w:val="center"/>
          </w:tcPr>
          <w:p>
            <w:pPr>
              <w:jc w:val="center"/>
              <w:textAlignment w:val="center"/>
              <w:rPr>
                <w:rFonts w:ascii="Arial" w:hAnsi="Arial" w:cs="Arial"/>
                <w:b/>
                <w:bCs/>
                <w:sz w:val="15"/>
                <w:szCs w:val="15"/>
              </w:rPr>
            </w:pPr>
            <w:r>
              <w:rPr>
                <w:rFonts w:hint="eastAsia" w:ascii="Arial" w:hAnsi="Arial" w:cs="Arial"/>
                <w:b/>
                <w:bCs/>
                <w:sz w:val="15"/>
                <w:szCs w:val="15"/>
                <w:lang w:bidi="ar"/>
              </w:rPr>
              <w:t>付款时间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rPr>
            </w:pPr>
            <w:r>
              <w:rPr>
                <w:rFonts w:ascii="Arial" w:hAnsi="Arial" w:cs="Arial"/>
                <w:sz w:val="15"/>
                <w:szCs w:val="15"/>
                <w:lang w:bidi="ar"/>
              </w:rPr>
              <w:t>1</w:t>
            </w:r>
          </w:p>
        </w:tc>
        <w:tc>
          <w:tcPr>
            <w:tcW w:w="990" w:type="dxa"/>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2020/7/31</w:t>
            </w:r>
          </w:p>
        </w:tc>
        <w:tc>
          <w:tcPr>
            <w:tcW w:w="851" w:type="dxa"/>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江苏中禾建设有限公司</w:t>
            </w:r>
          </w:p>
        </w:tc>
        <w:tc>
          <w:tcPr>
            <w:tcW w:w="1134" w:type="dxa"/>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吴江盛泽项目一期试桩分包工程合同文件</w:t>
            </w:r>
          </w:p>
        </w:tc>
        <w:tc>
          <w:tcPr>
            <w:tcW w:w="3260" w:type="dxa"/>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鉴于发包人愿将名称为吴江盛泽项目一期试桩分包工程交由分包人实施，并已接受了分包人提出为进行本工程的施工、竣工、交付并修复其中任何的缺陷，并完成档案及验收所收取的下述报酬金额。</w:t>
            </w:r>
          </w:p>
        </w:tc>
        <w:tc>
          <w:tcPr>
            <w:tcW w:w="3260" w:type="dxa"/>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1、本工程无预付款，2、按周期支付，每月支付一次，支付至已完合同金额的70%；3、单项工程竣工验收合格并取得专项质检验收表后支付至已完合同金额的80%；4、主体结构封顶后支付至已完合同金额的90%；5、结算完成，支付至结算金额的95%，但分包人必须提供结算总价100%的发票，剩余5%所为保修金，两年质保期满后支付。</w:t>
            </w:r>
          </w:p>
        </w:tc>
        <w:tc>
          <w:tcPr>
            <w:tcW w:w="1418" w:type="dxa"/>
            <w:shd w:val="clear" w:color="auto" w:fill="auto"/>
            <w:vAlign w:val="center"/>
          </w:tcPr>
          <w:p>
            <w:pPr>
              <w:jc w:val="right"/>
              <w:textAlignment w:val="center"/>
              <w:rPr>
                <w:rFonts w:ascii="Arial" w:hAnsi="Arial" w:cs="Arial"/>
                <w:sz w:val="15"/>
                <w:szCs w:val="15"/>
              </w:rPr>
            </w:pPr>
            <w:r>
              <w:rPr>
                <w:rFonts w:ascii="Arial" w:hAnsi="Arial" w:cs="Arial"/>
                <w:sz w:val="15"/>
                <w:szCs w:val="15"/>
                <w:lang w:bidi="ar"/>
              </w:rPr>
              <w:t xml:space="preserve">740,750.46 </w:t>
            </w:r>
          </w:p>
        </w:tc>
        <w:tc>
          <w:tcPr>
            <w:tcW w:w="992" w:type="dxa"/>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工程施工类</w:t>
            </w:r>
          </w:p>
        </w:tc>
        <w:tc>
          <w:tcPr>
            <w:tcW w:w="1276" w:type="dxa"/>
            <w:shd w:val="clear" w:color="auto" w:fill="auto"/>
            <w:vAlign w:val="center"/>
          </w:tcPr>
          <w:p>
            <w:pPr>
              <w:jc w:val="right"/>
              <w:textAlignment w:val="center"/>
              <w:rPr>
                <w:rFonts w:ascii="Arial" w:hAnsi="Arial" w:cs="Arial"/>
                <w:sz w:val="15"/>
                <w:szCs w:val="15"/>
              </w:rPr>
            </w:pPr>
            <w:r>
              <w:rPr>
                <w:rFonts w:ascii="Arial" w:hAnsi="Arial" w:cs="Arial"/>
                <w:sz w:val="15"/>
                <w:szCs w:val="15"/>
                <w:lang w:bidi="ar"/>
              </w:rPr>
              <w:t xml:space="preserve">703,712.94 </w:t>
            </w:r>
          </w:p>
        </w:tc>
        <w:tc>
          <w:tcPr>
            <w:tcW w:w="1275" w:type="dxa"/>
            <w:shd w:val="clear" w:color="auto" w:fill="auto"/>
            <w:vAlign w:val="center"/>
          </w:tcPr>
          <w:p>
            <w:pPr>
              <w:jc w:val="right"/>
              <w:textAlignment w:val="center"/>
              <w:rPr>
                <w:rFonts w:ascii="Arial" w:hAnsi="Arial" w:cs="Arial"/>
                <w:sz w:val="15"/>
                <w:szCs w:val="15"/>
              </w:rPr>
            </w:pPr>
            <w:r>
              <w:rPr>
                <w:rFonts w:ascii="Arial" w:hAnsi="Arial" w:cs="Arial"/>
                <w:sz w:val="15"/>
                <w:szCs w:val="15"/>
                <w:lang w:bidi="ar"/>
              </w:rPr>
              <w:t xml:space="preserve">37,037.52 </w:t>
            </w:r>
          </w:p>
        </w:tc>
        <w:tc>
          <w:tcPr>
            <w:tcW w:w="993" w:type="dxa"/>
            <w:shd w:val="clear" w:color="auto" w:fill="auto"/>
            <w:vAlign w:val="center"/>
          </w:tcPr>
          <w:p>
            <w:pPr>
              <w:jc w:val="center"/>
              <w:textAlignment w:val="center"/>
              <w:rPr>
                <w:rFonts w:ascii="Arial" w:hAnsi="Arial" w:cs="Arial"/>
                <w:sz w:val="15"/>
                <w:szCs w:val="15"/>
              </w:rPr>
            </w:pPr>
            <w:r>
              <w:rPr>
                <w:rFonts w:ascii="Arial" w:hAnsi="Arial" w:cs="Arial"/>
                <w:sz w:val="15"/>
                <w:szCs w:val="15"/>
                <w:lang w:bidi="ar"/>
              </w:rPr>
              <w:t>2021/6/18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sz w:val="15"/>
                <w:szCs w:val="15"/>
                <w:lang w:bidi="ar"/>
              </w:rPr>
              <w:t>2</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2020/9/10</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江苏中禾建设有限公司</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售楼处桩基围护及土方分包工程合同</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鉴于发包人愿将名称为吴江盛泽项目售楼处桩基围护及土方分包工程交由分包人实施，并已接受了分包人提出为进行本工程的施工、竣工、交付并修复其中任何的缺陷，并完成档案及验收所收取的下述报酬金额。</w:t>
            </w:r>
            <w:r>
              <w:rPr>
                <w:rFonts w:ascii="Arial" w:hAnsi="Arial" w:cs="Arial"/>
                <w:sz w:val="15"/>
                <w:szCs w:val="15"/>
                <w:lang w:bidi="ar"/>
              </w:rPr>
              <w:br w:type="textWrapping"/>
            </w:r>
            <w:r>
              <w:rPr>
                <w:rFonts w:ascii="Arial" w:hAnsi="Arial" w:cs="Arial"/>
                <w:sz w:val="15"/>
                <w:szCs w:val="15"/>
                <w:lang w:bidi="ar"/>
              </w:rPr>
              <w:t>本工程包括桩基及配合桩基检测等工作内容（及基坑支护与支护沉降自监测以及配合第三方基坑沉降监测等工作内容）。包括桩基设备的进出场，桩位点放样、成孔，场内筛土夯实，提供所有机械、人工、资料整编，环刀取样自检等工作内容。（基坑支护的放线定位、喷锚施工，基坑降水、排水等工作。）</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每月支付一次。分包人每月末25日提交已完工程的中期付款申请书交发包人审批。按已完成合同金额的70%，单项工程竣工验收合格并取得专项质监验收表后支付至已完合同金额的80%，主体结构封顶后支付至已完合同金额的90%，结算完成后支付至结算总价的95%，同时分包人必须提供结算总价100%的发票，其余5%作为本工程的保证金。</w:t>
            </w: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2,270,030.36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工程施工类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2,156,528.84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113,501.52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2021/6/18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sz w:val="15"/>
                <w:szCs w:val="15"/>
                <w:lang w:bidi="ar"/>
              </w:rPr>
              <w:t>3</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2020/9/18</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南京工大建设监理咨询有限公司</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吴江盛泽项目监理工程合同</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发包人委托监理单位监理的工程(以下简称“本工程”)概况如下：工程名称:  吴江盛泽项目</w:t>
            </w:r>
            <w:r>
              <w:rPr>
                <w:rFonts w:ascii="Arial" w:hAnsi="Arial" w:cs="Arial"/>
                <w:sz w:val="15"/>
                <w:szCs w:val="15"/>
                <w:lang w:bidi="ar"/>
              </w:rPr>
              <w:br w:type="textWrapping"/>
            </w:r>
            <w:r>
              <w:rPr>
                <w:rFonts w:ascii="Arial" w:hAnsi="Arial" w:cs="Arial"/>
                <w:sz w:val="15"/>
                <w:szCs w:val="15"/>
                <w:lang w:bidi="ar"/>
              </w:rPr>
              <w:t>工程规模： 一二期总建筑面积约28.77万平方</w:t>
            </w:r>
            <w:r>
              <w:rPr>
                <w:rFonts w:ascii="Arial" w:hAnsi="Arial" w:cs="Arial"/>
                <w:sz w:val="15"/>
                <w:szCs w:val="15"/>
                <w:lang w:bidi="ar"/>
              </w:rPr>
              <w:br w:type="textWrapping"/>
            </w:r>
            <w:r>
              <w:rPr>
                <w:rFonts w:ascii="Arial" w:hAnsi="Arial" w:cs="Arial"/>
                <w:sz w:val="15"/>
                <w:szCs w:val="15"/>
                <w:lang w:bidi="ar"/>
              </w:rPr>
              <w:t>总工期 41 个月，另外增加3个月免费服务期。预计开工日期为2020年8月5日，预计竣工时间为2024年3月30日，2024年1月1日至2024年3月30日为免费服务期。具体开工日期以开工报告为准，工期以开工报告顺延，竣工日期以竣工报告为准，本合同自签署后开始实施，至工程竣工后两年保修期满结束。</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本工程合同含增值税总价4,981,841.00元，其中一期含税金额2,813,834.78元，二期含税金额2,168,006.22元，合同总价包干。</w:t>
            </w:r>
            <w:r>
              <w:rPr>
                <w:rFonts w:ascii="Arial" w:hAnsi="Arial" w:cs="Arial"/>
                <w:sz w:val="15"/>
                <w:szCs w:val="15"/>
                <w:lang w:bidi="ar"/>
              </w:rPr>
              <w:br w:type="textWrapping"/>
            </w:r>
            <w:r>
              <w:rPr>
                <w:rFonts w:ascii="Arial" w:hAnsi="Arial" w:cs="Arial"/>
                <w:sz w:val="15"/>
                <w:szCs w:val="15"/>
                <w:lang w:bidi="ar"/>
              </w:rPr>
              <w:t>按季度支付，每季度支付一次，监理单位服务周期暂按44个月计算，即为15个季度。每个季度进度款为：监理合同总价/15个季度*85%，其中每季度进度款总80%为基本费，进度款总20%为考评费。竣工验收备案通过，并提供预计结算额全额发票后，再支付15%监理费。</w:t>
            </w: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4,981,841.00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前期类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337,660.18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4,644,180.82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2021/6/18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sz w:val="15"/>
                <w:szCs w:val="15"/>
                <w:lang w:bidi="ar"/>
              </w:rPr>
              <w:t>4</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2020/10/14</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苏州正荣辉消防工程有限公司</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吴江盛泽项目售楼处及样板房消防分包工程合同</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售楼处及样板房消防分包工程</w:t>
            </w:r>
            <w:r>
              <w:rPr>
                <w:rFonts w:ascii="Arial" w:hAnsi="Arial" w:cs="Arial"/>
                <w:sz w:val="15"/>
                <w:szCs w:val="15"/>
                <w:lang w:bidi="ar"/>
              </w:rPr>
              <w:br w:type="textWrapping"/>
            </w:r>
            <w:r>
              <w:rPr>
                <w:rFonts w:ascii="Arial" w:hAnsi="Arial" w:cs="Arial"/>
                <w:sz w:val="15"/>
                <w:szCs w:val="15"/>
                <w:lang w:bidi="ar"/>
              </w:rPr>
              <w:t>本工程包括吴江盛泽项目售楼处及样板房消防分包工程（主要包含售楼处内消防工程、室外消火栓及其管道系统、图纸范围内的消防内容）。</w:t>
            </w:r>
            <w:r>
              <w:rPr>
                <w:rFonts w:ascii="Arial" w:hAnsi="Arial" w:cs="Arial"/>
                <w:sz w:val="15"/>
                <w:szCs w:val="15"/>
                <w:lang w:bidi="ar"/>
              </w:rPr>
              <w:br w:type="textWrapping"/>
            </w:r>
            <w:r>
              <w:rPr>
                <w:rFonts w:ascii="Arial" w:hAnsi="Arial" w:cs="Arial"/>
                <w:sz w:val="15"/>
                <w:szCs w:val="15"/>
                <w:lang w:bidi="ar"/>
              </w:rPr>
              <w:t xml:space="preserve"> 包括室内消火栓系统、喷淋系统、消防火灾报警及联动系统、通风及防排烟系统、防火门监控系统、消防电源监控系统、室外消火栓及其常压管道、室外消防加压管道等。</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1）中期付款：完成50%工程，支付至合同金额的40%，完成80%工程，支付至合同金额的70%。</w:t>
            </w:r>
            <w:r>
              <w:rPr>
                <w:rFonts w:ascii="Arial" w:hAnsi="Arial" w:cs="Arial"/>
                <w:sz w:val="15"/>
                <w:szCs w:val="15"/>
                <w:lang w:bidi="ar"/>
              </w:rPr>
              <w:br w:type="textWrapping"/>
            </w:r>
            <w:r>
              <w:rPr>
                <w:rFonts w:ascii="Arial" w:hAnsi="Arial" w:cs="Arial"/>
                <w:sz w:val="15"/>
                <w:szCs w:val="15"/>
                <w:lang w:bidi="ar"/>
              </w:rPr>
              <w:t>（2）完工交付，支付合同金额的90%(提交结算资料后支付至已完合同金额的90%)。</w:t>
            </w:r>
            <w:r>
              <w:rPr>
                <w:rFonts w:ascii="Arial" w:hAnsi="Arial" w:cs="Arial"/>
                <w:sz w:val="15"/>
                <w:szCs w:val="15"/>
                <w:lang w:bidi="ar"/>
              </w:rPr>
              <w:br w:type="textWrapping"/>
            </w:r>
            <w:r>
              <w:rPr>
                <w:rFonts w:ascii="Arial" w:hAnsi="Arial" w:cs="Arial"/>
                <w:sz w:val="15"/>
                <w:szCs w:val="15"/>
                <w:lang w:bidi="ar"/>
              </w:rPr>
              <w:t>（3）结算支付：结算后付至结算额的95%。</w:t>
            </w:r>
            <w:r>
              <w:rPr>
                <w:rFonts w:ascii="Arial" w:hAnsi="Arial" w:cs="Arial"/>
                <w:sz w:val="15"/>
                <w:szCs w:val="15"/>
                <w:lang w:bidi="ar"/>
              </w:rPr>
              <w:br w:type="textWrapping"/>
            </w:r>
            <w:r>
              <w:rPr>
                <w:rFonts w:ascii="Arial" w:hAnsi="Arial" w:cs="Arial"/>
                <w:sz w:val="15"/>
                <w:szCs w:val="15"/>
                <w:lang w:bidi="ar"/>
              </w:rPr>
              <w:t>（4）保修款：保修期满且无质量问题后支付结算额的5%。</w:t>
            </w: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317,263.46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工程施工类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301,400.29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15,863.17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2021/6/18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sz w:val="15"/>
                <w:szCs w:val="15"/>
                <w:lang w:bidi="ar"/>
              </w:rPr>
              <w:t>5</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2020/10/14</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苏州正荣辉消防工程有限公司</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吴江盛泽项目售楼处及样板房智能化分包工程合同</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售楼处及样板房智能化分包工程</w:t>
            </w:r>
            <w:r>
              <w:rPr>
                <w:rFonts w:ascii="Arial" w:hAnsi="Arial" w:cs="Arial"/>
                <w:sz w:val="15"/>
                <w:szCs w:val="15"/>
                <w:lang w:bidi="ar"/>
              </w:rPr>
              <w:br w:type="textWrapping"/>
            </w:r>
            <w:r>
              <w:rPr>
                <w:rFonts w:ascii="Arial" w:hAnsi="Arial" w:cs="Arial"/>
                <w:sz w:val="15"/>
                <w:szCs w:val="15"/>
                <w:lang w:bidi="ar"/>
              </w:rPr>
              <w:t>本范围内的所有建筑物的安防系统、计算机网络系统、综合布线系统、背景音乐系统、综合布线系统、机房系统，供应、安装、试验、冲洗、调试、开通等所有相关工作。</w:t>
            </w:r>
            <w:r>
              <w:rPr>
                <w:rFonts w:ascii="Arial" w:hAnsi="Arial" w:cs="Arial"/>
                <w:sz w:val="15"/>
                <w:szCs w:val="15"/>
                <w:lang w:bidi="ar"/>
              </w:rPr>
              <w:br w:type="textWrapping"/>
            </w:r>
            <w:r>
              <w:rPr>
                <w:rFonts w:ascii="Arial" w:hAnsi="Arial" w:cs="Arial"/>
                <w:sz w:val="15"/>
                <w:szCs w:val="15"/>
                <w:lang w:bidi="ar"/>
              </w:rPr>
              <w:t>本工程质量保修期为  两年</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（1）中期付款：完成50%工程，支付至合同金额的40%，完成80%工程，支付至合同金额的70%（2）完工交付，支付合同金额的90%(提交结算资料后支付至已完合同金额的90%)。</w:t>
            </w:r>
            <w:r>
              <w:rPr>
                <w:rFonts w:ascii="Arial" w:hAnsi="Arial" w:cs="Arial"/>
                <w:sz w:val="15"/>
                <w:szCs w:val="15"/>
                <w:lang w:bidi="ar"/>
              </w:rPr>
              <w:br w:type="textWrapping"/>
            </w:r>
            <w:r>
              <w:rPr>
                <w:rFonts w:ascii="Arial" w:hAnsi="Arial" w:cs="Arial"/>
                <w:sz w:val="15"/>
                <w:szCs w:val="15"/>
                <w:lang w:bidi="ar"/>
              </w:rPr>
              <w:t>（3）结算支付：结算后付至结算额的95%。</w:t>
            </w:r>
            <w:r>
              <w:rPr>
                <w:rFonts w:ascii="Arial" w:hAnsi="Arial" w:cs="Arial"/>
                <w:sz w:val="15"/>
                <w:szCs w:val="15"/>
                <w:lang w:bidi="ar"/>
              </w:rPr>
              <w:br w:type="textWrapping"/>
            </w:r>
            <w:r>
              <w:rPr>
                <w:rFonts w:ascii="Arial" w:hAnsi="Arial" w:cs="Arial"/>
                <w:sz w:val="15"/>
                <w:szCs w:val="15"/>
                <w:lang w:bidi="ar"/>
              </w:rPr>
              <w:t>（4）保修款：保修期满且无质量问题后支付结算额的5%。</w:t>
            </w: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232,697.67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工程施工类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221,062.79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11,634.88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2021/6/18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sz w:val="15"/>
                <w:szCs w:val="15"/>
                <w:lang w:bidi="ar"/>
              </w:rPr>
              <w:t>6</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2020/10/26</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苏州红星品唯物业管</w:t>
            </w:r>
            <w:r>
              <w:rPr>
                <w:rFonts w:ascii="Arial" w:hAnsi="Arial" w:cs="Arial"/>
                <w:sz w:val="15"/>
                <w:szCs w:val="15"/>
                <w:lang w:bidi="ar"/>
              </w:rPr>
              <w:br w:type="textWrapping"/>
            </w:r>
            <w:r>
              <w:rPr>
                <w:rFonts w:ascii="Arial" w:hAnsi="Arial" w:cs="Arial"/>
                <w:sz w:val="15"/>
                <w:szCs w:val="15"/>
                <w:lang w:bidi="ar"/>
              </w:rPr>
              <w:t>理有限公司吴江分公司</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苏州盛泽2020年示范区物业服务协议</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乙方接受甲方委托，就苏州盛泽天铂示范区的物业服务事宜与甲方协商一致，</w:t>
            </w:r>
            <w:r>
              <w:rPr>
                <w:rFonts w:ascii="Arial" w:hAnsi="Arial" w:cs="Arial"/>
                <w:sz w:val="15"/>
                <w:szCs w:val="15"/>
                <w:lang w:bidi="ar"/>
              </w:rPr>
              <w:br w:type="textWrapping"/>
            </w:r>
            <w:r>
              <w:rPr>
                <w:rFonts w:ascii="Arial" w:hAnsi="Arial" w:cs="Arial"/>
                <w:sz w:val="15"/>
                <w:szCs w:val="15"/>
                <w:lang w:bidi="ar"/>
              </w:rPr>
              <w:t>委托服务事项</w:t>
            </w:r>
            <w:r>
              <w:rPr>
                <w:rFonts w:ascii="Arial" w:hAnsi="Arial" w:cs="Arial"/>
                <w:sz w:val="15"/>
                <w:szCs w:val="15"/>
                <w:lang w:bidi="ar"/>
              </w:rPr>
              <w:br w:type="textWrapping"/>
            </w:r>
            <w:r>
              <w:rPr>
                <w:rFonts w:ascii="Arial" w:hAnsi="Arial" w:cs="Arial"/>
                <w:sz w:val="15"/>
                <w:szCs w:val="15"/>
                <w:lang w:bidi="ar"/>
              </w:rPr>
              <w:t>1、 提供示范区客户接待服务、秩序维护服务、消防及安全巡视服务、保洁服务等。具体服务内容详见《示范区物业服务管理方案》。</w:t>
            </w:r>
            <w:r>
              <w:rPr>
                <w:rFonts w:ascii="Arial" w:hAnsi="Arial" w:cs="Arial"/>
                <w:sz w:val="15"/>
                <w:szCs w:val="15"/>
                <w:lang w:bidi="ar"/>
              </w:rPr>
              <w:br w:type="textWrapping"/>
            </w:r>
            <w:r>
              <w:rPr>
                <w:rFonts w:ascii="Arial" w:hAnsi="Arial" w:cs="Arial"/>
                <w:sz w:val="15"/>
                <w:szCs w:val="15"/>
                <w:lang w:bidi="ar"/>
              </w:rPr>
              <w:t>2、支持甲方营销的其他服务项目，如集中销售的人员支持、零星开盘/展会/营销推广活动的额外人员（除示范区日常服务人员外）支持。</w:t>
            </w:r>
            <w:r>
              <w:rPr>
                <w:rFonts w:ascii="Arial" w:hAnsi="Arial" w:cs="Arial"/>
                <w:sz w:val="15"/>
                <w:szCs w:val="15"/>
                <w:lang w:bidi="ar"/>
              </w:rPr>
              <w:br w:type="textWrapping"/>
            </w:r>
            <w:r>
              <w:rPr>
                <w:rFonts w:ascii="Arial" w:hAnsi="Arial" w:cs="Arial"/>
                <w:sz w:val="15"/>
                <w:szCs w:val="15"/>
                <w:lang w:bidi="ar"/>
              </w:rPr>
              <w:t>本协议期限自2020年11月1日起至2021年10月30日止。</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示范区物业人员服务费，每月 277067.52 元，年度总费用合计：3324810.20 元</w:t>
            </w:r>
            <w:r>
              <w:rPr>
                <w:rFonts w:ascii="Arial" w:hAnsi="Arial" w:cs="Arial"/>
                <w:sz w:val="15"/>
                <w:szCs w:val="15"/>
                <w:lang w:bidi="ar"/>
              </w:rPr>
              <w:br w:type="textWrapping"/>
            </w:r>
            <w:r>
              <w:rPr>
                <w:rFonts w:ascii="Arial" w:hAnsi="Arial" w:cs="Arial"/>
                <w:sz w:val="15"/>
                <w:szCs w:val="15"/>
                <w:lang w:bidi="ar"/>
              </w:rPr>
              <w:t>示范区物业人员服务费按预算服务费包含内容据实结算，每月 1 日乙方编制本月《物业服务人员月度配置及费用确认单》（附件三）、《增加/减少物业服务人员工作确认单》（附件四），并与上月的《临时用工工作确认单》（附件五）及其他费用的凭证一并交给甲方，甲方在收到相关材料 3 日内与乙方确认，双方确认后乙方提供相应的物业服务费用发票给甲方，甲方于收到发票后 3 个工作日内确认并一次性支付给乙方。</w:t>
            </w: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3,324,810.20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营销类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1,379,728.78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1,945,081.42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2021/6/21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sz w:val="15"/>
                <w:szCs w:val="15"/>
                <w:lang w:bidi="ar"/>
              </w:rPr>
              <w:t>7</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2020/11/23</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苏州市天佳办公设备有限公司</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复印机租赁合同</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盛泽项目营销租赁打印机一台，租赁期间：2020年11月25日-2023年11月24日   租金：980元/台/月   免费印数：每月黑白 10000 印/台（A4），彩色 200 印/台（A4），超过部分按单价为黑白 0.08 元/印（A4），彩色 0.8 元/印（A4）加收成本费。实际使用印数以计数器为准，A4=1 印，A3=2 印，双面=2 印，纸张的费用由甲方承担。</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乙方 2、5、8、11 月份 开具基本租金和超印费发票给甲方，甲方在收到发票后一个月以内以现金或支票或转账等其他支付方式向乙方付款。如甲方未按本合同的约定期限支付款项，从逾期的第十天起计算违约金，每逾期一日，应向乙方支付当期未付款的千分之二的违约金</w:t>
            </w: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35,280.00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行政人事类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2,940.00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32,340.00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2021/6/11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sz w:val="15"/>
                <w:szCs w:val="15"/>
                <w:lang w:bidi="ar"/>
              </w:rPr>
              <w:t>8</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2020/11/23</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苏州市天佳办公设备有限公司</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复印机租赁合同</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盛泽项目营销租赁打印机一台，租赁期间：2020年11月25日-2023年11月24日   租金：850元/台/月   免费印数：每月黑白 10000 印/台（A4），彩色 0 印/台（A4），超过部分按单价为黑白 0.08 元/印（A4），彩色 0.8 元/印（A4）加收成本费。实际使用印数以计数器为准，A4=1 印，A3=2 印，双面=2 印，纸张的费用由甲方承担。</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乙方 2、5、8、11 月份 开具基本租金和超印费发票给甲方，甲方在收到发票后一个月以内以现金或支票或转账等其他支付方式向乙方付款。如甲方未按本合同的约定期限支付款项，从逾期的第十天起计算违约金，每逾期一日，应向乙方支付当期未付款的千分之二的违约金</w:t>
            </w: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30,600.00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行政人事类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9,502.40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21,097.60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2021/6/11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sz w:val="15"/>
                <w:szCs w:val="15"/>
                <w:lang w:bidi="ar"/>
              </w:rPr>
              <w:t>9</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2020/11/18</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吴江港华燃气有限公司</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民用燃气工程安装协议</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甲方位于苏州市吴江区盛泽镇绸都大道西侧的舜湖和风雅苑住宅小区房产开发与建设将于2020年12月1日开工，预计2023年6月30日竣工，建房将改燃气工程交由乙方承建。燃气工程的设计、施工及测试有乙方承担。本协议范围：1-11幢（1幢为社区物业用房）小区总户数764户，本次签订764户，按照吴发改价[2020]7号文件的规定，乙方按照2200元/户预收。协议编号：WJ-XS-G-2011173(S)</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1、本协议签订后五个工作日内，向乙方支付安装费的30%</w:t>
            </w:r>
            <w:r>
              <w:rPr>
                <w:rFonts w:ascii="Arial" w:hAnsi="Arial" w:cs="Arial"/>
                <w:sz w:val="15"/>
                <w:szCs w:val="15"/>
                <w:lang w:bidi="ar"/>
              </w:rPr>
              <w:br w:type="textWrapping"/>
            </w:r>
            <w:r>
              <w:rPr>
                <w:rFonts w:ascii="Arial" w:hAnsi="Arial" w:cs="Arial"/>
                <w:sz w:val="15"/>
                <w:szCs w:val="15"/>
                <w:lang w:bidi="ar"/>
              </w:rPr>
              <w:t>工程施工进场前二十个工作日，甲方向乙方支付安装费的60%</w:t>
            </w:r>
            <w:r>
              <w:rPr>
                <w:rFonts w:ascii="Arial" w:hAnsi="Arial" w:cs="Arial"/>
                <w:sz w:val="15"/>
                <w:szCs w:val="15"/>
                <w:lang w:bidi="ar"/>
              </w:rPr>
              <w:br w:type="textWrapping"/>
            </w:r>
            <w:r>
              <w:rPr>
                <w:rFonts w:ascii="Arial" w:hAnsi="Arial" w:cs="Arial"/>
                <w:sz w:val="15"/>
                <w:szCs w:val="15"/>
                <w:lang w:bidi="ar"/>
              </w:rPr>
              <w:t>其余安装费在燃气管道竣工验收合格后十个工作日内全部付清。</w:t>
            </w: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1,680,800.00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工程施工类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1,512,720.00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168,080.00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2021/6/18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sz w:val="15"/>
                <w:szCs w:val="15"/>
                <w:lang w:bidi="ar"/>
              </w:rPr>
              <w:t>10</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2020/11/27</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苏州市天佳办公设备有限公司</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复印机租赁合同</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晋合办公室租赁打印机一台，租赁期间：2020年8月1日-2023年7月31日   租金：650元/台/月   免费印数：每月黑白6000 印/台（A4），彩色 200 印/台（A4），超过部分按单价为黑白 0.08 元/印（A4），彩色 0.8 元/印（A4）加收成本费。实际使用印数以计数器为准，A4=1 印，A3=2 印，双面=2 印，纸张的费用由甲方承担。</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甲乙双方确认本合同租赁费用按【季度】支付，乙方应于每服务季度结束后的 10 日内向甲方提供该季度的基本租金和超印费总费用数额供甲方进行确认，甲方无异议的，乙方应按甲方确认无误的总费用金额向甲方提供等额、合法、有效的增值税专用发票，甲方在收到发票后一个月以内以转账方式向乙方付款。</w:t>
            </w: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23,400.00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行政人事类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5,517.60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17,882.40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2021/6/11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sz w:val="15"/>
                <w:szCs w:val="15"/>
                <w:lang w:bidi="ar"/>
              </w:rPr>
              <w:t>11</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2020/12/31</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苏州工业园区多宝阁百货商行</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盛泽项目成交礼采购合同</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根据《中华人民共和国合同法》的有关规定，甲、乙双方经友好协商，就采购事宜，为明确双方权利义务，达成如下协议，供双方共同遵守。保温杯800个、三折自动雨伞1000把、打火机2000个、小米水壶100个、美的烤箱100个、鼠标垫200个、车牌罩100个等</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甲方自货物验收合格并收到乙方发票之日起20日内支付100%的货款</w:t>
            </w: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91,150.00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营销类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39,500.00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sz w:val="15"/>
                <w:szCs w:val="15"/>
                <w:lang w:bidi="ar"/>
              </w:rPr>
              <w:t xml:space="preserve">51,650.00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sz w:val="15"/>
                <w:szCs w:val="15"/>
                <w:lang w:bidi="ar"/>
              </w:rPr>
              <w:t>2021/6/18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12</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2021/1/4</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苏州柯利达装饰股份有限公司</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吴江高新区（盛泽镇）绸都大道西侧2号地块北区住宅公区及架空层室内设计合同</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甲方委托乙方为本项目住宅公共区域室内装修设计公司，负责本项目室内装修设计服务工作，具体设计内容按甲方提供的加盖公章确认的《室内装修设计任务书》执行（以下简称“《任务书》”详见附件一）。服务内容包括但不限于本项目的概念方案设计、深化方案设计、施工图设计及施工配合。乙方按照合同条款、《任务书》开展工作，并对本项目其他设计方的合理要求进行配合。</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合同生效后次月支付总价款的20%97000元</w:t>
            </w:r>
            <w:r>
              <w:rPr>
                <w:rFonts w:ascii="Arial" w:hAnsi="Arial" w:cs="Arial"/>
                <w:color w:val="000000"/>
                <w:sz w:val="15"/>
                <w:szCs w:val="15"/>
                <w:lang w:bidi="ar"/>
              </w:rPr>
              <w:br w:type="textWrapping"/>
            </w:r>
            <w:r>
              <w:rPr>
                <w:rFonts w:ascii="Arial" w:hAnsi="Arial" w:cs="Arial"/>
                <w:color w:val="000000"/>
                <w:sz w:val="15"/>
                <w:szCs w:val="15"/>
                <w:lang w:bidi="ar"/>
              </w:rPr>
              <w:t>深化方案确认后次月支付总价款的30%145500元；施工图审图合格后次月支付总价款的45%218250元；在建工程施工全部完成后次月支付5%24250元</w:t>
            </w: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485,000.00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工程设计类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242,500.00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242,500.00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2021/6/18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13</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2021/1/4</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苏州柯利达装饰股份有限公司</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吴江高新区（盛泽镇）绸都大道西侧2号地块北区住宅批量户型精装设计合同</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甲方委托乙方为本项目目批量户型室内装修设计公司，负责本项目室内装修设计服务工作，具体设计内容按甲方提供的加盖公章确认的《室内装修设计任务书》执行（以下简称“《任务书》”详见附件一）。服务内容包括但不限于本项目的概念方案设计、深化方案设计、施工图设计及施工配合。乙方按照合同条款、《任务书》开展工作，并对本项目其他设计方的合理要求进行配合。</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合同生效后次月支付总价款的20%80400元</w:t>
            </w:r>
            <w:r>
              <w:rPr>
                <w:rFonts w:ascii="Arial" w:hAnsi="Arial" w:cs="Arial"/>
                <w:color w:val="000000"/>
                <w:sz w:val="15"/>
                <w:szCs w:val="15"/>
                <w:lang w:bidi="ar"/>
              </w:rPr>
              <w:br w:type="textWrapping"/>
            </w:r>
            <w:r>
              <w:rPr>
                <w:rFonts w:ascii="Arial" w:hAnsi="Arial" w:cs="Arial"/>
                <w:color w:val="000000"/>
                <w:sz w:val="15"/>
                <w:szCs w:val="15"/>
                <w:lang w:bidi="ar"/>
              </w:rPr>
              <w:t>深化方案确认后次月支付总价款的30%120600元；施工图审图合格后次月支付总价款的45%180900元；在建工程施工全部完成后次月支付5%20100元</w:t>
            </w: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402,000.00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工程设计类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201,000.00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201,000.00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2021/6/18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14</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2021/1/4</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江苏楼事数字传媒有限公司</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盛泽项目苏州楼事网络投放合同</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根据《中华人民共和国合同法》及有关法律法规，遵循平等、自愿、公平及诚实信用的原则，甲乙双方经友好协商，就甲方委托乙方进行 红星盛泽 项目《楼事网络》平台推广事宜达成一致，订立本合同，以资共同遵守执行。</w:t>
            </w:r>
            <w:r>
              <w:rPr>
                <w:rFonts w:ascii="Arial" w:hAnsi="Arial" w:cs="Arial"/>
                <w:color w:val="000000"/>
                <w:sz w:val="15"/>
                <w:szCs w:val="15"/>
                <w:lang w:bidi="ar"/>
              </w:rPr>
              <w:br w:type="textWrapping"/>
            </w:r>
            <w:r>
              <w:rPr>
                <w:rFonts w:ascii="Arial" w:hAnsi="Arial" w:cs="Arial"/>
                <w:color w:val="000000"/>
                <w:sz w:val="15"/>
                <w:szCs w:val="15"/>
                <w:lang w:bidi="ar"/>
              </w:rPr>
              <w:t>第一条 物料制作安装要求</w:t>
            </w:r>
            <w:r>
              <w:rPr>
                <w:rFonts w:ascii="Arial" w:hAnsi="Arial" w:cs="Arial"/>
                <w:color w:val="000000"/>
                <w:sz w:val="15"/>
                <w:szCs w:val="15"/>
                <w:lang w:bidi="ar"/>
              </w:rPr>
              <w:br w:type="textWrapping"/>
            </w:r>
            <w:r>
              <w:rPr>
                <w:rFonts w:ascii="Arial" w:hAnsi="Arial" w:cs="Arial"/>
                <w:color w:val="000000"/>
                <w:sz w:val="15"/>
                <w:szCs w:val="15"/>
                <w:lang w:bidi="ar"/>
              </w:rPr>
              <w:t>1.甲方委托乙方为 红星盛泽  项目（简称“项目”或“本项目”）进行项目推广，由乙方根据甲方具体要求执行。</w:t>
            </w:r>
            <w:r>
              <w:rPr>
                <w:rFonts w:ascii="Arial" w:hAnsi="Arial" w:cs="Arial"/>
                <w:color w:val="000000"/>
                <w:sz w:val="15"/>
                <w:szCs w:val="15"/>
                <w:lang w:bidi="ar"/>
              </w:rPr>
              <w:br w:type="textWrapping"/>
            </w:r>
            <w:r>
              <w:rPr>
                <w:rFonts w:ascii="Arial" w:hAnsi="Arial" w:cs="Arial"/>
                <w:color w:val="000000"/>
                <w:sz w:val="15"/>
                <w:szCs w:val="15"/>
                <w:lang w:bidi="ar"/>
              </w:rPr>
              <w:t>第二条 期限 本协议期限为自2020年12月31日起至2021年2月28日，乙方应在本期限内完成项目推广并经甲方验收合格。</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乙方在每次发布完毕并经甲方验收合格后15日内向甲方申请付款，甲方在乙方提交齐全的付款资料并审核确认后30日内一次性支付至当次结算价的 100 %</w:t>
            </w: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98,000.00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营销类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98,000.00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0.00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2021/6/21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15</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2021/3/11</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吴婕</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房屋租赁合同</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租赁苏州工业园区方洲路519号9幢503室的房屋作为崔总宿舍，租期为2021年4月1日至2022年3月31日，季付租金4500元，年租金为54000元。每季度租金于每季度开始后一周内付款。押金4500元。</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季付租金4500元，年租金为54000元。每季度租金于每季度开始后一周内付款。押金4500元。</w:t>
            </w: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58,500.00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行政人事类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31,500.00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27,000.00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2021/6/18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16</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2021/4/23</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吴江市吴城房地产咨询有限公司</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盛泽项目1#地块临时占地放样合同</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甲方将位于盛泽的临时用地境界线测绘工作委托给乙方，乙方同意接受委托。</w:t>
            </w:r>
            <w:r>
              <w:rPr>
                <w:rFonts w:ascii="Arial" w:hAnsi="Arial" w:cs="Arial"/>
                <w:color w:val="000000"/>
                <w:sz w:val="15"/>
                <w:szCs w:val="15"/>
                <w:lang w:bidi="ar"/>
              </w:rPr>
              <w:br w:type="textWrapping"/>
            </w:r>
            <w:r>
              <w:rPr>
                <w:rFonts w:ascii="Arial" w:hAnsi="Arial" w:cs="Arial"/>
                <w:color w:val="000000"/>
                <w:sz w:val="15"/>
                <w:szCs w:val="15"/>
                <w:lang w:bidi="ar"/>
              </w:rPr>
              <w:t>临时用地境界线测绘按照648元/点收取，按一宗地4个点收取</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出具测绘报告后十五个工作日内，一次性付清</w:t>
            </w: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2,592.00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前期类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2,592.00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0.00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2021/6/24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17</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2021/4/28</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吴江市建设房产测量有限公司</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盛泽项目1#地块房产面积测绘合同</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根据《中华人民共和国合同法》、《中华人民共和国测绘法》及其他有关法律法规经双方协商一致签订本合同。</w:t>
            </w:r>
            <w:r>
              <w:rPr>
                <w:rFonts w:ascii="Arial" w:hAnsi="Arial" w:cs="Arial"/>
                <w:color w:val="000000"/>
                <w:sz w:val="15"/>
                <w:szCs w:val="15"/>
                <w:lang w:bidi="ar"/>
              </w:rPr>
              <w:br w:type="textWrapping"/>
            </w:r>
            <w:r>
              <w:rPr>
                <w:rFonts w:ascii="Arial" w:hAnsi="Arial" w:cs="Arial"/>
                <w:color w:val="000000"/>
                <w:sz w:val="15"/>
                <w:szCs w:val="15"/>
                <w:lang w:bidi="ar"/>
              </w:rPr>
              <w:t>第一条 测绘范围及内容:甲方将位于 吴江区盛泽镇绸都大道西侧1#地块的建筑面积约139278.52平方米预测及竣工测绘工作委托给乙方，乙方同意接受委托。</w:t>
            </w:r>
            <w:r>
              <w:rPr>
                <w:rFonts w:ascii="Arial" w:hAnsi="Arial" w:cs="Arial"/>
                <w:color w:val="000000"/>
                <w:sz w:val="15"/>
                <w:szCs w:val="15"/>
                <w:lang w:bidi="ar"/>
              </w:rPr>
              <w:br w:type="textWrapping"/>
            </w:r>
            <w:r>
              <w:rPr>
                <w:rFonts w:ascii="Arial" w:hAnsi="Arial" w:cs="Arial"/>
                <w:color w:val="000000"/>
                <w:sz w:val="15"/>
                <w:szCs w:val="15"/>
                <w:lang w:bidi="ar"/>
              </w:rPr>
              <w:t>第二条 该项目名称为盛泽镇绸都大道西侧 1#地块（舜湖和风雅苑北区）</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甲方于乙方交付预测备案成果报告书并经甲方确认合格后一个月内一次性付清预测费用。</w:t>
            </w: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41,961.76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前期类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41,961.76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0.00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2021/6/24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46"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18</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2021/4/7</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苏州柯利达装饰股份有限公司</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吴江高新区（盛泽镇）绸都大道西侧1号地块住宅大货批量户型精装设计合同</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甲方委托乙方为本项目</w:t>
            </w:r>
            <w:r>
              <w:rPr>
                <w:rFonts w:ascii="Arial" w:hAnsi="Arial" w:cs="Arial"/>
                <w:color w:val="000000"/>
                <w:sz w:val="15"/>
                <w:szCs w:val="15"/>
                <w:u w:val="single"/>
                <w:lang w:bidi="ar"/>
              </w:rPr>
              <w:t>批量户型</w:t>
            </w:r>
            <w:r>
              <w:rPr>
                <w:rFonts w:ascii="Arial" w:hAnsi="Arial" w:cs="Arial"/>
                <w:color w:val="000000"/>
                <w:sz w:val="15"/>
                <w:szCs w:val="15"/>
                <w:lang w:bidi="ar"/>
              </w:rPr>
              <w:t>室内装修设计公司，负责本项目室内装修设计服务工作，具体设计内容按甲方提供的加盖公章确认的《室内装修设计任务书》执行（以下简称“《任务书》”详见附件一）。服务内容包括但不限于本项目的概念方案设计、深化方案设计、施工图设计及施工配合。乙方按照合同条款、《任务书》开展工作，并对本项目其他设计方的合理要求进行配合。</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合同生效后次月支付总价款20%，即63200元；深化方案确认后次月支付30%，即94800.00元；施工图审图合格后次月支付45%，即142200.00元；在建工程施工全部完成后次月支付5%，即15800.00元。</w:t>
            </w: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316,000.00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工程设计类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63,200.00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252,800.00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2021/6/18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19</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2021/4/7</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苏州柯利达装饰股份有限公司</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吴江高新区（盛泽镇）绸都大道西侧1号地块住宅公区及架空层精装设计合同</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br w:type="textWrapping"/>
            </w:r>
            <w:r>
              <w:rPr>
                <w:rFonts w:ascii="Arial" w:hAnsi="Arial" w:cs="Arial"/>
                <w:color w:val="000000"/>
                <w:sz w:val="15"/>
                <w:szCs w:val="15"/>
                <w:lang w:bidi="ar"/>
              </w:rPr>
              <w:t>甲方委托乙方为本项目住宅公共区域室内装修设计公司，负责本项目室内装修设计服务工作，具体设计内容按甲方提供的加盖公章确认的《室内装修设计任务书》执行（以下简称“《任务书》”详见附件一）。服务内容包括但不限于本项目的概念方案设计、深化方案设计、施工图设计及施工配合。乙方按照合同条款、《任务书》开展工作，并对本项目其他设计方的合理要求进行配合。</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合同生效后次月支付总价款20%，即77200.00元；深化方案确认后次月支付30%，即115800.00元；施工图审图合格后次月支付45%，即173700.00元；在建工程施工全部完成后次月支付5%，即19300.00元。</w:t>
            </w: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386,000.00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工程设计类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77,200.00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308,800.00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2021/6/18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2021/3/31</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苏州市吴江区盛泽镇人福村村民委员会</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临时占地协议</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临时使用盛泽镇人福村，面积为16107.08平米，使用年限为2两年，支付临时用地补偿费144964元（按3000元/亩）。</w:t>
            </w:r>
          </w:p>
        </w:tc>
        <w:tc>
          <w:tcPr>
            <w:tcW w:w="3260" w:type="dxa"/>
            <w:shd w:val="clear" w:color="auto" w:fill="auto"/>
            <w:vAlign w:val="center"/>
          </w:tcPr>
          <w:p>
            <w:pPr>
              <w:jc w:val="center"/>
              <w:rPr>
                <w:rFonts w:ascii="Arial" w:hAnsi="Arial" w:cs="Arial"/>
                <w:sz w:val="15"/>
                <w:szCs w:val="15"/>
                <w:lang w:bidi="ar"/>
              </w:rPr>
            </w:pP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144,964.00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工程施工类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144,964.00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0.00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21</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2021/3/31</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苏州市吴江区盛泽镇人福村村民委员会</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临时占地协议</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临时使用盛泽镇人福村，面积为1345平米，使用年限为2两年，支付临时用地补偿费12105元（按3000元/亩）。</w:t>
            </w:r>
          </w:p>
        </w:tc>
        <w:tc>
          <w:tcPr>
            <w:tcW w:w="3260" w:type="dxa"/>
            <w:shd w:val="clear" w:color="auto" w:fill="auto"/>
            <w:vAlign w:val="center"/>
          </w:tcPr>
          <w:p>
            <w:pPr>
              <w:jc w:val="center"/>
              <w:rPr>
                <w:rFonts w:ascii="Arial" w:hAnsi="Arial" w:cs="Arial"/>
                <w:sz w:val="15"/>
                <w:szCs w:val="15"/>
                <w:lang w:bidi="ar"/>
              </w:rPr>
            </w:pP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12,105.00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工程施工类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12,105.00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0.00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22</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2021/3/31</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苏州市吴江区盛泽镇人民政府</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临时用地复垦协议书</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乙方为了吴江高新区（盛泽镇）稠都大道西侧1#地块住宅项目临时工棚的需要，临时使用盛泽镇人民政府集体（国有）土地，经甲、乙双方同意协议如下：一、临时用地位于盛泽镇人福村。面积为17452.08平方米折26.18亩。二、使用年限为二年，自国土部门批复同意之日起算。三、以上临时用地，乙方承诺不建盖其他永久性建筑。使用期间内，遇国家建设、公益事业需要，无偿拆除。四、临时用地乙方需向甲方交纳复垦保证金872604元（按50元/平方米标准收取）。五、临时使用土地期满后，如继续使用，需重新申请审批，交纳临时用地费，如不在使用，乙方无条件拆除地面附着物，并主动复垦，经甲方验收达到耕作条件，返还复垦保证金。</w:t>
            </w:r>
          </w:p>
        </w:tc>
        <w:tc>
          <w:tcPr>
            <w:tcW w:w="3260" w:type="dxa"/>
            <w:shd w:val="clear" w:color="auto" w:fill="auto"/>
            <w:vAlign w:val="center"/>
          </w:tcPr>
          <w:p>
            <w:pPr>
              <w:jc w:val="center"/>
              <w:rPr>
                <w:rFonts w:ascii="Arial" w:hAnsi="Arial" w:cs="Arial"/>
                <w:sz w:val="15"/>
                <w:szCs w:val="15"/>
                <w:lang w:bidi="ar"/>
              </w:rPr>
            </w:pP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872,604.00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工程施工类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872,604.00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0.00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23</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2021/5/14</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江苏中禾建设集团有限公司</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吴江盛泽项目二期桩基和基坑围护分包工程合同</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鉴于发包人愿将名称为吴江盛泽项目二期桩基和基坑围护分包工程交由分包人实施，并已接受了分包人提出为进行本工程的施工、竣工、交付并修复其中任何的缺陷，并完成档案及验收所收取的下述报酬金额。</w:t>
            </w:r>
            <w:r>
              <w:rPr>
                <w:rFonts w:ascii="Arial" w:hAnsi="Arial" w:cs="Arial"/>
                <w:color w:val="000000"/>
                <w:sz w:val="15"/>
                <w:szCs w:val="15"/>
                <w:lang w:bidi="ar"/>
              </w:rPr>
              <w:br w:type="textWrapping"/>
            </w:r>
            <w:r>
              <w:rPr>
                <w:rFonts w:ascii="Arial" w:hAnsi="Arial" w:cs="Arial"/>
                <w:color w:val="000000"/>
                <w:sz w:val="15"/>
                <w:szCs w:val="15"/>
                <w:lang w:bidi="ar"/>
              </w:rPr>
              <w:t>又鉴于分包人同意按照下文约定的合同文件的要求履行其合同责任和义务，并保证以诚信、敬业和积极的态度与发包人及本工程渉及的任何其他人员保持充分有效的合作，进而保证本工程的圆满竣工。</w:t>
            </w:r>
            <w:r>
              <w:rPr>
                <w:rFonts w:ascii="Arial" w:hAnsi="Arial" w:cs="Arial"/>
                <w:color w:val="000000"/>
                <w:sz w:val="15"/>
                <w:szCs w:val="15"/>
                <w:lang w:bidi="ar"/>
              </w:rPr>
              <w:br w:type="textWrapping"/>
            </w:r>
            <w:r>
              <w:rPr>
                <w:rFonts w:ascii="Arial" w:hAnsi="Arial" w:cs="Arial"/>
                <w:color w:val="000000"/>
                <w:sz w:val="15"/>
                <w:szCs w:val="15"/>
                <w:lang w:bidi="ar"/>
              </w:rPr>
              <w:t>兹订立协议如下：(2)本工程包括二期桩基、基坑支护、施工用水用电费用（发包人仅提供临时水、电至接驳点）、配合桩基检测等工作内容。包括桩基设备的进出场，桩位点放样、成孔，场内筛土夯实，提供所有机械、人工、资料整编，环刀取样自检等工作内容。现场需配置不少于6台桩机（静压桩或锤击桩），双轴搅拌桩机不少于4台，分包人需根据工期要求配置施工机械，如不满足进度要求，分包人需无条件增加施工机械，不增加费用。如桩机实际进场数量少于要求数量，进出场台班费相应扣减。</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(1)本工程无预付款。b.按周期付款：每月支付一次。分包人每月末25日提交已完工程的中期付款申请书交发包人审批。</w:t>
            </w: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39,880,080.02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工程施工类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11,634,460.39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39,880,080.02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2021/6/18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0"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24</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2021/5/21</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苏州顺驰文化传媒有限公司</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环沪公司盛泽项目2021年5月业</w:t>
            </w:r>
            <w:r>
              <w:rPr>
                <w:rFonts w:ascii="Arial" w:hAnsi="Arial" w:cs="Arial"/>
                <w:color w:val="000000"/>
                <w:sz w:val="15"/>
                <w:szCs w:val="15"/>
                <w:lang w:bidi="ar"/>
              </w:rPr>
              <w:br w:type="textWrapping"/>
            </w:r>
            <w:r>
              <w:rPr>
                <w:rFonts w:ascii="Arial" w:hAnsi="Arial" w:cs="Arial"/>
                <w:color w:val="000000"/>
                <w:sz w:val="15"/>
                <w:szCs w:val="15"/>
                <w:lang w:bidi="ar"/>
              </w:rPr>
              <w:t>主生日会合同</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甲方与乙方就红星天铂盛泽项目业主生日会活动（5月）合同事宜进行合作，由乙方负责红星天铂盛泽项目业主生日会活动（5月）策划、执行。甲乙双方在平等基础上经友好协商，达成以下协议：乙方负责策划并执行红星天铂盛泽项目业主生日会活动（5月）活动地点：盛泽项目售楼处.活动服务内容：</w:t>
            </w:r>
            <w:r>
              <w:rPr>
                <w:rFonts w:ascii="Arial" w:hAnsi="Arial" w:cs="Arial"/>
                <w:color w:val="000000"/>
                <w:sz w:val="15"/>
                <w:szCs w:val="15"/>
                <w:lang w:bidi="ar"/>
              </w:rPr>
              <w:br w:type="textWrapping"/>
            </w:r>
            <w:r>
              <w:rPr>
                <w:rFonts w:ascii="Arial" w:hAnsi="Arial" w:cs="Arial"/>
                <w:color w:val="000000"/>
                <w:sz w:val="15"/>
                <w:szCs w:val="15"/>
                <w:lang w:bidi="ar"/>
              </w:rPr>
              <w:t>（1）乙方负责为主题活动的内容、活动安排等进行策划；</w:t>
            </w:r>
            <w:r>
              <w:rPr>
                <w:rFonts w:ascii="Arial" w:hAnsi="Arial" w:cs="Arial"/>
                <w:color w:val="000000"/>
                <w:sz w:val="15"/>
                <w:szCs w:val="15"/>
                <w:lang w:bidi="ar"/>
              </w:rPr>
              <w:br w:type="textWrapping"/>
            </w:r>
            <w:r>
              <w:rPr>
                <w:rFonts w:ascii="Arial" w:hAnsi="Arial" w:cs="Arial"/>
                <w:color w:val="000000"/>
                <w:sz w:val="15"/>
                <w:szCs w:val="15"/>
                <w:lang w:bidi="ar"/>
              </w:rPr>
              <w:t>（2）乙方负责为甲方布置活动场地，并组织现场活动。</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甲方在活动验收合格且收到乙方等额有效增值税专用发票后30日内支付总费用。乙方迟延提供或未提供发票的，甲方有权暂缓支付相应款项且不视为甲方违约，乙方仍应按照本协议继续履行乙方义务。</w:t>
            </w: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14,000.00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营销类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14,000.00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14,000.00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2021/6/18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44" w:hRule="atLeast"/>
        </w:trPr>
        <w:tc>
          <w:tcPr>
            <w:tcW w:w="394" w:type="dxa"/>
            <w:shd w:val="clear" w:color="auto" w:fill="auto"/>
            <w:noWrap/>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25</w:t>
            </w:r>
          </w:p>
        </w:tc>
        <w:tc>
          <w:tcPr>
            <w:tcW w:w="99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2021/6/8</w:t>
            </w:r>
          </w:p>
        </w:tc>
        <w:tc>
          <w:tcPr>
            <w:tcW w:w="851"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苏州卓悦门诊有限公司</w:t>
            </w:r>
          </w:p>
        </w:tc>
        <w:tc>
          <w:tcPr>
            <w:tcW w:w="1134"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体检服务协议</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甲乙双方在相互了解、相互信任的基础上，本着平等合作、互惠互利的原则，经友好协商，于【2021】</w:t>
            </w:r>
            <w:r>
              <w:rPr>
                <w:rFonts w:ascii="Arial" w:hAnsi="Arial" w:cs="Arial"/>
                <w:color w:val="000000"/>
                <w:sz w:val="15"/>
                <w:szCs w:val="15"/>
                <w:lang w:bidi="ar"/>
              </w:rPr>
              <w:br w:type="textWrapping"/>
            </w:r>
            <w:r>
              <w:rPr>
                <w:rFonts w:ascii="Arial" w:hAnsi="Arial" w:cs="Arial"/>
                <w:color w:val="000000"/>
                <w:sz w:val="15"/>
                <w:szCs w:val="15"/>
                <w:lang w:bidi="ar"/>
              </w:rPr>
              <w:t>年【6】月【8】日达成如下合作协议：合作内容：甲方同意由乙方为甲方员工提供健康体检服务（体检项目及价格见《附件1》），并自本协议签署之日起【2】个月内为甲方员工提供后续健康管理服务；甲方员工的预计总体检人数为【47】人，其中男性【29】人，女性【18】人，甲方承诺到检率（即实际体检的人数和预计体检人数的比例）不低于80%;</w:t>
            </w:r>
          </w:p>
        </w:tc>
        <w:tc>
          <w:tcPr>
            <w:tcW w:w="3260"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甲方于2021年6月29日前支付协议总金额30%作为定金，甲方更换实际体检人数结算并支付费用，服务截止后10个工作日内，结算合同余款。</w:t>
            </w:r>
          </w:p>
        </w:tc>
        <w:tc>
          <w:tcPr>
            <w:tcW w:w="1418"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36,500.00 </w:t>
            </w:r>
          </w:p>
        </w:tc>
        <w:tc>
          <w:tcPr>
            <w:tcW w:w="992"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行政人事类</w:t>
            </w:r>
          </w:p>
        </w:tc>
        <w:tc>
          <w:tcPr>
            <w:tcW w:w="1276"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10,950.00 </w:t>
            </w:r>
          </w:p>
        </w:tc>
        <w:tc>
          <w:tcPr>
            <w:tcW w:w="1275" w:type="dxa"/>
            <w:shd w:val="clear" w:color="auto" w:fill="auto"/>
            <w:vAlign w:val="center"/>
          </w:tcPr>
          <w:p>
            <w:pPr>
              <w:jc w:val="right"/>
              <w:textAlignment w:val="center"/>
              <w:rPr>
                <w:rFonts w:ascii="Arial" w:hAnsi="Arial" w:cs="Arial"/>
                <w:sz w:val="15"/>
                <w:szCs w:val="15"/>
                <w:lang w:bidi="ar"/>
              </w:rPr>
            </w:pPr>
            <w:r>
              <w:rPr>
                <w:rFonts w:ascii="Arial" w:hAnsi="Arial" w:cs="Arial"/>
                <w:color w:val="000000"/>
                <w:sz w:val="15"/>
                <w:szCs w:val="15"/>
                <w:lang w:bidi="ar"/>
              </w:rPr>
              <w:t xml:space="preserve">36,500.00 </w:t>
            </w:r>
          </w:p>
        </w:tc>
        <w:tc>
          <w:tcPr>
            <w:tcW w:w="993" w:type="dxa"/>
            <w:shd w:val="clear" w:color="auto" w:fill="auto"/>
            <w:vAlign w:val="center"/>
          </w:tcPr>
          <w:p>
            <w:pPr>
              <w:jc w:val="center"/>
              <w:textAlignment w:val="center"/>
              <w:rPr>
                <w:rFonts w:ascii="Arial" w:hAnsi="Arial" w:cs="Arial"/>
                <w:sz w:val="15"/>
                <w:szCs w:val="15"/>
                <w:lang w:bidi="ar"/>
              </w:rPr>
            </w:pPr>
            <w:r>
              <w:rPr>
                <w:rFonts w:ascii="Arial" w:hAnsi="Arial" w:cs="Arial"/>
                <w:color w:val="000000"/>
                <w:sz w:val="15"/>
                <w:szCs w:val="15"/>
                <w:lang w:bidi="ar"/>
              </w:rPr>
              <w:t>2021/6/11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44" w:hRule="atLeast"/>
        </w:trPr>
        <w:tc>
          <w:tcPr>
            <w:tcW w:w="394"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26</w:t>
            </w:r>
          </w:p>
        </w:tc>
        <w:tc>
          <w:tcPr>
            <w:tcW w:w="990"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2021/5/21</w:t>
            </w:r>
          </w:p>
        </w:tc>
        <w:tc>
          <w:tcPr>
            <w:tcW w:w="851"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苏州市墨利印刷有限公司</w:t>
            </w:r>
          </w:p>
        </w:tc>
        <w:tc>
          <w:tcPr>
            <w:tcW w:w="1134"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环沪公司盛泽项目2021年5月渠道地推海报印刷合同</w:t>
            </w:r>
          </w:p>
        </w:tc>
        <w:tc>
          <w:tcPr>
            <w:tcW w:w="3260"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甲、乙双方根据《中华人民共和国合同法》，在自愿、平等、互利基础上，经协商一致，就甲方委托乙方制作印刷品事宜达成如下条款，以资双方共同遵守。盛泽项目海顺户型图印刷制作，制作A3海报，12万份。</w:t>
            </w:r>
          </w:p>
        </w:tc>
        <w:tc>
          <w:tcPr>
            <w:tcW w:w="3260"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本合同签订并且验收合格之日起 30 个工作日内支付合同总价的 100%，即¥ 28800元 （大写：人民币  贰万捌仟捌佰元整）。</w:t>
            </w:r>
          </w:p>
        </w:tc>
        <w:tc>
          <w:tcPr>
            <w:tcW w:w="1418" w:type="dxa"/>
            <w:shd w:val="clear" w:color="auto" w:fill="auto"/>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28,800.00 </w:t>
            </w:r>
          </w:p>
        </w:tc>
        <w:tc>
          <w:tcPr>
            <w:tcW w:w="992"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1276" w:type="dxa"/>
            <w:shd w:val="clear" w:color="auto" w:fill="auto"/>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28,800.00 </w:t>
            </w:r>
          </w:p>
        </w:tc>
        <w:tc>
          <w:tcPr>
            <w:tcW w:w="1275" w:type="dxa"/>
            <w:shd w:val="clear" w:color="auto" w:fill="auto"/>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28,800.00 </w:t>
            </w:r>
          </w:p>
        </w:tc>
        <w:tc>
          <w:tcPr>
            <w:tcW w:w="99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44" w:hRule="atLeast"/>
        </w:trPr>
        <w:tc>
          <w:tcPr>
            <w:tcW w:w="394" w:type="dxa"/>
            <w:shd w:val="clear" w:color="auto" w:fill="auto"/>
            <w:noWrap/>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27</w:t>
            </w:r>
          </w:p>
        </w:tc>
        <w:tc>
          <w:tcPr>
            <w:tcW w:w="990"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2021/5/10</w:t>
            </w:r>
          </w:p>
        </w:tc>
        <w:tc>
          <w:tcPr>
            <w:tcW w:w="851"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苏州建创广告传媒有限公司</w:t>
            </w:r>
          </w:p>
        </w:tc>
        <w:tc>
          <w:tcPr>
            <w:tcW w:w="1134"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盛泽项目2021年5月乡镇横幅户外广告投放合同</w:t>
            </w:r>
          </w:p>
        </w:tc>
        <w:tc>
          <w:tcPr>
            <w:tcW w:w="3260"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根据《中华人民共和国广告法》、《中华人民共和国合同法》及国家有关法律、法规的规定，甲、乙双方在平等、自愿、等价有偿、公平、诚实信用的基础上，经友好协商，就乙方为甲方发布户外广告及相关工作达成如下协议，并在售楼处签订本合同：广告名称：乡镇横幅户外广告，广告位置：街道。广告规格：5米*0.6米，广告形式：户外。3.1发布期限【半】个月，暂定自 【2020】年【5】月【15】日至【2021】年【5】月【29】日。实际广告发布期起算日从画面制作安装完毕，经甲方书面验收合格之日起开始计算。(实际发布日期与上述约定发布日期不一致的，以实际发布日期为准）。</w:t>
            </w:r>
          </w:p>
        </w:tc>
        <w:tc>
          <w:tcPr>
            <w:tcW w:w="3260"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4.2待广告正式发布结束后，乙方按合同完成相关工作并经甲方认可后  30 个工作日内甲方向乙方支付全部合同金额。</w:t>
            </w:r>
          </w:p>
        </w:tc>
        <w:tc>
          <w:tcPr>
            <w:tcW w:w="1418" w:type="dxa"/>
            <w:shd w:val="clear" w:color="auto" w:fill="auto"/>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50,000.00 </w:t>
            </w:r>
          </w:p>
        </w:tc>
        <w:tc>
          <w:tcPr>
            <w:tcW w:w="992"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营销类</w:t>
            </w:r>
          </w:p>
        </w:tc>
        <w:tc>
          <w:tcPr>
            <w:tcW w:w="1276" w:type="dxa"/>
            <w:shd w:val="clear" w:color="auto" w:fill="auto"/>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50,000.00 </w:t>
            </w:r>
          </w:p>
        </w:tc>
        <w:tc>
          <w:tcPr>
            <w:tcW w:w="1275" w:type="dxa"/>
            <w:shd w:val="clear" w:color="auto" w:fill="auto"/>
            <w:vAlign w:val="center"/>
          </w:tcPr>
          <w:p>
            <w:pPr>
              <w:jc w:val="right"/>
              <w:textAlignment w:val="center"/>
              <w:rPr>
                <w:rFonts w:ascii="Arial" w:hAnsi="Arial" w:cs="Arial"/>
                <w:color w:val="000000"/>
                <w:sz w:val="15"/>
                <w:szCs w:val="15"/>
                <w:lang w:bidi="ar"/>
              </w:rPr>
            </w:pPr>
            <w:r>
              <w:rPr>
                <w:rFonts w:ascii="Arial" w:hAnsi="Arial" w:cs="Arial"/>
                <w:color w:val="000000"/>
                <w:sz w:val="15"/>
                <w:szCs w:val="15"/>
                <w:lang w:bidi="ar"/>
              </w:rPr>
              <w:t xml:space="preserve">50,000.00 </w:t>
            </w:r>
          </w:p>
        </w:tc>
        <w:tc>
          <w:tcPr>
            <w:tcW w:w="993" w:type="dxa"/>
            <w:shd w:val="clear" w:color="auto" w:fill="auto"/>
            <w:vAlign w:val="center"/>
          </w:tcPr>
          <w:p>
            <w:pPr>
              <w:jc w:val="center"/>
              <w:textAlignment w:val="center"/>
              <w:rPr>
                <w:rFonts w:ascii="Arial" w:hAnsi="Arial" w:cs="Arial"/>
                <w:color w:val="000000"/>
                <w:sz w:val="15"/>
                <w:szCs w:val="15"/>
                <w:lang w:bidi="ar"/>
              </w:rPr>
            </w:pPr>
            <w:r>
              <w:rPr>
                <w:rFonts w:ascii="Arial" w:hAnsi="Arial" w:cs="Arial"/>
                <w:color w:val="000000"/>
                <w:sz w:val="15"/>
                <w:szCs w:val="15"/>
                <w:lang w:bidi="ar"/>
              </w:rPr>
              <w:t>2021/6/21</w:t>
            </w:r>
          </w:p>
        </w:tc>
      </w:tr>
    </w:tbl>
    <w:p>
      <w:pPr>
        <w:ind w:firstLine="300" w:firstLineChars="200"/>
        <w:rPr>
          <w:rFonts w:ascii="Arial" w:hAnsi="Arial" w:cs="Arial"/>
          <w:color w:val="000000"/>
          <w:sz w:val="15"/>
          <w:szCs w:val="15"/>
          <w:lang w:bidi="ar"/>
        </w:rPr>
      </w:pPr>
    </w:p>
    <w:p>
      <w:pPr>
        <w:pStyle w:val="2"/>
        <w:ind w:firstLine="420" w:firstLineChars="200"/>
        <w:rPr>
          <w:lang w:bidi="ar"/>
        </w:rPr>
      </w:pPr>
    </w:p>
    <w:p>
      <w:pPr>
        <w:pStyle w:val="2"/>
        <w:ind w:firstLine="420" w:firstLineChars="200"/>
        <w:rPr>
          <w:lang w:bidi="ar"/>
        </w:rPr>
      </w:pPr>
    </w:p>
    <w:p>
      <w:pPr>
        <w:pStyle w:val="2"/>
        <w:ind w:firstLine="420" w:firstLineChars="200"/>
        <w:rPr>
          <w:lang w:bidi="ar"/>
        </w:rPr>
      </w:pPr>
    </w:p>
    <w:p>
      <w:pPr>
        <w:pStyle w:val="2"/>
        <w:ind w:firstLine="420" w:firstLineChars="200"/>
        <w:rPr>
          <w:lang w:bidi="ar"/>
        </w:rPr>
      </w:pPr>
    </w:p>
    <w:p>
      <w:pPr>
        <w:pStyle w:val="2"/>
        <w:ind w:firstLine="420" w:firstLineChars="200"/>
        <w:rPr>
          <w:lang w:bidi="ar"/>
        </w:rPr>
      </w:pPr>
    </w:p>
    <w:p>
      <w:pPr>
        <w:pStyle w:val="2"/>
        <w:ind w:firstLine="420" w:firstLineChars="200"/>
        <w:rPr>
          <w:lang w:bidi="ar"/>
        </w:rPr>
      </w:pPr>
    </w:p>
    <w:p>
      <w:pPr>
        <w:pStyle w:val="2"/>
        <w:ind w:firstLine="420" w:firstLineChars="200"/>
        <w:rPr>
          <w:lang w:bidi="ar"/>
        </w:rPr>
      </w:pPr>
    </w:p>
    <w:p>
      <w:pPr>
        <w:pStyle w:val="2"/>
        <w:ind w:firstLine="0" w:firstLineChars="0"/>
        <w:rPr>
          <w:rFonts w:hint="eastAsia" w:ascii="Arial" w:hAnsi="Arial" w:cs="Arial"/>
          <w:color w:val="000000"/>
          <w:sz w:val="24"/>
          <w:szCs w:val="24"/>
          <w:lang w:val="en-US" w:eastAsia="zh-CN" w:bidi="ar"/>
        </w:rPr>
      </w:pPr>
      <w:r>
        <w:rPr>
          <w:rFonts w:hint="eastAsia" w:ascii="Arial" w:hAnsi="Arial" w:cs="Arial"/>
          <w:color w:val="000000"/>
          <w:sz w:val="24"/>
          <w:szCs w:val="24"/>
          <w:lang w:eastAsia="zh-CN" w:bidi="ar"/>
        </w:rPr>
        <w:t>附件四</w:t>
      </w:r>
      <w:r>
        <w:rPr>
          <w:rFonts w:hint="eastAsia" w:ascii="Arial" w:hAnsi="Arial" w:cs="Arial"/>
          <w:color w:val="000000"/>
          <w:sz w:val="24"/>
          <w:szCs w:val="24"/>
          <w:lang w:val="en-US" w:eastAsia="zh-CN" w:bidi="ar"/>
        </w:rPr>
        <w:t xml:space="preserve"> 项目销售回款统计表</w:t>
      </w:r>
    </w:p>
    <w:p>
      <w:pPr>
        <w:pStyle w:val="2"/>
        <w:ind w:firstLine="0" w:firstLineChars="0"/>
        <w:rPr>
          <w:rFonts w:hint="eastAsia" w:ascii="Arial" w:hAnsi="Arial" w:cs="Arial"/>
          <w:color w:val="000000"/>
          <w:sz w:val="24"/>
          <w:szCs w:val="24"/>
          <w:lang w:val="en-US" w:eastAsia="zh-CN" w:bidi="ar"/>
        </w:rPr>
      </w:pPr>
    </w:p>
    <w:tbl>
      <w:tblPr>
        <w:tblStyle w:val="17"/>
        <w:tblpPr w:leftFromText="181" w:rightFromText="181" w:vertAnchor="text" w:horzAnchor="page" w:tblpXSpec="center" w:tblpY="1"/>
        <w:tblOverlap w:val="never"/>
        <w:tblW w:w="12582" w:type="dxa"/>
        <w:jc w:val="center"/>
        <w:tblLayout w:type="fixed"/>
        <w:tblCellMar>
          <w:top w:w="0" w:type="dxa"/>
          <w:left w:w="108" w:type="dxa"/>
          <w:bottom w:w="0" w:type="dxa"/>
          <w:right w:w="108" w:type="dxa"/>
        </w:tblCellMar>
      </w:tblPr>
      <w:tblGrid>
        <w:gridCol w:w="959"/>
        <w:gridCol w:w="850"/>
        <w:gridCol w:w="709"/>
        <w:gridCol w:w="1276"/>
        <w:gridCol w:w="1134"/>
        <w:gridCol w:w="992"/>
        <w:gridCol w:w="1644"/>
        <w:gridCol w:w="1437"/>
        <w:gridCol w:w="1597"/>
        <w:gridCol w:w="1984"/>
      </w:tblGrid>
      <w:tr>
        <w:tblPrEx>
          <w:tblCellMar>
            <w:top w:w="0" w:type="dxa"/>
            <w:left w:w="108" w:type="dxa"/>
            <w:bottom w:w="0" w:type="dxa"/>
            <w:right w:w="108" w:type="dxa"/>
          </w:tblCellMar>
        </w:tblPrEx>
        <w:trPr>
          <w:trHeight w:val="539"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000000" w:fill="FFFFFF" w:themeFill="background1"/>
            <w:vAlign w:val="center"/>
          </w:tcPr>
          <w:p>
            <w:pPr>
              <w:jc w:val="center"/>
              <w:textAlignment w:val="top"/>
              <w:rPr>
                <w:rFonts w:ascii="Arial" w:hAnsi="Arial" w:cs="Arial"/>
                <w:b/>
                <w:bCs/>
                <w:color w:val="000000"/>
                <w:sz w:val="18"/>
                <w:szCs w:val="18"/>
              </w:rPr>
            </w:pPr>
            <w:r>
              <w:rPr>
                <w:rFonts w:ascii="Arial" w:hAnsi="Arial" w:cs="Arial"/>
                <w:b/>
                <w:bCs/>
                <w:color w:val="000000"/>
                <w:sz w:val="18"/>
                <w:szCs w:val="18"/>
                <w:lang w:bidi="ar"/>
              </w:rPr>
              <w:t>编号</w:t>
            </w:r>
          </w:p>
        </w:tc>
        <w:tc>
          <w:tcPr>
            <w:tcW w:w="850" w:type="dxa"/>
            <w:tcBorders>
              <w:top w:val="single" w:color="000000" w:sz="4" w:space="0"/>
              <w:left w:val="single" w:color="000000" w:sz="4" w:space="0"/>
              <w:bottom w:val="single" w:color="000000" w:sz="4" w:space="0"/>
              <w:right w:val="single" w:color="000000" w:sz="4" w:space="0"/>
            </w:tcBorders>
            <w:shd w:val="clear" w:color="000000" w:fill="FFFFFF" w:themeFill="background1"/>
            <w:vAlign w:val="center"/>
          </w:tcPr>
          <w:p>
            <w:pPr>
              <w:jc w:val="center"/>
              <w:textAlignment w:val="top"/>
              <w:rPr>
                <w:rFonts w:ascii="Arial" w:hAnsi="Arial" w:cs="Arial"/>
                <w:b/>
                <w:bCs/>
                <w:color w:val="000000"/>
                <w:sz w:val="18"/>
                <w:szCs w:val="18"/>
              </w:rPr>
            </w:pPr>
            <w:r>
              <w:rPr>
                <w:rFonts w:ascii="Arial" w:hAnsi="Arial" w:cs="Arial"/>
                <w:b/>
                <w:bCs/>
                <w:color w:val="000000"/>
                <w:sz w:val="18"/>
                <w:szCs w:val="18"/>
                <w:lang w:bidi="ar"/>
              </w:rPr>
              <w:t>楼栋</w:t>
            </w:r>
          </w:p>
        </w:tc>
        <w:tc>
          <w:tcPr>
            <w:tcW w:w="709" w:type="dxa"/>
            <w:tcBorders>
              <w:top w:val="single" w:color="000000" w:sz="4" w:space="0"/>
              <w:left w:val="single" w:color="000000" w:sz="4" w:space="0"/>
              <w:bottom w:val="single" w:color="000000" w:sz="4" w:space="0"/>
              <w:right w:val="single" w:color="000000" w:sz="4" w:space="0"/>
            </w:tcBorders>
            <w:shd w:val="clear" w:color="000000" w:fill="FFFFFF" w:themeFill="background1"/>
            <w:vAlign w:val="center"/>
          </w:tcPr>
          <w:p>
            <w:pPr>
              <w:jc w:val="center"/>
              <w:textAlignment w:val="top"/>
              <w:rPr>
                <w:rFonts w:ascii="Arial" w:hAnsi="Arial" w:cs="Arial"/>
                <w:b/>
                <w:bCs/>
                <w:color w:val="000000"/>
                <w:sz w:val="18"/>
                <w:szCs w:val="18"/>
              </w:rPr>
            </w:pPr>
            <w:r>
              <w:rPr>
                <w:rFonts w:ascii="Arial" w:hAnsi="Arial" w:cs="Arial"/>
                <w:b/>
                <w:bCs/>
                <w:color w:val="000000"/>
                <w:sz w:val="18"/>
                <w:szCs w:val="18"/>
                <w:lang w:bidi="ar"/>
              </w:rPr>
              <w:t>房号</w:t>
            </w:r>
          </w:p>
        </w:tc>
        <w:tc>
          <w:tcPr>
            <w:tcW w:w="1276" w:type="dxa"/>
            <w:tcBorders>
              <w:top w:val="single" w:color="000000" w:sz="4" w:space="0"/>
              <w:left w:val="single" w:color="000000" w:sz="4" w:space="0"/>
              <w:bottom w:val="single" w:color="000000" w:sz="4" w:space="0"/>
              <w:right w:val="single" w:color="000000" w:sz="4" w:space="0"/>
            </w:tcBorders>
            <w:shd w:val="clear" w:color="000000" w:fill="FFFFFF" w:themeFill="background1"/>
            <w:vAlign w:val="center"/>
          </w:tcPr>
          <w:p>
            <w:pPr>
              <w:jc w:val="center"/>
              <w:textAlignment w:val="top"/>
              <w:rPr>
                <w:rFonts w:ascii="Arial" w:hAnsi="Arial" w:cs="Arial"/>
                <w:b/>
                <w:bCs/>
                <w:color w:val="000000"/>
                <w:sz w:val="18"/>
                <w:szCs w:val="18"/>
                <w:lang w:bidi="ar"/>
              </w:rPr>
            </w:pPr>
            <w:r>
              <w:rPr>
                <w:rFonts w:ascii="Arial" w:hAnsi="Arial" w:cs="Arial"/>
                <w:b/>
                <w:bCs/>
                <w:color w:val="000000"/>
                <w:sz w:val="18"/>
                <w:szCs w:val="18"/>
                <w:lang w:bidi="ar"/>
              </w:rPr>
              <w:t>建筑</w:t>
            </w:r>
          </w:p>
          <w:p>
            <w:pPr>
              <w:jc w:val="center"/>
              <w:textAlignment w:val="top"/>
              <w:rPr>
                <w:rFonts w:ascii="Arial" w:hAnsi="Arial" w:cs="Arial"/>
                <w:b/>
                <w:bCs/>
                <w:color w:val="000000"/>
                <w:sz w:val="18"/>
                <w:szCs w:val="18"/>
              </w:rPr>
            </w:pPr>
            <w:r>
              <w:rPr>
                <w:rFonts w:ascii="Arial" w:hAnsi="Arial" w:cs="Arial"/>
                <w:b/>
                <w:bCs/>
                <w:color w:val="000000"/>
                <w:sz w:val="18"/>
                <w:szCs w:val="18"/>
                <w:lang w:bidi="ar"/>
              </w:rPr>
              <w:t>面积</w:t>
            </w:r>
            <w:r>
              <w:rPr>
                <w:rFonts w:hint="eastAsia" w:ascii="Arial" w:hAnsi="Arial" w:cs="Arial"/>
                <w:b/>
                <w:bCs/>
                <w:color w:val="000000"/>
                <w:sz w:val="18"/>
                <w:szCs w:val="18"/>
                <w:lang w:bidi="ar"/>
              </w:rPr>
              <w:t>（㎡）</w:t>
            </w:r>
          </w:p>
        </w:tc>
        <w:tc>
          <w:tcPr>
            <w:tcW w:w="1134" w:type="dxa"/>
            <w:tcBorders>
              <w:top w:val="single" w:color="000000" w:sz="4" w:space="0"/>
              <w:left w:val="single" w:color="000000" w:sz="4" w:space="0"/>
              <w:bottom w:val="single" w:color="000000" w:sz="4" w:space="0"/>
              <w:right w:val="single" w:color="000000" w:sz="4" w:space="0"/>
            </w:tcBorders>
            <w:shd w:val="clear" w:color="000000" w:fill="FFFFFF" w:themeFill="background1"/>
            <w:vAlign w:val="center"/>
          </w:tcPr>
          <w:p>
            <w:pPr>
              <w:jc w:val="center"/>
              <w:textAlignment w:val="top"/>
              <w:rPr>
                <w:rFonts w:ascii="Arial" w:hAnsi="Arial" w:cs="Arial"/>
                <w:b/>
                <w:bCs/>
                <w:color w:val="000000"/>
                <w:sz w:val="18"/>
                <w:szCs w:val="18"/>
                <w:lang w:bidi="ar"/>
              </w:rPr>
            </w:pPr>
            <w:r>
              <w:rPr>
                <w:rFonts w:ascii="Arial" w:hAnsi="Arial" w:cs="Arial"/>
                <w:b/>
                <w:bCs/>
                <w:color w:val="000000"/>
                <w:sz w:val="18"/>
                <w:szCs w:val="18"/>
                <w:lang w:bidi="ar"/>
              </w:rPr>
              <w:t>销售</w:t>
            </w:r>
          </w:p>
          <w:p>
            <w:pPr>
              <w:jc w:val="center"/>
              <w:textAlignment w:val="top"/>
              <w:rPr>
                <w:rFonts w:ascii="Arial" w:hAnsi="Arial" w:cs="Arial"/>
                <w:b/>
                <w:bCs/>
                <w:color w:val="000000"/>
                <w:sz w:val="18"/>
                <w:szCs w:val="18"/>
              </w:rPr>
            </w:pPr>
            <w:r>
              <w:rPr>
                <w:rFonts w:ascii="Arial" w:hAnsi="Arial" w:cs="Arial"/>
                <w:b/>
                <w:bCs/>
                <w:color w:val="000000"/>
                <w:sz w:val="18"/>
                <w:szCs w:val="18"/>
                <w:lang w:bidi="ar"/>
              </w:rPr>
              <w:t>状态</w:t>
            </w:r>
          </w:p>
        </w:tc>
        <w:tc>
          <w:tcPr>
            <w:tcW w:w="992" w:type="dxa"/>
            <w:tcBorders>
              <w:top w:val="single" w:color="000000" w:sz="4" w:space="0"/>
              <w:left w:val="single" w:color="000000" w:sz="4" w:space="0"/>
              <w:bottom w:val="single" w:color="000000" w:sz="4" w:space="0"/>
              <w:right w:val="single" w:color="000000" w:sz="4" w:space="0"/>
            </w:tcBorders>
            <w:shd w:val="clear" w:color="000000" w:fill="FFFFFF" w:themeFill="background1"/>
            <w:vAlign w:val="center"/>
          </w:tcPr>
          <w:p>
            <w:pPr>
              <w:jc w:val="center"/>
              <w:textAlignment w:val="top"/>
              <w:rPr>
                <w:rFonts w:ascii="Arial" w:hAnsi="Arial" w:cs="Arial"/>
                <w:b/>
                <w:bCs/>
                <w:color w:val="000000"/>
                <w:sz w:val="18"/>
                <w:szCs w:val="18"/>
                <w:lang w:bidi="ar"/>
              </w:rPr>
            </w:pPr>
            <w:r>
              <w:rPr>
                <w:rFonts w:ascii="Arial" w:hAnsi="Arial" w:cs="Arial"/>
                <w:b/>
                <w:bCs/>
                <w:color w:val="000000"/>
                <w:sz w:val="18"/>
                <w:szCs w:val="18"/>
                <w:lang w:bidi="ar"/>
              </w:rPr>
              <w:t>客户</w:t>
            </w:r>
          </w:p>
          <w:p>
            <w:pPr>
              <w:jc w:val="center"/>
              <w:textAlignment w:val="top"/>
              <w:rPr>
                <w:rFonts w:ascii="Arial" w:hAnsi="Arial" w:cs="Arial"/>
                <w:b/>
                <w:bCs/>
                <w:color w:val="000000"/>
                <w:sz w:val="18"/>
                <w:szCs w:val="18"/>
              </w:rPr>
            </w:pPr>
            <w:r>
              <w:rPr>
                <w:rFonts w:ascii="Arial" w:hAnsi="Arial" w:cs="Arial"/>
                <w:b/>
                <w:bCs/>
                <w:color w:val="000000"/>
                <w:sz w:val="18"/>
                <w:szCs w:val="18"/>
                <w:lang w:bidi="ar"/>
              </w:rPr>
              <w:t>姓名</w:t>
            </w:r>
          </w:p>
        </w:tc>
        <w:tc>
          <w:tcPr>
            <w:tcW w:w="1644" w:type="dxa"/>
            <w:tcBorders>
              <w:top w:val="single" w:color="000000" w:sz="4" w:space="0"/>
              <w:left w:val="single" w:color="000000" w:sz="4" w:space="0"/>
              <w:bottom w:val="single" w:color="000000" w:sz="4" w:space="0"/>
              <w:right w:val="single" w:color="000000" w:sz="4" w:space="0"/>
            </w:tcBorders>
            <w:shd w:val="clear" w:color="000000" w:fill="FFFFFF" w:themeFill="background1"/>
            <w:vAlign w:val="center"/>
          </w:tcPr>
          <w:p>
            <w:pPr>
              <w:jc w:val="center"/>
              <w:textAlignment w:val="top"/>
              <w:rPr>
                <w:rFonts w:ascii="Arial" w:hAnsi="Arial" w:cs="Arial"/>
                <w:b/>
                <w:bCs/>
                <w:color w:val="000000"/>
                <w:sz w:val="18"/>
                <w:szCs w:val="18"/>
              </w:rPr>
            </w:pPr>
            <w:r>
              <w:rPr>
                <w:rFonts w:ascii="Arial" w:hAnsi="Arial" w:cs="Arial"/>
                <w:b/>
                <w:bCs/>
                <w:color w:val="000000"/>
                <w:sz w:val="18"/>
                <w:szCs w:val="18"/>
                <w:lang w:bidi="ar"/>
              </w:rPr>
              <w:t>标准总价</w:t>
            </w:r>
            <w:r>
              <w:rPr>
                <w:rFonts w:hint="eastAsia" w:ascii="Arial" w:hAnsi="Arial" w:cs="Arial"/>
                <w:b/>
                <w:bCs/>
                <w:color w:val="000000"/>
                <w:sz w:val="18"/>
                <w:szCs w:val="18"/>
                <w:lang w:bidi="ar"/>
              </w:rPr>
              <w:t>（元）</w:t>
            </w:r>
          </w:p>
        </w:tc>
        <w:tc>
          <w:tcPr>
            <w:tcW w:w="1437" w:type="dxa"/>
            <w:tcBorders>
              <w:top w:val="single" w:color="000000" w:sz="4" w:space="0"/>
              <w:left w:val="single" w:color="000000" w:sz="4" w:space="0"/>
              <w:bottom w:val="single" w:color="000000" w:sz="4" w:space="0"/>
              <w:right w:val="single" w:color="000000" w:sz="4" w:space="0"/>
            </w:tcBorders>
            <w:shd w:val="clear" w:color="000000" w:fill="FFFFFF" w:themeFill="background1"/>
            <w:vAlign w:val="center"/>
          </w:tcPr>
          <w:p>
            <w:pPr>
              <w:jc w:val="center"/>
              <w:textAlignment w:val="top"/>
              <w:rPr>
                <w:rFonts w:ascii="Arial" w:hAnsi="Arial" w:cs="Arial"/>
                <w:b/>
                <w:bCs/>
                <w:color w:val="000000"/>
                <w:sz w:val="18"/>
                <w:szCs w:val="18"/>
              </w:rPr>
            </w:pPr>
            <w:r>
              <w:rPr>
                <w:rFonts w:ascii="Arial" w:hAnsi="Arial" w:cs="Arial"/>
                <w:b/>
                <w:bCs/>
                <w:color w:val="000000"/>
                <w:sz w:val="18"/>
                <w:szCs w:val="18"/>
                <w:lang w:bidi="ar"/>
              </w:rPr>
              <w:t>合同总价</w:t>
            </w:r>
            <w:r>
              <w:rPr>
                <w:rFonts w:hint="eastAsia" w:ascii="Arial" w:hAnsi="Arial" w:cs="Arial"/>
                <w:b/>
                <w:bCs/>
                <w:color w:val="000000"/>
                <w:sz w:val="18"/>
                <w:szCs w:val="18"/>
                <w:lang w:bidi="ar"/>
              </w:rPr>
              <w:t>（元）</w:t>
            </w:r>
          </w:p>
        </w:tc>
        <w:tc>
          <w:tcPr>
            <w:tcW w:w="1597" w:type="dxa"/>
            <w:tcBorders>
              <w:top w:val="single" w:color="000000" w:sz="4" w:space="0"/>
              <w:left w:val="single" w:color="000000" w:sz="4" w:space="0"/>
              <w:bottom w:val="single" w:color="000000" w:sz="4" w:space="0"/>
              <w:right w:val="single" w:color="000000" w:sz="4" w:space="0"/>
            </w:tcBorders>
            <w:shd w:val="clear" w:color="000000" w:fill="FFFFFF" w:themeFill="background1"/>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已收款</w:t>
            </w:r>
            <w:r>
              <w:rPr>
                <w:rFonts w:hint="eastAsia" w:ascii="Arial" w:hAnsi="Arial" w:cs="Arial"/>
                <w:b/>
                <w:bCs/>
                <w:color w:val="000000"/>
                <w:sz w:val="18"/>
                <w:szCs w:val="18"/>
                <w:lang w:bidi="ar"/>
              </w:rPr>
              <w:t>（元）</w:t>
            </w:r>
          </w:p>
        </w:tc>
        <w:tc>
          <w:tcPr>
            <w:tcW w:w="1984" w:type="dxa"/>
            <w:tcBorders>
              <w:top w:val="single" w:color="000000" w:sz="4" w:space="0"/>
              <w:left w:val="single" w:color="000000" w:sz="4" w:space="0"/>
              <w:bottom w:val="single" w:color="000000" w:sz="4" w:space="0"/>
              <w:right w:val="single" w:color="000000" w:sz="4" w:space="0"/>
            </w:tcBorders>
            <w:shd w:val="clear" w:color="000000" w:fill="FFFFFF" w:themeFill="background1"/>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未收金额</w:t>
            </w:r>
            <w:r>
              <w:rPr>
                <w:rFonts w:hint="eastAsia" w:ascii="Arial" w:hAnsi="Arial" w:cs="Arial"/>
                <w:b/>
                <w:bCs/>
                <w:color w:val="000000"/>
                <w:sz w:val="18"/>
                <w:szCs w:val="18"/>
                <w:lang w:bidi="ar"/>
              </w:rPr>
              <w:t>（元）</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2,521,616.00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2,369,696.00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2,348,488.00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2,428,276.00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2,550,336.00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313"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2,397,974.00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2,376,766.00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2,471,356.00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2,557,516.00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2,405,044.00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2,383,835.00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2,492,896.00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2,564,696.00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2,412,113.00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2,390,905.00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2,514,436.00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2,593,416.00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2,440,391.00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2,419,183.00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2,543,156.00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2,600,596.00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2,447,461.00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2,426,252.00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2,550,336.00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2,607,776.00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2,454,530.00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2,433,322.00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2,557,516.00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2,614,956.00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2,461,600.00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2,440,391.00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2,564,696.00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2,622,136.00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2,468,669.00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2,447,461.00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2,571,876.00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2,650,856.00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2,496,947.00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2,475,739.00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2,600,596.00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2,658,036.00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2,504,017.00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2,482,808.00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2,607,776.00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2,665,216.00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2,511,086.00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2,489,878.00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2,614,956.00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2,672,396.00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2,518,156.00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2,496,947.00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2,622,136.00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2,672,396.00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2,518,156.00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2,496,947.00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2,622,136.00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2,686,756.00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2,532,295.00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2,511,086.00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2,636,496.00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2,693,936.00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2,539,364.00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2,518,156.00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2,643,676.00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2,693,936.00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2,539,364.00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2,518,156.00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2,643,676.00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2,686,756.00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2,532,295.00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2,511,086.00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2,636,496.00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2,571,876.00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2,419,183.00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2,397,974.00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销控</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2,521,616.00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2,452,030.00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2,342,832.00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2,321,624.00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80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2,400,992.00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81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2,496,055.00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82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2,371,110.00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83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2,349,902.00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84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2,444,072.00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85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2,517,595.00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86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2,378,180.00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87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2,356,971.00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88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2,465,612.00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89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2,539,135.00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90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2,385,249.00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91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2,364,041.00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92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2,487,152.00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93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2,567,855.00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94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2,413,527.00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95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2,392,319.00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96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2,515,872.00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97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2,575,035.00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98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2,420,597.00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99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认购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钮锦怡</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2,399,388.00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100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2,523,052.00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101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马娟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2,582,215.00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2,582,215.00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520,000.00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2,062,215.00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102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2,427,666.00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103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2,406,458.00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104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2,530,232.00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105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王倩娟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2,589,395.00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2,589,395.00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2,539,395.00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106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2,434,736.00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107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2,413,527.00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108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2,537,412.00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109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陆树林</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2,596,575.00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2,596,575.00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786,575.00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1,810,000.00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110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沈翔</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2,441,805.00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2,441,805.00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801,805.00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111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认购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任佳维</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2,420,597.00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112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2,544,592.00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113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宋国明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2,625,295.00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2,625,295.00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795,295.00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114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陈佳灵</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2,470,083.00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2,470,083.00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500,083.00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115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2,448,875.00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116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2,573,312.00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117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钱诚</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2,632,475.00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2,632,475.00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2,632,475.00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118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认购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唐四红</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2,477,153.00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119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2,455,944.00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120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2,580,492.00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121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仲爱文</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2,639,655.00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2,639,655.00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799,655.00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122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宋嘉琪</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2,484,222.00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2,484,222.00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2,484,222.00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123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2,463,014.00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124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沈林芬</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2,587,672.00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2,587,672.00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517,672.00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125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2,646,835.00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2,646,835.00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796,835.00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126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2,491,292.00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127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陈春芳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2,470,083.00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2,470,083.00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2,420,083.00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128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2,594,852.00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129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任成龙</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2,646,835.00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2,646,835.00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796,835.00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130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2,491,292.00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131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2,470,083.00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132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2,594,852.00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133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朱国华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2,661,195.00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2,661,195.00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801,195.00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134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王忠</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2,505,431.00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2,505,431.00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2,455,431.00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135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2,484,222.00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136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认购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徐根林</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2,609,212.00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137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李煜</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2,668,375.00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2,668,375.00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538,375.00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138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认购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江勇</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2,512,500.00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139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2,491,292.00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140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杨浩宇</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2,616,392.00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2,616,392.00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786,392.00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141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认购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陈凤珠</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2,668,375.00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142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认购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沈海英</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2,512,500.00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143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2,491,292.00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144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钱玲玲</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2,616,392.00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2,616,392.00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786,392.00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145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2,661,195.00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146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2,505,431.00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147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2,484,222.00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148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2,609,212.00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149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2,546,315.00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150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2,392,319.00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151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141.39</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2,371,110.00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152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143.60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2,494,332.00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153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2,322,911.00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154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2,207,951.00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155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2,186,396.00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156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2,272,616.00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157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2,366,021.00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158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2,251,061.00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159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2,229,506.00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160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2,315,726.00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161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2,387,576.00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162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2,272,616.00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163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2,251,061.00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164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2,337,281.00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165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2,409,131.00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166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2,294,171.00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167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2,272,616.00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168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2,358,836.00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169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认购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唐熔芳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2,437,871.00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170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2,322,911.00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171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认购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王绍启</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2,301,356.00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172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2,387,576.00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173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陆明学</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2,445,056.00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2,420,605.00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730,605.00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1,690,000.00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174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认购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孙爱香</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2,330,096.00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175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2,308,541.00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176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2,394,761.00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177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夏恩凤</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2,452,241.00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2,452,241.00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742,241.00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1,710,000.00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178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杨月根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2,337,281.00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2,337,281.00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477,281.00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179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冯晔薇</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2,315,726.00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2,315,726.00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855,726.00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180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周琴珠</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2,401,946.00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2,401,946.00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721,946.00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181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董泽梅</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2,459,426.00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2,459,426.00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499,426.00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182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杨娜</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2,344,466.00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2,344,466.00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1,174,466.00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183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钟夏</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2,322,911.00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2,322,911.00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702,911.00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1,620,000.00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184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认购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戴云霄</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2,409,131.00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185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劳建根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2,466,611.00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2,466,611.00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946,611.00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1,520,000.00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186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钱任远</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2,351,651.00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2,351,651.00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1,351,651.00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187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孙建荣</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2,330,096.00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2,330,096.00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1,000,096.00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188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刘勤</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2,416,316.00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2,416,316.00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726,316.00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1,690,000.00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189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孙建荣</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2,495,351.00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2,495,351.00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1,255,351.00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190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李美华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2,380,391.00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2,380,391.00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1,190,391.00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1,190,000.00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191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周晓飞</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2,358,836.00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2,358,836.00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2,358,836.00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192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黄小芹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2,445,056.00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2,445,056.00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1,545,056.00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193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周雨纯</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2,502,536.00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2,502,536.00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752,536.00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194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顾良良</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2,387,576.00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2,387,576.00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717,576.00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195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谢建文</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2,366,021.00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2,366,021.00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1,186,021.00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196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段雪朋</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2,452,241.00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2,452,241.00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2,402,241.00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197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吴婷婷</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2,509,721.00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2,509,721.00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509,721.00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198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冯诗琪</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2,394,761.00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2,394,761.00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724,761.00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199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孔玉峰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2,373,206.00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2,373,206.00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713,206.00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200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姚明琴</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2,459,426.00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2,459,426.00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1,969,426.00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490,000.00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201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金成武</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2,516,906.00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2,516,906.00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756,906.00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202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吴福泉</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2,401,946.00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2,401,946.00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2,401,946.00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203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认购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张金锐</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2,380,391.00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204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吴孔亮</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2,466,611.00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2,466,611.00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496,611.00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205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2,516,906.00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206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2,401,946.00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207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2,380,391.00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208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2,466,611.00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209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任宇辰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2,531,276.00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2,531,276.00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1,031,276.00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210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徐建国</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2,416,316.00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2,416,316.00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1,216,316.00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211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胡前慧</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2,394,761.00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2,394,761.00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484,761.00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1,910,000.00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212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陆卫江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2,480,981.00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2,480,981.00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1,240,981.00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213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朱金红</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2,538,461.00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2,538,461.00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1,278,461.00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214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秦梦逍</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2,423,501.00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2,423,501.00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1,323,501.00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215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祁铭</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2,401,946.00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2,401,946.00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2,351,946.00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216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乔印涛</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2,488,166.00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2,488,166.00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748,166.00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217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马晓东</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2,545,646.00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2,545,646.00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2,545,646.00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218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2,430,686.00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2,430,686.00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730,686.00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219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沈其惠</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2,409,131.00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2,409,131.00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1,209,131.00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220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杨萃萍</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2,495,351.00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2,495,351.00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510,000.00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1,985,351.00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221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2,545,646.00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222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2,430,686.00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223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2,409,131.00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224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方宇恒</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2,495,351.00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2,495,351.00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755,351.00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225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仲晓辰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2,552,831.00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2,552,831.00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512,831.00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226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徐烨涛</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2,437,871.00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2,437,871.00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737,871.00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227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郭月萍</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2,416,316.00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2,416,316.00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720,000.00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1,696,316.00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228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2,502,536.00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2,502,536.00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2,502,536.00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229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沈阿根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2,567,201.00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2,567,201.00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2,567,201.00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230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冯晓</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2,452,241.00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2,452,241.00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952,241.00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231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2,430,686.00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232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周昱</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2,516,906.00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2,516,906.00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2,516,906.00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233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张丽</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2,552,831.00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2,552,831.00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792,831.00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234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2,437,871.00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235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2,416,316.00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236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李雪妹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2,502,536.00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2,502,536.00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2,502,536.00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237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朱丽婷</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2,545,646.00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2,545,646.00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765,646.00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238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认购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钱耀恒</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2,430,686.00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239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2,409,131.00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240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程倩妮</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2,495,351.00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2,495,351.00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1,255,351.00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241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2,538,461.00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242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凌天昊</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2,423,501.00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2,423,501.00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1,633,501.00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790,000.00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243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2,401,946.00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244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2,488,166.00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245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严玮</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2,488,166.00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2,488,166.00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748,166.00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246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2,373,206.00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247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2,351,651.00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248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2,437,871.00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249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2,416,316.00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250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2,301,356.00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251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2,279,801.00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252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刘文</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2,366,021.00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2,366,021.00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716,021.00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253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3,342,039.00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254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3,342,039.00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255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钮达</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3,342,218.00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3,342,218.00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3,292,218.00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256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蒋银华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3,342,218.00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3,342,218.00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3,342,218.00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257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沈明珠</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3,342,218.00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3,342,218.00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3,342,218.00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258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沈明珠</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3,342,218.00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3,342,218.00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3,342,218.00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259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汤宇超</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3,342,397.00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3,342,397.00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3,342,397.00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260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3,342,397.00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3,342,397.00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3,342,397.00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261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陈慧英</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3,342,397.00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3,342,397.00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3,342,397.00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262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刘一鸣</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3,342,397.00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3,342,397.00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3,342,397.00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263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潘洪羽</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3,342,576.00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3,342,576.00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1,012,576.00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264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沈彬婧</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3,342,576.00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3,342,576.00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1,012,576.00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265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施海明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3,342,576.00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3,342,576.00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3,342,576.00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266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施海明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3,342,576.00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3,342,576.00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3,342,576.00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267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徐国祥</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3,342,933.00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3,342,933.00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1,672,933.00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268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吕国栋</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3,342,933.00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3,342,933.00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2,102,933.00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269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徐达林</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3,342,933.00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3,342,933.00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3,342,933.00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270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祝冬青</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3,342,933.00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3,342,933.00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1,672,933.00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271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杨其荣</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3,343,112.00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3,343,112.00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3,343,112.00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272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周林</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3,343,112.00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3,343,112.00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1,003,112.00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273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杨正华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3,343,112.00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3,343,112.00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3,343,112.00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274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王月红</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3,343,112.00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3,343,112.00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3,343,112.00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275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3,343,291.00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3,343,291.00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3,343,291.00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276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陈丽</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3,343,291.00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3,343,291.00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1,003,291.00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277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陈月红</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3,343,291.00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3,343,291.00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3,343,291.00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278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陈小红</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3,343,291.00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3,343,291.00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3,343,291.00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279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王大洋</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3,343,470.00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3,343,470.00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3,343,470.00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280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王西芬</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3,343,470.00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3,343,470.00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1,003,470.00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281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徐雯</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3,343,470.00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3,343,470.00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1,003,470.00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282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沈芸芸</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3,343,470.00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3,343,470.00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3,343,470.00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283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魏金波</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3,343,470.00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3,343,470.00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1,673,470.00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284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沈金玉</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3,343,470.00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3,343,470.00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1,043,470.00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285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董艳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3,342,933.00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3,342,933.00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1,002,933.00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286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白玲玉</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3,342,933.00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3,342,933.00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1,672,933.00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287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陈丽萍</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3,342,039.00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3,342,039.00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1,012,039.00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288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178.91</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高亚静</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3,342,039.00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3,342,039.00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1,012,039.00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289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2,484,956.00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290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2,318,556.00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291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2,283,341.00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292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2,434,778.00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293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2,492,202.00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294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2,325,599.00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295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2,290,384.00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296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2,441,956.00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297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2,499,380.00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298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2,339,685.00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299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2,304,470.00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300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2,449,134.00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301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王景涛</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2,520,914.00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2,520,914.00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760,914.00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302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吴明明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2,360,814.00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2,360,814.00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480,814.00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303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柯技超</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2,325,599.00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2,302,343.00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692,343.00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1,610,000.00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304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沈俊浩</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2,470,668.00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2,470,668.00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750,668.00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1,720,000.00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305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章凤根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2,535,270.00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2,535,270.00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765,270.00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306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2,374,900.00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307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季惠琴</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2,339,685.00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2,339,685.00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479,685.00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308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徐玉华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2,485,024.00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2,485,024.00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1,245,024.00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309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金星光</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2,542,448.00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2,542,448.00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1,272,448.00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310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沈智帆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2,381,943.00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2,381,943.00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721,943.00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311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田淑静</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2,346,728.00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2,346,728.00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706,728.00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312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沈鸣</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2,492,202.00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2,492,202.00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752,202.00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313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屠征艳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2,549,626.00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2,549,626.00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2,549,626.00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314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认购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沈旖灵</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2,388,986.00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315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沈丽</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2,353,771.00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2,353,771.00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713,771.00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316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王少秋</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2,499,380.00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2,499,380.00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759,380.00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317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徐常松</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2,556,804.00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2,556,804.00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776,804.00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318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吴建冰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2,396,029.00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2,396,029.00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2,396,029.00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319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陈小芬</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2,360,814.00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2,360,814.00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2,360,814.00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320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杨龙珠</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2,506,558.00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2,506,558.00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1,756,558.00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321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张晓良</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2,585,516.00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2,585,516.00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785,516.00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322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苏晓澜</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2,424,201.00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2,424,201.00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2,424,201.00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323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认购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杨哲煜</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2,388,986.00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324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周锋</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2,535,270.00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2,535,270.00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1,535,270.00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325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袁一帆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2,592,694.00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2,592,694.00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2,592,694.00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326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顾卫</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2,431,244.00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2,406,932.00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1,806,932.00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327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张磊</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2,396,029.00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2,396,029.00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486,029.00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1,910,000.00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328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温荣昊</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2,542,448.00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2,542,448.00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2,542,448.00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329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郑学龙</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2,599,872.00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2,599,872.00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799,872.00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330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黄飞</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2,438,287.00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2,438,287.00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738,287.00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331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邹华良</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2,403,072.00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2,403,072.00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723,072.00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332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解军</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2,549,626.00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2,524,130.00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764,130.00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333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蔡家育</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2,607,050.00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2,607,050.00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807,050.00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334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戴学明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2,445,330.00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2,445,330.00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735,330.00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1,710,000.00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335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认购</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2,410,115.00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336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王怡情</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2,556,804.00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2,556,804.00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776,804.00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337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李旭东</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2,607,050.00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2,607,050.00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1,907,050.00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338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钱玲</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2,445,330.00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2,445,330.00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2,045,330.00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339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钱晨斐</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2,410,115.00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2,410,115.00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723,115.00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1,687,000.00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340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吉素平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2,556,804.00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2,556,804.00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1,236,804.00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1,320,000.00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341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钱玉兰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2,621,406.00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2,621,406.00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2,621,406.00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342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齐蓝</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2,459,416.00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2,459,416.00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1,239,416.00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1,220,000.00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343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袁永明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2,424,201.00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2,424,201.00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1,624,201.00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344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洪连续</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2,571,160.00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2,571,160.00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781,160.00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1,790,000.00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345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施林花</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2,628,584.00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2,628,584.00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1,328,584.00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346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汤保玉</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2,466,459.00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2,466,459.00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746,459.00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1,720,000.00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347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唐凯萍</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2,431,244.00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2,431,244.00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2,431,244.00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348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彭华春</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2,578,338.00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2,578,338.00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2,578,338.00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349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吴羽梵</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2,628,584.00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2,602,298.00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1,302,298.00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350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高天</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2,466,459.00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2,466,459.00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1,006,459.00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351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顾勤英</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2,431,244.00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2,431,244.00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2,431,244.00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352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宋佳雪</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2,578,338.00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2,578,338.00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1,289,338.00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1,289,000.00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353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沈舟丹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2,621,406.00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2,621,406.00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791,406.00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354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2,459,416.00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355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徐菁</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2,424,201.00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2,424,201.00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1,424,201.00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356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印春东</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2,571,160.00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2,571,160.00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1,841,160.00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357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2,506,558.00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358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郭燕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2,346,728.00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2,346,728.00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470,000.00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1,876,728.00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359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张誉怀</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2,311,513.00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2,311,513.00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701,513.00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1,610,000.00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360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曹雪婷</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2,456,312.00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2,456,312.00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2,456,312.00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361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2,341,434.00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362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2,217,721.00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363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2,225,128.00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364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2,268,090.00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365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2,356,236.00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366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2,232,535.00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367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2,239,942.00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368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2,282,904.00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369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周建惠</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2,385,864.00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2,385,864.00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2,385,864.00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370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2,262,164.00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371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2,269,571.00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372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周世博</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2,312,533.00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2,312,533.00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1,062,533.00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373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2,385,864.00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374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徐菊芳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2,262,164.00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2,262,164.00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1,132,164.00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375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顾萍萍</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2,269,571.00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2,269,571.00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1,139,571.00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376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朱丹丹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2,312,533.00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2,312,533.00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1,162,533.00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377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王兴根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2,474,751.00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2,474,751.00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2,474,751.00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378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陆娟娟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2,351,051.00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2,351,051.00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711,051.00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379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2,358,458.00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2,358,458.00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808,458.00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380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刘云</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2,401,420.00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2,401,420.00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721,420.00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381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唐晓薇</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2,474,751.00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2,474,751.00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1,244,751.00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382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姚卫星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2,351,051.00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2,351,051.00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711,051.00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383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王中银</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2,358,458.00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2,358,458.00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958,458.00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384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周琴琴</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2,401,420.00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2,401,420.00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1,201,420.00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385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堵宇凡</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2,474,751.00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2,474,751.00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2,474,751.00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386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袁超群</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2,351,051.00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2,351,051.00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1,381,051.00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387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陈建明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2,358,458.00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2,358,458.00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1,408,458.00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388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蒋生辰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2,401,420.00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2,401,420.00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1,791,420.00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610,000.00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389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沈小四</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2,489,565.00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2,489,565.00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1,289,565.00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390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沈佳华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2,365,865.00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2,365,865.00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2,365,865.00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391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陆中伟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2,373,272.00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2,373,272.00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1,193,272.00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392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沈俊杰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2,416,234.00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2,416,234.00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1,376,234.00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393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张裕悦</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2,489,565.00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2,489,565.00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749,565.00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394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沈云龙</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2,365,865.00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2,365,865.00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715,865.00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395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顾永林</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2,373,272.00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2,373,272.00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2,373,272.00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396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钱晓萍</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2,416,234.00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2,416,234.00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816,234.00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397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蔡书恬</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2,489,565.00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2,489,565.00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1,999,565.00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490,000.00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398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张诚峰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2,365,865.00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2,365,865.00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1,365,865.00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399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张子方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2,373,272.00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2,373,272.00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1,193,272.00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400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金国良</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2,416,234.00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2,416,234.00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1,766,234.00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401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陈巧兰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2,489,565.00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2,489,565.00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749,565.00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402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沈菲</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2,365,865.00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2,365,865.00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715,865.00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403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黄德生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2,373,272.00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2,373,272.00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2,373,272.00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404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计振华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2,416,234.00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2,416,234.00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1,216,234.00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405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张树凤</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2,489,565.00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2,489,565.00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749,565.00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406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许永明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2,365,865.00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2,365,865.00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1,615,865.00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407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平晓晨</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2,373,272.00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2,373,272.00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1,273,272.00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408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孔旻</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2,416,234.00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2,416,234.00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2,416,234.00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409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仲晟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2,489,565.00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2,489,565.00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749,565.00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410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苏巧明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2,365,865.00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2,365,865.00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2,365,865.00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411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吴亚萍</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2,373,272.00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2,373,272.00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2,373,272.00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412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吴见芳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2,416,234.00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2,416,234.00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1,236,234.00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413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吴晓兰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2,482,158.00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2,482,158.00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1,242,158.00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414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金振荣</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2,358,458.00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2,358,458.00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2,358,458.00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415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杨菊花</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2,365,865.00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2,365,865.00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1,465,865.00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416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潘有勇</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2,408,827.00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2,408,827.00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728,827.00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417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金煜</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2,519,194.00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2,519,194.00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759,194.00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418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金月清</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2,395,494.00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2,395,494.00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825,494.00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419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韦可军</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2,402,901.00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2,402,901.00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1,202,901.00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420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吴丽清</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2,445,863.00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2,445,863.00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1,545,863.00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421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洪美珠</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2,519,194.00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2,519,194.00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1,468,388.00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1,050,806.00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422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钱文娟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2,395,494.00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2,395,494.00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1,095,494.00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423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沈俊宇</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2,402,901.00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2,402,901.00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1,202,901.00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424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沈福林</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2,445,863.00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2,421,404.00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2,421,404.00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425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何欣蔚</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2,519,194.00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2,519,194.00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2,019,194.00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426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卢金狗</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2,395,494.00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2,395,494.00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1,705,494.00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690,000.00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427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王林娟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2,402,901.00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2,402,901.00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1,602,901.00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428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张俊峰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2,445,863.00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2,445,863.00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1,135,863.00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1,310,000.00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429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蔡利平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2,504,380.00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2,504,380.00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754,380.00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430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陈明官</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2,380,679.00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2,380,679.00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1,200,679.00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431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计国峰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2,388,087.00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2,388,087.00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2,388,087.00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432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金琦</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2,431,048.00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2,431,048.00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2,431,048.00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433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朱诗婷</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2,519,194.00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2,519,194.00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759,194.00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434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周欣怡</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2,395,494.00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2,395,494.00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1,395,494.00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435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仲菊花</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2,402,901.00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2,402,901.00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1,902,901.00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436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魏小娇</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2,445,863.00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2,445,863.00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1,225,863.00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1,220,000.00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437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2,535,874.00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2,535,874.00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2,535,874.00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438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祝雨晴</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2,412,175.00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2,412,175.00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2,412,175.00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439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陈志艳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2,419,580.00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2,419,580.00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2,419,580.00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440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胡佳燕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2,462,542.00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2,462,542.00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1,232,542.00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441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庄培康</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2,535,874.00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2,535,874.00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765,874.00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442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仲苏民</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2,412,175.00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2,412,175.00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732,175.00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443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沈蓉</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2,419,580.00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2,419,580.00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729,580.00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1,690,000.00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444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计情文</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2,462,542.00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2,462,542.00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2,462,542.00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445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王强</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2,535,874.00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2,535,874.00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1,275,874.00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446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沈凤娟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2,412,175.00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2,412,175.00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732,175.00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447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庞月芳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2,419,580.00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2,419,580.00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819,580.00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448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徐苏玮</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2,462,542.00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2,462,542.00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742,542.00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1,720,000.00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449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2,526,602.00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2,526,602.00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1,266,602.00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450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戴建山</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2,402,901.00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2,402,901.00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722,901.00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451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卜彦婷</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2,410,308.00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2,410,308.00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730,308.00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452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王云芳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2,453,270.00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2,453,270.00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1,233,270.00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1,220,000.00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453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罗天勇</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2,511,787.00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2,511,787.00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1,261,787.00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454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仇玉梅</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2,388,087.00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2,388,087.00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1,198,087.00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1,190,000.00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455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毛桂林</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2,395,494.00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2,395,494.00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1,055,494.00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456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周韬</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2,438,456.00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2,438,456.00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1,228,456.00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1,210,000.00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457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朱红建</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2,363,643.00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2,363,643.00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713,643.00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458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王素芹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2,239,942.00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2,239,942.00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679,942.00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459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钱文娟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2,247,349.00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2,247,349.00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1,127,349.00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1,120,000.00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460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143.70</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唐仁军</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2,290,311.00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2,290,311.00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2,290,311.00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461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2,442,015.00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462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2,356,470.00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463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田静</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2,319,788.00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2,290,000.00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464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2,383,694.00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465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尤娟英</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2,471,924.00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2,460,000.00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466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夏萍</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2,385,816.00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2,361,966.00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2,361,966.00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467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李建辉</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2,363,807.00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1,180,000.00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468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俞金珍</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2,428,557.00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2,423,557.00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2,023,557.00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469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曾泽森</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2,471,924.00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2,447,205.00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489,441.00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1,957,764.00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470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金国荣</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2,385,816.00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1,430,000.00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471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邓云菊</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2,363,807.00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472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钱忠华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2,428,557.00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1,400,000.00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473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彭明锋</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2,576,603.00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2,576,603.00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776,603.00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474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王舒佳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2,473,854.00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2,465,854.00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745,854.00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1,720,000.00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475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徐传兴</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2,451,844.00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2,446,844.00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1,226,844.00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1,220,000.00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476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潘彦</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2,518,282.00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2,513,282.00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2,513,282.00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477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邵玩祥</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2,576,603.00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2,525,071.00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1,265,071.00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478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蒋驹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2,473,854.00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2,424,377.00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2,424,377.00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479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宋思柔</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2,451,844.00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2,447,000.00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2,447,000.00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480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何建根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2,518,282.00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760,000.00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481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范伟雄</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2,576,603.00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2,525,071.00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2,525,071.00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482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吴建敏</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2,473,854.00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2,467,854.00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2,467,854.00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483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蒋丽萍</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2,451,844.00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2,451,844.00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1,251,844.00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484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2,518,282.00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2,467,916.00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2,467,916.00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485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沈应珍</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2,621,465.00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2,569,036.00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2,569,036.00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486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卜寒兵</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2,503,200.00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2,453,136.00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2,453,136.00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487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许长福</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2,481,190.00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1,240,000.00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488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王金明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2,548,190.00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2,497,226.00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2,497,226.00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489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唐泠淳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2,621,465.00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2,569,036.00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2,569,036.00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490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孙正英</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2,503,200.00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2,453,136.00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1,233,136.00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1,220,000.00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491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潘卫泉</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2,481,190.00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2,431,566.00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2,431,566.00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492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戴嘉豪</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2,548,190.00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2,497,226.00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2,497,226.00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493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马德星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2,681,282.00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2,627,656.00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797,656.00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494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张宇钦</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2,532,545.00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2,481,894.00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2,481,894.00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495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沈燕佳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2,510,536.00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2,460,325.00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2,460,325.00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496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李守菊</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2,578,098.00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2,526,536.00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2,526,536.00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497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詹界鹏</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2,681,282.00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2,681,282.00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811,282.00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498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马永良</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2,532,545.00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2,481,894.00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2,481,894.00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499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潘建友</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2,510,536.00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2,510,536.00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2,510,536.00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500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褚美琴</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2,578,098.00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2,526,536.00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2,526,536.00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501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山鹰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2,681,282.00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2,601,379.00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2,601,379.00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502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刘斌</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2,532,545.00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2,481,894.00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751,894.00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503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张亚</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2,510,536.00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2,460,325.00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1,230,325.00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504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杨静</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2,578,098.00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2,526,536.00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2,526,536.00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505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阮金昌</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2,681,282.00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2,627,656.00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2,627,656.00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506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潘卫明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2,532,545.00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2,481,894.00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2,481,894.00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507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胡雪峰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2,510,536.00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2,460,325.00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2,460,325.00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508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洪连助</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2,578,098.00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2,526,536.00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2,526,536.00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509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沈林根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2,651,374.00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2,598,347.00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788,347.00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1,810,000.00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510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陈骏</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2,525,209.00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2,520,000.00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2,520,000.00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511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2,503,200.00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2,503,200.00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1,253,200.00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512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龚春苗</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2,570,621.00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2,560,621.00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2,560,621.00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513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胡哂洁</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2,681,282.00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2,627,656.00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2,627,656.00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514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沈水根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2,554,555.00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2,503,464.00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2,503,464.00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515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钱奕涵</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2,532,545.00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2,532,545.00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2,532,545.00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516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张周莉</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2,608,007.00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2,555,847.00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2,555,847.00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517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王凤娟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2,681,282.00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2,627,656.00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2,627,656.00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518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楊文静</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2,554,555.00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2,503,464.00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1,253,464.00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519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陆倩</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2,532,545.00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2,481,894.00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2,481,894.00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520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2,608,007.00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2,555,847.00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975,847.00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521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倪晓东</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2,681,282.00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2,627,656.00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2,627,656.00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522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吴聪聪</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2,554,555.00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2,503,464.00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753,464.00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1,750,000.00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523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陈子根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2,532,545.00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2,481,894.00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1,351,894.00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524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王熠辉</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2,608,007.00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2,555,847.00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1,655,847.00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525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占嘉峰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2,658,851.00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2,605,674.00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1,645,674.00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526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蒋福林</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2,532,545.00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2,481,894.00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2,481,894.00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527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周贤全</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2,510,536.00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2,460,325.00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1,000,325.00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528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沈梦佳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2,585,575.00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2,533,864.00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2,533,864.00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529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何秀英</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2,501,832.00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2,451,795.00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2,451,795.00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530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王建梅</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2,378,480.00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2,330,910.00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1,100,910.00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531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沈奕婧</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2,356,470.00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2,309,341.00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2,309,341.00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532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143.56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史祯艳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2,428,557.00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2,379,986.00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2,379,986.00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533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534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535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胡蓓琪</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1,012,492.00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536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537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胡诗菡</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670,000.00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2,672,492.00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538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539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李玲</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1,672,492.00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540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施健伟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1,672,492.00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541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计雪荣</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542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平雪刚</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543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顾逸成</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544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蔡远明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545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钮凡</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546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马思杨</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547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沈心怡</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548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钮晓兵</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1,012,492.00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549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蔡可心</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550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何运平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551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江飞</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552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叶子卿</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1,012,492.00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553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马轶涛</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1,012,492.00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554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周涛</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555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钱裕妍</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556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赵荣湘</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557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郁文珠</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558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王靖</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559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陈成</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560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徐旭</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561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柯小妹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562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吴佳俊</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563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钮玉根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1,692,492.00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564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夏伯明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565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陈赛娟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3,309,067.00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3,309,067.00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566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钱益明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567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吴宇超</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568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曾静</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1,672,492.00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569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潘建月</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570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178.86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严慧萍</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3,342,492.00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3,342,492.00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571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孙宁宁</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2,107,293.00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2,086,220.00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2,086,220.00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572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沈银华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1,906,705.00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1,888,000.00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948,000.00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573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计德华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2,181,835.00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2,160,017.00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2,160,017.00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574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丁美玉</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1,969,179.00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1,954,179.00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1,154,179.00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575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1,950,437.00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1,940,437.00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1,940,437.00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576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仲吉平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2,196,743.00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2,175,000.00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655,000.00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1,520,000.00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577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占才华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2,211,651.00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2,189,534.00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2,189,534.00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578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王关林</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1,994,169.00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1,955,000.00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1,955,000.00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579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李燕宾</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1,975,427.00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1,935,918.00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1,935,918.00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580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包立柱</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2,226,560.00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2,205,000.00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665,000.00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581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赵燕芳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2,271,285.00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2,260,000.00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1,860,000.00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582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彭仁远</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1,994,169.00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1,955,000.00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595,000.00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583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杨晓琛</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1,975,427.00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1,935,918.00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1,935,918.00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584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徐林</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2,226,560.00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2,210,000.00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663,000.00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1,547,000.00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585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沈宇磊</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2,360,735.00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2,360,735.00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2,360,735.00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586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沈慧峰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2,069,138.00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2,027,755.00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2,027,755.00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587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金卫良</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2,050,395.00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2,047,395.00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1,457,395.00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590,000.00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588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谢丽英</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2,316,010.00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2,316,010.00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2,316,010.00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589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沈惠娟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2,360,735.00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2,337,128.00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707,128.00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590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孙琳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2,069,138.00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2,059,138.00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2,059,138.00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591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黄春官</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2,050,395.00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1,969,400.00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989,400.00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592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陈恩才</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2,316,010.00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2,313,010.00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1,603,010.00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593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朱玲</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2,360,735.00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2,337,128.00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1,337,128.00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594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潘振毅</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2,069,138.00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2,060,000.00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595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孙建霞</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2,050,395.00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2,009,387.00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1,509,387.00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596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李庆兵</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2,316,010.00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2,313,010.00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703,010.00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1,610,000.00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597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张浩</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2,375,643.00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2,351,887.00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711,887.00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598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杨士江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2,081,632.00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2,079,000.00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2,079,000.00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599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沈卫春</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2,062,890.00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2,062,890.00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2,062,890.00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600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洪秋燕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2,330,918.00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2,327,000.00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727,000.00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601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钮振敏</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2,375,643.00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2,351,887.00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2,351,887.00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602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王波</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2,081,632.00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2,078,632.00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698,632.00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603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吴海宝</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2,062,890.00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2,021,632.00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2,021,632.00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604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杨雪文</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2,330,918.00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2,307,609.00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697,609.00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1,610,000.00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605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计海林</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2,390,551.00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2,366,645.00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1,186,645.00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606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吴章军</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2,094,127.00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2,052,244.00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1,052,244.00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607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李若冰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2,075,385.00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2,033,877.00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2,033,877.00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608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钮嘉诚</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2,345,826.00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2,322,368.00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697,368.00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1,625,000.00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609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金陈佳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2,390,551.00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2,366,645.00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2,366,645.00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610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沈荣华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2,094,127.00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2,052,244.00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2,052,244.00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611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邵佳瑜</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2,075,385.00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2,075,385.00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625,385.00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612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顾晨</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2,345,826.00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2,345,826.00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705,826.00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613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钱孝炳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2,390,551.00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2,366,645.00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2,366,645.00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614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王英</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2,094,127.00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2,052,244.00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2,052,244.00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615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朱怡婷</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2,075,385.00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2,033,877.00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2,033,877.00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616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张永美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2,345,826.00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2,322,368.00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1,162,368.00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617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吴进林</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2,390,551.00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2,366,645.00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1,566,645.00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618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潘利芳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2,094,127.00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2,052,244.00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1,352,244.00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619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吴雁萍</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2,075,385.00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2,033,877.00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2,033,877.00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620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刘功海</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2,345,826.00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2,322,368.00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702,368.00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1,620,000.00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621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张建荣</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2,383,097.00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2,359,266.00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2,359,266.00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622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朱正元</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2,087,880.00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2,080,000.00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2,080,000.00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623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樊小丽</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2,069,138.00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2,064,000.00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2,064,000.00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624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桑晓华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2,338,372.00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2,338,372.00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2,338,372.00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625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王慧雄</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2,420,368.00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2,396,164.00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2,396,164.00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626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徐付春</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2,119,117.00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2,076,735.00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2,076,735.00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627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李红英</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2,100,374.00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2,058,367.00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2,058,367.00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628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柯丽淑</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2,375,643.00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2,365,643.00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715,643.00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629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徐建东</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2,420,368.00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2,396,164.00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2,396,164.00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630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徐建荣</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2,119,117.00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2,076,735.00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2,076,735.00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631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金晓珏</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2,100,374.00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2,058,367.00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2,058,367.00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632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余智丽</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2,375,643.00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2,375,643.00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715,643.00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633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张美珍</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2,420,368.00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2,396,164.00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2,396,164.00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634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钮小燕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2,119,117.00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2,076,735.00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2,076,735.00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635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陈康</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2,100,374.00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2,058,367.00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2,058,367.00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636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2,375,643.00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2,328,368.00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2,328,368.00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637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陆联强</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2,398,005.00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2,374,025.00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2,374,025.00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638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吴广杰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2,100,374.00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2,096,666.00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636,666.00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639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杨晓红</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2,081,632.00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2,039,999.00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2,039,999.00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640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叶华方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2,353,280.00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2,350,000.00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641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刘韦谱</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2,420,368.00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2,396,164.00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1,206,164.00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1,190,000.00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642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杨军</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2,119,117.00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2,076,735.00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2,076,735.00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643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钱金萍</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2,100,374.00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2,058,367.00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2,058,367.00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644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吴良</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2,375,643.00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2,372,888.00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2,372,888.00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645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钱奇</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2,450,185.00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2,425,683.00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2,425,683.00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646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吴俊逸</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2,144,106.00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2,139,106.00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2,139,106.00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647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解志红</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2,125,364.00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2,082,857.00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2,082,857.00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648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刘国彬</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2,405,460.00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2,381,405.00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1,191,405.00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1,190,000.00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649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金衍通</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2,442,730.00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2,418,303.00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2,418,303.00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650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金菊花</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2,137,859.00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2,130,000.00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2,130,000.00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651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袁林华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2,119,117.00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2,112,000.00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642,000.00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652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杨少雄</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2,398,005.00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2,393,005.00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2,393,005.00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653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计小艳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2,435,276.00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2,410,923.00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2,410,923.00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654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桑庆芝</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2,131,611.00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2,088,979.00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2,088,979.00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655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潘建锋</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2,112,869.00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2,070,612.00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2,070,612.00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656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寇春辉</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2,390,551.00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2,366,645.00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716,645.00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657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谢丽华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2,427,822.00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2,403,544.00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2,403,544.00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658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吴晨芸</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2,125,364.00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2,082,857.00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2,082,857.00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659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高月华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2,106,622.00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2,064,490.00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2,064,490.00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660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胡春秋</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2,383,097.00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2,373,097.00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1,193,097.00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661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高帅帅</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2,412,914.00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2,388,785.00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2,388,785.00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662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陈江南</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2,112,869.00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2,088,900.00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628,900.00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663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2,094,127.00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2,090,000.00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2,090,000.00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664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沈徐慧</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2,368,189.00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2,336,400.00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2,336,400.00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665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任芳华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2,263,830.00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2,241,192.00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2,241,192.00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666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1,987,921.00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1,972,921.00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1,972,921.00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667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周燕燕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1,969,179.00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1,929,795.00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1,929,795.00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668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杨雨凡</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2,219,105.00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2,196,914.00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2,196,914.00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669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2,152,018.00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670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钱火泉</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1,906,705.00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1,887,638.00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567,638.00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1,320,000.00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671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樊艳红</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2,226,560.00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2,210,000.00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960,000.00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672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毛秋红</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1,969,179.00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1,940,000.00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1,140,000.00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673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待售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1,944,190.00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674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徐宇菲</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2,174,380.00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2,155,000.00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1,085,000.00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675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翁君军</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2,256,376.00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2,235,000.00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2,235,000.00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676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陈亮</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1,994,169.00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1,955,000.00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595,000.00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677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马哲贵</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1,969,179.00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1,930,000.00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580,000.00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678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王大锐</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2,204,197.00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2,204,197.00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1,104,197.00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679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顾家伟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2,256,376.00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2,233,812.00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2,233,812.00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680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杨祎婷</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1,994,169.00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1,975,000.00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595,000.00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681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汤泽秀</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1,969,179.00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1,966,000.00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596,000.00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682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杨磊</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2,204,197.00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2,196,197.00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666,197.00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683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2,345,826.00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2,345,826.00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705,826.00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684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陆新根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2,069,138.00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2,065,138.00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625,138.00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685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李健成</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2,044,148.00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2,038,888.00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618,888.00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1,420,000.00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686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薛凤娜</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2,293,647.00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2,290,000.00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2,290,000.00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687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仲敏瑶</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2,345,826.00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2,338,888.00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1,638,888.00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688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2,069,138.00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2,069,138.00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2,069,138.00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689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邸皖豫</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2,044,148.00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2,040,000.00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620,000.00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1,420,000.00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690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张海亮</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2,293,647.00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2,289,000.00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1,149,000.00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691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高森林</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2,345,826.00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2,322,368.00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1,162,368.00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692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2,069,138.00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2,066,138.00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1,046,138.00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1,020,000.00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693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沈林夏</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2,044,148.00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2,041,000.00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2,041,000.00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694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顾玲妹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2,293,647.00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2,290,647.00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690,647.00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695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倪卫英</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2,360,735.00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2,357,735.00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707,735.00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696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褚烨</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2,081,632.00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2,060,816.00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2,060,816.00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697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张宋涛</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2,056,643.00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2,056,643.00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1,446,643.00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610,000.00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698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程忠民</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2,308,555.00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2,305,555.00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1,505,555.00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699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计月英</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2,360,735.00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2,337,128.00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707,128.00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700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钮雷涛</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2,081,632.00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2,081,632.00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631,632.00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701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吴程成</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2,056,643.00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2,015,510.00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2,015,510.00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702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冷兴根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2,308,555.00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2,285,469.00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2,285,469.00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703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沈钰文</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2,375,643.00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2,375,643.00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715,643.00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704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闫振荣</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2,094,127.00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2,052,244.00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2,052,244.00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705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袁君燕</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2,069,138.00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2,066,138.00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626,138.00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706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沈传根</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2,323,464.00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2,318,598.00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2,318,598.00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707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沈国华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2,375,643.00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2,351,887.00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2,351,887.00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708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张宝达</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2,094,127.00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2,093,000.00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633,000.00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709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李兴华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2,069,138.00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2,027,755.00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1,627,755.00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710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钮金坤</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2,323,464.00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2,318,464.00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2,318,464.00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711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严坤林</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2,375,643.00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2,375,643.00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1,505,643.00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712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杨晓君</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2,094,127.00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2,052,244.00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2,052,244.00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713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张馨露</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2,069,138.00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2,066,138.00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966,138.00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714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沈佳铭</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2,323,464.00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2,300,229.00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1,300,229.00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715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朱晔</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2,375,643.00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2,351,887.00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711,887.00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716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王根琴</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2,094,127.00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2,052,244.00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1,052,244.00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717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毛少华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2,069,138.00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2,069,138.00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2,069,138.00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718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黄梦凯</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2,323,464.00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2,300,229.00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2,300,229.00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719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吴佳慧</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2,368,189.00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2,344,507.00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704,507.00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720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沈宇</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2,087,880.00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2,067,001.00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2,067,001.00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721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沈一飞</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2,062,890.00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2,042,261.00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2,042,261.00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722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陈彬华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2,316,010.00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2,310,000.00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1,610,000.00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723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何正生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2,405,460.00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2,381,405.00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2,381,405.00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724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王卫琴</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2,119,117.00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2,076,735.00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836,735.00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725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周亚</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2,094,127.00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2,052,244.00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2,052,244.00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726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李俊豪</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2,353,280.00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2,329,747.00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2,329,747.00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727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曹根泉</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2,405,460.00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2,381,405.00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1,191,405.00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1,190,000.00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728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姚陈琦</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2,119,117.00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2,119,117.00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789,117.00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729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吴海华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2,094,127.00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2,052,244.00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2,052,244.00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730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朱晓鸣</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2,353,280.00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2,329,747.00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2,329,747.00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731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吴小东</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2,405,460.00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2,381,405.00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2,381,405.00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732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计奕杰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2,119,117.00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2,119,117.00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639,117.00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1,480,000.00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733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钮金坤</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2,094,127.00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2,052,244.00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2,052,244.00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734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吴建华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2,353,280.00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2,329,747.00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2,329,747.00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735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王伟铭</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2,383,097.00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2,359,266.00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1,189,266.00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736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王祖华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2,100,374.00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2,090,374.00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1,090,374.00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737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胡玥倩</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2,075,385.00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2,072,385.00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1,042,385.00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738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陈志明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2,330,918.00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2,330,918.00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2,330,918.00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739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冯君妍</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2,405,460.00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2,381,405.00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2,381,405.00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740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陈淑雯</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2,119,117.00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2,076,735.00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626,735.00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741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杨阳</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2,094,127.00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2,052,244.00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2,052,244.00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742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董学洋</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2,353,280.00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2,329,747.00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1,169,747.00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1,160,000.00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743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韩新春</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2,435,276.00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2,410,923.00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1,210,923.00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744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计刚</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2,144,106.00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2,101,224.00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2,101,224.00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745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陆姣姣</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2,119,117.00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2,076,735.00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2,076,735.00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746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周永夫</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2,383,097.00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2,378,888.00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908,888.00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747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朱铭洁</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2,427,822.00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2,379,509.00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730,509.00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1,649,000.00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748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蔡俊涛</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2,137,859.00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2,130,000.00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2,130,000.00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749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张苗苗</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2,112,869.00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2,108,791.00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888,791.00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1,220,000.00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750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沈宏</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2,375,643.00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2,372,000.00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2,372,000.00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751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俞强</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2,420,368.00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2,396,164.00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1,926,164.00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470,000.00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752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刘承生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2,131,611.00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2,088,979.00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1,048,979.00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1,040,000.00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753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卜风元</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2,106,622.00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2,104,622.00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2,104,622.00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754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王大洋</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2,368,189.00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2,368,189.00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2,368,189.00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755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姚俊</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2,412,914.00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2,388,785.00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2,388,785.00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756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潘菊明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2,125,364.00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2,118,888.00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2,118,888.00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757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冯惠琴</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2,100,374.00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2,100,000.00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2,100,000.00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758</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孙玉星</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2,360,735.00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2,337,128.00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707,128.00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759</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沈依祎</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2,398,005.00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2,374,025.00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714,025.00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760</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张齐琴</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2,112,869.00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2,102,000.00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1,302,000.00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800,000.00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761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严静</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2,087,880.00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2,082,888.00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632,888.00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1,450,000.00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762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徐玲</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2,345,826.00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2,340,000.00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710,000.00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1,630,000.00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763</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2501</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曹红梅</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2,248,922.00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2,240,000.00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680,000.00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1,560,000.00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764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2502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王玲</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1,987,921.00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1,948,163.00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1,948,163.00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765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119.95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吴建宏</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1,962,932.00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1,923,870.00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963,870.00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960,000.00 </w:t>
            </w:r>
          </w:p>
        </w:tc>
      </w:tr>
      <w:tr>
        <w:tblPrEx>
          <w:tblCellMar>
            <w:top w:w="0" w:type="dxa"/>
            <w:left w:w="108" w:type="dxa"/>
            <w:bottom w:w="0" w:type="dxa"/>
            <w:right w:w="108" w:type="dxa"/>
          </w:tblCellMar>
        </w:tblPrEx>
        <w:trPr>
          <w:trHeight w:val="255" w:hRule="atLeast"/>
          <w:jc w:val="center"/>
        </w:trPr>
        <w:tc>
          <w:tcPr>
            <w:tcW w:w="959" w:type="dxa"/>
            <w:tcBorders>
              <w:top w:val="single" w:color="000000" w:sz="4" w:space="0"/>
              <w:left w:val="single" w:color="000000" w:sz="4" w:space="0"/>
              <w:bottom w:val="single" w:color="000000" w:sz="4" w:space="0"/>
              <w:right w:val="single" w:color="000000" w:sz="4" w:space="0"/>
            </w:tcBorders>
            <w:shd w:val="clear" w:color="auto" w:fill="auto"/>
            <w:noWrap/>
          </w:tcPr>
          <w:p>
            <w:pPr>
              <w:jc w:val="center"/>
              <w:textAlignment w:val="top"/>
              <w:rPr>
                <w:rFonts w:ascii="Arial" w:hAnsi="Arial" w:cs="Arial"/>
                <w:color w:val="000000"/>
                <w:sz w:val="18"/>
                <w:szCs w:val="18"/>
              </w:rPr>
            </w:pPr>
            <w:r>
              <w:rPr>
                <w:rFonts w:ascii="Arial" w:hAnsi="Arial" w:cs="Arial"/>
                <w:color w:val="000000"/>
                <w:sz w:val="18"/>
                <w:szCs w:val="18"/>
                <w:lang w:bidi="ar"/>
              </w:rPr>
              <w:t>766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11号楼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2504</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143.12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签约</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严佳峰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2,196,743.00</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2,174,776.00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1,424,776.00 </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lang w:bidi="ar"/>
              </w:rPr>
              <w:t xml:space="preserve">750,000.00 </w:t>
            </w:r>
          </w:p>
        </w:tc>
      </w:tr>
    </w:tbl>
    <w:p>
      <w:pPr>
        <w:rPr>
          <w:rFonts w:ascii="宋体" w:hAnsi="宋体" w:cs="宋体"/>
          <w:bCs/>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hint="eastAsia" w:ascii="宋体" w:hAnsi="宋体" w:cs="宋体"/>
          <w:b/>
          <w:sz w:val="21"/>
          <w:szCs w:val="21"/>
        </w:rPr>
      </w:pPr>
    </w:p>
    <w:p>
      <w:pPr>
        <w:rPr>
          <w:rFonts w:ascii="宋体" w:hAnsi="宋体" w:cs="宋体"/>
          <w:b/>
          <w:sz w:val="21"/>
          <w:szCs w:val="21"/>
        </w:rPr>
      </w:pPr>
      <w:r>
        <w:rPr>
          <w:rFonts w:hint="eastAsia" w:ascii="宋体" w:hAnsi="宋体" w:cs="宋体"/>
          <w:b/>
          <w:sz w:val="21"/>
          <w:szCs w:val="21"/>
        </w:rPr>
        <w:t>附件五：本期项目用印台账</w:t>
      </w:r>
    </w:p>
    <w:p>
      <w:pPr>
        <w:rPr>
          <w:rFonts w:ascii="宋体" w:hAnsi="宋体" w:cs="宋体"/>
          <w:b/>
          <w:sz w:val="21"/>
          <w:szCs w:val="21"/>
        </w:rPr>
      </w:pPr>
    </w:p>
    <w:tbl>
      <w:tblPr>
        <w:tblStyle w:val="17"/>
        <w:tblW w:w="4997" w:type="pct"/>
        <w:tblInd w:w="0" w:type="dxa"/>
        <w:tblLayout w:type="autofit"/>
        <w:tblCellMar>
          <w:top w:w="0" w:type="dxa"/>
          <w:left w:w="108" w:type="dxa"/>
          <w:bottom w:w="0" w:type="dxa"/>
          <w:right w:w="108" w:type="dxa"/>
        </w:tblCellMar>
      </w:tblPr>
      <w:tblGrid>
        <w:gridCol w:w="766"/>
        <w:gridCol w:w="1410"/>
        <w:gridCol w:w="975"/>
        <w:gridCol w:w="3334"/>
        <w:gridCol w:w="3260"/>
        <w:gridCol w:w="1561"/>
        <w:gridCol w:w="848"/>
        <w:gridCol w:w="1253"/>
        <w:gridCol w:w="1370"/>
      </w:tblGrid>
      <w:tr>
        <w:tblPrEx>
          <w:tblCellMar>
            <w:top w:w="0" w:type="dxa"/>
            <w:left w:w="108" w:type="dxa"/>
            <w:bottom w:w="0" w:type="dxa"/>
            <w:right w:w="108" w:type="dxa"/>
          </w:tblCellMar>
        </w:tblPrEx>
        <w:trPr>
          <w:trHeight w:val="284" w:hRule="atLeast"/>
          <w:tblHeader/>
        </w:trPr>
        <w:tc>
          <w:tcPr>
            <w:tcW w:w="25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47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用印日期</w:t>
            </w:r>
          </w:p>
        </w:tc>
        <w:tc>
          <w:tcPr>
            <w:tcW w:w="33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印鉴名称</w:t>
            </w:r>
          </w:p>
        </w:tc>
        <w:tc>
          <w:tcPr>
            <w:tcW w:w="112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用印事由</w:t>
            </w:r>
          </w:p>
        </w:tc>
        <w:tc>
          <w:tcPr>
            <w:tcW w:w="110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用印材料及份数</w:t>
            </w:r>
          </w:p>
        </w:tc>
        <w:tc>
          <w:tcPr>
            <w:tcW w:w="52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w:t>
            </w:r>
          </w:p>
          <w:p>
            <w:pPr>
              <w:jc w:val="center"/>
              <w:textAlignment w:val="center"/>
              <w:rPr>
                <w:rFonts w:ascii="Arial" w:hAnsi="Arial" w:cs="Arial"/>
                <w:b/>
                <w:bCs/>
                <w:color w:val="000000"/>
                <w:sz w:val="18"/>
                <w:szCs w:val="18"/>
              </w:rPr>
            </w:pPr>
            <w:r>
              <w:rPr>
                <w:rFonts w:ascii="Arial" w:hAnsi="Arial" w:cs="Arial"/>
                <w:b/>
                <w:bCs/>
                <w:color w:val="000000"/>
                <w:sz w:val="18"/>
                <w:szCs w:val="18"/>
                <w:lang w:bidi="ar"/>
              </w:rPr>
              <w:t>部门</w:t>
            </w:r>
          </w:p>
        </w:tc>
        <w:tc>
          <w:tcPr>
            <w:tcW w:w="28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经办人</w:t>
            </w:r>
          </w:p>
        </w:tc>
        <w:tc>
          <w:tcPr>
            <w:tcW w:w="42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审批方式</w:t>
            </w:r>
          </w:p>
        </w:tc>
        <w:tc>
          <w:tcPr>
            <w:tcW w:w="46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lang w:bidi="ar"/>
              </w:rPr>
              <w:t>监印人</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合同章</w:t>
            </w:r>
            <w:r>
              <w:rPr>
                <w:rFonts w:ascii="Arial" w:hAnsi="Arial" w:cs="Arial"/>
                <w:color w:val="000000"/>
                <w:sz w:val="18"/>
                <w:szCs w:val="18"/>
                <w:lang w:bidi="ar"/>
              </w:rPr>
              <w:br w:type="textWrapping"/>
            </w:r>
            <w:r>
              <w:rPr>
                <w:rFonts w:ascii="Arial" w:hAnsi="Arial" w:cs="Arial"/>
                <w:color w:val="000000"/>
                <w:sz w:val="18"/>
                <w:szCs w:val="18"/>
                <w:lang w:bidi="ar"/>
              </w:rPr>
              <w:t>法人章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盛泽一期电子锁供货合同用印申请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一期电子锁供货合同（5份）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合约管理部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何天磊</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康信资管内部审核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关于苏州盛泽项目临时管理规约用印申请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临时管理规约（500份）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物业公司</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施炜</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关于苏州盛泽项目前期物业服务协议用印申请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前期物业管理服务协议（700份）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物业公司</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施炜</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盛泽天铂第三批房源（2#3#4#6#）开盘资料、商品房买卖合同等相关材料用印申请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工商银行1户（4份）、农业银行1户、中国银行2户（3份）、邮储银行2户（3份）、苏州银行2户（4份）、送达地址确认书（1份）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谢燕</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盛泽天铂第三批房源（2#3#4#6#）开盘资料、商品房买卖合同等相关材料用印申请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客户社保单（1份）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谢燕</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盛泽项目二期桩基检测中标通知书用印申请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二期桩基检测中标通知书（5份）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合约管理部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何天磊</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康信资管内部审核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2021/6/3</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盛泽项目安监整改报告用印申请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建筑工程施工整改完成报告（4份）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项目发展部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张艺</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8</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2021/6/3</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盛泽项目北区燃气表后管方案设计及施工配合用印申请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北区燃气表后管方案设计及施工配合申请（1份）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项目发展部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潘锦山</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9</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2021/6/3</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盛泽项目临水申请开增值税发票资料用印申请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营业执照复印件、基本账户存款信息、专票开票信息、经办人身份证复印件（各2份）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项目发展部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潘锦山</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10</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2021/6/3</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盛泽1#地块未预售证明用印申请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授权书（1份）、情况说明（2份）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投资报建部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王晓丹</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盛泽项目规划建设科盖章说明用印申请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盖章申请(2份）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合约管理部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李澜</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环沪公司盛泽项目派单服务协议、单页印刷、小区巡展活动、5月开盘物料制作、业主生日会活动（5月）合同用印申请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盛泽天铂5月开盘加推现场物料制作合同（3份）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顾骧</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65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环沪公司盛泽项目派单服务协议、单页印刷、小区巡展活动、5月开盘物料制作、业主生日会活动（5月）合同用印申请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环沪公司盛泽项目2021年5月业</w:t>
            </w:r>
            <w:r>
              <w:rPr>
                <w:rFonts w:ascii="Arial" w:hAnsi="Arial" w:cs="Arial"/>
                <w:color w:val="000000"/>
                <w:sz w:val="18"/>
                <w:szCs w:val="18"/>
                <w:lang w:bidi="ar"/>
              </w:rPr>
              <w:br w:type="textWrapping"/>
            </w:r>
            <w:r>
              <w:rPr>
                <w:rFonts w:ascii="Arial" w:hAnsi="Arial" w:cs="Arial"/>
                <w:color w:val="000000"/>
                <w:sz w:val="18"/>
                <w:szCs w:val="18"/>
                <w:lang w:bidi="ar"/>
              </w:rPr>
              <w:t>主生日会合同（3份）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顾骧</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盛泽项目一期水槽及水龙头采购合同、一期可视对讲设备采购合同用印申请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一期水槽及水龙头采购合同、一期可视对讲设备采购合同（各5份）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合约管理部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宋一飞</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康信资管内部审核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15</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盛泽项目合约部邓欢离职证明用印申请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离职证明（4份）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人事行政部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朱益群</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16</w:t>
            </w:r>
          </w:p>
        </w:tc>
        <w:tc>
          <w:tcPr>
            <w:tcW w:w="47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33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盛泽项目营销部周玉艳离职证明用印申请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离职证明（5份）</w:t>
            </w:r>
          </w:p>
        </w:tc>
        <w:tc>
          <w:tcPr>
            <w:tcW w:w="52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人事行政部</w:t>
            </w:r>
          </w:p>
        </w:tc>
        <w:tc>
          <w:tcPr>
            <w:tcW w:w="28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朱益群</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17</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盛泽项目财务部张宇劳动合同和保密协议续签用印申请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劳动合同、保密协议（各2份）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人事行政部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朱益群</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18</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2021/6/4</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盛泽项目1号地块变更消防设计审核材料用印申请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特殊建设工程消防设计审查申请表、授权委托书、营业执照复印件、身份证复印件（各2份）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投资报建部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王晓丹</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19</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2021/6/7</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盛泽天铂第三批房源（2#3#4#6#）开盘资料、商品房买卖合同等相关材料用印申请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农业银行4户、邮储银行1户（各3份）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谢燕</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2021/6/7</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盛泽天铂第三批房源（2#3#4#6#）开盘资料、商品房买卖合同等相关材料用印申请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客户信息采集表（50份）、社保查询表（1份）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谢燕</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2021/6/7</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盛泽项目综合执法检查整改回复用印申请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建设工程综合执法检查整改报告（1份）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投资报建部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宋雪莉代王晓丹</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2021/6/8</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盛泽项目安监整改报告用印申请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建筑工程施工整改完成报告（4份）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项目发展部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张艺</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2021/6/8</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盛泽人防整改回复用印申请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人防质量整改完成报告（1份）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项目发展部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张艺</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2021/6/8</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盛泽项目综合执法检查整改回复用印申请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建设工程综合执法检查整改报告（塔吊）（1份）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项目发展部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张艺</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25</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2021/6/8</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 xml:space="preserve">公章 </w:t>
            </w:r>
            <w:r>
              <w:rPr>
                <w:rFonts w:ascii="Arial" w:hAnsi="Arial" w:cs="Arial"/>
                <w:color w:val="000000"/>
                <w:sz w:val="18"/>
                <w:szCs w:val="18"/>
                <w:lang w:bidi="ar"/>
              </w:rPr>
              <w:br w:type="textWrapping"/>
            </w:r>
            <w:r>
              <w:rPr>
                <w:rFonts w:ascii="Arial" w:hAnsi="Arial" w:cs="Arial"/>
                <w:color w:val="000000"/>
                <w:sz w:val="18"/>
                <w:szCs w:val="18"/>
                <w:lang w:bidi="ar"/>
              </w:rPr>
              <w:t>合同章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盛泽项目一期厨房电器采购合同用印申请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吴江盛泽项目一期厨房电器供货合同</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合约管理部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宋一飞</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康信资管内部审核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552"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26</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2021/6/8</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盛泽项目2021年员工6月和7月年度体检服务协议用印申请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体检服务协议及廉洁协议书（各2份）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人事行政部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朱益群</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27</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2021/6/8</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type="textWrapping"/>
            </w:r>
            <w:r>
              <w:rPr>
                <w:rFonts w:ascii="Arial" w:hAnsi="Arial" w:cs="Arial"/>
                <w:color w:val="000000"/>
                <w:sz w:val="18"/>
                <w:szCs w:val="18"/>
                <w:lang w:bidi="ar"/>
              </w:rPr>
              <w:t>法人章</w:t>
            </w:r>
            <w:r>
              <w:rPr>
                <w:rFonts w:ascii="Arial" w:hAnsi="Arial" w:cs="Arial"/>
                <w:color w:val="000000"/>
                <w:sz w:val="18"/>
                <w:szCs w:val="18"/>
                <w:lang w:bidi="ar"/>
              </w:rPr>
              <w:br w:type="textWrapping"/>
            </w:r>
            <w:r>
              <w:rPr>
                <w:rFonts w:ascii="Arial" w:hAnsi="Arial" w:cs="Arial"/>
                <w:color w:val="000000"/>
                <w:sz w:val="18"/>
                <w:szCs w:val="18"/>
                <w:lang w:bidi="ar"/>
              </w:rPr>
              <w:t>财务章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盛泽项目询证函用印申请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江苏银行询证函、农业银行询证函（各1份）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财务管理部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张宇</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28</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2021/6/9</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盛泽天铂第三批房源（2#3#4#6#）开盘资料、商品房买卖合同等相关材料用印申请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社保查询表（1份）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钱真</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29</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2021/6/9</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合同章</w:t>
            </w:r>
            <w:r>
              <w:rPr>
                <w:rFonts w:ascii="Arial" w:hAnsi="Arial" w:cs="Arial"/>
                <w:color w:val="000000"/>
                <w:sz w:val="18"/>
                <w:szCs w:val="18"/>
                <w:lang w:bidi="ar"/>
              </w:rPr>
              <w:br w:type="textWrapping"/>
            </w:r>
            <w:r>
              <w:rPr>
                <w:rFonts w:ascii="Arial" w:hAnsi="Arial" w:cs="Arial"/>
                <w:color w:val="000000"/>
                <w:sz w:val="18"/>
                <w:szCs w:val="18"/>
                <w:lang w:bidi="ar"/>
              </w:rPr>
              <w:t>法人章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盛泽天铂第三批房源（2#3#4#6#）开盘资料、商品房买卖合同等相关材料用印申请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商品房合同25户（各4份）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钱真</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30</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2021/6/9</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合同章</w:t>
            </w:r>
            <w:r>
              <w:rPr>
                <w:rFonts w:ascii="Arial" w:hAnsi="Arial" w:cs="Arial"/>
                <w:color w:val="000000"/>
                <w:sz w:val="18"/>
                <w:szCs w:val="18"/>
                <w:lang w:bidi="ar"/>
              </w:rPr>
              <w:br w:type="textWrapping"/>
            </w:r>
            <w:r>
              <w:rPr>
                <w:rFonts w:ascii="Arial" w:hAnsi="Arial" w:cs="Arial"/>
                <w:color w:val="000000"/>
                <w:sz w:val="18"/>
                <w:szCs w:val="18"/>
                <w:lang w:bidi="ar"/>
              </w:rPr>
              <w:t>法人章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盛泽项目一期栏杆及百叶分包工程合同用印申请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吴江盛泽项目一期栏杆及百叶分包工程合同（6份）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合约管理部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李澜</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康信资管内部审核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2021/6/9</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盛泽项目1号地块变更消防设计审核材料用印申请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变更说明（1份）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投资报建部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王晓丹</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2021/6/9</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盛泽项目工程指令用印申请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盛泽项目一期二标段总承包工程工程指令、盛泽项目二期桩基和基坑围护分包工程工程指令（各4份）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项目发展部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潘锦山</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2021/6/9</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盛泽项目1#技防变更情况说明</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技防评审通过单申请更换情况说明函（2份）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规划设计部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范陆</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2021/6/10</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盛泽项目复工用印申请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建设工程施工复工申请书（1份）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项目发展部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杨中科</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35</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2021/6/10</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关于盛泽项目歌林公园商超巡展位租赁及物料制作合同用印申请、盛泽项目开盘抽检礼品采购、明源云客、单页增补印刷合同用印申请、盛泽项目派单服务协议、单页印刷、小区巡展活动、5月开盘物料制作、业主生日会活动（5月）合同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盛泽项目单页印刷合同、抽奖礼品采购合同、商超巡展位租赁及物料制作合同、项目派单服务协议（各3份）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刘奇</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康信资管内部审核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36</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2021/6/10</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type="textWrapping"/>
            </w:r>
            <w:r>
              <w:rPr>
                <w:rFonts w:ascii="Arial" w:hAnsi="Arial" w:cs="Arial"/>
                <w:color w:val="000000"/>
                <w:sz w:val="18"/>
                <w:szCs w:val="18"/>
                <w:lang w:bidi="ar"/>
              </w:rPr>
              <w:t>法人章</w:t>
            </w:r>
            <w:r>
              <w:rPr>
                <w:rFonts w:ascii="Arial" w:hAnsi="Arial" w:cs="Arial"/>
                <w:color w:val="000000"/>
                <w:sz w:val="18"/>
                <w:szCs w:val="18"/>
                <w:lang w:bidi="ar"/>
              </w:rPr>
              <w:br w:type="textWrapping"/>
            </w:r>
            <w:r>
              <w:rPr>
                <w:rFonts w:ascii="Arial" w:hAnsi="Arial" w:cs="Arial"/>
                <w:color w:val="000000"/>
                <w:sz w:val="18"/>
                <w:szCs w:val="18"/>
                <w:lang w:bidi="ar"/>
              </w:rPr>
              <w:t>财务章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盛泽资金解禁、开发贷第二季度利息支付用印申请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非重点监管资金用款备案表及划款申请书（1000万元）、开发贷利息支付划款指令（14311111.11元）、划款指令（江苏银行1513-江苏银行1774,176160000.00元）、划款指令（江苏银行1513-江苏银行1774,45000000.00元）、非重点资金解禁及划款指令（3500万）（各1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财务管理部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张宇</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邮件审核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37</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合同章</w:t>
            </w:r>
            <w:r>
              <w:rPr>
                <w:rFonts w:ascii="Arial" w:hAnsi="Arial" w:cs="Arial"/>
                <w:color w:val="000000"/>
                <w:sz w:val="18"/>
                <w:szCs w:val="18"/>
                <w:lang w:bidi="ar"/>
              </w:rPr>
              <w:br w:type="textWrapping"/>
            </w:r>
            <w:r>
              <w:rPr>
                <w:rFonts w:ascii="Arial" w:hAnsi="Arial" w:cs="Arial"/>
                <w:color w:val="000000"/>
                <w:sz w:val="18"/>
                <w:szCs w:val="18"/>
                <w:lang w:bidi="ar"/>
              </w:rPr>
              <w:t>法人章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盛泽项目二期桩基检测技术服务合同协议条款用印申请、盛泽项目一期阀门采购合同用印申请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盛泽项目二期桩基检测技术服务合同、盛泽项目一期阀门采购合同(各5份）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合约管理部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何天磊</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康信资管内部审核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38</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邮储银行按揭资料补充用印申请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账户变更申请书（2份）、预售许可证（3份）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财务管理部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李强</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589"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39</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2021/6/11</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合同章</w:t>
            </w:r>
            <w:r>
              <w:rPr>
                <w:rFonts w:ascii="Arial" w:hAnsi="Arial" w:cs="Arial"/>
                <w:color w:val="000000"/>
                <w:sz w:val="18"/>
                <w:szCs w:val="18"/>
                <w:lang w:bidi="ar"/>
              </w:rPr>
              <w:br w:type="textWrapping"/>
            </w:r>
            <w:r>
              <w:rPr>
                <w:rFonts w:ascii="Arial" w:hAnsi="Arial" w:cs="Arial"/>
                <w:color w:val="000000"/>
                <w:sz w:val="18"/>
                <w:szCs w:val="18"/>
                <w:lang w:bidi="ar"/>
              </w:rPr>
              <w:t>法人章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吴江盛泽项目一期矿物绝缘电缆采购合同用印申请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吴江盛泽项目一期矿物绝缘电缆采购合同（5份）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合约管理部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何天磊</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康信资管内部审核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40</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2021/6/15</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盛泽项目夜间施工申请（坤龙标段）</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夜间施工证明（6.20-6.22）(5份）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项目发展部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张艺</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2021/6/15</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盛泽项目夜间施工申请（长成标段）</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夜间施工证明申请书（6.24-6.26）（5份）、夜间施工证明申请书（7.4-7.6）（5份）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项目发展部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姚桂芳</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2021/6/16</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合同章</w:t>
            </w:r>
            <w:r>
              <w:rPr>
                <w:rFonts w:ascii="Arial" w:hAnsi="Arial" w:cs="Arial"/>
                <w:color w:val="000000"/>
                <w:sz w:val="18"/>
                <w:szCs w:val="18"/>
                <w:lang w:bidi="ar"/>
              </w:rPr>
              <w:br w:type="textWrapping"/>
            </w:r>
            <w:r>
              <w:rPr>
                <w:rFonts w:ascii="Arial" w:hAnsi="Arial" w:cs="Arial"/>
                <w:color w:val="000000"/>
                <w:sz w:val="18"/>
                <w:szCs w:val="18"/>
                <w:lang w:bidi="ar"/>
              </w:rPr>
              <w:t>法人章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盛泽天铂第三批房源（2#3#4#6#）开盘资料、商品房买卖合同等相关材料用印申请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商品房合同17户（各4份）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王琼</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田大伟、张宇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2021/6/16</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type="textWrapping"/>
            </w:r>
            <w:r>
              <w:rPr>
                <w:rFonts w:ascii="Arial" w:hAnsi="Arial" w:cs="Arial"/>
                <w:color w:val="000000"/>
                <w:sz w:val="18"/>
                <w:szCs w:val="18"/>
                <w:lang w:bidi="ar"/>
              </w:rPr>
              <w:t>法人章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关于盛泽天铂11幢1102室注销合同资料用印申请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商品房买卖合同备案注销申请书（1份）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王琼</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微信审核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2021/6/16</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合同章</w:t>
            </w:r>
            <w:r>
              <w:rPr>
                <w:rFonts w:ascii="Arial" w:hAnsi="Arial" w:cs="Arial"/>
                <w:color w:val="000000"/>
                <w:sz w:val="18"/>
                <w:szCs w:val="18"/>
                <w:lang w:bidi="ar"/>
              </w:rPr>
              <w:br w:type="textWrapping"/>
            </w:r>
            <w:r>
              <w:rPr>
                <w:rFonts w:ascii="Arial" w:hAnsi="Arial" w:cs="Arial"/>
                <w:color w:val="000000"/>
                <w:sz w:val="18"/>
                <w:szCs w:val="18"/>
                <w:lang w:bidi="ar"/>
              </w:rPr>
              <w:t>法人章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盛泽天铂第三批房源（2#3#4#6#）开盘资料、商品房买卖合同等相关材料用印申请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工商银行9户、农业银行3户、邮储银行3户、中国银行10户（各4份）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谢燕</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45</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2021/6/16</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合同章</w:t>
            </w:r>
            <w:r>
              <w:rPr>
                <w:rFonts w:ascii="Arial" w:hAnsi="Arial" w:cs="Arial"/>
                <w:color w:val="000000"/>
                <w:sz w:val="18"/>
                <w:szCs w:val="18"/>
                <w:lang w:bidi="ar"/>
              </w:rPr>
              <w:br w:type="textWrapping"/>
            </w:r>
            <w:r>
              <w:rPr>
                <w:rFonts w:ascii="Arial" w:hAnsi="Arial" w:cs="Arial"/>
                <w:color w:val="000000"/>
                <w:sz w:val="18"/>
                <w:szCs w:val="18"/>
                <w:lang w:bidi="ar"/>
              </w:rPr>
              <w:t>法人章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盛泽天铂第三批房源（2#3#4#6#）开盘资料、商品房买卖合同等相关材料用印申请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个人社保查询明细（4份）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谢燕</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46</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2021/6/16</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关于环沪公司盛泽项目乡镇横幅户外广告投放合用印申请同</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盛泽项目2021年5月乡镇横幅户外广告投放合同（4份）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谢燕</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康信资管内部审核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47</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2021/6/16</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关于盛泽项目加油站广告投放、小区公告栏投放、派单服务、小区广告发布、户外广告（竞品阵地）小区电梯框架广告发布合同用印申请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6月加油站广告投放合同、盛泽项目2021年6月吴江小区电梯框架广告投放合同、盛泽项目2021年6月户外广告（竞品阵地桁架）合同、盛泽项目2021年6月吴江小区道闸护栏广告投放合同、盛泽项目2021年6月渠道乡镇拓展服务合同、盛泽项目2021年6月小区公告栏广告投放合同（各3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谢燕</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康信资管内部审核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48</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2021/6/16</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关于盛泽项目开盘抽奖礼品采购、明源云客、单页增补印刷合同用印申请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盛泽项目2021年5月渠道地推海报增补印刷合同（4份）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谢燕</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康信资管内部审核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49</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2021/6/17</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盛泽项目营销策划部王懋劳动合同和保密协议用印申请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劳动合同及保密协议（各2份）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人事行政部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朱益群</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50</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盛泽项目关于1#地块变更人防设防审查用印申请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江苏省结建人防工程施工图设计文件报审表1#地块（4份）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投资报建部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王晓丹</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康信资管内部审核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689"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盛泽项目营销策划部陈曙东劳动合同和保密协议用印申请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劳动合同、保密协议（各2份）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人事行政部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朱益群</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2021/6/18</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盛泽项目关于南地块生活区临时占地材料用印申请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情况说明、临时占地批复、项目立项批复、营业执照复印件（各2份）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投资报建部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王晓丹</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康信资管内部审核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2021/6/21</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合同章</w:t>
            </w:r>
            <w:r>
              <w:rPr>
                <w:rFonts w:ascii="Arial" w:hAnsi="Arial" w:cs="Arial"/>
                <w:color w:val="000000"/>
                <w:sz w:val="18"/>
                <w:szCs w:val="18"/>
                <w:lang w:bidi="ar"/>
              </w:rPr>
              <w:br w:type="textWrapping"/>
            </w:r>
            <w:r>
              <w:rPr>
                <w:rFonts w:ascii="Arial" w:hAnsi="Arial" w:cs="Arial"/>
                <w:color w:val="000000"/>
                <w:sz w:val="18"/>
                <w:szCs w:val="18"/>
                <w:lang w:bidi="ar"/>
              </w:rPr>
              <w:t>法人章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吴江盛泽项目一期场地平整和桩基分包工程补充协议书二的用印申请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一期场地平整和桩基分包工程补充协议书二（4份）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合约管理部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李澜</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康信资管内部审核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2021/6/21</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盛泽项目北区三网工程设计会审表和设计文件用印申请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吴江区住宅小区及商住楼通信配套工程建设方案会审表、苏州市吴江区盛泽镇敦煌路818号舜湖和风雅园北区新国标宽带工程一阶段设计文件封面（1份）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规划设计部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范陆</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55</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2021/6/21</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吴江盛泽项目二期试桩工程结算协议书用印</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二期试桩工程结算协议书（2份）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合约管理部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李澜</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康信资管内部审核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56</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2021/6/21</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关于盛泽项目5#、7#合作中介有成交的15家中介公司合同用印申请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红星盛泽天铂项目中介合作协议（舜合、到位、鼎好、房泽先生、风之扬、福上居、高泽房产、龙家、隆沛、全屋、尚品、盛家泽、苏胜行、万丰、先卓）（各3份）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王苹苹</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邮件审核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57</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2021/6/21</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关于盛泽项目新签劳务给公司市场推广劳务服务合同用印申请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市场推广劳务服务合同（芜湖国敬网络）（3份）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王苹苹</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邮件审核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58</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2021/6/23</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公司商务车过户印章、执照外带申请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二手车资料审核确认书、车辆转让确认书、授权委托书、二手车买卖合同（各1份）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人事行政部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周冲</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652"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59</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（盛泽项目）关于出席苏州市吴江区房地产业协会第五届会员大会回执用印的审批</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出席苏州市吴江区房地产业协会第五届会员大会回执</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人事行政部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毛其芳</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60</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苏州盛泽项目土方外运证明的用印申请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工程项目出土消纳申请会审单（3份）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项目发展部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潘锦山</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盛泽项目工程指令的用印申请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盛泽项目二期桩基和基坑围护分包工程工程指令0095、盛泽项目一期一标段总承包工程指令0096、盛泽项目一期水槽及水槽龙头采购合同工程指令0097（各3份）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项目发展部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潘锦山</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康信资管内部审核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合同章</w:t>
            </w:r>
            <w:r>
              <w:rPr>
                <w:rFonts w:ascii="Arial" w:hAnsi="Arial" w:cs="Arial"/>
                <w:color w:val="000000"/>
                <w:sz w:val="18"/>
                <w:szCs w:val="18"/>
                <w:lang w:bidi="ar"/>
              </w:rPr>
              <w:br w:type="textWrapping"/>
            </w:r>
            <w:r>
              <w:rPr>
                <w:rFonts w:ascii="Arial" w:hAnsi="Arial" w:cs="Arial"/>
                <w:color w:val="000000"/>
                <w:sz w:val="18"/>
                <w:szCs w:val="18"/>
                <w:lang w:bidi="ar"/>
              </w:rPr>
              <w:t>法人章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盛泽天铂第三批房源（2#3#4#6#）开盘资料、商品房买卖合同等相关材料用印申请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商品房合同21户（各4份）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范义志</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63</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浙商银行协定存款协议用印申请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浙商银行协定存款（2份）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财务管理部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张宇</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微信审核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64</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type="textWrapping"/>
            </w:r>
            <w:r>
              <w:rPr>
                <w:rFonts w:ascii="Arial" w:hAnsi="Arial" w:cs="Arial"/>
                <w:color w:val="000000"/>
                <w:sz w:val="18"/>
                <w:szCs w:val="18"/>
                <w:lang w:bidi="ar"/>
              </w:rPr>
              <w:t>法人章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盛泽天铂第三批房源（2#3#4#6#）开盘资料、商品房买卖合同等相关材料用印申请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邮储银行4户（1户各3份）、中国银行12户（1户各3份）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谢燕</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65</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2021/6/24</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盛泽天铂第三批房源（2#3#4#6#）开盘资料、商品房买卖合同等相关材料用印申请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社保查询明细（3份）、催款函（1份）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谢燕</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66</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盛泽公司晋合广场月租停车费合同的用印申请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晋合广场车位租赁合同信息录入表（2份）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规划设计部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苏建</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67</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合同章</w:t>
            </w:r>
            <w:r>
              <w:rPr>
                <w:rFonts w:ascii="Arial" w:hAnsi="Arial" w:cs="Arial"/>
                <w:color w:val="000000"/>
                <w:sz w:val="18"/>
                <w:szCs w:val="18"/>
                <w:lang w:bidi="ar"/>
              </w:rPr>
              <w:br w:type="textWrapping"/>
            </w:r>
            <w:r>
              <w:rPr>
                <w:rFonts w:ascii="Arial" w:hAnsi="Arial" w:cs="Arial"/>
                <w:color w:val="000000"/>
                <w:sz w:val="18"/>
                <w:szCs w:val="18"/>
                <w:lang w:bidi="ar"/>
              </w:rPr>
              <w:t>法人章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盛泽项目一期普通电缆供货合同用印申请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盛泽项目一期普通电缆供货合同</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合约管理部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何天磊</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康信资管内部审核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68</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2021/6/25</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吴江高新区1#地块住宅项目安全技术防范系统初步设计方案及图纸申请用印</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吴江高新区1#地块住宅项目安全技术防范系统初步设计方案（封面）、盛泽项目南区智能化项目弱电智能化设计图纸（封面）（各1份）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规划设计部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范陆</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康信资管内部审核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69</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2021/6/28</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公章</w:t>
            </w:r>
            <w:r>
              <w:rPr>
                <w:rFonts w:ascii="Arial" w:hAnsi="Arial" w:cs="Arial"/>
                <w:color w:val="000000"/>
                <w:sz w:val="18"/>
                <w:szCs w:val="18"/>
                <w:lang w:bidi="ar"/>
              </w:rPr>
              <w:br w:type="textWrapping"/>
            </w:r>
            <w:r>
              <w:rPr>
                <w:rFonts w:ascii="Arial" w:hAnsi="Arial" w:cs="Arial"/>
                <w:color w:val="000000"/>
                <w:sz w:val="18"/>
                <w:szCs w:val="18"/>
                <w:lang w:bidi="ar"/>
              </w:rPr>
              <w:t>法人章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盛泽项目奥迪新办ETC印章外借申请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苏通记账卡申领及定向支付授权书、公司公路电子标签使用协议、授权委托书、营业执照复印件（各1份）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人事行政部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丁杰</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70</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2021/6/30</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合同章</w:t>
            </w:r>
            <w:r>
              <w:rPr>
                <w:rFonts w:ascii="Arial" w:hAnsi="Arial" w:cs="Arial"/>
                <w:color w:val="000000"/>
                <w:sz w:val="18"/>
                <w:szCs w:val="18"/>
                <w:lang w:bidi="ar"/>
              </w:rPr>
              <w:br w:type="textWrapping"/>
            </w:r>
            <w:r>
              <w:rPr>
                <w:rFonts w:ascii="Arial" w:hAnsi="Arial" w:cs="Arial"/>
                <w:color w:val="000000"/>
                <w:sz w:val="18"/>
                <w:szCs w:val="18"/>
                <w:lang w:bidi="ar"/>
              </w:rPr>
              <w:t>法人章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盛泽项目一期科勒品牌洁具供货合同用印申请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盛泽项目一期科勒品牌洁具供货合同（6份）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合约管理部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李斓</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邮件审核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71</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2021/6/30</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合同章</w:t>
            </w:r>
            <w:r>
              <w:rPr>
                <w:rFonts w:ascii="Arial" w:hAnsi="Arial" w:cs="Arial"/>
                <w:color w:val="000000"/>
                <w:sz w:val="18"/>
                <w:szCs w:val="18"/>
                <w:lang w:bidi="ar"/>
              </w:rPr>
              <w:br w:type="textWrapping"/>
            </w:r>
            <w:r>
              <w:rPr>
                <w:rFonts w:ascii="Arial" w:hAnsi="Arial" w:cs="Arial"/>
                <w:color w:val="000000"/>
                <w:sz w:val="18"/>
                <w:szCs w:val="18"/>
                <w:lang w:bidi="ar"/>
              </w:rPr>
              <w:t>法人章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盛泽天铂第三批房源（2#3#4#6#）开盘资料、商品房买卖合同等相关材料用印申请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商品房合同21户（各4份）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朱玉</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lang w:bidi="ar"/>
              </w:rPr>
              <w:t>范青杰 张宇</w:t>
            </w:r>
          </w:p>
        </w:tc>
      </w:tr>
      <w:tr>
        <w:tblPrEx>
          <w:tblCellMar>
            <w:top w:w="0" w:type="dxa"/>
            <w:left w:w="108" w:type="dxa"/>
            <w:bottom w:w="0" w:type="dxa"/>
            <w:right w:w="108" w:type="dxa"/>
          </w:tblCellMar>
        </w:tblPrEx>
        <w:trPr>
          <w:trHeight w:val="284"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72</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2021/6/30</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11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盛泽天铂第三批房源（2#3#4#6#）开盘资料、商品房买卖合同等相关材料用印申请</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挞定函、催款函（各1份）</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营销策划部</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朱玉</w:t>
            </w:r>
          </w:p>
        </w:tc>
        <w:tc>
          <w:tcPr>
            <w:tcW w:w="4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驻场人员审核</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范青杰 张宇</w:t>
            </w:r>
          </w:p>
        </w:tc>
      </w:tr>
    </w:tbl>
    <w:p>
      <w:pPr>
        <w:rPr>
          <w:rFonts w:ascii="宋体" w:hAnsi="宋体" w:cs="宋体"/>
          <w:bCs/>
          <w:sz w:val="21"/>
          <w:szCs w:val="21"/>
        </w:rPr>
      </w:pPr>
    </w:p>
    <w:p>
      <w:pPr>
        <w:pStyle w:val="2"/>
        <w:ind w:firstLine="0" w:firstLineChars="0"/>
      </w:pPr>
      <w:r>
        <w:rPr>
          <w:rFonts w:hint="eastAsia"/>
        </w:rPr>
        <w:t>本期SPV用印台账</w:t>
      </w:r>
    </w:p>
    <w:tbl>
      <w:tblPr>
        <w:tblStyle w:val="17"/>
        <w:tblW w:w="14618" w:type="dxa"/>
        <w:tblInd w:w="91" w:type="dxa"/>
        <w:tblLayout w:type="fixed"/>
        <w:tblCellMar>
          <w:top w:w="0" w:type="dxa"/>
          <w:left w:w="108" w:type="dxa"/>
          <w:bottom w:w="0" w:type="dxa"/>
          <w:right w:w="108" w:type="dxa"/>
        </w:tblCellMar>
      </w:tblPr>
      <w:tblGrid>
        <w:gridCol w:w="510"/>
        <w:gridCol w:w="1492"/>
        <w:gridCol w:w="992"/>
        <w:gridCol w:w="3260"/>
        <w:gridCol w:w="2127"/>
        <w:gridCol w:w="1275"/>
        <w:gridCol w:w="1276"/>
        <w:gridCol w:w="2126"/>
        <w:gridCol w:w="1560"/>
      </w:tblGrid>
      <w:tr>
        <w:tblPrEx>
          <w:tblCellMar>
            <w:top w:w="0" w:type="dxa"/>
            <w:left w:w="108" w:type="dxa"/>
            <w:bottom w:w="0" w:type="dxa"/>
            <w:right w:w="108" w:type="dxa"/>
          </w:tblCellMar>
        </w:tblPrEx>
        <w:trPr>
          <w:trHeight w:val="284" w:hRule="atLeast"/>
          <w:tblHeader/>
        </w:trPr>
        <w:tc>
          <w:tcPr>
            <w:tcW w:w="5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8"/>
                <w:szCs w:val="18"/>
              </w:rPr>
            </w:pPr>
            <w:r>
              <w:rPr>
                <w:rFonts w:ascii="Arial" w:hAnsi="Arial" w:cs="Arial"/>
                <w:b/>
                <w:bCs/>
                <w:color w:val="000000"/>
                <w:sz w:val="18"/>
                <w:szCs w:val="18"/>
                <w:lang w:bidi="ar"/>
              </w:rPr>
              <w:t>序号</w:t>
            </w:r>
          </w:p>
        </w:tc>
        <w:tc>
          <w:tcPr>
            <w:tcW w:w="14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8"/>
                <w:szCs w:val="18"/>
              </w:rPr>
            </w:pPr>
            <w:r>
              <w:rPr>
                <w:rFonts w:ascii="Arial" w:hAnsi="Arial" w:cs="Arial"/>
                <w:b/>
                <w:bCs/>
                <w:color w:val="000000"/>
                <w:sz w:val="18"/>
                <w:szCs w:val="18"/>
                <w:lang w:bidi="ar"/>
              </w:rPr>
              <w:t>用印日期</w:t>
            </w:r>
          </w:p>
        </w:tc>
        <w:tc>
          <w:tcPr>
            <w:tcW w:w="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8"/>
                <w:szCs w:val="18"/>
              </w:rPr>
            </w:pPr>
            <w:r>
              <w:rPr>
                <w:rFonts w:ascii="Arial" w:hAnsi="Arial" w:cs="Arial"/>
                <w:b/>
                <w:bCs/>
                <w:color w:val="000000"/>
                <w:sz w:val="18"/>
                <w:szCs w:val="18"/>
                <w:lang w:bidi="ar"/>
              </w:rPr>
              <w:t>印鉴名称</w:t>
            </w:r>
          </w:p>
        </w:tc>
        <w:tc>
          <w:tcPr>
            <w:tcW w:w="32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8"/>
                <w:szCs w:val="18"/>
              </w:rPr>
            </w:pPr>
            <w:r>
              <w:rPr>
                <w:rFonts w:ascii="Arial" w:hAnsi="Arial" w:cs="Arial"/>
                <w:b/>
                <w:bCs/>
                <w:color w:val="000000"/>
                <w:sz w:val="18"/>
                <w:szCs w:val="18"/>
                <w:lang w:bidi="ar"/>
              </w:rPr>
              <w:t>用印事由</w:t>
            </w:r>
          </w:p>
        </w:tc>
        <w:tc>
          <w:tcPr>
            <w:tcW w:w="212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8"/>
                <w:szCs w:val="18"/>
              </w:rPr>
            </w:pPr>
            <w:r>
              <w:rPr>
                <w:rFonts w:ascii="Arial" w:hAnsi="Arial" w:cs="Arial"/>
                <w:b/>
                <w:bCs/>
                <w:color w:val="000000"/>
                <w:sz w:val="18"/>
                <w:szCs w:val="18"/>
                <w:lang w:bidi="ar"/>
              </w:rPr>
              <w:t>用印材料及份数</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8"/>
                <w:szCs w:val="18"/>
              </w:rPr>
            </w:pPr>
            <w:r>
              <w:rPr>
                <w:rFonts w:ascii="Arial" w:hAnsi="Arial" w:cs="Arial"/>
                <w:b/>
                <w:bCs/>
                <w:color w:val="000000"/>
                <w:sz w:val="18"/>
                <w:szCs w:val="18"/>
                <w:lang w:bidi="ar"/>
              </w:rPr>
              <w:t>经办部门</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8"/>
                <w:szCs w:val="18"/>
              </w:rPr>
            </w:pPr>
            <w:r>
              <w:rPr>
                <w:rFonts w:ascii="Arial" w:hAnsi="Arial" w:cs="Arial"/>
                <w:b/>
                <w:bCs/>
                <w:color w:val="000000"/>
                <w:sz w:val="18"/>
                <w:szCs w:val="18"/>
                <w:lang w:bidi="ar"/>
              </w:rPr>
              <w:t>经办人</w:t>
            </w:r>
          </w:p>
        </w:tc>
        <w:tc>
          <w:tcPr>
            <w:tcW w:w="212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8"/>
                <w:szCs w:val="18"/>
              </w:rPr>
            </w:pPr>
            <w:r>
              <w:rPr>
                <w:rFonts w:ascii="Arial" w:hAnsi="Arial" w:cs="Arial"/>
                <w:b/>
                <w:bCs/>
                <w:color w:val="000000"/>
                <w:sz w:val="18"/>
                <w:szCs w:val="18"/>
                <w:lang w:bidi="ar"/>
              </w:rPr>
              <w:t>审批方式</w:t>
            </w:r>
          </w:p>
        </w:tc>
        <w:tc>
          <w:tcPr>
            <w:tcW w:w="15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b/>
                <w:bCs/>
                <w:color w:val="000000"/>
                <w:sz w:val="18"/>
                <w:szCs w:val="18"/>
              </w:rPr>
            </w:pPr>
            <w:r>
              <w:rPr>
                <w:rFonts w:ascii="Arial" w:hAnsi="Arial" w:cs="Arial"/>
                <w:b/>
                <w:bCs/>
                <w:color w:val="000000"/>
                <w:sz w:val="18"/>
                <w:szCs w:val="18"/>
                <w:lang w:bidi="ar"/>
              </w:rPr>
              <w:t>监印人</w:t>
            </w:r>
          </w:p>
        </w:tc>
      </w:tr>
      <w:tr>
        <w:tblPrEx>
          <w:tblCellMar>
            <w:top w:w="0" w:type="dxa"/>
            <w:left w:w="108" w:type="dxa"/>
            <w:bottom w:w="0" w:type="dxa"/>
            <w:right w:w="108" w:type="dxa"/>
          </w:tblCellMar>
        </w:tblPrEx>
        <w:trPr>
          <w:trHeight w:val="584" w:hRule="atLeast"/>
          <w:tblHeader/>
        </w:trPr>
        <w:tc>
          <w:tcPr>
            <w:tcW w:w="5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240" w:lineRule="exact"/>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14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2021/6/15</w:t>
            </w:r>
          </w:p>
        </w:tc>
        <w:tc>
          <w:tcPr>
            <w:tcW w:w="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公章</w:t>
            </w:r>
          </w:p>
        </w:tc>
        <w:tc>
          <w:tcPr>
            <w:tcW w:w="32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上海洛翊企业管理有限公司投资收益分配通知书的用印申请</w:t>
            </w:r>
          </w:p>
        </w:tc>
        <w:tc>
          <w:tcPr>
            <w:tcW w:w="212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textAlignment w:val="center"/>
              <w:rPr>
                <w:rFonts w:ascii="Arial" w:hAnsi="Arial" w:cs="Arial"/>
                <w:color w:val="000000"/>
                <w:sz w:val="18"/>
                <w:szCs w:val="18"/>
                <w:lang w:bidi="ar"/>
              </w:rPr>
            </w:pPr>
            <w:r>
              <w:rPr>
                <w:rFonts w:ascii="Arial" w:hAnsi="Arial" w:cs="Arial"/>
                <w:color w:val="000000"/>
                <w:sz w:val="18"/>
                <w:szCs w:val="18"/>
                <w:lang w:bidi="ar"/>
              </w:rPr>
              <w:t>投资收益分配书（1份）</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财务管理部</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李强</w:t>
            </w:r>
          </w:p>
        </w:tc>
        <w:tc>
          <w:tcPr>
            <w:tcW w:w="212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邮件审批</w:t>
            </w:r>
          </w:p>
        </w:tc>
        <w:tc>
          <w:tcPr>
            <w:tcW w:w="156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center"/>
              <w:textAlignment w:val="center"/>
              <w:rPr>
                <w:rFonts w:ascii="Arial" w:hAnsi="Arial" w:cs="Arial"/>
                <w:color w:val="000000"/>
                <w:sz w:val="18"/>
                <w:szCs w:val="18"/>
                <w:lang w:bidi="ar"/>
              </w:rPr>
            </w:pPr>
            <w:r>
              <w:rPr>
                <w:rFonts w:ascii="Arial" w:hAnsi="Arial" w:cs="Arial"/>
                <w:color w:val="000000"/>
                <w:sz w:val="18"/>
                <w:szCs w:val="18"/>
                <w:lang w:bidi="ar"/>
              </w:rPr>
              <w:t>范青杰 张宇</w:t>
            </w:r>
          </w:p>
        </w:tc>
      </w:tr>
    </w:tbl>
    <w:p>
      <w:pPr>
        <w:pStyle w:val="2"/>
        <w:ind w:firstLine="0" w:firstLineChars="0"/>
      </w:pPr>
    </w:p>
    <w:p>
      <w:pPr>
        <w:rPr>
          <w:rFonts w:ascii="宋体" w:hAnsi="宋体" w:cs="宋体"/>
          <w:bCs/>
          <w:sz w:val="21"/>
          <w:szCs w:val="21"/>
        </w:rPr>
      </w:pPr>
      <w:r>
        <w:rPr>
          <w:rFonts w:ascii="宋体" w:hAnsi="宋体" w:cs="宋体"/>
          <w:bCs/>
          <w:sz w:val="21"/>
          <w:szCs w:val="21"/>
        </w:rPr>
        <w:br w:type="page"/>
      </w:r>
    </w:p>
    <w:p>
      <w:pPr>
        <w:rPr>
          <w:rFonts w:ascii="宋体" w:hAnsi="宋体" w:cs="宋体"/>
          <w:b/>
          <w:sz w:val="21"/>
          <w:szCs w:val="21"/>
        </w:rPr>
        <w:sectPr>
          <w:pgSz w:w="16838" w:h="11906" w:orient="landscape"/>
          <w:pgMar w:top="1134" w:right="1134" w:bottom="1134" w:left="1134" w:header="851" w:footer="992" w:gutter="0"/>
          <w:cols w:space="425" w:num="1"/>
          <w:docGrid w:linePitch="312" w:charSpace="0"/>
        </w:sectPr>
      </w:pPr>
    </w:p>
    <w:p>
      <w:pPr>
        <w:rPr>
          <w:rFonts w:ascii="宋体" w:hAnsi="宋体" w:cs="宋体"/>
          <w:bCs/>
          <w:sz w:val="21"/>
          <w:szCs w:val="21"/>
        </w:rPr>
      </w:pPr>
      <w:r>
        <w:rPr>
          <w:rFonts w:hint="eastAsia" w:ascii="宋体" w:hAnsi="宋体" w:cs="宋体"/>
          <w:b/>
          <w:sz w:val="21"/>
          <w:szCs w:val="21"/>
        </w:rPr>
        <w:t>附件六：项目公司下月资金计划</w:t>
      </w:r>
    </w:p>
    <w:p>
      <w:pPr>
        <w:ind w:firstLine="420" w:firstLineChars="200"/>
        <w:rPr>
          <w:rFonts w:ascii="宋体" w:hAnsi="宋体" w:cs="宋体"/>
          <w:bCs/>
          <w:sz w:val="21"/>
          <w:szCs w:val="21"/>
        </w:rPr>
      </w:pPr>
    </w:p>
    <w:p>
      <w:pPr>
        <w:ind w:firstLine="480" w:firstLineChars="200"/>
        <w:jc w:val="center"/>
        <w:rPr>
          <w:rFonts w:ascii="Arial" w:hAnsi="Arial" w:cs="Arial"/>
          <w:bCs/>
        </w:rPr>
      </w:pPr>
      <w:r>
        <w:rPr>
          <w:rFonts w:ascii="Arial" w:hAnsi="Arial" w:cs="Arial"/>
          <w:bCs/>
        </w:rPr>
        <w:t>2021年07月资金计划</w:t>
      </w:r>
    </w:p>
    <w:tbl>
      <w:tblPr>
        <w:tblStyle w:val="17"/>
        <w:tblW w:w="9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666"/>
        <w:gridCol w:w="2579"/>
        <w:gridCol w:w="2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654" w:type="dxa"/>
            <w:gridSpan w:val="4"/>
            <w:shd w:val="clear" w:color="auto" w:fill="CCC0D9"/>
          </w:tcPr>
          <w:p>
            <w:pPr>
              <w:spacing w:line="360" w:lineRule="auto"/>
              <w:ind w:firstLine="482" w:firstLineChars="200"/>
              <w:jc w:val="center"/>
              <w:rPr>
                <w:rFonts w:ascii="Arial" w:hAnsi="Arial" w:cs="Arial"/>
                <w:b/>
                <w:bCs/>
              </w:rPr>
            </w:pPr>
            <w:bookmarkStart w:id="36" w:name="_Hlk44875799"/>
            <w:bookmarkStart w:id="37" w:name="_Hlk16606321"/>
            <w:r>
              <w:rPr>
                <w:rFonts w:ascii="Arial" w:hAnsi="Arial" w:cs="Arial"/>
                <w:b/>
                <w:bCs/>
              </w:rPr>
              <w:t>中航信托·天启【2020】352号红星苏州盛泽项目股权投资集合资金信托计划</w:t>
            </w:r>
          </w:p>
          <w:p>
            <w:pPr>
              <w:spacing w:line="360" w:lineRule="auto"/>
              <w:ind w:firstLine="482" w:firstLineChars="200"/>
              <w:jc w:val="center"/>
              <w:rPr>
                <w:rFonts w:ascii="Arial" w:hAnsi="Arial" w:cs="Arial"/>
                <w:b/>
                <w:bCs/>
              </w:rPr>
            </w:pPr>
            <w:r>
              <w:rPr>
                <w:rFonts w:ascii="Arial" w:hAnsi="Arial" w:cs="Arial"/>
                <w:b/>
                <w:bCs/>
              </w:rPr>
              <w:t>-苏州红星盛泽项目月度资金使用计划（2021年7月份）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9654" w:type="dxa"/>
            <w:gridSpan w:val="4"/>
            <w:shd w:val="clear" w:color="auto" w:fill="CCC0D9"/>
          </w:tcPr>
          <w:p>
            <w:pPr>
              <w:spacing w:line="360" w:lineRule="auto"/>
              <w:ind w:firstLine="482" w:firstLineChars="200"/>
              <w:jc w:val="center"/>
              <w:rPr>
                <w:rFonts w:ascii="Arial" w:hAnsi="Arial" w:cs="Arial"/>
                <w:b/>
                <w:bCs/>
              </w:rPr>
            </w:pPr>
            <w:r>
              <w:rPr>
                <w:rFonts w:ascii="Arial" w:hAnsi="Arial" w:cs="Arial"/>
                <w:b/>
                <w:bCs/>
              </w:rPr>
              <w:t>编制：苏州星盛房地产开发有限公司                               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980" w:type="dxa"/>
            <w:shd w:val="clear" w:color="auto" w:fill="DCD8C2"/>
          </w:tcPr>
          <w:p>
            <w:pPr>
              <w:spacing w:line="360" w:lineRule="auto"/>
              <w:ind w:firstLine="482" w:firstLineChars="200"/>
              <w:jc w:val="both"/>
              <w:rPr>
                <w:rFonts w:ascii="Arial" w:hAnsi="Arial" w:cs="Arial"/>
                <w:b/>
                <w:bCs/>
              </w:rPr>
            </w:pPr>
            <w:r>
              <w:rPr>
                <w:rFonts w:ascii="Arial" w:hAnsi="Arial" w:cs="Arial"/>
                <w:b/>
                <w:bCs/>
              </w:rPr>
              <w:t>费用类型</w:t>
            </w:r>
          </w:p>
        </w:tc>
        <w:tc>
          <w:tcPr>
            <w:tcW w:w="2666" w:type="dxa"/>
            <w:shd w:val="clear" w:color="auto" w:fill="DCD8C2"/>
          </w:tcPr>
          <w:p>
            <w:pPr>
              <w:spacing w:line="360" w:lineRule="auto"/>
              <w:jc w:val="center"/>
              <w:rPr>
                <w:rFonts w:ascii="Arial" w:hAnsi="Arial" w:cs="Arial"/>
                <w:b/>
                <w:bCs/>
              </w:rPr>
            </w:pPr>
            <w:r>
              <w:rPr>
                <w:rFonts w:ascii="Arial" w:hAnsi="Arial" w:cs="Arial"/>
                <w:b/>
                <w:bCs/>
              </w:rPr>
              <w:t>合同金额</w:t>
            </w:r>
          </w:p>
        </w:tc>
        <w:tc>
          <w:tcPr>
            <w:tcW w:w="2579" w:type="dxa"/>
            <w:shd w:val="clear" w:color="auto" w:fill="DCD8C2"/>
          </w:tcPr>
          <w:p>
            <w:pPr>
              <w:spacing w:line="360" w:lineRule="auto"/>
              <w:jc w:val="center"/>
              <w:rPr>
                <w:rFonts w:ascii="Arial" w:hAnsi="Arial" w:cs="Arial"/>
                <w:b/>
                <w:bCs/>
              </w:rPr>
            </w:pPr>
            <w:r>
              <w:rPr>
                <w:rFonts w:ascii="Arial" w:hAnsi="Arial" w:cs="Arial"/>
                <w:b/>
                <w:bCs/>
              </w:rPr>
              <w:t>实际累计已付款</w:t>
            </w:r>
          </w:p>
        </w:tc>
        <w:tc>
          <w:tcPr>
            <w:tcW w:w="2429" w:type="dxa"/>
            <w:shd w:val="clear" w:color="auto" w:fill="DCD8C2"/>
          </w:tcPr>
          <w:p>
            <w:pPr>
              <w:spacing w:line="360" w:lineRule="auto"/>
              <w:jc w:val="center"/>
              <w:rPr>
                <w:rFonts w:ascii="Arial" w:hAnsi="Arial" w:cs="Arial"/>
                <w:b/>
                <w:bCs/>
              </w:rPr>
            </w:pPr>
            <w:r>
              <w:rPr>
                <w:rFonts w:ascii="Arial" w:hAnsi="Arial" w:cs="Arial"/>
                <w:b/>
                <w:bCs/>
              </w:rPr>
              <w:t>本月申请金额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80" w:firstLineChars="200"/>
              <w:jc w:val="both"/>
              <w:rPr>
                <w:rFonts w:ascii="Arial" w:hAnsi="Arial" w:cs="Arial"/>
              </w:rPr>
            </w:pPr>
            <w:r>
              <w:rPr>
                <w:rFonts w:ascii="Arial" w:hAnsi="Arial" w:cs="Arial"/>
              </w:rPr>
              <w:t>前期费用</w:t>
            </w:r>
          </w:p>
        </w:tc>
        <w:tc>
          <w:tcPr>
            <w:tcW w:w="2666" w:type="dxa"/>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lang w:bidi="ar"/>
              </w:rPr>
            </w:pPr>
            <w:r>
              <w:rPr>
                <w:rFonts w:ascii="Arial" w:hAnsi="Arial" w:cs="Arial"/>
                <w:color w:val="000000"/>
                <w:lang w:bidi="ar"/>
              </w:rPr>
              <w:t>199.44</w:t>
            </w:r>
          </w:p>
        </w:tc>
        <w:tc>
          <w:tcPr>
            <w:tcW w:w="2579" w:type="dxa"/>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rPr>
            </w:pPr>
            <w:r>
              <w:rPr>
                <w:rFonts w:ascii="Arial" w:hAnsi="Arial" w:cs="Arial"/>
                <w:color w:val="000000"/>
                <w:lang w:bidi="ar"/>
              </w:rPr>
              <w:t>45.04</w:t>
            </w:r>
          </w:p>
        </w:tc>
        <w:tc>
          <w:tcPr>
            <w:tcW w:w="2429" w:type="dxa"/>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rPr>
            </w:pPr>
            <w:r>
              <w:rPr>
                <w:rFonts w:ascii="Arial" w:hAnsi="Arial" w:cs="Arial"/>
                <w:color w:val="000000"/>
                <w:lang w:bidi="ar"/>
              </w:rPr>
              <w:t>65.96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80" w:firstLineChars="200"/>
              <w:jc w:val="both"/>
              <w:rPr>
                <w:rFonts w:ascii="Arial" w:hAnsi="Arial" w:cs="Arial"/>
              </w:rPr>
            </w:pPr>
            <w:r>
              <w:rPr>
                <w:rFonts w:ascii="Arial" w:hAnsi="Arial" w:cs="Arial"/>
              </w:rPr>
              <w:t>建安费用</w:t>
            </w:r>
          </w:p>
        </w:tc>
        <w:tc>
          <w:tcPr>
            <w:tcW w:w="2666" w:type="dxa"/>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lang w:bidi="ar"/>
              </w:rPr>
            </w:pPr>
            <w:r>
              <w:rPr>
                <w:rFonts w:ascii="Arial" w:hAnsi="Arial" w:cs="Arial"/>
                <w:color w:val="000000"/>
                <w:lang w:bidi="ar"/>
              </w:rPr>
              <w:t>27,233.48</w:t>
            </w:r>
          </w:p>
        </w:tc>
        <w:tc>
          <w:tcPr>
            <w:tcW w:w="2579" w:type="dxa"/>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rPr>
            </w:pPr>
            <w:r>
              <w:rPr>
                <w:rFonts w:ascii="Arial" w:hAnsi="Arial" w:cs="Arial"/>
                <w:color w:val="000000"/>
                <w:lang w:bidi="ar"/>
              </w:rPr>
              <w:t>6938.63</w:t>
            </w:r>
          </w:p>
        </w:tc>
        <w:tc>
          <w:tcPr>
            <w:tcW w:w="2429" w:type="dxa"/>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rPr>
            </w:pPr>
            <w:r>
              <w:rPr>
                <w:rFonts w:ascii="Arial" w:hAnsi="Arial" w:cs="Arial"/>
                <w:color w:val="000000"/>
                <w:lang w:bidi="ar"/>
              </w:rPr>
              <w:t>1800.80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80" w:firstLineChars="200"/>
              <w:jc w:val="both"/>
              <w:rPr>
                <w:rFonts w:ascii="Arial" w:hAnsi="Arial" w:cs="Arial"/>
              </w:rPr>
            </w:pPr>
            <w:r>
              <w:rPr>
                <w:rFonts w:ascii="Arial" w:hAnsi="Arial" w:cs="Arial"/>
              </w:rPr>
              <w:t>管理费用</w:t>
            </w:r>
          </w:p>
        </w:tc>
        <w:tc>
          <w:tcPr>
            <w:tcW w:w="2666" w:type="dxa"/>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lang w:bidi="ar"/>
              </w:rPr>
            </w:pPr>
            <w:r>
              <w:rPr>
                <w:rFonts w:ascii="Arial" w:hAnsi="Arial" w:cs="Arial"/>
                <w:color w:val="000000"/>
                <w:lang w:bidi="ar"/>
              </w:rPr>
              <w:t>-</w:t>
            </w:r>
          </w:p>
        </w:tc>
        <w:tc>
          <w:tcPr>
            <w:tcW w:w="2579" w:type="dxa"/>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ind w:firstLine="480" w:firstLineChars="200"/>
              <w:jc w:val="right"/>
              <w:textAlignment w:val="center"/>
              <w:rPr>
                <w:rFonts w:ascii="Arial" w:hAnsi="Arial" w:cs="Arial"/>
                <w:color w:val="000000"/>
              </w:rPr>
            </w:pPr>
            <w:r>
              <w:rPr>
                <w:rFonts w:ascii="Arial" w:hAnsi="Arial" w:cs="Arial"/>
                <w:color w:val="000000"/>
                <w:lang w:bidi="ar"/>
              </w:rPr>
              <w:t>-</w:t>
            </w:r>
          </w:p>
        </w:tc>
        <w:tc>
          <w:tcPr>
            <w:tcW w:w="2429" w:type="dxa"/>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rPr>
            </w:pPr>
            <w:r>
              <w:rPr>
                <w:rFonts w:ascii="Arial" w:hAnsi="Arial" w:cs="Arial"/>
                <w:color w:val="000000"/>
                <w:lang w:bidi="ar"/>
              </w:rPr>
              <w:t>1291.24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80" w:firstLineChars="200"/>
              <w:jc w:val="both"/>
              <w:rPr>
                <w:rFonts w:ascii="Arial" w:hAnsi="Arial" w:cs="Arial"/>
              </w:rPr>
            </w:pPr>
            <w:r>
              <w:rPr>
                <w:rFonts w:ascii="Arial" w:hAnsi="Arial" w:cs="Arial"/>
              </w:rPr>
              <w:t>营销费用</w:t>
            </w:r>
          </w:p>
        </w:tc>
        <w:tc>
          <w:tcPr>
            <w:tcW w:w="2666" w:type="dxa"/>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lang w:bidi="ar"/>
              </w:rPr>
            </w:pPr>
            <w:r>
              <w:rPr>
                <w:rFonts w:ascii="Arial" w:hAnsi="Arial" w:cs="Arial"/>
                <w:color w:val="000000"/>
                <w:lang w:bidi="ar"/>
              </w:rPr>
              <w:t>447.93</w:t>
            </w:r>
          </w:p>
        </w:tc>
        <w:tc>
          <w:tcPr>
            <w:tcW w:w="2579" w:type="dxa"/>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ind w:firstLine="480" w:firstLineChars="200"/>
              <w:jc w:val="right"/>
              <w:textAlignment w:val="center"/>
              <w:rPr>
                <w:rFonts w:ascii="Arial" w:hAnsi="Arial" w:cs="Arial"/>
                <w:color w:val="000000"/>
              </w:rPr>
            </w:pPr>
            <w:r>
              <w:rPr>
                <w:rFonts w:ascii="Arial" w:hAnsi="Arial" w:cs="Arial"/>
                <w:color w:val="000000"/>
                <w:lang w:bidi="ar"/>
              </w:rPr>
              <w:t>-</w:t>
            </w:r>
          </w:p>
        </w:tc>
        <w:tc>
          <w:tcPr>
            <w:tcW w:w="2429" w:type="dxa"/>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rPr>
            </w:pPr>
            <w:r>
              <w:rPr>
                <w:rFonts w:ascii="Arial" w:hAnsi="Arial" w:cs="Arial"/>
                <w:color w:val="000000"/>
                <w:lang w:bidi="ar"/>
              </w:rPr>
              <w:t>314.08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jc w:val="center"/>
              <w:rPr>
                <w:rFonts w:ascii="Arial" w:hAnsi="Arial" w:cs="Arial"/>
              </w:rPr>
            </w:pPr>
            <w:r>
              <w:rPr>
                <w:rFonts w:ascii="Arial" w:hAnsi="Arial" w:cs="Arial"/>
              </w:rPr>
              <w:t>财务费用</w:t>
            </w:r>
          </w:p>
        </w:tc>
        <w:tc>
          <w:tcPr>
            <w:tcW w:w="2666" w:type="dxa"/>
            <w:vAlign w:val="center"/>
          </w:tcPr>
          <w:p>
            <w:pPr>
              <w:jc w:val="right"/>
              <w:rPr>
                <w:rFonts w:ascii="Arial" w:hAnsi="Arial" w:cs="Arial"/>
                <w:color w:val="000000"/>
                <w:lang w:bidi="ar"/>
              </w:rPr>
            </w:pPr>
          </w:p>
        </w:tc>
        <w:tc>
          <w:tcPr>
            <w:tcW w:w="2579" w:type="dxa"/>
            <w:vAlign w:val="center"/>
          </w:tcPr>
          <w:p>
            <w:pPr>
              <w:jc w:val="right"/>
              <w:rPr>
                <w:rFonts w:ascii="Arial" w:hAnsi="Arial" w:cs="Arial"/>
                <w:color w:val="000000"/>
                <w:lang w:bidi="ar"/>
              </w:rPr>
            </w:pPr>
          </w:p>
        </w:tc>
        <w:tc>
          <w:tcPr>
            <w:tcW w:w="2429" w:type="dxa"/>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lang w:bidi="ar"/>
              </w:rPr>
            </w:pPr>
            <w:r>
              <w:rPr>
                <w:rFonts w:ascii="Arial" w:hAnsi="Arial" w:cs="Arial"/>
                <w:color w:val="000000"/>
                <w:lang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80" w:firstLineChars="200"/>
              <w:jc w:val="both"/>
              <w:rPr>
                <w:rFonts w:ascii="Arial" w:hAnsi="Arial" w:cs="Arial"/>
              </w:rPr>
            </w:pPr>
            <w:r>
              <w:rPr>
                <w:rFonts w:ascii="Arial" w:hAnsi="Arial" w:cs="Arial"/>
              </w:rPr>
              <w:t>税费</w:t>
            </w:r>
          </w:p>
        </w:tc>
        <w:tc>
          <w:tcPr>
            <w:tcW w:w="2666" w:type="dxa"/>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rPr>
            </w:pPr>
            <w:r>
              <w:rPr>
                <w:rFonts w:ascii="Arial" w:hAnsi="Arial" w:cs="Arial"/>
                <w:color w:val="000000"/>
                <w:lang w:bidi="ar"/>
              </w:rPr>
              <w:t>-</w:t>
            </w:r>
          </w:p>
        </w:tc>
        <w:tc>
          <w:tcPr>
            <w:tcW w:w="2579" w:type="dxa"/>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ind w:firstLine="480" w:firstLineChars="200"/>
              <w:jc w:val="right"/>
              <w:textAlignment w:val="center"/>
              <w:rPr>
                <w:rFonts w:ascii="Arial" w:hAnsi="Arial" w:cs="Arial"/>
                <w:color w:val="000000"/>
              </w:rPr>
            </w:pPr>
            <w:r>
              <w:rPr>
                <w:rFonts w:ascii="Arial" w:hAnsi="Arial" w:cs="Arial"/>
                <w:color w:val="000000"/>
                <w:lang w:bidi="ar"/>
              </w:rPr>
              <w:t>-</w:t>
            </w:r>
          </w:p>
        </w:tc>
        <w:tc>
          <w:tcPr>
            <w:tcW w:w="2429" w:type="dxa"/>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rPr>
            </w:pPr>
            <w:r>
              <w:rPr>
                <w:rFonts w:ascii="Arial" w:hAnsi="Arial" w:cs="Arial"/>
                <w:color w:val="000000"/>
                <w:lang w:bidi="ar"/>
              </w:rPr>
              <w:t>1350.00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80" w:type="dxa"/>
          </w:tcPr>
          <w:p>
            <w:pPr>
              <w:spacing w:line="360" w:lineRule="auto"/>
              <w:ind w:firstLine="480" w:firstLineChars="200"/>
              <w:jc w:val="both"/>
              <w:rPr>
                <w:rFonts w:ascii="Arial" w:hAnsi="Arial" w:cs="Arial"/>
              </w:rPr>
            </w:pPr>
            <w:r>
              <w:rPr>
                <w:rFonts w:ascii="Arial" w:hAnsi="Arial" w:cs="Arial"/>
              </w:rPr>
              <w:t>其他费用</w:t>
            </w:r>
          </w:p>
        </w:tc>
        <w:tc>
          <w:tcPr>
            <w:tcW w:w="2666" w:type="dxa"/>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rPr>
            </w:pPr>
            <w:r>
              <w:rPr>
                <w:rFonts w:ascii="Arial" w:hAnsi="Arial" w:cs="Arial"/>
                <w:color w:val="000000"/>
                <w:lang w:bidi="ar"/>
              </w:rPr>
              <w:t>-</w:t>
            </w:r>
          </w:p>
        </w:tc>
        <w:tc>
          <w:tcPr>
            <w:tcW w:w="2579" w:type="dxa"/>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ind w:firstLine="480" w:firstLineChars="200"/>
              <w:jc w:val="right"/>
              <w:textAlignment w:val="center"/>
              <w:rPr>
                <w:rFonts w:ascii="Arial" w:hAnsi="Arial" w:cs="Arial"/>
                <w:color w:val="000000"/>
              </w:rPr>
            </w:pPr>
            <w:r>
              <w:rPr>
                <w:rFonts w:ascii="Arial" w:hAnsi="Arial" w:cs="Arial"/>
                <w:color w:val="000000"/>
                <w:lang w:bidi="ar"/>
              </w:rPr>
              <w:t>-</w:t>
            </w:r>
          </w:p>
        </w:tc>
        <w:tc>
          <w:tcPr>
            <w:tcW w:w="2429" w:type="dxa"/>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color w:val="000000"/>
              </w:rPr>
            </w:pPr>
            <w:r>
              <w:rPr>
                <w:rFonts w:ascii="Arial" w:hAnsi="Arial" w:cs="Arial"/>
                <w:color w:val="000000"/>
                <w:lang w:bidi="ar"/>
              </w:rPr>
              <w:t>268.19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225" w:type="dxa"/>
            <w:gridSpan w:val="3"/>
          </w:tcPr>
          <w:p>
            <w:pPr>
              <w:spacing w:line="360" w:lineRule="auto"/>
              <w:ind w:firstLine="482" w:firstLineChars="200"/>
              <w:jc w:val="center"/>
              <w:rPr>
                <w:rFonts w:ascii="Arial" w:hAnsi="Arial" w:cs="Arial"/>
                <w:b/>
                <w:bCs/>
              </w:rPr>
            </w:pPr>
            <w:r>
              <w:rPr>
                <w:rFonts w:ascii="Arial" w:hAnsi="Arial" w:cs="Arial"/>
                <w:b/>
                <w:bCs/>
              </w:rPr>
              <w:t>总   计：</w:t>
            </w:r>
          </w:p>
        </w:tc>
        <w:tc>
          <w:tcPr>
            <w:tcW w:w="2429" w:type="dxa"/>
            <w:vAlign w:val="center"/>
          </w:tcPr>
          <w:p>
            <w:pPr>
              <w:pBdr>
                <w:top w:val="none" w:color="auto" w:sz="0" w:space="0"/>
                <w:left w:val="none" w:color="auto" w:sz="0" w:space="0"/>
                <w:bottom w:val="none" w:color="auto" w:sz="0" w:space="0"/>
                <w:right w:val="none" w:color="auto" w:sz="0" w:space="0"/>
              </w:pBdr>
              <w:shd w:val="clear" w:color="auto" w:fill="auto"/>
              <w:spacing w:before="0" w:beforeAutospacing="0" w:after="0" w:afterAutospacing="0"/>
              <w:jc w:val="right"/>
              <w:textAlignment w:val="center"/>
              <w:rPr>
                <w:rFonts w:ascii="Arial" w:hAnsi="Arial" w:cs="Arial"/>
                <w:b/>
                <w:color w:val="000000"/>
                <w:kern w:val="2"/>
              </w:rPr>
            </w:pPr>
            <w:r>
              <w:rPr>
                <w:rFonts w:ascii="Arial" w:hAnsi="Arial" w:cs="Arial"/>
                <w:b/>
                <w:color w:val="000000"/>
                <w:lang w:bidi="ar"/>
              </w:rPr>
              <w:t>5090.27</w:t>
            </w:r>
          </w:p>
        </w:tc>
      </w:tr>
      <w:bookmarkEnd w:id="36"/>
      <w:bookmarkEnd w:id="37"/>
    </w:tbl>
    <w:p>
      <w:pPr>
        <w:ind w:firstLine="420" w:firstLineChars="200"/>
        <w:rPr>
          <w:rFonts w:ascii="宋体" w:hAnsi="宋体" w:cs="宋体"/>
          <w:bCs/>
          <w:sz w:val="21"/>
          <w:szCs w:val="21"/>
        </w:rPr>
      </w:pPr>
    </w:p>
    <w:p>
      <w:pPr>
        <w:rPr>
          <w:rFonts w:ascii="宋体" w:hAnsi="宋体" w:cs="宋体"/>
          <w:bCs/>
          <w:sz w:val="21"/>
          <w:szCs w:val="21"/>
        </w:rPr>
      </w:pPr>
      <w:r>
        <w:rPr>
          <w:rFonts w:ascii="宋体" w:hAnsi="宋体" w:cs="宋体"/>
          <w:bCs/>
          <w:sz w:val="21"/>
          <w:szCs w:val="21"/>
        </w:rPr>
        <w:br w:type="page"/>
      </w:r>
    </w:p>
    <w:p>
      <w:pPr>
        <w:rPr>
          <w:rFonts w:ascii="宋体" w:hAnsi="宋体" w:cs="宋体"/>
          <w:b/>
          <w:sz w:val="21"/>
          <w:szCs w:val="21"/>
        </w:rPr>
      </w:pPr>
      <w:r>
        <w:rPr>
          <w:rFonts w:hint="eastAsia" w:ascii="宋体" w:hAnsi="宋体" w:cs="宋体"/>
          <w:b/>
          <w:sz w:val="21"/>
          <w:szCs w:val="21"/>
        </w:rPr>
        <w:t>附件七：项目形象进度及照片</w:t>
      </w:r>
    </w:p>
    <w:p>
      <w:pPr>
        <w:spacing w:line="360" w:lineRule="auto"/>
        <w:ind w:firstLine="420" w:firstLineChars="200"/>
        <w:rPr>
          <w:rFonts w:hint="eastAsia" w:ascii="Arial" w:hAnsi="Arial" w:eastAsia="宋体" w:cs="Arial"/>
          <w:color w:val="000000"/>
          <w:sz w:val="21"/>
          <w:szCs w:val="21"/>
          <w:lang w:eastAsia="zh-CN"/>
        </w:rPr>
      </w:pPr>
      <w:r>
        <w:rPr>
          <w:rFonts w:hint="eastAsia" w:ascii="Arial" w:hAnsi="Arial" w:cs="Arial"/>
          <w:bCs/>
          <w:sz w:val="21"/>
          <w:szCs w:val="21"/>
        </w:rPr>
        <w:t>2021</w:t>
      </w:r>
      <w:r>
        <w:rPr>
          <w:rFonts w:ascii="Arial" w:hAnsi="Arial" w:cs="Arial"/>
          <w:bCs/>
          <w:sz w:val="21"/>
          <w:szCs w:val="21"/>
        </w:rPr>
        <w:t>年</w:t>
      </w:r>
      <w:r>
        <w:rPr>
          <w:rFonts w:hint="eastAsia" w:ascii="Arial" w:hAnsi="Arial" w:cs="Arial"/>
          <w:bCs/>
          <w:sz w:val="21"/>
          <w:szCs w:val="21"/>
        </w:rPr>
        <w:t>06</w:t>
      </w:r>
      <w:r>
        <w:rPr>
          <w:rFonts w:ascii="Arial" w:hAnsi="Arial" w:cs="Arial"/>
          <w:bCs/>
          <w:sz w:val="21"/>
          <w:szCs w:val="21"/>
        </w:rPr>
        <w:t>月工程进度：</w:t>
      </w:r>
      <w:r>
        <w:rPr>
          <w:rFonts w:ascii="Arial" w:hAnsi="Arial" w:cs="Arial"/>
          <w:color w:val="000000"/>
          <w:sz w:val="21"/>
          <w:szCs w:val="21"/>
        </w:rPr>
        <w:t>2#地块（一期）一标段8#十八层结构梁板钢筋安装，腰梁以下墙体2-8层，腰梁以上墙体2-8层，构造柱2-6层；11#二十层结构墙柱钢筋安装，腰梁以下墙体2-8层，腰梁以上墙体2-7层，构造柱2-6层；5#十二层结构叠合板安装；6#九层墙柱钢筋安装；3#八层砼待浇筑；二标段9#屋面构架砼浇筑完成，腰梁以下2-8层，腰梁以上2-5层，构造柱2-4层；10#二十二层结构排架搭设完成，腰梁以下2-8层，腰梁以上2-4层，构造柱2-4层；4#十一层结构梁板钢筋安装、7#十二层面砼待浇筑，2#</w:t>
      </w:r>
      <w:r>
        <w:rPr>
          <w:rFonts w:hint="eastAsia" w:ascii="Arial" w:hAnsi="Arial" w:cs="Arial"/>
          <w:color w:val="000000"/>
          <w:sz w:val="21"/>
          <w:szCs w:val="21"/>
        </w:rPr>
        <w:t>八层砼待浇筑</w:t>
      </w:r>
      <w:r>
        <w:rPr>
          <w:rFonts w:hint="eastAsia" w:ascii="Arial" w:hAnsi="Arial" w:cs="Arial"/>
          <w:color w:val="000000"/>
          <w:sz w:val="21"/>
          <w:szCs w:val="21"/>
          <w:lang w:eastAsia="zh-CN"/>
        </w:rPr>
        <w:t>。</w:t>
      </w:r>
    </w:p>
    <w:p>
      <w:pPr>
        <w:spacing w:line="360" w:lineRule="auto"/>
        <w:ind w:firstLine="420" w:firstLineChars="200"/>
        <w:rPr>
          <w:rFonts w:ascii="Arial" w:hAnsi="Arial" w:cs="Arial"/>
          <w:bCs/>
          <w:sz w:val="21"/>
          <w:szCs w:val="21"/>
        </w:rPr>
      </w:pPr>
      <w:r>
        <w:rPr>
          <w:rFonts w:ascii="Arial" w:hAnsi="Arial" w:cs="Arial"/>
          <w:color w:val="000000"/>
          <w:sz w:val="21"/>
          <w:szCs w:val="21"/>
        </w:rPr>
        <w:t>1#地块（二期）1#楼东侧双轴围护已完成；2#楼坑中坑及主楼边双轴施工完成；地库桩基完成95%；6#、8#楼土方开挖完成30%。总体工程进度符合第一次董事会的商业计划进度要求。</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6"/>
        <w:gridCol w:w="4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2"/>
              <w:ind w:firstLine="0" w:firstLineChars="0"/>
            </w:pPr>
            <w:r>
              <w:rPr>
                <w:rFonts w:ascii="Arial" w:hAnsi="Arial" w:cs="Arial"/>
              </w:rPr>
              <w:drawing>
                <wp:inline distT="0" distB="0" distL="114300" distR="114300">
                  <wp:extent cx="2994660" cy="2865120"/>
                  <wp:effectExtent l="0" t="0" r="15240" b="11430"/>
                  <wp:docPr id="15" name="图片 15" descr="24a2eeca757c954291c755c47810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4a2eeca757c954291c755c47810b9a"/>
                          <pic:cNvPicPr>
                            <a:picLocks noChangeAspect="1"/>
                          </pic:cNvPicPr>
                        </pic:nvPicPr>
                        <pic:blipFill>
                          <a:blip r:embed="rId15"/>
                          <a:stretch>
                            <a:fillRect/>
                          </a:stretch>
                        </pic:blipFill>
                        <pic:spPr>
                          <a:xfrm>
                            <a:off x="0" y="0"/>
                            <a:ext cx="2994660" cy="2865120"/>
                          </a:xfrm>
                          <a:prstGeom prst="rect">
                            <a:avLst/>
                          </a:prstGeom>
                        </pic:spPr>
                      </pic:pic>
                    </a:graphicData>
                  </a:graphic>
                </wp:inline>
              </w:drawing>
            </w:r>
          </w:p>
        </w:tc>
        <w:tc>
          <w:tcPr>
            <w:tcW w:w="4927" w:type="dxa"/>
          </w:tcPr>
          <w:p>
            <w:pPr>
              <w:pStyle w:val="2"/>
              <w:ind w:firstLine="0" w:firstLineChars="0"/>
            </w:pPr>
            <w:r>
              <w:rPr>
                <w:rFonts w:ascii="Arial" w:hAnsi="Arial" w:cs="Arial"/>
              </w:rPr>
              <w:drawing>
                <wp:inline distT="0" distB="0" distL="114300" distR="114300">
                  <wp:extent cx="2746375" cy="2837180"/>
                  <wp:effectExtent l="0" t="0" r="15875" b="1270"/>
                  <wp:docPr id="16" name="图片 16" descr="fea002341987c670e00be2493770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ea002341987c670e00be2493770a3d"/>
                          <pic:cNvPicPr>
                            <a:picLocks noChangeAspect="1"/>
                          </pic:cNvPicPr>
                        </pic:nvPicPr>
                        <pic:blipFill>
                          <a:blip r:embed="rId16"/>
                          <a:stretch>
                            <a:fillRect/>
                          </a:stretch>
                        </pic:blipFill>
                        <pic:spPr>
                          <a:xfrm>
                            <a:off x="0" y="0"/>
                            <a:ext cx="2746375" cy="28371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2"/>
              <w:ind w:firstLine="0" w:firstLineChars="0"/>
              <w:rPr>
                <w:rFonts w:ascii="Arial" w:hAnsi="Arial" w:cs="Arial"/>
              </w:rPr>
            </w:pPr>
            <w:r>
              <w:rPr>
                <w:rFonts w:hint="eastAsia" w:ascii="宋体" w:hAnsi="宋体" w:cs="宋体"/>
                <w:sz w:val="18"/>
                <w:szCs w:val="18"/>
              </w:rPr>
              <w:drawing>
                <wp:inline distT="0" distB="0" distL="114300" distR="114300">
                  <wp:extent cx="2993390" cy="2809875"/>
                  <wp:effectExtent l="0" t="0" r="16510" b="9525"/>
                  <wp:docPr id="3" name="图片 3" descr="4764620f3baaf8426d953c167f14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764620f3baaf8426d953c167f148a1"/>
                          <pic:cNvPicPr>
                            <a:picLocks noChangeAspect="1"/>
                          </pic:cNvPicPr>
                        </pic:nvPicPr>
                        <pic:blipFill>
                          <a:blip r:embed="rId17"/>
                          <a:stretch>
                            <a:fillRect/>
                          </a:stretch>
                        </pic:blipFill>
                        <pic:spPr>
                          <a:xfrm>
                            <a:off x="0" y="0"/>
                            <a:ext cx="2993390" cy="2809875"/>
                          </a:xfrm>
                          <a:prstGeom prst="rect">
                            <a:avLst/>
                          </a:prstGeom>
                        </pic:spPr>
                      </pic:pic>
                    </a:graphicData>
                  </a:graphic>
                </wp:inline>
              </w:drawing>
            </w:r>
          </w:p>
        </w:tc>
        <w:tc>
          <w:tcPr>
            <w:tcW w:w="4927" w:type="dxa"/>
          </w:tcPr>
          <w:p>
            <w:pPr>
              <w:pStyle w:val="2"/>
              <w:ind w:firstLine="0" w:firstLineChars="0"/>
              <w:rPr>
                <w:rFonts w:ascii="Arial" w:hAnsi="Arial" w:cs="Arial"/>
              </w:rPr>
            </w:pPr>
            <w:r>
              <w:rPr>
                <w:rFonts w:hint="eastAsia" w:ascii="宋体" w:hAnsi="宋体" w:cs="宋体"/>
                <w:sz w:val="18"/>
                <w:szCs w:val="18"/>
              </w:rPr>
              <w:drawing>
                <wp:inline distT="0" distB="0" distL="114300" distR="114300">
                  <wp:extent cx="2743200" cy="2832100"/>
                  <wp:effectExtent l="0" t="0" r="0" b="6350"/>
                  <wp:docPr id="20" name="图片 20" descr="543cb26300c4c96048da56261fd99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43cb26300c4c96048da56261fd992a"/>
                          <pic:cNvPicPr>
                            <a:picLocks noChangeAspect="1"/>
                          </pic:cNvPicPr>
                        </pic:nvPicPr>
                        <pic:blipFill>
                          <a:blip r:embed="rId18"/>
                          <a:stretch>
                            <a:fillRect/>
                          </a:stretch>
                        </pic:blipFill>
                        <pic:spPr>
                          <a:xfrm>
                            <a:off x="0" y="0"/>
                            <a:ext cx="2743200" cy="28321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2"/>
              <w:ind w:firstLine="0" w:firstLineChars="0"/>
              <w:rPr>
                <w:rFonts w:ascii="宋体" w:hAnsi="宋体" w:cs="宋体"/>
                <w:sz w:val="18"/>
                <w:szCs w:val="18"/>
              </w:rPr>
            </w:pPr>
            <w:r>
              <w:rPr>
                <w:rFonts w:hint="eastAsia" w:ascii="宋体" w:hAnsi="宋体" w:cs="宋体"/>
                <w:sz w:val="18"/>
                <w:szCs w:val="18"/>
              </w:rPr>
              <w:drawing>
                <wp:inline distT="0" distB="0" distL="114300" distR="114300">
                  <wp:extent cx="2994660" cy="2501265"/>
                  <wp:effectExtent l="0" t="0" r="15240" b="13335"/>
                  <wp:docPr id="23" name="图片 23" descr="88a9100c16b7f363a434f14dfeda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8a9100c16b7f363a434f14dfeda219"/>
                          <pic:cNvPicPr>
                            <a:picLocks noChangeAspect="1"/>
                          </pic:cNvPicPr>
                        </pic:nvPicPr>
                        <pic:blipFill>
                          <a:blip r:embed="rId19"/>
                          <a:stretch>
                            <a:fillRect/>
                          </a:stretch>
                        </pic:blipFill>
                        <pic:spPr>
                          <a:xfrm>
                            <a:off x="0" y="0"/>
                            <a:ext cx="2994660" cy="2501265"/>
                          </a:xfrm>
                          <a:prstGeom prst="rect">
                            <a:avLst/>
                          </a:prstGeom>
                        </pic:spPr>
                      </pic:pic>
                    </a:graphicData>
                  </a:graphic>
                </wp:inline>
              </w:drawing>
            </w:r>
          </w:p>
        </w:tc>
        <w:tc>
          <w:tcPr>
            <w:tcW w:w="4927" w:type="dxa"/>
          </w:tcPr>
          <w:p>
            <w:pPr>
              <w:pStyle w:val="2"/>
              <w:ind w:firstLine="0" w:firstLineChars="0"/>
              <w:rPr>
                <w:rFonts w:ascii="宋体" w:hAnsi="宋体" w:cs="宋体"/>
                <w:sz w:val="18"/>
                <w:szCs w:val="18"/>
              </w:rPr>
            </w:pPr>
            <w:r>
              <w:rPr>
                <w:rFonts w:hint="eastAsia" w:ascii="宋体" w:hAnsi="宋体" w:cs="宋体"/>
                <w:sz w:val="18"/>
                <w:szCs w:val="18"/>
              </w:rPr>
              <w:drawing>
                <wp:inline distT="0" distB="0" distL="114300" distR="114300">
                  <wp:extent cx="2743200" cy="2526030"/>
                  <wp:effectExtent l="0" t="0" r="0" b="7620"/>
                  <wp:docPr id="24" name="图片 24" descr="d0d43dbe23a98266af2399590dfa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0d43dbe23a98266af2399590dfa095"/>
                          <pic:cNvPicPr>
                            <a:picLocks noChangeAspect="1"/>
                          </pic:cNvPicPr>
                        </pic:nvPicPr>
                        <pic:blipFill>
                          <a:blip r:embed="rId20"/>
                          <a:stretch>
                            <a:fillRect/>
                          </a:stretch>
                        </pic:blipFill>
                        <pic:spPr>
                          <a:xfrm>
                            <a:off x="0" y="0"/>
                            <a:ext cx="2743200" cy="25260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7" w:hRule="atLeast"/>
        </w:trPr>
        <w:tc>
          <w:tcPr>
            <w:tcW w:w="4927" w:type="dxa"/>
          </w:tcPr>
          <w:p>
            <w:pPr>
              <w:pStyle w:val="2"/>
              <w:ind w:firstLine="0" w:firstLineChars="0"/>
              <w:rPr>
                <w:rFonts w:ascii="宋体" w:hAnsi="宋体" w:cs="宋体"/>
                <w:sz w:val="18"/>
                <w:szCs w:val="18"/>
              </w:rPr>
            </w:pPr>
            <w:r>
              <w:rPr>
                <w:sz w:val="24"/>
              </w:rPr>
              <w:drawing>
                <wp:inline distT="0" distB="0" distL="114300" distR="114300">
                  <wp:extent cx="2994660" cy="2167255"/>
                  <wp:effectExtent l="0" t="0" r="15240" b="4445"/>
                  <wp:docPr id="26" name="图片 26" descr="e68bdbe61b4e42ce344c13571baa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68bdbe61b4e42ce344c13571baa706"/>
                          <pic:cNvPicPr>
                            <a:picLocks noChangeAspect="1"/>
                          </pic:cNvPicPr>
                        </pic:nvPicPr>
                        <pic:blipFill>
                          <a:blip r:embed="rId21"/>
                          <a:stretch>
                            <a:fillRect/>
                          </a:stretch>
                        </pic:blipFill>
                        <pic:spPr>
                          <a:xfrm>
                            <a:off x="0" y="0"/>
                            <a:ext cx="2994660" cy="2167255"/>
                          </a:xfrm>
                          <a:prstGeom prst="rect">
                            <a:avLst/>
                          </a:prstGeom>
                        </pic:spPr>
                      </pic:pic>
                    </a:graphicData>
                  </a:graphic>
                </wp:inline>
              </w:drawing>
            </w:r>
          </w:p>
        </w:tc>
        <w:tc>
          <w:tcPr>
            <w:tcW w:w="4927" w:type="dxa"/>
          </w:tcPr>
          <w:p>
            <w:pPr>
              <w:pStyle w:val="2"/>
              <w:ind w:firstLine="0" w:firstLineChars="0"/>
              <w:rPr>
                <w:rFonts w:ascii="宋体" w:hAnsi="宋体" w:cs="宋体"/>
                <w:sz w:val="18"/>
                <w:szCs w:val="18"/>
              </w:rPr>
            </w:pPr>
            <w:r>
              <w:rPr>
                <w:sz w:val="24"/>
              </w:rPr>
              <w:drawing>
                <wp:inline distT="0" distB="0" distL="114300" distR="114300">
                  <wp:extent cx="2743200" cy="2184400"/>
                  <wp:effectExtent l="0" t="0" r="0" b="6350"/>
                  <wp:docPr id="27" name="图片 27" descr="d239bc66b9a180c7b26901954ef38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239bc66b9a180c7b26901954ef380b"/>
                          <pic:cNvPicPr>
                            <a:picLocks noChangeAspect="1"/>
                          </pic:cNvPicPr>
                        </pic:nvPicPr>
                        <pic:blipFill>
                          <a:blip r:embed="rId22"/>
                          <a:stretch>
                            <a:fillRect/>
                          </a:stretch>
                        </pic:blipFill>
                        <pic:spPr>
                          <a:xfrm>
                            <a:off x="0" y="0"/>
                            <a:ext cx="2743200" cy="21844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2"/>
              <w:ind w:firstLine="0" w:firstLineChars="0"/>
            </w:pPr>
            <w:r>
              <w:rPr>
                <w:sz w:val="24"/>
              </w:rPr>
              <w:drawing>
                <wp:inline distT="0" distB="0" distL="114300" distR="114300">
                  <wp:extent cx="2987040" cy="2240280"/>
                  <wp:effectExtent l="0" t="0" r="3810" b="7620"/>
                  <wp:docPr id="28" name="图片 28" descr="65842f34b8c730029c6ccc1b54759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5842f34b8c730029c6ccc1b547599c"/>
                          <pic:cNvPicPr>
                            <a:picLocks noChangeAspect="1"/>
                          </pic:cNvPicPr>
                        </pic:nvPicPr>
                        <pic:blipFill>
                          <a:blip r:embed="rId23"/>
                          <a:stretch>
                            <a:fillRect/>
                          </a:stretch>
                        </pic:blipFill>
                        <pic:spPr>
                          <a:xfrm>
                            <a:off x="0" y="0"/>
                            <a:ext cx="2987040" cy="2240280"/>
                          </a:xfrm>
                          <a:prstGeom prst="rect">
                            <a:avLst/>
                          </a:prstGeom>
                        </pic:spPr>
                      </pic:pic>
                    </a:graphicData>
                  </a:graphic>
                </wp:inline>
              </w:drawing>
            </w:r>
          </w:p>
        </w:tc>
        <w:tc>
          <w:tcPr>
            <w:tcW w:w="4927" w:type="dxa"/>
          </w:tcPr>
          <w:p>
            <w:pPr>
              <w:pStyle w:val="2"/>
              <w:ind w:firstLine="0" w:firstLineChars="0"/>
            </w:pPr>
            <w:r>
              <w:rPr>
                <w:sz w:val="24"/>
              </w:rPr>
              <w:drawing>
                <wp:inline distT="0" distB="0" distL="114300" distR="114300">
                  <wp:extent cx="2743200" cy="2286635"/>
                  <wp:effectExtent l="0" t="0" r="0" b="18415"/>
                  <wp:docPr id="41" name="图片 41" descr="8f890625237750b5b9cb32e6a05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8f890625237750b5b9cb32e6a054057"/>
                          <pic:cNvPicPr>
                            <a:picLocks noChangeAspect="1"/>
                          </pic:cNvPicPr>
                        </pic:nvPicPr>
                        <pic:blipFill>
                          <a:blip r:embed="rId24"/>
                          <a:stretch>
                            <a:fillRect/>
                          </a:stretch>
                        </pic:blipFill>
                        <pic:spPr>
                          <a:xfrm>
                            <a:off x="0" y="0"/>
                            <a:ext cx="2743200" cy="22866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927" w:type="dxa"/>
          </w:tcPr>
          <w:p>
            <w:pPr>
              <w:pStyle w:val="2"/>
              <w:ind w:firstLine="0" w:firstLineChars="0"/>
              <w:rPr>
                <w:sz w:val="24"/>
              </w:rPr>
            </w:pPr>
            <w:r>
              <w:rPr>
                <w:sz w:val="24"/>
              </w:rPr>
              <w:drawing>
                <wp:inline distT="0" distB="0" distL="114300" distR="114300">
                  <wp:extent cx="2987040" cy="2374900"/>
                  <wp:effectExtent l="0" t="0" r="3810" b="6350"/>
                  <wp:docPr id="30" name="图片 30" descr="99cb145cb132f9f46758d0e49ad7e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9cb145cb132f9f46758d0e49ad7e9c"/>
                          <pic:cNvPicPr>
                            <a:picLocks noChangeAspect="1"/>
                          </pic:cNvPicPr>
                        </pic:nvPicPr>
                        <pic:blipFill>
                          <a:blip r:embed="rId25"/>
                          <a:stretch>
                            <a:fillRect/>
                          </a:stretch>
                        </pic:blipFill>
                        <pic:spPr>
                          <a:xfrm>
                            <a:off x="0" y="0"/>
                            <a:ext cx="2987040" cy="2374900"/>
                          </a:xfrm>
                          <a:prstGeom prst="rect">
                            <a:avLst/>
                          </a:prstGeom>
                        </pic:spPr>
                      </pic:pic>
                    </a:graphicData>
                  </a:graphic>
                </wp:inline>
              </w:drawing>
            </w:r>
          </w:p>
        </w:tc>
        <w:tc>
          <w:tcPr>
            <w:tcW w:w="4927" w:type="dxa"/>
          </w:tcPr>
          <w:p>
            <w:pPr>
              <w:pStyle w:val="2"/>
              <w:ind w:firstLine="0" w:firstLineChars="0"/>
              <w:rPr>
                <w:sz w:val="24"/>
              </w:rPr>
            </w:pPr>
            <w:r>
              <w:rPr>
                <w:sz w:val="24"/>
              </w:rPr>
              <w:drawing>
                <wp:inline distT="0" distB="0" distL="114300" distR="114300">
                  <wp:extent cx="2942590" cy="2482850"/>
                  <wp:effectExtent l="0" t="0" r="10160" b="12700"/>
                  <wp:docPr id="35" name="图片 35" descr="4d87869db7ae139fe534312628cd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d87869db7ae139fe534312628cd9d1"/>
                          <pic:cNvPicPr>
                            <a:picLocks noChangeAspect="1"/>
                          </pic:cNvPicPr>
                        </pic:nvPicPr>
                        <pic:blipFill>
                          <a:blip r:embed="rId26"/>
                          <a:stretch>
                            <a:fillRect/>
                          </a:stretch>
                        </pic:blipFill>
                        <pic:spPr>
                          <a:xfrm>
                            <a:off x="0" y="0"/>
                            <a:ext cx="2942590" cy="2482850"/>
                          </a:xfrm>
                          <a:prstGeom prst="rect">
                            <a:avLst/>
                          </a:prstGeom>
                        </pic:spPr>
                      </pic:pic>
                    </a:graphicData>
                  </a:graphic>
                </wp:inline>
              </w:drawing>
            </w:r>
          </w:p>
        </w:tc>
      </w:tr>
    </w:tbl>
    <w:p>
      <w:pPr>
        <w:pStyle w:val="2"/>
        <w:ind w:firstLine="0" w:firstLineChars="0"/>
      </w:pPr>
    </w:p>
    <w:p>
      <w:pPr>
        <w:pStyle w:val="2"/>
        <w:rPr>
          <w:rFonts w:ascii="宋体" w:hAnsi="宋体"/>
          <w:szCs w:val="21"/>
        </w:rPr>
      </w:pPr>
    </w:p>
    <w:p>
      <w:pPr>
        <w:pStyle w:val="2"/>
        <w:ind w:firstLine="0" w:firstLineChars="0"/>
        <w:rPr>
          <w:rFonts w:ascii="宋体" w:hAnsi="宋体"/>
          <w:szCs w:val="21"/>
        </w:rPr>
      </w:pPr>
    </w:p>
    <w:p>
      <w:pPr>
        <w:pStyle w:val="2"/>
        <w:ind w:firstLine="0" w:firstLineChars="0"/>
        <w:rPr>
          <w:rFonts w:ascii="宋体" w:hAnsi="宋体"/>
          <w:szCs w:val="21"/>
        </w:rPr>
      </w:pPr>
    </w:p>
    <w:p>
      <w:pPr>
        <w:rPr>
          <w:rFonts w:ascii="宋体" w:hAnsi="宋体" w:cs="宋体"/>
          <w:b/>
          <w:sz w:val="21"/>
          <w:szCs w:val="21"/>
          <w:highlight w:val="yellow"/>
        </w:rPr>
      </w:pPr>
    </w:p>
    <w:p>
      <w:pPr>
        <w:rPr>
          <w:rFonts w:ascii="宋体" w:hAnsi="宋体" w:cs="宋体"/>
          <w:b/>
          <w:sz w:val="21"/>
          <w:szCs w:val="21"/>
          <w:highlight w:val="yellow"/>
        </w:rPr>
      </w:pPr>
    </w:p>
    <w:p>
      <w:pPr>
        <w:rPr>
          <w:rFonts w:ascii="宋体" w:hAnsi="宋体" w:cs="宋体"/>
          <w:b/>
          <w:sz w:val="21"/>
          <w:szCs w:val="21"/>
          <w:highlight w:val="yellow"/>
        </w:rPr>
      </w:pPr>
    </w:p>
    <w:p>
      <w:pPr>
        <w:rPr>
          <w:rFonts w:ascii="宋体" w:hAnsi="宋体" w:cs="宋体"/>
          <w:b/>
          <w:sz w:val="21"/>
          <w:szCs w:val="21"/>
          <w:highlight w:val="yellow"/>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rPr>
          <w:rFonts w:ascii="宋体" w:hAnsi="宋体" w:cs="宋体"/>
          <w:b/>
          <w:sz w:val="21"/>
          <w:szCs w:val="21"/>
        </w:rPr>
      </w:pPr>
    </w:p>
    <w:p>
      <w:pPr>
        <w:pStyle w:val="2"/>
        <w:ind w:firstLine="0" w:firstLineChars="0"/>
        <w:jc w:val="both"/>
      </w:pPr>
    </w:p>
    <w:p>
      <w:pPr>
        <w:pStyle w:val="2"/>
        <w:ind w:firstLine="0" w:firstLineChars="0"/>
      </w:pPr>
    </w:p>
    <w:p/>
    <w:sectPr>
      <w:pgSz w:w="11906" w:h="16838"/>
      <w:pgMar w:top="1134" w:right="1134" w:bottom="1134" w:left="1134"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Wingdings 2">
    <w:altName w:val="Wingdings"/>
    <w:panose1 w:val="050201020105070707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3700279"/>
    </w:sdtPr>
    <w:sdtContent>
      <w:p>
        <w:pPr>
          <w:pStyle w:val="10"/>
          <w:jc w:val="center"/>
        </w:pPr>
        <w:r>
          <w:fldChar w:fldCharType="begin"/>
        </w:r>
        <w:r>
          <w:instrText xml:space="preserve">PAGE   \* MERGEFORMAT</w:instrText>
        </w:r>
        <w:r>
          <w:fldChar w:fldCharType="separate"/>
        </w:r>
        <w:r>
          <w:rPr>
            <w:lang w:val="zh-CN"/>
          </w:rPr>
          <w:t>15</w:t>
        </w:r>
        <w:r>
          <w:fldChar w:fldCharType="end"/>
        </w:r>
      </w:p>
    </w:sdtContent>
  </w:sdt>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9332B3"/>
    <w:multiLevelType w:val="singleLevel"/>
    <w:tmpl w:val="E49332B3"/>
    <w:lvl w:ilvl="0" w:tentative="0">
      <w:start w:val="3"/>
      <w:numFmt w:val="decimal"/>
      <w:suff w:val="nothing"/>
      <w:lvlText w:val="（%1）"/>
      <w:lvlJc w:val="left"/>
    </w:lvl>
  </w:abstractNum>
  <w:abstractNum w:abstractNumId="1">
    <w:nsid w:val="08D7EC83"/>
    <w:multiLevelType w:val="singleLevel"/>
    <w:tmpl w:val="08D7EC83"/>
    <w:lvl w:ilvl="0" w:tentative="0">
      <w:start w:val="1"/>
      <w:numFmt w:val="decimal"/>
      <w:suff w:val="nothing"/>
      <w:lvlText w:val="%1、"/>
      <w:lvlJc w:val="left"/>
    </w:lvl>
  </w:abstractNum>
  <w:abstractNum w:abstractNumId="2">
    <w:nsid w:val="1431E7A8"/>
    <w:multiLevelType w:val="singleLevel"/>
    <w:tmpl w:val="1431E7A8"/>
    <w:lvl w:ilvl="0" w:tentative="0">
      <w:start w:val="9"/>
      <w:numFmt w:val="chineseCounting"/>
      <w:suff w:val="nothing"/>
      <w:lvlText w:val="%1、"/>
      <w:lvlJc w:val="left"/>
      <w:rPr>
        <w:rFonts w:hint="eastAsia"/>
      </w:rPr>
    </w:lvl>
  </w:abstractNum>
  <w:abstractNum w:abstractNumId="3">
    <w:nsid w:val="195A5BB3"/>
    <w:multiLevelType w:val="singleLevel"/>
    <w:tmpl w:val="195A5BB3"/>
    <w:lvl w:ilvl="0" w:tentative="0">
      <w:start w:val="6"/>
      <w:numFmt w:val="decimal"/>
      <w:suff w:val="nothing"/>
      <w:lvlText w:val="（%1）"/>
      <w:lvlJc w:val="left"/>
      <w:rPr>
        <w:rFonts w:hint="default"/>
        <w:b/>
        <w:bC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FDC"/>
    <w:rsid w:val="00003367"/>
    <w:rsid w:val="000252A7"/>
    <w:rsid w:val="0003136C"/>
    <w:rsid w:val="0003235F"/>
    <w:rsid w:val="00044273"/>
    <w:rsid w:val="00052F29"/>
    <w:rsid w:val="000751D8"/>
    <w:rsid w:val="000825EA"/>
    <w:rsid w:val="00090B71"/>
    <w:rsid w:val="000A629C"/>
    <w:rsid w:val="000C3169"/>
    <w:rsid w:val="000C6899"/>
    <w:rsid w:val="000F1BBA"/>
    <w:rsid w:val="00102B4E"/>
    <w:rsid w:val="0011094E"/>
    <w:rsid w:val="00114E49"/>
    <w:rsid w:val="00122B2E"/>
    <w:rsid w:val="001237D3"/>
    <w:rsid w:val="00152CCA"/>
    <w:rsid w:val="0015479E"/>
    <w:rsid w:val="001571FE"/>
    <w:rsid w:val="00173230"/>
    <w:rsid w:val="001746B8"/>
    <w:rsid w:val="00183D43"/>
    <w:rsid w:val="001C71AD"/>
    <w:rsid w:val="001D1B16"/>
    <w:rsid w:val="001E748E"/>
    <w:rsid w:val="001F1EAD"/>
    <w:rsid w:val="002007EB"/>
    <w:rsid w:val="00206565"/>
    <w:rsid w:val="0026001F"/>
    <w:rsid w:val="00267F01"/>
    <w:rsid w:val="00277675"/>
    <w:rsid w:val="00282FD2"/>
    <w:rsid w:val="002856DE"/>
    <w:rsid w:val="00291EFD"/>
    <w:rsid w:val="002B7F0C"/>
    <w:rsid w:val="002C403A"/>
    <w:rsid w:val="002D6456"/>
    <w:rsid w:val="002F3803"/>
    <w:rsid w:val="002F6CC9"/>
    <w:rsid w:val="00313538"/>
    <w:rsid w:val="00317802"/>
    <w:rsid w:val="003308FF"/>
    <w:rsid w:val="0033333F"/>
    <w:rsid w:val="00334F24"/>
    <w:rsid w:val="00342ED6"/>
    <w:rsid w:val="0035478D"/>
    <w:rsid w:val="00381641"/>
    <w:rsid w:val="00387637"/>
    <w:rsid w:val="00397771"/>
    <w:rsid w:val="003B1A47"/>
    <w:rsid w:val="003B1C1F"/>
    <w:rsid w:val="003B2D50"/>
    <w:rsid w:val="003B600D"/>
    <w:rsid w:val="003E4059"/>
    <w:rsid w:val="004014B4"/>
    <w:rsid w:val="0041177E"/>
    <w:rsid w:val="004541BA"/>
    <w:rsid w:val="0046130C"/>
    <w:rsid w:val="00464647"/>
    <w:rsid w:val="00473296"/>
    <w:rsid w:val="00473ED2"/>
    <w:rsid w:val="00475F4E"/>
    <w:rsid w:val="00476B31"/>
    <w:rsid w:val="00477DA1"/>
    <w:rsid w:val="004853B4"/>
    <w:rsid w:val="004A6FF0"/>
    <w:rsid w:val="004B1192"/>
    <w:rsid w:val="004C5192"/>
    <w:rsid w:val="004E1353"/>
    <w:rsid w:val="004F27C3"/>
    <w:rsid w:val="004F62C7"/>
    <w:rsid w:val="00511ADB"/>
    <w:rsid w:val="00522788"/>
    <w:rsid w:val="00543C4D"/>
    <w:rsid w:val="005657BD"/>
    <w:rsid w:val="0056688A"/>
    <w:rsid w:val="005A3510"/>
    <w:rsid w:val="005A3B1B"/>
    <w:rsid w:val="005A4DA3"/>
    <w:rsid w:val="005B365D"/>
    <w:rsid w:val="005C0FFA"/>
    <w:rsid w:val="005C42DD"/>
    <w:rsid w:val="005E650E"/>
    <w:rsid w:val="00601672"/>
    <w:rsid w:val="00603042"/>
    <w:rsid w:val="00606EA7"/>
    <w:rsid w:val="00610720"/>
    <w:rsid w:val="006164B1"/>
    <w:rsid w:val="00616C0A"/>
    <w:rsid w:val="006229BF"/>
    <w:rsid w:val="00637ECB"/>
    <w:rsid w:val="00642EF3"/>
    <w:rsid w:val="0064598C"/>
    <w:rsid w:val="0065281F"/>
    <w:rsid w:val="00660BF5"/>
    <w:rsid w:val="00662F07"/>
    <w:rsid w:val="006704F1"/>
    <w:rsid w:val="00674542"/>
    <w:rsid w:val="006963E3"/>
    <w:rsid w:val="006A2323"/>
    <w:rsid w:val="006C5E9B"/>
    <w:rsid w:val="006C613B"/>
    <w:rsid w:val="00713F47"/>
    <w:rsid w:val="00726F04"/>
    <w:rsid w:val="00761FE0"/>
    <w:rsid w:val="00766504"/>
    <w:rsid w:val="0079216E"/>
    <w:rsid w:val="0079468A"/>
    <w:rsid w:val="00794EC9"/>
    <w:rsid w:val="00796F66"/>
    <w:rsid w:val="007C4BA4"/>
    <w:rsid w:val="007D2DD0"/>
    <w:rsid w:val="007E763B"/>
    <w:rsid w:val="007F024B"/>
    <w:rsid w:val="007F6FBE"/>
    <w:rsid w:val="0080739F"/>
    <w:rsid w:val="008079BC"/>
    <w:rsid w:val="008401A8"/>
    <w:rsid w:val="00844B5B"/>
    <w:rsid w:val="00846A9E"/>
    <w:rsid w:val="00860CC9"/>
    <w:rsid w:val="00864D4E"/>
    <w:rsid w:val="00866C73"/>
    <w:rsid w:val="008672A6"/>
    <w:rsid w:val="0087446D"/>
    <w:rsid w:val="00891370"/>
    <w:rsid w:val="00894780"/>
    <w:rsid w:val="008B2752"/>
    <w:rsid w:val="008B3700"/>
    <w:rsid w:val="008B41E2"/>
    <w:rsid w:val="008B6EB0"/>
    <w:rsid w:val="008C6BD0"/>
    <w:rsid w:val="008C70CF"/>
    <w:rsid w:val="008D281C"/>
    <w:rsid w:val="008E0555"/>
    <w:rsid w:val="008E0A62"/>
    <w:rsid w:val="008E20FE"/>
    <w:rsid w:val="008E6DB1"/>
    <w:rsid w:val="008F2025"/>
    <w:rsid w:val="008F35EB"/>
    <w:rsid w:val="009025C1"/>
    <w:rsid w:val="00905E63"/>
    <w:rsid w:val="0090612A"/>
    <w:rsid w:val="00907466"/>
    <w:rsid w:val="009074BB"/>
    <w:rsid w:val="00913CF2"/>
    <w:rsid w:val="00914F40"/>
    <w:rsid w:val="00921108"/>
    <w:rsid w:val="00926D88"/>
    <w:rsid w:val="00947EA5"/>
    <w:rsid w:val="00956A89"/>
    <w:rsid w:val="00990D31"/>
    <w:rsid w:val="00994BB8"/>
    <w:rsid w:val="009B685B"/>
    <w:rsid w:val="009C13D1"/>
    <w:rsid w:val="009D458D"/>
    <w:rsid w:val="009E0FDC"/>
    <w:rsid w:val="009F078E"/>
    <w:rsid w:val="009F75B0"/>
    <w:rsid w:val="00A00B65"/>
    <w:rsid w:val="00A054C0"/>
    <w:rsid w:val="00A132B1"/>
    <w:rsid w:val="00A55650"/>
    <w:rsid w:val="00A6162F"/>
    <w:rsid w:val="00A6705E"/>
    <w:rsid w:val="00A729EA"/>
    <w:rsid w:val="00A73F59"/>
    <w:rsid w:val="00A77000"/>
    <w:rsid w:val="00A92090"/>
    <w:rsid w:val="00AB5C68"/>
    <w:rsid w:val="00AD460C"/>
    <w:rsid w:val="00AD6343"/>
    <w:rsid w:val="00AE195E"/>
    <w:rsid w:val="00AE3135"/>
    <w:rsid w:val="00AE5872"/>
    <w:rsid w:val="00AE646B"/>
    <w:rsid w:val="00AF3DF8"/>
    <w:rsid w:val="00AF4593"/>
    <w:rsid w:val="00AF58A2"/>
    <w:rsid w:val="00B0586A"/>
    <w:rsid w:val="00B06A4B"/>
    <w:rsid w:val="00B42953"/>
    <w:rsid w:val="00B54A71"/>
    <w:rsid w:val="00B56FFD"/>
    <w:rsid w:val="00B71AE0"/>
    <w:rsid w:val="00B72278"/>
    <w:rsid w:val="00B74200"/>
    <w:rsid w:val="00BA1137"/>
    <w:rsid w:val="00BA5A03"/>
    <w:rsid w:val="00BA72BE"/>
    <w:rsid w:val="00BC0A47"/>
    <w:rsid w:val="00BC65C5"/>
    <w:rsid w:val="00BD0FCB"/>
    <w:rsid w:val="00BE6C21"/>
    <w:rsid w:val="00BF61A2"/>
    <w:rsid w:val="00C10911"/>
    <w:rsid w:val="00C15C6D"/>
    <w:rsid w:val="00C2115C"/>
    <w:rsid w:val="00C2430B"/>
    <w:rsid w:val="00C305B6"/>
    <w:rsid w:val="00C96D6C"/>
    <w:rsid w:val="00CA242F"/>
    <w:rsid w:val="00CB5CA5"/>
    <w:rsid w:val="00CB6B30"/>
    <w:rsid w:val="00CF168D"/>
    <w:rsid w:val="00CF3408"/>
    <w:rsid w:val="00CF3D77"/>
    <w:rsid w:val="00D02696"/>
    <w:rsid w:val="00D07237"/>
    <w:rsid w:val="00D25075"/>
    <w:rsid w:val="00D50902"/>
    <w:rsid w:val="00D63D1F"/>
    <w:rsid w:val="00D65551"/>
    <w:rsid w:val="00D8146D"/>
    <w:rsid w:val="00D927EF"/>
    <w:rsid w:val="00D9478F"/>
    <w:rsid w:val="00DB0AD7"/>
    <w:rsid w:val="00DB58EE"/>
    <w:rsid w:val="00DC1F2D"/>
    <w:rsid w:val="00DD59F6"/>
    <w:rsid w:val="00DD5DE4"/>
    <w:rsid w:val="00DE3673"/>
    <w:rsid w:val="00DF223A"/>
    <w:rsid w:val="00DF49B8"/>
    <w:rsid w:val="00E01F83"/>
    <w:rsid w:val="00E11526"/>
    <w:rsid w:val="00E1167D"/>
    <w:rsid w:val="00E242CF"/>
    <w:rsid w:val="00E310A3"/>
    <w:rsid w:val="00E349D8"/>
    <w:rsid w:val="00E34CBC"/>
    <w:rsid w:val="00E371AE"/>
    <w:rsid w:val="00E43F99"/>
    <w:rsid w:val="00E46E8F"/>
    <w:rsid w:val="00E543C0"/>
    <w:rsid w:val="00E644A2"/>
    <w:rsid w:val="00EA385C"/>
    <w:rsid w:val="00EA3A08"/>
    <w:rsid w:val="00EA590D"/>
    <w:rsid w:val="00EC425F"/>
    <w:rsid w:val="00ED660A"/>
    <w:rsid w:val="00EE6FE3"/>
    <w:rsid w:val="00EF4E53"/>
    <w:rsid w:val="00EF51E2"/>
    <w:rsid w:val="00F14B51"/>
    <w:rsid w:val="00F22F01"/>
    <w:rsid w:val="00F370D6"/>
    <w:rsid w:val="00F477A0"/>
    <w:rsid w:val="00F531F7"/>
    <w:rsid w:val="00F56F9D"/>
    <w:rsid w:val="00F725DF"/>
    <w:rsid w:val="00F81544"/>
    <w:rsid w:val="00F82E5D"/>
    <w:rsid w:val="00F9148E"/>
    <w:rsid w:val="00F92BCA"/>
    <w:rsid w:val="00FB3090"/>
    <w:rsid w:val="00FC4CF2"/>
    <w:rsid w:val="00FD3BAE"/>
    <w:rsid w:val="00FE2702"/>
    <w:rsid w:val="00FE7407"/>
    <w:rsid w:val="00FF0CEE"/>
    <w:rsid w:val="015E31DE"/>
    <w:rsid w:val="02800009"/>
    <w:rsid w:val="05601C05"/>
    <w:rsid w:val="06D77306"/>
    <w:rsid w:val="097D3032"/>
    <w:rsid w:val="09DB585C"/>
    <w:rsid w:val="09DE2CB0"/>
    <w:rsid w:val="0A561BC3"/>
    <w:rsid w:val="0A976661"/>
    <w:rsid w:val="0B1659BC"/>
    <w:rsid w:val="0B8C41A8"/>
    <w:rsid w:val="0DDD7B7E"/>
    <w:rsid w:val="0DEE1039"/>
    <w:rsid w:val="0F615BC2"/>
    <w:rsid w:val="0FD34CA6"/>
    <w:rsid w:val="10F13578"/>
    <w:rsid w:val="1432583B"/>
    <w:rsid w:val="1445110B"/>
    <w:rsid w:val="157C7138"/>
    <w:rsid w:val="1A6A2B8C"/>
    <w:rsid w:val="1A6B6E08"/>
    <w:rsid w:val="1F250847"/>
    <w:rsid w:val="1F271CCD"/>
    <w:rsid w:val="20331201"/>
    <w:rsid w:val="21C83A7F"/>
    <w:rsid w:val="233E6A52"/>
    <w:rsid w:val="286A4879"/>
    <w:rsid w:val="2B4C43F3"/>
    <w:rsid w:val="2C4F4FF9"/>
    <w:rsid w:val="2CFB4148"/>
    <w:rsid w:val="2EE1187F"/>
    <w:rsid w:val="2FC939C1"/>
    <w:rsid w:val="30D835D7"/>
    <w:rsid w:val="31634984"/>
    <w:rsid w:val="34F2478C"/>
    <w:rsid w:val="399B269C"/>
    <w:rsid w:val="3BFF1D74"/>
    <w:rsid w:val="3C98581F"/>
    <w:rsid w:val="3EA0203A"/>
    <w:rsid w:val="3EE14181"/>
    <w:rsid w:val="3EF964E6"/>
    <w:rsid w:val="444917C4"/>
    <w:rsid w:val="47E54F2E"/>
    <w:rsid w:val="48344A2B"/>
    <w:rsid w:val="48522FE2"/>
    <w:rsid w:val="4A8657FD"/>
    <w:rsid w:val="4BD5469E"/>
    <w:rsid w:val="4C4F5F3F"/>
    <w:rsid w:val="4D4B68FA"/>
    <w:rsid w:val="4DBC3D36"/>
    <w:rsid w:val="4DCE6B9A"/>
    <w:rsid w:val="4EA2621D"/>
    <w:rsid w:val="4F16359B"/>
    <w:rsid w:val="50210B90"/>
    <w:rsid w:val="51511CCA"/>
    <w:rsid w:val="520A7DE1"/>
    <w:rsid w:val="53346B29"/>
    <w:rsid w:val="536D741A"/>
    <w:rsid w:val="537018A7"/>
    <w:rsid w:val="55DB3FB7"/>
    <w:rsid w:val="570259D5"/>
    <w:rsid w:val="57632568"/>
    <w:rsid w:val="58FF59A6"/>
    <w:rsid w:val="59563E5B"/>
    <w:rsid w:val="596553E0"/>
    <w:rsid w:val="5B0E0243"/>
    <w:rsid w:val="5C7F1E80"/>
    <w:rsid w:val="5C821CEB"/>
    <w:rsid w:val="5DE550C8"/>
    <w:rsid w:val="5F3612FA"/>
    <w:rsid w:val="5FB6058E"/>
    <w:rsid w:val="607133AB"/>
    <w:rsid w:val="60A421DF"/>
    <w:rsid w:val="60E74224"/>
    <w:rsid w:val="621B676C"/>
    <w:rsid w:val="622C4C33"/>
    <w:rsid w:val="6648731C"/>
    <w:rsid w:val="69DC4FDB"/>
    <w:rsid w:val="6C72132D"/>
    <w:rsid w:val="6FCA46C0"/>
    <w:rsid w:val="70780917"/>
    <w:rsid w:val="715479A6"/>
    <w:rsid w:val="74090B4E"/>
    <w:rsid w:val="77690CB3"/>
    <w:rsid w:val="783E6D50"/>
    <w:rsid w:val="7AF90720"/>
    <w:rsid w:val="7B145EC4"/>
    <w:rsid w:val="7D8F0E68"/>
    <w:rsid w:val="7EDC13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24"/>
    <w:qFormat/>
    <w:uiPriority w:val="9"/>
    <w:pPr>
      <w:keepNext/>
      <w:keepLines/>
      <w:widowControl w:val="0"/>
      <w:spacing w:line="360" w:lineRule="auto"/>
      <w:jc w:val="both"/>
      <w:outlineLvl w:val="0"/>
    </w:pPr>
    <w:rPr>
      <w:rFonts w:eastAsia="仿宋_GB2312"/>
      <w:b/>
      <w:kern w:val="44"/>
      <w:sz w:val="32"/>
      <w:szCs w:val="22"/>
    </w:rPr>
  </w:style>
  <w:style w:type="paragraph" w:styleId="4">
    <w:name w:val="heading 2"/>
    <w:basedOn w:val="1"/>
    <w:next w:val="1"/>
    <w:link w:val="25"/>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5">
    <w:name w:val="heading 3"/>
    <w:basedOn w:val="1"/>
    <w:next w:val="1"/>
    <w:link w:val="26"/>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character" w:default="1" w:styleId="19">
    <w:name w:val="Default Paragraph Font"/>
    <w:semiHidden/>
    <w:unhideWhenUsed/>
    <w:qFormat/>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2">
    <w:name w:val="Normal Indent"/>
    <w:basedOn w:val="1"/>
    <w:qFormat/>
    <w:uiPriority w:val="99"/>
    <w:pPr>
      <w:widowControl w:val="0"/>
      <w:ind w:firstLine="420" w:firstLineChars="200"/>
      <w:jc w:val="both"/>
    </w:pPr>
    <w:rPr>
      <w:rFonts w:ascii="Calibri" w:hAnsi="Calibri"/>
      <w:kern w:val="2"/>
      <w:sz w:val="21"/>
    </w:rPr>
  </w:style>
  <w:style w:type="paragraph" w:styleId="6">
    <w:name w:val="annotation text"/>
    <w:basedOn w:val="1"/>
    <w:link w:val="27"/>
    <w:unhideWhenUsed/>
    <w:qFormat/>
    <w:uiPriority w:val="0"/>
  </w:style>
  <w:style w:type="paragraph" w:styleId="7">
    <w:name w:val="Body Text"/>
    <w:basedOn w:val="1"/>
    <w:link w:val="88"/>
    <w:semiHidden/>
    <w:unhideWhenUsed/>
    <w:qFormat/>
    <w:uiPriority w:val="99"/>
    <w:pPr>
      <w:spacing w:after="120"/>
    </w:pPr>
  </w:style>
  <w:style w:type="paragraph" w:styleId="8">
    <w:name w:val="toc 3"/>
    <w:basedOn w:val="1"/>
    <w:next w:val="1"/>
    <w:unhideWhenUsed/>
    <w:qFormat/>
    <w:uiPriority w:val="39"/>
    <w:pPr>
      <w:spacing w:after="100" w:line="276" w:lineRule="auto"/>
      <w:ind w:left="440"/>
    </w:pPr>
    <w:rPr>
      <w:rFonts w:ascii="Calibri" w:hAnsi="Calibri"/>
      <w:sz w:val="22"/>
      <w:szCs w:val="22"/>
    </w:rPr>
  </w:style>
  <w:style w:type="paragraph" w:styleId="9">
    <w:name w:val="Balloon Text"/>
    <w:basedOn w:val="1"/>
    <w:link w:val="28"/>
    <w:unhideWhenUsed/>
    <w:qFormat/>
    <w:uiPriority w:val="99"/>
    <w:pPr>
      <w:widowControl w:val="0"/>
      <w:jc w:val="both"/>
    </w:pPr>
    <w:rPr>
      <w:rFonts w:ascii="宋体" w:hAnsiTheme="minorHAnsi"/>
      <w:sz w:val="18"/>
      <w:szCs w:val="18"/>
    </w:rPr>
  </w:style>
  <w:style w:type="paragraph" w:styleId="10">
    <w:name w:val="footer"/>
    <w:basedOn w:val="1"/>
    <w:link w:val="29"/>
    <w:unhideWhenUsed/>
    <w:qFormat/>
    <w:uiPriority w:val="99"/>
    <w:pPr>
      <w:widowControl w:val="0"/>
      <w:tabs>
        <w:tab w:val="center" w:pos="4153"/>
        <w:tab w:val="right" w:pos="8306"/>
      </w:tabs>
      <w:snapToGrid w:val="0"/>
    </w:pPr>
    <w:rPr>
      <w:rFonts w:ascii="宋体" w:hAnsiTheme="minorHAnsi"/>
      <w:sz w:val="18"/>
      <w:szCs w:val="18"/>
    </w:rPr>
  </w:style>
  <w:style w:type="paragraph" w:styleId="11">
    <w:name w:val="header"/>
    <w:basedOn w:val="1"/>
    <w:link w:val="30"/>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2">
    <w:name w:val="toc 1"/>
    <w:basedOn w:val="1"/>
    <w:next w:val="1"/>
    <w:unhideWhenUsed/>
    <w:qFormat/>
    <w:uiPriority w:val="39"/>
    <w:pPr>
      <w:spacing w:after="100" w:line="276" w:lineRule="auto"/>
    </w:pPr>
    <w:rPr>
      <w:rFonts w:ascii="Calibri" w:hAnsi="Calibri"/>
      <w:sz w:val="22"/>
      <w:szCs w:val="22"/>
    </w:rPr>
  </w:style>
  <w:style w:type="paragraph" w:styleId="13">
    <w:name w:val="toc 2"/>
    <w:basedOn w:val="1"/>
    <w:next w:val="1"/>
    <w:unhideWhenUsed/>
    <w:qFormat/>
    <w:uiPriority w:val="39"/>
    <w:pPr>
      <w:spacing w:after="100" w:line="276" w:lineRule="auto"/>
      <w:ind w:left="220"/>
    </w:pPr>
    <w:rPr>
      <w:rFonts w:ascii="Calibri" w:hAnsi="Calibri"/>
      <w:sz w:val="22"/>
      <w:szCs w:val="22"/>
    </w:rPr>
  </w:style>
  <w:style w:type="paragraph" w:styleId="14">
    <w:name w:val="Normal (Web)"/>
    <w:basedOn w:val="1"/>
    <w:unhideWhenUsed/>
    <w:qFormat/>
    <w:uiPriority w:val="99"/>
    <w:pPr>
      <w:spacing w:before="100" w:beforeAutospacing="1" w:after="100" w:afterAutospacing="1"/>
    </w:pPr>
    <w:rPr>
      <w:rFonts w:ascii="宋体" w:hAnsi="宋体" w:cs="宋体"/>
    </w:rPr>
  </w:style>
  <w:style w:type="paragraph" w:styleId="15">
    <w:name w:val="annotation subject"/>
    <w:basedOn w:val="6"/>
    <w:next w:val="6"/>
    <w:link w:val="31"/>
    <w:semiHidden/>
    <w:unhideWhenUsed/>
    <w:qFormat/>
    <w:uiPriority w:val="99"/>
    <w:rPr>
      <w:b/>
      <w:bCs/>
    </w:rPr>
  </w:style>
  <w:style w:type="paragraph" w:styleId="16">
    <w:name w:val="Body Text First Indent"/>
    <w:basedOn w:val="7"/>
    <w:link w:val="89"/>
    <w:qFormat/>
    <w:uiPriority w:val="0"/>
    <w:pPr>
      <w:widowControl w:val="0"/>
      <w:ind w:firstLine="420" w:firstLineChars="100"/>
      <w:jc w:val="both"/>
    </w:pPr>
    <w:rPr>
      <w:kern w:val="2"/>
      <w:sz w:val="21"/>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22"/>
    <w:rPr>
      <w:b/>
    </w:rPr>
  </w:style>
  <w:style w:type="character" w:styleId="21">
    <w:name w:val="FollowedHyperlink"/>
    <w:unhideWhenUsed/>
    <w:qFormat/>
    <w:uiPriority w:val="99"/>
    <w:rPr>
      <w:color w:val="800080"/>
      <w:u w:val="single"/>
    </w:rPr>
  </w:style>
  <w:style w:type="character" w:styleId="22">
    <w:name w:val="Hyperlink"/>
    <w:unhideWhenUsed/>
    <w:qFormat/>
    <w:uiPriority w:val="99"/>
    <w:rPr>
      <w:color w:val="0000FF"/>
      <w:u w:val="single"/>
    </w:rPr>
  </w:style>
  <w:style w:type="character" w:styleId="23">
    <w:name w:val="annotation reference"/>
    <w:basedOn w:val="19"/>
    <w:unhideWhenUsed/>
    <w:qFormat/>
    <w:uiPriority w:val="0"/>
    <w:rPr>
      <w:sz w:val="21"/>
      <w:szCs w:val="21"/>
    </w:rPr>
  </w:style>
  <w:style w:type="character" w:customStyle="1" w:styleId="24">
    <w:name w:val="标题 1 Char1"/>
    <w:link w:val="3"/>
    <w:qFormat/>
    <w:uiPriority w:val="9"/>
    <w:rPr>
      <w:rFonts w:ascii="Times New Roman" w:hAnsi="Times New Roman" w:eastAsia="仿宋_GB2312"/>
      <w:b/>
      <w:kern w:val="44"/>
      <w:sz w:val="32"/>
      <w:szCs w:val="22"/>
    </w:rPr>
  </w:style>
  <w:style w:type="character" w:customStyle="1" w:styleId="25">
    <w:name w:val="标题 2 Char"/>
    <w:basedOn w:val="19"/>
    <w:link w:val="4"/>
    <w:qFormat/>
    <w:uiPriority w:val="9"/>
    <w:rPr>
      <w:rFonts w:ascii="Arial" w:hAnsi="Arial" w:eastAsia="仿宋_GB2312"/>
      <w:b/>
      <w:kern w:val="2"/>
      <w:sz w:val="30"/>
      <w:szCs w:val="22"/>
    </w:rPr>
  </w:style>
  <w:style w:type="character" w:customStyle="1" w:styleId="26">
    <w:name w:val="标题 3 Char"/>
    <w:basedOn w:val="19"/>
    <w:link w:val="5"/>
    <w:qFormat/>
    <w:uiPriority w:val="9"/>
    <w:rPr>
      <w:rFonts w:ascii="Times New Roman" w:hAnsi="Times New Roman" w:eastAsia="仿宋_GB2312"/>
      <w:b/>
      <w:bCs/>
      <w:kern w:val="2"/>
      <w:sz w:val="28"/>
      <w:szCs w:val="32"/>
    </w:rPr>
  </w:style>
  <w:style w:type="character" w:customStyle="1" w:styleId="27">
    <w:name w:val="批注文字 Char"/>
    <w:basedOn w:val="19"/>
    <w:link w:val="6"/>
    <w:qFormat/>
    <w:uiPriority w:val="0"/>
    <w:rPr>
      <w:rFonts w:ascii="Times New Roman" w:hAnsi="Times New Roman"/>
      <w:szCs w:val="24"/>
    </w:rPr>
  </w:style>
  <w:style w:type="character" w:customStyle="1" w:styleId="28">
    <w:name w:val="批注框文本 Char1"/>
    <w:basedOn w:val="19"/>
    <w:link w:val="9"/>
    <w:semiHidden/>
    <w:qFormat/>
    <w:uiPriority w:val="99"/>
    <w:rPr>
      <w:sz w:val="18"/>
      <w:szCs w:val="18"/>
    </w:rPr>
  </w:style>
  <w:style w:type="character" w:customStyle="1" w:styleId="29">
    <w:name w:val="页脚 Char1"/>
    <w:basedOn w:val="19"/>
    <w:link w:val="10"/>
    <w:qFormat/>
    <w:uiPriority w:val="99"/>
    <w:rPr>
      <w:sz w:val="18"/>
      <w:szCs w:val="18"/>
    </w:rPr>
  </w:style>
  <w:style w:type="character" w:customStyle="1" w:styleId="30">
    <w:name w:val="页眉 Char1"/>
    <w:basedOn w:val="19"/>
    <w:link w:val="11"/>
    <w:qFormat/>
    <w:uiPriority w:val="99"/>
    <w:rPr>
      <w:sz w:val="18"/>
      <w:szCs w:val="18"/>
    </w:rPr>
  </w:style>
  <w:style w:type="character" w:customStyle="1" w:styleId="31">
    <w:name w:val="批注主题 Char"/>
    <w:basedOn w:val="27"/>
    <w:link w:val="15"/>
    <w:semiHidden/>
    <w:qFormat/>
    <w:uiPriority w:val="99"/>
    <w:rPr>
      <w:rFonts w:ascii="Times New Roman" w:hAnsi="Times New Roman"/>
      <w:b/>
      <w:bCs/>
      <w:szCs w:val="24"/>
    </w:rPr>
  </w:style>
  <w:style w:type="paragraph" w:styleId="32">
    <w:name w:val="List Paragraph"/>
    <w:basedOn w:val="1"/>
    <w:qFormat/>
    <w:uiPriority w:val="34"/>
    <w:pPr>
      <w:ind w:firstLine="420" w:firstLineChars="200"/>
    </w:pPr>
  </w:style>
  <w:style w:type="character" w:customStyle="1" w:styleId="33">
    <w:name w:val="标题 1 字符"/>
    <w:basedOn w:val="19"/>
    <w:qFormat/>
    <w:uiPriority w:val="9"/>
    <w:rPr>
      <w:rFonts w:ascii="Times New Roman" w:hAnsi="Times New Roman"/>
      <w:b/>
      <w:bCs/>
      <w:kern w:val="44"/>
      <w:sz w:val="44"/>
      <w:szCs w:val="44"/>
    </w:rPr>
  </w:style>
  <w:style w:type="character" w:customStyle="1" w:styleId="34">
    <w:name w:val="font21"/>
    <w:qFormat/>
    <w:uiPriority w:val="0"/>
    <w:rPr>
      <w:rFonts w:hint="eastAsia" w:ascii="仿宋" w:hAnsi="仿宋" w:eastAsia="仿宋" w:cs="仿宋"/>
      <w:color w:val="000000"/>
      <w:sz w:val="30"/>
      <w:szCs w:val="30"/>
      <w:u w:val="none"/>
    </w:rPr>
  </w:style>
  <w:style w:type="character" w:customStyle="1" w:styleId="35">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6">
    <w:name w:val="font71"/>
    <w:qFormat/>
    <w:uiPriority w:val="0"/>
    <w:rPr>
      <w:rFonts w:hint="eastAsia" w:ascii="仿宋" w:hAnsi="仿宋" w:eastAsia="仿宋" w:cs="仿宋"/>
      <w:b/>
      <w:color w:val="000000"/>
      <w:sz w:val="12"/>
      <w:szCs w:val="12"/>
      <w:u w:val="none"/>
    </w:rPr>
  </w:style>
  <w:style w:type="character" w:customStyle="1" w:styleId="37">
    <w:name w:val="font61"/>
    <w:qFormat/>
    <w:uiPriority w:val="0"/>
    <w:rPr>
      <w:rFonts w:hint="eastAsia" w:ascii="仿宋" w:hAnsi="仿宋" w:eastAsia="仿宋" w:cs="仿宋"/>
      <w:color w:val="000000"/>
      <w:sz w:val="21"/>
      <w:szCs w:val="21"/>
      <w:u w:val="none"/>
    </w:rPr>
  </w:style>
  <w:style w:type="character" w:customStyle="1" w:styleId="38">
    <w:name w:val="font01"/>
    <w:qFormat/>
    <w:uiPriority w:val="0"/>
    <w:rPr>
      <w:rFonts w:hint="eastAsia" w:ascii="仿宋" w:hAnsi="仿宋" w:eastAsia="仿宋" w:cs="仿宋"/>
      <w:b/>
      <w:color w:val="000000"/>
      <w:sz w:val="12"/>
      <w:szCs w:val="12"/>
      <w:u w:val="none"/>
    </w:rPr>
  </w:style>
  <w:style w:type="character" w:customStyle="1" w:styleId="39">
    <w:name w:val="font31"/>
    <w:qFormat/>
    <w:uiPriority w:val="0"/>
    <w:rPr>
      <w:rFonts w:hint="eastAsia" w:ascii="微软雅黑" w:hAnsi="微软雅黑" w:eastAsia="微软雅黑" w:cs="微软雅黑"/>
      <w:color w:val="000000"/>
      <w:sz w:val="20"/>
      <w:szCs w:val="20"/>
      <w:u w:val="none"/>
    </w:rPr>
  </w:style>
  <w:style w:type="character" w:customStyle="1" w:styleId="40">
    <w:name w:val="font41"/>
    <w:qFormat/>
    <w:uiPriority w:val="0"/>
    <w:rPr>
      <w:rFonts w:hint="eastAsia" w:ascii="仿宋" w:hAnsi="仿宋" w:eastAsia="仿宋" w:cs="仿宋"/>
      <w:color w:val="000000"/>
      <w:sz w:val="32"/>
      <w:szCs w:val="32"/>
      <w:u w:val="none"/>
    </w:rPr>
  </w:style>
  <w:style w:type="character" w:customStyle="1" w:styleId="41">
    <w:name w:val="font91"/>
    <w:qFormat/>
    <w:uiPriority w:val="0"/>
    <w:rPr>
      <w:rFonts w:hint="eastAsia" w:ascii="仿宋" w:hAnsi="仿宋" w:eastAsia="仿宋" w:cs="仿宋"/>
      <w:b/>
      <w:color w:val="000000"/>
      <w:sz w:val="12"/>
      <w:szCs w:val="12"/>
      <w:u w:val="none"/>
    </w:rPr>
  </w:style>
  <w:style w:type="character" w:customStyle="1" w:styleId="42">
    <w:name w:val="font51"/>
    <w:qFormat/>
    <w:uiPriority w:val="0"/>
    <w:rPr>
      <w:rFonts w:hint="eastAsia" w:ascii="仿宋" w:hAnsi="仿宋" w:eastAsia="仿宋" w:cs="仿宋"/>
      <w:color w:val="000000"/>
      <w:sz w:val="32"/>
      <w:szCs w:val="32"/>
      <w:u w:val="none"/>
    </w:rPr>
  </w:style>
  <w:style w:type="character" w:customStyle="1" w:styleId="43">
    <w:name w:val="font101"/>
    <w:qFormat/>
    <w:uiPriority w:val="0"/>
    <w:rPr>
      <w:rFonts w:hint="eastAsia" w:ascii="仿宋" w:hAnsi="仿宋" w:eastAsia="仿宋" w:cs="仿宋"/>
      <w:b/>
      <w:color w:val="000000"/>
      <w:sz w:val="12"/>
      <w:szCs w:val="12"/>
      <w:u w:val="none"/>
    </w:rPr>
  </w:style>
  <w:style w:type="paragraph" w:customStyle="1" w:styleId="44">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5">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6">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7">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8">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9">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50">
    <w:name w:val="TOC 标题1"/>
    <w:basedOn w:val="3"/>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1">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2">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3">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4">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5">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6">
    <w:name w:val="WPSOffice手动目录 1"/>
    <w:qFormat/>
    <w:uiPriority w:val="0"/>
    <w:rPr>
      <w:rFonts w:ascii="Times New Roman" w:hAnsi="Times New Roman" w:eastAsia="宋体" w:cs="Times New Roman"/>
      <w:lang w:val="en-US" w:eastAsia="zh-CN" w:bidi="ar-SA"/>
    </w:rPr>
  </w:style>
  <w:style w:type="paragraph" w:customStyle="1" w:styleId="57">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8">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9">
    <w:name w:val="font5"/>
    <w:basedOn w:val="1"/>
    <w:qFormat/>
    <w:uiPriority w:val="0"/>
    <w:pPr>
      <w:spacing w:before="100" w:beforeAutospacing="1" w:after="100" w:afterAutospacing="1"/>
    </w:pPr>
    <w:rPr>
      <w:rFonts w:ascii="宋体" w:hAnsi="宋体" w:cs="宋体"/>
      <w:sz w:val="18"/>
      <w:szCs w:val="18"/>
    </w:rPr>
  </w:style>
  <w:style w:type="paragraph" w:customStyle="1" w:styleId="60">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1">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2">
    <w:name w:val="font8"/>
    <w:basedOn w:val="1"/>
    <w:qFormat/>
    <w:uiPriority w:val="0"/>
    <w:pPr>
      <w:spacing w:before="100" w:beforeAutospacing="1" w:after="100" w:afterAutospacing="1"/>
    </w:pPr>
    <w:rPr>
      <w:rFonts w:ascii="宋体" w:hAnsi="宋体" w:cs="宋体"/>
      <w:sz w:val="18"/>
      <w:szCs w:val="18"/>
    </w:rPr>
  </w:style>
  <w:style w:type="paragraph" w:customStyle="1" w:styleId="63">
    <w:name w:val="font7"/>
    <w:basedOn w:val="1"/>
    <w:qFormat/>
    <w:uiPriority w:val="0"/>
    <w:pPr>
      <w:spacing w:before="100" w:beforeAutospacing="1" w:after="100" w:afterAutospacing="1"/>
    </w:pPr>
    <w:rPr>
      <w:rFonts w:ascii="宋体" w:hAnsi="宋体" w:cs="宋体"/>
      <w:sz w:val="20"/>
      <w:szCs w:val="20"/>
    </w:rPr>
  </w:style>
  <w:style w:type="paragraph" w:customStyle="1" w:styleId="64">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5">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6">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7">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8">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9">
    <w:name w:val="TOC 标题1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70">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1">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2">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3">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4">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6">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7">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8">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9">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80">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1">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2">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3">
    <w:name w:val="标题 1 Char"/>
    <w:qFormat/>
    <w:uiPriority w:val="9"/>
    <w:rPr>
      <w:rFonts w:eastAsia="仿宋_GB2312"/>
      <w:b/>
      <w:kern w:val="44"/>
      <w:sz w:val="32"/>
      <w:szCs w:val="22"/>
    </w:rPr>
  </w:style>
  <w:style w:type="character" w:customStyle="1" w:styleId="84">
    <w:name w:val="页脚 Char"/>
    <w:qFormat/>
    <w:uiPriority w:val="99"/>
    <w:rPr>
      <w:sz w:val="18"/>
      <w:szCs w:val="18"/>
    </w:rPr>
  </w:style>
  <w:style w:type="character" w:customStyle="1" w:styleId="85">
    <w:name w:val="批注框文本 Char"/>
    <w:qFormat/>
    <w:uiPriority w:val="99"/>
    <w:rPr>
      <w:sz w:val="18"/>
      <w:szCs w:val="18"/>
    </w:rPr>
  </w:style>
  <w:style w:type="character" w:customStyle="1" w:styleId="86">
    <w:name w:val="页眉 Char"/>
    <w:qFormat/>
    <w:uiPriority w:val="99"/>
    <w:rPr>
      <w:sz w:val="18"/>
      <w:szCs w:val="18"/>
    </w:rPr>
  </w:style>
  <w:style w:type="paragraph" w:customStyle="1" w:styleId="87">
    <w:name w:val="TOC Heading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8">
    <w:name w:val="正文文本 Char"/>
    <w:basedOn w:val="19"/>
    <w:link w:val="7"/>
    <w:semiHidden/>
    <w:qFormat/>
    <w:uiPriority w:val="99"/>
    <w:rPr>
      <w:rFonts w:ascii="Times New Roman" w:hAnsi="Times New Roman"/>
      <w:sz w:val="24"/>
      <w:szCs w:val="24"/>
    </w:rPr>
  </w:style>
  <w:style w:type="character" w:customStyle="1" w:styleId="89">
    <w:name w:val="正文首行缩进 Char"/>
    <w:basedOn w:val="88"/>
    <w:link w:val="16"/>
    <w:qFormat/>
    <w:uiPriority w:val="0"/>
    <w:rPr>
      <w:rFonts w:ascii="Times New Roman" w:hAnsi="Times New Roman"/>
      <w:kern w:val="2"/>
      <w:sz w:val="21"/>
      <w:szCs w:val="24"/>
    </w:rPr>
  </w:style>
  <w:style w:type="paragraph" w:customStyle="1" w:styleId="90">
    <w:name w:val="修订1"/>
    <w:hidden/>
    <w:semiHidden/>
    <w:qFormat/>
    <w:uiPriority w:val="99"/>
    <w:rPr>
      <w:rFonts w:ascii="Times New Roman" w:hAnsi="Times New Roman" w:eastAsia="宋体" w:cs="Times New Roman"/>
      <w:sz w:val="24"/>
      <w:szCs w:val="24"/>
      <w:lang w:val="en-US" w:eastAsia="zh-CN" w:bidi="ar-SA"/>
    </w:rPr>
  </w:style>
  <w:style w:type="paragraph" w:customStyle="1" w:styleId="91">
    <w:name w:val="修订2"/>
    <w:hidden/>
    <w:unhideWhenUsed/>
    <w:qFormat/>
    <w:uiPriority w:val="99"/>
    <w:rPr>
      <w:rFonts w:ascii="Times New Roman" w:hAnsi="Times New Roman" w:eastAsia="宋体" w:cs="Times New Roman"/>
      <w:sz w:val="24"/>
      <w:szCs w:val="24"/>
      <w:lang w:val="en-US" w:eastAsia="zh-CN" w:bidi="ar-SA"/>
    </w:rPr>
  </w:style>
  <w:style w:type="character" w:customStyle="1" w:styleId="92">
    <w:name w:val="font81"/>
    <w:basedOn w:val="19"/>
    <w:uiPriority w:val="0"/>
    <w:rPr>
      <w:rFonts w:hint="eastAsia" w:ascii="宋体" w:hAnsi="宋体" w:eastAsia="宋体" w:cs="宋体"/>
      <w:color w:val="000000"/>
      <w:sz w:val="21"/>
      <w:szCs w:val="21"/>
      <w:u w:val="single"/>
    </w:rPr>
  </w:style>
  <w:style w:type="paragraph" w:customStyle="1" w:styleId="93">
    <w:name w:val="Revision"/>
    <w:hidden/>
    <w:unhideWhenUsed/>
    <w:uiPriority w:val="99"/>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9849BE-9FEA-4885-BE68-C7D5AB83BFBB}">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39</Pages>
  <Words>25894</Words>
  <Characters>147601</Characters>
  <Lines>1230</Lines>
  <Paragraphs>346</Paragraphs>
  <TotalTime>11</TotalTime>
  <ScaleCrop>false</ScaleCrop>
  <LinksUpToDate>false</LinksUpToDate>
  <CharactersWithSpaces>173149</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2021-07-08T07:57:00Z</dcterms:created>
  <dc:creator>zhsh</dc:creator>
  <cp:lastModifiedBy>黑白</cp:lastModifiedBy>
  <dcterms:modified xsi:type="dcterms:W3CDTF">2021-07-12T01:12:51Z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BE308A42473D495EBDA2A23A2FAA7135</vt:lpwstr>
  </property>
</Properties>
</file>