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220" w:firstLineChars="61"/>
        <w:jc w:val="center"/>
        <w:rPr>
          <w:rFonts w:ascii="Arial" w:hAnsi="Arial" w:cs="Arial"/>
          <w:b/>
          <w:sz w:val="36"/>
        </w:rPr>
      </w:pPr>
    </w:p>
    <w:p>
      <w:pPr>
        <w:spacing w:line="480" w:lineRule="auto"/>
        <w:ind w:firstLine="220" w:firstLineChars="61"/>
        <w:jc w:val="center"/>
        <w:rPr>
          <w:rFonts w:ascii="Arial" w:hAnsi="Arial" w:cs="Arial"/>
          <w:b/>
          <w:sz w:val="36"/>
        </w:rPr>
      </w:pPr>
    </w:p>
    <w:p>
      <w:pPr>
        <w:spacing w:line="480" w:lineRule="auto"/>
        <w:ind w:firstLine="220" w:firstLineChars="61"/>
        <w:jc w:val="center"/>
        <w:rPr>
          <w:rFonts w:ascii="Arial" w:hAnsi="Arial" w:cs="Arial"/>
          <w:b/>
          <w:sz w:val="36"/>
        </w:rPr>
      </w:pPr>
    </w:p>
    <w:p>
      <w:pPr>
        <w:spacing w:line="480" w:lineRule="auto"/>
        <w:ind w:firstLine="220" w:firstLineChars="61"/>
        <w:jc w:val="center"/>
        <w:rPr>
          <w:rFonts w:ascii="Arial" w:hAnsi="Arial" w:cs="Arial"/>
          <w:b/>
          <w:sz w:val="36"/>
        </w:rPr>
      </w:pPr>
    </w:p>
    <w:p>
      <w:pPr>
        <w:spacing w:line="480" w:lineRule="auto"/>
        <w:ind w:firstLine="220" w:firstLineChars="61"/>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Theme="majorEastAsia" w:hAnsiTheme="majorEastAsia" w:eastAsiaTheme="majorEastAsia" w:cstheme="majorEastAsia"/>
          <w:b/>
          <w:sz w:val="36"/>
        </w:rPr>
      </w:pPr>
      <w:r>
        <w:rPr>
          <w:rFonts w:hint="eastAsia" w:asciiTheme="majorEastAsia" w:hAnsiTheme="majorEastAsia" w:eastAsiaTheme="majorEastAsia" w:cstheme="majorEastAsia"/>
          <w:b/>
          <w:sz w:val="36"/>
        </w:rPr>
        <w:t>中国民生信托-至信</w:t>
      </w:r>
      <w:r>
        <w:rPr>
          <w:rFonts w:ascii="Arial" w:hAnsi="Arial" w:cs="Arial" w:eastAsiaTheme="majorEastAsia"/>
          <w:b/>
          <w:sz w:val="36"/>
        </w:rPr>
        <w:t>1187</w:t>
      </w:r>
      <w:r>
        <w:rPr>
          <w:rFonts w:hint="eastAsia" w:asciiTheme="majorEastAsia" w:hAnsiTheme="majorEastAsia" w:eastAsiaTheme="majorEastAsia" w:cstheme="majorEastAsia"/>
          <w:b/>
          <w:sz w:val="36"/>
        </w:rPr>
        <w:t>号杭州樽源定向债投资</w:t>
      </w:r>
    </w:p>
    <w:p>
      <w:pPr>
        <w:spacing w:line="480" w:lineRule="auto"/>
        <w:jc w:val="center"/>
        <w:rPr>
          <w:rFonts w:asciiTheme="majorEastAsia" w:hAnsiTheme="majorEastAsia" w:eastAsiaTheme="majorEastAsia" w:cstheme="majorEastAsia"/>
          <w:b/>
          <w:sz w:val="36"/>
        </w:rPr>
      </w:pPr>
      <w:r>
        <w:rPr>
          <w:rFonts w:hint="eastAsia" w:asciiTheme="majorEastAsia" w:hAnsiTheme="majorEastAsia" w:eastAsiaTheme="majorEastAsia" w:cstheme="majorEastAsia"/>
          <w:b/>
          <w:sz w:val="36"/>
        </w:rPr>
        <w:t>集合资金信托计划</w:t>
      </w:r>
    </w:p>
    <w:p>
      <w:pPr>
        <w:spacing w:line="480" w:lineRule="auto"/>
        <w:jc w:val="center"/>
        <w:rPr>
          <w:rFonts w:asciiTheme="majorEastAsia" w:hAnsiTheme="majorEastAsia" w:eastAsiaTheme="majorEastAsia" w:cstheme="majorEastAsia"/>
          <w:b/>
          <w:sz w:val="36"/>
        </w:rPr>
      </w:pPr>
      <w:r>
        <w:rPr>
          <w:rFonts w:hint="eastAsia" w:ascii="Arial" w:hAnsi="Arial" w:cs="Arial" w:eastAsiaTheme="majorEastAsia"/>
          <w:b/>
          <w:sz w:val="36"/>
        </w:rPr>
        <w:t>2021年2</w:t>
      </w:r>
      <w:r>
        <w:rPr>
          <w:rFonts w:hint="eastAsia" w:asciiTheme="majorEastAsia" w:hAnsiTheme="majorEastAsia" w:eastAsiaTheme="majorEastAsia" w:cstheme="majorEastAsia"/>
          <w:b/>
          <w:sz w:val="36"/>
        </w:rPr>
        <w:t>月监管报告</w:t>
      </w:r>
    </w:p>
    <w:p>
      <w:pPr>
        <w:spacing w:line="480" w:lineRule="auto"/>
        <w:jc w:val="center"/>
        <w:rPr>
          <w:rFonts w:asciiTheme="majorEastAsia" w:hAnsiTheme="majorEastAsia" w:eastAsiaTheme="majorEastAsia" w:cstheme="majorEastAsia"/>
          <w:b/>
          <w:sz w:val="36"/>
        </w:rPr>
      </w:pPr>
      <w:r>
        <w:rPr>
          <w:rFonts w:hint="eastAsia" w:ascii="Arial" w:hAnsi="Arial" w:cs="Arial" w:eastAsiaTheme="majorEastAsia"/>
          <w:b/>
          <w:sz w:val="36"/>
        </w:rPr>
        <w:t>（</w:t>
      </w:r>
      <w:r>
        <w:rPr>
          <w:rFonts w:ascii="Arial" w:hAnsi="Arial" w:cs="Arial" w:eastAsiaTheme="majorEastAsia"/>
          <w:b/>
          <w:sz w:val="36"/>
        </w:rPr>
        <w:t>202</w:t>
      </w:r>
      <w:r>
        <w:rPr>
          <w:rFonts w:hint="eastAsia" w:ascii="Arial" w:hAnsi="Arial" w:cs="Arial" w:eastAsiaTheme="majorEastAsia"/>
          <w:b/>
          <w:sz w:val="36"/>
        </w:rPr>
        <w:t>1</w:t>
      </w:r>
      <w:r>
        <w:rPr>
          <w:rFonts w:hint="eastAsia" w:asciiTheme="majorEastAsia" w:hAnsiTheme="majorEastAsia" w:eastAsiaTheme="majorEastAsia" w:cstheme="majorEastAsia"/>
          <w:b/>
          <w:sz w:val="36"/>
        </w:rPr>
        <w:t>年</w:t>
      </w:r>
      <w:r>
        <w:rPr>
          <w:rFonts w:hint="eastAsia" w:ascii="Arial" w:hAnsi="Arial" w:cs="Arial" w:eastAsiaTheme="majorEastAsia"/>
          <w:b/>
          <w:sz w:val="36"/>
        </w:rPr>
        <w:t>2月01日-2021年2月28日）</w:t>
      </w:r>
    </w:p>
    <w:p>
      <w:pPr>
        <w:spacing w:line="480" w:lineRule="auto"/>
        <w:jc w:val="center"/>
        <w:rPr>
          <w:rFonts w:ascii="Arial" w:hAnsi="Arial"/>
          <w:b/>
          <w:color w:val="000000"/>
          <w:sz w:val="24"/>
          <w:highlight w:val="yellow"/>
        </w:rPr>
      </w:pPr>
      <w:r>
        <w:rPr>
          <w:rFonts w:hint="eastAsia" w:ascii="Arial" w:hAnsi="Arial"/>
          <w:b/>
          <w:color w:val="000000"/>
          <w:sz w:val="24"/>
        </w:rPr>
        <w:t>编号02</w:t>
      </w:r>
    </w:p>
    <w:p>
      <w:pPr>
        <w:spacing w:line="480" w:lineRule="auto"/>
        <w:jc w:val="left"/>
        <w:rPr>
          <w:rFonts w:ascii="Arial" w:hAnsi="Arial"/>
          <w:b/>
          <w:color w:val="FF0000"/>
          <w:sz w:val="24"/>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项目名称：中国民生信托-重庆佳源项目</w:t>
      </w: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委 托 方：中国民生信托有限公司</w:t>
      </w: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受 托 方：北京康信君安资产管理有限公司</w:t>
      </w: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监管人员：王林</w:t>
      </w:r>
    </w:p>
    <w:p>
      <w:pPr>
        <w:spacing w:line="480" w:lineRule="auto"/>
        <w:jc w:val="left"/>
        <w:rPr>
          <w:rFonts w:asciiTheme="minorEastAsia" w:hAnsiTheme="minorEastAsia" w:eastAsiaTheme="minorEastAsia" w:cstheme="minorEastAsia"/>
          <w:b/>
          <w:color w:val="000000"/>
          <w:szCs w:val="21"/>
        </w:rPr>
        <w:sectPr>
          <w:headerReference r:id="rId3" w:type="default"/>
          <w:pgSz w:w="11906" w:h="16838"/>
          <w:pgMar w:top="1843" w:right="1134" w:bottom="1134" w:left="1134" w:header="851" w:footer="992" w:gutter="340"/>
          <w:pgNumType w:start="1"/>
          <w:cols w:space="0" w:num="1"/>
          <w:docGrid w:type="lines" w:linePitch="315" w:charSpace="0"/>
        </w:sectPr>
      </w:pPr>
      <w:r>
        <w:rPr>
          <w:rFonts w:hint="eastAsia" w:asciiTheme="minorEastAsia" w:hAnsiTheme="minorEastAsia" w:eastAsiaTheme="minorEastAsia" w:cstheme="minorEastAsia"/>
          <w:b/>
          <w:color w:val="000000"/>
          <w:szCs w:val="21"/>
        </w:rPr>
        <w:t>日期：二〇二一年三月一日</w:t>
      </w:r>
    </w:p>
    <w:sdt>
      <w:sdtPr>
        <w:rPr>
          <w:rFonts w:ascii="宋体" w:hAnsi="宋体"/>
        </w:rPr>
        <w:id w:val="147470855"/>
        <w:docPartObj>
          <w:docPartGallery w:val="Table of Contents"/>
          <w:docPartUnique/>
        </w:docPartObj>
      </w:sdtPr>
      <w:sdtEndPr>
        <w:rPr>
          <w:rFonts w:ascii="宋体" w:hAnsi="宋体"/>
          <w:b/>
        </w:rPr>
      </w:sdtEndPr>
      <w:sdtContent>
        <w:p>
          <w:pPr>
            <w:jc w:val="center"/>
            <w:rPr>
              <w:rFonts w:ascii="宋体" w:hAnsi="宋体"/>
              <w:b/>
              <w:bCs/>
              <w:sz w:val="24"/>
            </w:rPr>
          </w:pPr>
          <w:r>
            <w:rPr>
              <w:rFonts w:ascii="宋体" w:hAnsi="宋体"/>
              <w:b/>
              <w:bCs/>
              <w:sz w:val="24"/>
            </w:rPr>
            <w:t>目录</w:t>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fldChar w:fldCharType="begin"/>
          </w:r>
          <w:r>
            <w:instrText xml:space="preserve">TOC \o "1-2" \h \u </w:instrText>
          </w:r>
          <w:r>
            <w:fldChar w:fldCharType="separate"/>
          </w:r>
          <w:r>
            <w:rPr>
              <w:rFonts w:hint="default" w:ascii="Arial" w:hAnsi="Arial" w:cs="Arial"/>
            </w:rPr>
            <w:fldChar w:fldCharType="begin"/>
          </w:r>
          <w:r>
            <w:rPr>
              <w:rFonts w:hint="default" w:ascii="Arial" w:hAnsi="Arial" w:cs="Arial"/>
            </w:rPr>
            <w:instrText xml:space="preserve"> HYPERLINK \l _Toc9841 </w:instrText>
          </w:r>
          <w:r>
            <w:rPr>
              <w:rFonts w:hint="default" w:ascii="Arial" w:hAnsi="Arial" w:cs="Arial"/>
            </w:rPr>
            <w:fldChar w:fldCharType="separate"/>
          </w:r>
          <w:r>
            <w:rPr>
              <w:rFonts w:hint="default" w:ascii="Arial" w:hAnsi="Arial" w:cs="Arial" w:eastAsiaTheme="majorEastAsia"/>
              <w:szCs w:val="22"/>
            </w:rPr>
            <w:t>1、项目基本情况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_Toc9841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_Toc29233 </w:instrText>
          </w:r>
          <w:r>
            <w:rPr>
              <w:rFonts w:hint="default" w:ascii="Arial" w:hAnsi="Arial" w:cs="Arial"/>
            </w:rPr>
            <w:fldChar w:fldCharType="separate"/>
          </w:r>
          <w:r>
            <w:rPr>
              <w:rFonts w:hint="default" w:ascii="Arial" w:hAnsi="Arial" w:cs="Arial" w:eastAsiaTheme="majorEastAsia"/>
              <w:szCs w:val="22"/>
            </w:rPr>
            <w:t>2、重大事件披露</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_Toc29233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_Toc16122 </w:instrText>
          </w:r>
          <w:r>
            <w:rPr>
              <w:rFonts w:hint="default" w:ascii="Arial" w:hAnsi="Arial" w:cs="Arial"/>
            </w:rPr>
            <w:fldChar w:fldCharType="separate"/>
          </w:r>
          <w:r>
            <w:rPr>
              <w:rFonts w:hint="default" w:ascii="Arial" w:hAnsi="Arial" w:cs="Arial" w:eastAsiaTheme="majorEastAsia"/>
              <w:szCs w:val="22"/>
            </w:rPr>
            <w:t>3、项目五证办理及施工进度情况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_Toc16122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_Toc22128 </w:instrText>
          </w:r>
          <w:r>
            <w:rPr>
              <w:rFonts w:hint="default" w:ascii="Arial" w:hAnsi="Arial" w:cs="Arial"/>
            </w:rPr>
            <w:fldChar w:fldCharType="separate"/>
          </w:r>
          <w:r>
            <w:rPr>
              <w:rFonts w:hint="default" w:ascii="Arial" w:hAnsi="Arial" w:cs="Arial" w:eastAsiaTheme="majorEastAsia"/>
              <w:szCs w:val="24"/>
            </w:rPr>
            <w:t>3.1、项目五证办理情况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_Toc22128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_Toc11471 </w:instrText>
          </w:r>
          <w:r>
            <w:rPr>
              <w:rFonts w:hint="default" w:ascii="Arial" w:hAnsi="Arial" w:cs="Arial"/>
            </w:rPr>
            <w:fldChar w:fldCharType="separate"/>
          </w:r>
          <w:r>
            <w:rPr>
              <w:rFonts w:hint="default" w:ascii="Arial" w:hAnsi="Arial" w:cs="Arial" w:eastAsiaTheme="majorEastAsia"/>
              <w:szCs w:val="24"/>
            </w:rPr>
            <w:t>3.2、项目进度情况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_Toc11471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_Toc20702 </w:instrText>
          </w:r>
          <w:r>
            <w:rPr>
              <w:rFonts w:hint="default" w:ascii="Arial" w:hAnsi="Arial" w:cs="Arial"/>
            </w:rPr>
            <w:fldChar w:fldCharType="separate"/>
          </w:r>
          <w:r>
            <w:rPr>
              <w:rFonts w:hint="default" w:ascii="Arial" w:hAnsi="Arial" w:cs="Arial" w:eastAsiaTheme="majorEastAsia"/>
              <w:szCs w:val="24"/>
            </w:rPr>
            <w:t>3.3、项目现场施工照片</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_Toc20702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cs="Arial"/>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_Toc14039 </w:instrText>
          </w:r>
          <w:r>
            <w:rPr>
              <w:rFonts w:hint="default" w:ascii="Arial" w:hAnsi="Arial" w:cs="Arial"/>
            </w:rPr>
            <w:fldChar w:fldCharType="separate"/>
          </w:r>
          <w:r>
            <w:rPr>
              <w:rFonts w:hint="default" w:ascii="Arial" w:hAnsi="Arial" w:cs="Arial" w:eastAsiaTheme="majorEastAsia"/>
              <w:szCs w:val="24"/>
            </w:rPr>
            <w:t>3.4、2021年3月工程施工进度计划表</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_Toc14039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_Toc30573 </w:instrText>
          </w:r>
          <w:r>
            <w:rPr>
              <w:rFonts w:hint="default" w:ascii="Arial" w:hAnsi="Arial" w:cs="Arial"/>
            </w:rPr>
            <w:fldChar w:fldCharType="separate"/>
          </w:r>
          <w:r>
            <w:rPr>
              <w:rFonts w:hint="default" w:ascii="Arial" w:hAnsi="Arial" w:cs="Arial" w:eastAsiaTheme="majorEastAsia"/>
            </w:rPr>
            <w:t>4、印鉴使用情况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_Toc30573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_Toc25437 </w:instrText>
          </w:r>
          <w:r>
            <w:rPr>
              <w:rFonts w:hint="default" w:ascii="Arial" w:hAnsi="Arial" w:cs="Arial"/>
            </w:rPr>
            <w:fldChar w:fldCharType="separate"/>
          </w:r>
          <w:r>
            <w:rPr>
              <w:rFonts w:hint="default" w:ascii="Arial" w:hAnsi="Arial" w:cs="Arial" w:eastAsiaTheme="majorEastAsia"/>
            </w:rPr>
            <w:t>5、合同签订情况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_Toc25437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_Toc18152 </w:instrText>
          </w:r>
          <w:r>
            <w:rPr>
              <w:rFonts w:hint="default" w:ascii="Arial" w:hAnsi="Arial" w:cs="Arial"/>
            </w:rPr>
            <w:fldChar w:fldCharType="separate"/>
          </w:r>
          <w:r>
            <w:rPr>
              <w:rFonts w:hint="default" w:ascii="Arial" w:hAnsi="Arial" w:cs="Arial" w:eastAsiaTheme="majorEastAsia"/>
            </w:rPr>
            <w:t>6、项目销售情况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_Toc18152 </w:instrText>
          </w:r>
          <w:r>
            <w:rPr>
              <w:rFonts w:hint="default" w:ascii="Arial" w:hAnsi="Arial" w:cs="Arial"/>
            </w:rPr>
            <w:fldChar w:fldCharType="separate"/>
          </w:r>
          <w:r>
            <w:rPr>
              <w:rFonts w:hint="default" w:ascii="Arial" w:hAnsi="Arial" w:cs="Arial"/>
            </w:rPr>
            <w:t>17</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_Toc21732 </w:instrText>
          </w:r>
          <w:r>
            <w:rPr>
              <w:rFonts w:hint="default" w:ascii="Arial" w:hAnsi="Arial" w:cs="Arial"/>
            </w:rPr>
            <w:fldChar w:fldCharType="separate"/>
          </w:r>
          <w:r>
            <w:rPr>
              <w:rFonts w:hint="default" w:ascii="Arial" w:hAnsi="Arial" w:cs="Arial" w:eastAsiaTheme="majorEastAsia"/>
            </w:rPr>
            <w:t>7、资金情况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_Toc21732 </w:instrText>
          </w:r>
          <w:r>
            <w:rPr>
              <w:rFonts w:hint="default" w:ascii="Arial" w:hAnsi="Arial" w:cs="Arial"/>
            </w:rPr>
            <w:fldChar w:fldCharType="separate"/>
          </w:r>
          <w:r>
            <w:rPr>
              <w:rFonts w:hint="default" w:ascii="Arial" w:hAnsi="Arial" w:cs="Arial"/>
            </w:rPr>
            <w:t>17</w:t>
          </w:r>
          <w:r>
            <w:rPr>
              <w:rFonts w:hint="default" w:ascii="Arial" w:hAnsi="Arial" w:cs="Arial"/>
            </w:rPr>
            <w:fldChar w:fldCharType="end"/>
          </w:r>
          <w:r>
            <w:rPr>
              <w:rFonts w:hint="default" w:ascii="Arial" w:hAnsi="Arial" w:cs="Arial"/>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_Toc13578 </w:instrText>
          </w:r>
          <w:r>
            <w:rPr>
              <w:rFonts w:hint="default" w:ascii="Arial" w:hAnsi="Arial" w:cs="Arial"/>
            </w:rPr>
            <w:fldChar w:fldCharType="separate"/>
          </w:r>
          <w:r>
            <w:rPr>
              <w:rFonts w:hint="default" w:ascii="Arial" w:hAnsi="Arial" w:eastAsia="宋体" w:cs="Arial"/>
              <w:szCs w:val="24"/>
            </w:rPr>
            <w:t>7.1、资金流出情况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_Toc13578 </w:instrText>
          </w:r>
          <w:r>
            <w:rPr>
              <w:rFonts w:hint="default" w:ascii="Arial" w:hAnsi="Arial" w:cs="Arial"/>
            </w:rPr>
            <w:fldChar w:fldCharType="separate"/>
          </w:r>
          <w:r>
            <w:rPr>
              <w:rFonts w:hint="default" w:ascii="Arial" w:hAnsi="Arial" w:cs="Arial"/>
            </w:rPr>
            <w:t>17</w:t>
          </w:r>
          <w:r>
            <w:rPr>
              <w:rFonts w:hint="default" w:ascii="Arial" w:hAnsi="Arial" w:cs="Arial"/>
            </w:rPr>
            <w:fldChar w:fldCharType="end"/>
          </w:r>
          <w:r>
            <w:rPr>
              <w:rFonts w:hint="default" w:ascii="Arial" w:hAnsi="Arial" w:cs="Arial"/>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_Toc6774 </w:instrText>
          </w:r>
          <w:r>
            <w:rPr>
              <w:rFonts w:hint="default" w:ascii="Arial" w:hAnsi="Arial" w:cs="Arial"/>
            </w:rPr>
            <w:fldChar w:fldCharType="separate"/>
          </w:r>
          <w:r>
            <w:rPr>
              <w:rFonts w:hint="default" w:ascii="Arial" w:hAnsi="Arial" w:eastAsia="宋体" w:cs="Arial"/>
              <w:szCs w:val="24"/>
            </w:rPr>
            <w:t>7.2、资金流入情况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_Toc6774 </w:instrText>
          </w:r>
          <w:r>
            <w:rPr>
              <w:rFonts w:hint="default" w:ascii="Arial" w:hAnsi="Arial" w:cs="Arial"/>
            </w:rPr>
            <w:fldChar w:fldCharType="separate"/>
          </w:r>
          <w:r>
            <w:rPr>
              <w:rFonts w:hint="default" w:ascii="Arial" w:hAnsi="Arial" w:cs="Arial"/>
            </w:rPr>
            <w:t>20</w:t>
          </w:r>
          <w:r>
            <w:rPr>
              <w:rFonts w:hint="default" w:ascii="Arial" w:hAnsi="Arial" w:cs="Arial"/>
            </w:rPr>
            <w:fldChar w:fldCharType="end"/>
          </w:r>
          <w:r>
            <w:rPr>
              <w:rFonts w:hint="default" w:ascii="Arial" w:hAnsi="Arial" w:cs="Arial"/>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_Toc11273 </w:instrText>
          </w:r>
          <w:r>
            <w:rPr>
              <w:rFonts w:hint="default" w:ascii="Arial" w:hAnsi="Arial" w:cs="Arial"/>
            </w:rPr>
            <w:fldChar w:fldCharType="separate"/>
          </w:r>
          <w:r>
            <w:rPr>
              <w:rFonts w:hint="default" w:ascii="Arial" w:hAnsi="Arial" w:cs="Arial"/>
              <w:szCs w:val="24"/>
            </w:rPr>
            <w:t>7.3、</w:t>
          </w:r>
          <w:r>
            <w:rPr>
              <w:rFonts w:hint="default" w:ascii="Arial" w:hAnsi="Arial" w:cs="Arial" w:eastAsiaTheme="majorEastAsia"/>
              <w:szCs w:val="24"/>
            </w:rPr>
            <w:t>资金结算</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_Toc11273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cs="Arial"/>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_Toc30589 </w:instrText>
          </w:r>
          <w:r>
            <w:rPr>
              <w:rFonts w:hint="default" w:ascii="Arial" w:hAnsi="Arial" w:cs="Arial"/>
            </w:rPr>
            <w:fldChar w:fldCharType="separate"/>
          </w:r>
          <w:r>
            <w:rPr>
              <w:rFonts w:hint="default" w:ascii="Arial" w:hAnsi="Arial" w:cs="Arial"/>
              <w:szCs w:val="24"/>
            </w:rPr>
            <w:t>7.4、</w:t>
          </w:r>
          <w:r>
            <w:rPr>
              <w:rFonts w:hint="default" w:ascii="Arial" w:hAnsi="Arial" w:cs="Arial" w:eastAsiaTheme="majorEastAsia"/>
              <w:szCs w:val="24"/>
            </w:rPr>
            <w:t>负债情况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_Toc30589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_Toc902 </w:instrText>
          </w:r>
          <w:r>
            <w:rPr>
              <w:rFonts w:hint="default" w:ascii="Arial" w:hAnsi="Arial" w:cs="Arial"/>
            </w:rPr>
            <w:fldChar w:fldCharType="separate"/>
          </w:r>
          <w:r>
            <w:rPr>
              <w:rFonts w:hint="default" w:ascii="Arial" w:hAnsi="Arial" w:cs="Arial" w:eastAsiaTheme="majorEastAsia"/>
            </w:rPr>
            <w:t>8、月度监管总结及建议</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_Toc902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_Toc1905 </w:instrText>
          </w:r>
          <w:r>
            <w:rPr>
              <w:rFonts w:hint="default" w:ascii="Arial" w:hAnsi="Arial" w:cs="Arial"/>
            </w:rPr>
            <w:fldChar w:fldCharType="separate"/>
          </w:r>
          <w:r>
            <w:rPr>
              <w:rFonts w:hint="default" w:ascii="Arial" w:hAnsi="Arial" w:cs="Arial"/>
            </w:rPr>
            <w:t>附件一</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_Toc1905 </w:instrText>
          </w:r>
          <w:r>
            <w:rPr>
              <w:rFonts w:hint="default" w:ascii="Arial" w:hAnsi="Arial" w:cs="Arial"/>
            </w:rPr>
            <w:fldChar w:fldCharType="separate"/>
          </w:r>
          <w:r>
            <w:rPr>
              <w:rFonts w:hint="default" w:ascii="Arial" w:hAnsi="Arial" w:cs="Arial"/>
            </w:rPr>
            <w:t>22</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_Toc27147 </w:instrText>
          </w:r>
          <w:r>
            <w:rPr>
              <w:rFonts w:hint="default" w:ascii="Arial" w:hAnsi="Arial" w:cs="Arial"/>
            </w:rPr>
            <w:fldChar w:fldCharType="separate"/>
          </w:r>
          <w:r>
            <w:rPr>
              <w:rFonts w:hint="default" w:ascii="Arial" w:hAnsi="Arial" w:cs="Arial"/>
            </w:rPr>
            <w:t>附件二</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_Toc27147 </w:instrText>
          </w:r>
          <w:r>
            <w:rPr>
              <w:rFonts w:hint="default" w:ascii="Arial" w:hAnsi="Arial" w:cs="Arial"/>
            </w:rPr>
            <w:fldChar w:fldCharType="separate"/>
          </w:r>
          <w:r>
            <w:rPr>
              <w:rFonts w:hint="default" w:ascii="Arial" w:hAnsi="Arial" w:cs="Arial"/>
            </w:rPr>
            <w:t>24</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_Toc987 </w:instrText>
          </w:r>
          <w:r>
            <w:rPr>
              <w:rFonts w:hint="default" w:ascii="Arial" w:hAnsi="Arial" w:cs="Arial"/>
            </w:rPr>
            <w:fldChar w:fldCharType="separate"/>
          </w:r>
          <w:r>
            <w:rPr>
              <w:rFonts w:hint="default" w:ascii="Arial" w:hAnsi="Arial" w:cs="Arial"/>
            </w:rPr>
            <w:t>附件三</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_Toc987 </w:instrText>
          </w:r>
          <w:r>
            <w:rPr>
              <w:rFonts w:hint="default" w:ascii="Arial" w:hAnsi="Arial" w:cs="Arial"/>
            </w:rPr>
            <w:fldChar w:fldCharType="separate"/>
          </w:r>
          <w:r>
            <w:rPr>
              <w:rFonts w:hint="default" w:ascii="Arial" w:hAnsi="Arial" w:cs="Arial"/>
            </w:rPr>
            <w:t>26</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_Toc2946 </w:instrText>
          </w:r>
          <w:r>
            <w:rPr>
              <w:rFonts w:hint="default" w:ascii="Arial" w:hAnsi="Arial" w:cs="Arial"/>
            </w:rPr>
            <w:fldChar w:fldCharType="separate"/>
          </w:r>
          <w:r>
            <w:rPr>
              <w:rFonts w:hint="default" w:ascii="Arial" w:hAnsi="Arial" w:cs="Arial"/>
            </w:rPr>
            <w:t>附件四</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_Toc2946 </w:instrText>
          </w:r>
          <w:r>
            <w:rPr>
              <w:rFonts w:hint="default" w:ascii="Arial" w:hAnsi="Arial" w:cs="Arial"/>
            </w:rPr>
            <w:fldChar w:fldCharType="separate"/>
          </w:r>
          <w:r>
            <w:rPr>
              <w:rFonts w:hint="default" w:ascii="Arial" w:hAnsi="Arial" w:cs="Arial"/>
            </w:rPr>
            <w:t>28</w:t>
          </w:r>
          <w:r>
            <w:rPr>
              <w:rFonts w:hint="default" w:ascii="Arial" w:hAnsi="Arial" w:cs="Arial"/>
            </w:rPr>
            <w:fldChar w:fldCharType="end"/>
          </w:r>
          <w:r>
            <w:rPr>
              <w:rFonts w:hint="default" w:ascii="Arial" w:hAnsi="Arial" w:cs="Arial"/>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pPr>
          <w:r>
            <w:rPr>
              <w:rFonts w:hint="default" w:ascii="Arial" w:hAnsi="Arial" w:cs="Arial"/>
            </w:rPr>
            <w:fldChar w:fldCharType="begin"/>
          </w:r>
          <w:r>
            <w:rPr>
              <w:rFonts w:hint="default" w:ascii="Arial" w:hAnsi="Arial" w:cs="Arial"/>
            </w:rPr>
            <w:instrText xml:space="preserve"> HYPERLINK \l _Toc26488 </w:instrText>
          </w:r>
          <w:r>
            <w:rPr>
              <w:rFonts w:hint="default" w:ascii="Arial" w:hAnsi="Arial" w:cs="Arial"/>
            </w:rPr>
            <w:fldChar w:fldCharType="separate"/>
          </w:r>
          <w:r>
            <w:rPr>
              <w:rFonts w:hint="default" w:ascii="Arial" w:hAnsi="Arial" w:cs="Arial"/>
            </w:rPr>
            <w:t>银行余额</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_Toc26488 </w:instrText>
          </w:r>
          <w:r>
            <w:rPr>
              <w:rFonts w:hint="default" w:ascii="Arial" w:hAnsi="Arial" w:cs="Arial"/>
            </w:rPr>
            <w:fldChar w:fldCharType="separate"/>
          </w:r>
          <w:r>
            <w:rPr>
              <w:rFonts w:hint="default" w:ascii="Arial" w:hAnsi="Arial" w:cs="Arial"/>
            </w:rPr>
            <w:t>30</w:t>
          </w:r>
          <w:r>
            <w:rPr>
              <w:rFonts w:hint="default" w:ascii="Arial" w:hAnsi="Arial" w:cs="Arial"/>
            </w:rPr>
            <w:fldChar w:fldCharType="end"/>
          </w:r>
          <w:r>
            <w:rPr>
              <w:rFonts w:hint="default" w:ascii="Arial" w:hAnsi="Arial" w:cs="Arial"/>
            </w:rPr>
            <w:fldChar w:fldCharType="end"/>
          </w:r>
        </w:p>
        <w:p>
          <w:pPr>
            <w:spacing w:line="360" w:lineRule="auto"/>
          </w:pPr>
          <w:r>
            <w:fldChar w:fldCharType="end"/>
          </w:r>
        </w:p>
      </w:sdtContent>
    </w:sdt>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p>
    <w:p>
      <w:pPr>
        <w:spacing w:line="480" w:lineRule="auto"/>
        <w:rPr>
          <w:rFonts w:ascii="Arial" w:hAnsi="Arial" w:cs="Arial"/>
          <w:bCs/>
          <w:kern w:val="44"/>
          <w:szCs w:val="21"/>
        </w:rPr>
      </w:pPr>
    </w:p>
    <w:p>
      <w:pPr>
        <w:spacing w:line="480" w:lineRule="auto"/>
        <w:ind w:firstLine="420" w:firstLineChars="200"/>
        <w:rPr>
          <w:rFonts w:hint="eastAsia" w:ascii="Arial" w:hAnsi="Arial" w:cs="Arial"/>
          <w:bCs/>
          <w:kern w:val="44"/>
          <w:szCs w:val="21"/>
        </w:rPr>
        <w:sectPr>
          <w:footerReference r:id="rId4" w:type="default"/>
          <w:pgSz w:w="11906" w:h="16838"/>
          <w:pgMar w:top="1843" w:right="1134" w:bottom="1134" w:left="1134" w:header="851" w:footer="992" w:gutter="340"/>
          <w:pgNumType w:start="1"/>
          <w:cols w:space="0" w:num="1"/>
          <w:docGrid w:type="lines" w:linePitch="315" w:charSpace="0"/>
        </w:sectPr>
      </w:pPr>
    </w:p>
    <w:p>
      <w:pPr>
        <w:spacing w:line="480" w:lineRule="auto"/>
        <w:ind w:firstLine="420" w:firstLineChars="200"/>
        <w:rPr>
          <w:rFonts w:ascii="Arial" w:hAnsi="Arial" w:cs="Arial"/>
          <w:bCs/>
          <w:kern w:val="44"/>
          <w:szCs w:val="21"/>
        </w:rPr>
      </w:pPr>
      <w:r>
        <w:rPr>
          <w:rFonts w:hint="eastAsia"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hint="eastAsia" w:ascii="Arial" w:hAnsi="Arial" w:cs="Arial"/>
          <w:bCs/>
          <w:kern w:val="44"/>
          <w:szCs w:val="21"/>
        </w:rPr>
        <w:t>·项目公司：重庆佳源名城房地产开发有限公司</w:t>
      </w:r>
    </w:p>
    <w:p>
      <w:pPr>
        <w:spacing w:line="480" w:lineRule="auto"/>
        <w:ind w:firstLine="420" w:firstLineChars="200"/>
        <w:rPr>
          <w:rFonts w:ascii="Arial" w:hAnsi="Arial" w:cs="Arial"/>
          <w:bCs/>
          <w:kern w:val="44"/>
          <w:szCs w:val="21"/>
        </w:rPr>
      </w:pPr>
      <w:r>
        <w:rPr>
          <w:rFonts w:hint="eastAsia" w:ascii="Arial" w:hAnsi="Arial" w:cs="Arial"/>
          <w:bCs/>
          <w:kern w:val="44"/>
          <w:szCs w:val="21"/>
        </w:rPr>
        <w:t>·民生信托：中国民生信托有限公司</w:t>
      </w:r>
    </w:p>
    <w:p>
      <w:pPr>
        <w:spacing w:line="480" w:lineRule="auto"/>
        <w:ind w:firstLine="420" w:firstLineChars="200"/>
        <w:rPr>
          <w:rFonts w:ascii="Arial" w:hAnsi="Arial" w:cs="Arial"/>
          <w:bCs/>
          <w:kern w:val="44"/>
          <w:szCs w:val="21"/>
        </w:rPr>
      </w:pPr>
      <w:r>
        <w:rPr>
          <w:rFonts w:hint="eastAsia" w:ascii="Arial" w:hAnsi="Arial" w:cs="Arial"/>
          <w:bCs/>
          <w:kern w:val="44"/>
          <w:szCs w:val="21"/>
        </w:rPr>
        <w:t>·康信君安：北京康信君安资产管理有限公司</w:t>
      </w:r>
    </w:p>
    <w:p>
      <w:pPr>
        <w:spacing w:before="300" w:after="300" w:line="360" w:lineRule="exact"/>
        <w:jc w:val="left"/>
        <w:outlineLvl w:val="0"/>
        <w:rPr>
          <w:rStyle w:val="24"/>
          <w:rFonts w:asciiTheme="majorEastAsia" w:hAnsiTheme="majorEastAsia" w:eastAsiaTheme="majorEastAsia" w:cstheme="majorEastAsia"/>
          <w:sz w:val="24"/>
          <w:szCs w:val="22"/>
        </w:rPr>
      </w:pPr>
      <w:bookmarkStart w:id="0" w:name="_Toc3311"/>
      <w:bookmarkStart w:id="1" w:name="_Toc9841"/>
      <w:r>
        <w:rPr>
          <w:rStyle w:val="24"/>
          <w:rFonts w:ascii="Arial" w:hAnsi="Arial" w:cs="Arial" w:eastAsiaTheme="majorEastAsia"/>
          <w:sz w:val="24"/>
          <w:szCs w:val="22"/>
        </w:rPr>
        <w:t>1</w:t>
      </w:r>
      <w:r>
        <w:rPr>
          <w:rStyle w:val="24"/>
          <w:rFonts w:hint="eastAsia" w:asciiTheme="majorEastAsia" w:hAnsiTheme="majorEastAsia" w:eastAsiaTheme="majorEastAsia" w:cstheme="majorEastAsia"/>
          <w:sz w:val="24"/>
          <w:szCs w:val="22"/>
        </w:rPr>
        <w:t>、项目基本情况</w:t>
      </w:r>
      <w:bookmarkEnd w:id="0"/>
      <w:bookmarkEnd w:id="1"/>
    </w:p>
    <w:p>
      <w:pPr>
        <w:spacing w:line="480" w:lineRule="auto"/>
        <w:ind w:firstLine="420" w:firstLineChars="200"/>
        <w:rPr>
          <w:rFonts w:ascii="Arial" w:hAnsi="Arial" w:cs="Arial"/>
          <w:bCs/>
          <w:kern w:val="44"/>
          <w:szCs w:val="21"/>
        </w:rPr>
      </w:pPr>
      <w:r>
        <w:rPr>
          <w:rFonts w:hint="eastAsia" w:ascii="Arial" w:hAnsi="Arial" w:cs="Arial"/>
          <w:bCs/>
          <w:kern w:val="44"/>
          <w:szCs w:val="21"/>
        </w:rPr>
        <w:t>标的项目为项目公司拟建设的重庆航空小镇项目，位于重庆市渝北区两路组团A分区A122-1、A122-2、A122-3号地块。A122-1号地块宗地四至：东至A122-3地块、南至规划道路、西至国有空地、北至规划道路；A122-2号地块宗地四至：东至A122-1地块、南至规划道路、西至规划绿地、北至规划道路；A122-3号地块宗地四至：东至规划道路、南至规划道路、西至A122-1地块、北至A122-1地块。</w:t>
      </w:r>
    </w:p>
    <w:p>
      <w:pPr>
        <w:spacing w:line="480" w:lineRule="auto"/>
        <w:ind w:firstLine="420" w:firstLineChars="200"/>
        <w:rPr>
          <w:rFonts w:asciiTheme="minorEastAsia" w:hAnsiTheme="minorEastAsia" w:eastAsiaTheme="minorEastAsia" w:cstheme="minorEastAsia"/>
          <w:bCs/>
          <w:kern w:val="44"/>
          <w:szCs w:val="21"/>
          <w:highlight w:val="yellow"/>
        </w:rPr>
      </w:pPr>
      <w:r>
        <w:drawing>
          <wp:inline distT="0" distB="0" distL="114300" distR="114300">
            <wp:extent cx="5412105" cy="3888740"/>
            <wp:effectExtent l="0" t="0" r="13335"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412105" cy="3888740"/>
                    </a:xfrm>
                    <a:prstGeom prst="rect">
                      <a:avLst/>
                    </a:prstGeom>
                    <a:noFill/>
                    <a:ln>
                      <a:noFill/>
                    </a:ln>
                  </pic:spPr>
                </pic:pic>
              </a:graphicData>
            </a:graphic>
          </wp:inline>
        </w:drawing>
      </w:r>
    </w:p>
    <w:p>
      <w:pPr>
        <w:spacing w:before="315" w:beforeLines="100"/>
        <w:jc w:val="center"/>
        <w:rPr>
          <w:rFonts w:ascii="宋体" w:hAnsi="宋体" w:cs="宋体"/>
          <w:b/>
          <w:bCs/>
          <w:sz w:val="24"/>
        </w:rPr>
      </w:pPr>
      <w:r>
        <w:rPr>
          <w:rFonts w:hint="eastAsia" w:ascii="宋体" w:hAnsi="宋体" w:cs="宋体"/>
          <w:b/>
          <w:bCs/>
          <w:sz w:val="24"/>
        </w:rPr>
        <w:t>项目宗地概况</w:t>
      </w:r>
    </w:p>
    <w:p>
      <w:pPr>
        <w:spacing w:line="480" w:lineRule="auto"/>
        <w:ind w:firstLine="420" w:firstLineChars="200"/>
        <w:rPr>
          <w:rFonts w:ascii="Arial" w:hAnsi="Arial" w:cs="Arial"/>
          <w:bCs/>
          <w:kern w:val="44"/>
          <w:szCs w:val="21"/>
          <w:highlight w:val="yellow"/>
        </w:rPr>
      </w:pPr>
      <w:r>
        <w:rPr>
          <w:rFonts w:hint="eastAsia" w:ascii="Arial" w:hAnsi="Arial" w:cs="Arial"/>
          <w:bCs/>
          <w:kern w:val="44"/>
          <w:szCs w:val="21"/>
        </w:rPr>
        <w:t>标的项目总建设用地面积149805平方米，总计容建筑面积169639平方米，规划总建筑面积243474.86平方米。项目规划A122-1、A122-2号地块为二类居住用地，A122-3号地块为商业与商务用地。</w:t>
      </w:r>
      <w:bookmarkStart w:id="2" w:name="_Toc28560"/>
      <w:r>
        <w:rPr>
          <w:rFonts w:hint="eastAsia" w:ascii="Arial" w:hAnsi="Arial" w:cs="Arial"/>
          <w:bCs/>
          <w:kern w:val="44"/>
          <w:szCs w:val="21"/>
        </w:rPr>
        <w:t>标的项目建设内容主要为洋房、小高层、叠拼、联排、临崖别墅等，共计1212户可售住宅和1911个可售停车位。</w:t>
      </w:r>
    </w:p>
    <w:p>
      <w:pPr>
        <w:spacing w:line="480" w:lineRule="auto"/>
        <w:ind w:firstLine="420" w:firstLineChars="200"/>
        <w:jc w:val="center"/>
        <w:rPr>
          <w:rFonts w:ascii="宋体" w:hAnsi="宋体" w:cs="宋体"/>
        </w:rPr>
      </w:pPr>
      <w:r>
        <w:rPr>
          <w:rFonts w:hint="eastAsia" w:ascii="宋体" w:hAnsi="宋体" w:cs="宋体"/>
        </w:rPr>
        <w:drawing>
          <wp:inline distT="0" distB="0" distL="114300" distR="114300">
            <wp:extent cx="5628005" cy="3209925"/>
            <wp:effectExtent l="0" t="0" r="10795" b="3175"/>
            <wp:docPr id="1" name="图片 1" descr="318922f28014aa365962c3f2fa8e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18922f28014aa365962c3f2fa8e24f"/>
                    <pic:cNvPicPr>
                      <a:picLocks noChangeAspect="1"/>
                    </pic:cNvPicPr>
                  </pic:nvPicPr>
                  <pic:blipFill>
                    <a:blip r:embed="rId8"/>
                    <a:stretch>
                      <a:fillRect/>
                    </a:stretch>
                  </pic:blipFill>
                  <pic:spPr>
                    <a:xfrm>
                      <a:off x="0" y="0"/>
                      <a:ext cx="5628005" cy="3209925"/>
                    </a:xfrm>
                    <a:prstGeom prst="rect">
                      <a:avLst/>
                    </a:prstGeom>
                  </pic:spPr>
                </pic:pic>
              </a:graphicData>
            </a:graphic>
          </wp:inline>
        </w:drawing>
      </w:r>
    </w:p>
    <w:p>
      <w:pPr>
        <w:spacing w:before="315" w:beforeLines="100"/>
        <w:jc w:val="center"/>
        <w:rPr>
          <w:rFonts w:ascii="宋体" w:hAnsi="宋体" w:cs="宋体"/>
          <w:b/>
          <w:bCs/>
          <w:sz w:val="24"/>
        </w:rPr>
      </w:pPr>
      <w:r>
        <w:rPr>
          <w:rFonts w:hint="eastAsia" w:ascii="宋体" w:hAnsi="宋体" w:cs="宋体"/>
          <w:b/>
          <w:bCs/>
          <w:sz w:val="24"/>
        </w:rPr>
        <w:t>项目总平面鸟瞰图</w:t>
      </w:r>
    </w:p>
    <w:p>
      <w:pPr>
        <w:spacing w:line="480" w:lineRule="auto"/>
        <w:ind w:firstLine="420" w:firstLineChars="200"/>
        <w:rPr>
          <w:rFonts w:asciiTheme="minorEastAsia" w:hAnsiTheme="minorEastAsia" w:eastAsiaTheme="minorEastAsia" w:cstheme="minorEastAsia"/>
          <w:bCs/>
          <w:kern w:val="44"/>
          <w:szCs w:val="21"/>
        </w:rPr>
      </w:pPr>
      <w:r>
        <w:rPr>
          <w:rFonts w:hint="eastAsia" w:asciiTheme="minorEastAsia" w:hAnsiTheme="minorEastAsia" w:eastAsiaTheme="minorEastAsia" w:cstheme="minorEastAsia"/>
          <w:bCs/>
          <w:kern w:val="44"/>
          <w:szCs w:val="21"/>
        </w:rPr>
        <w:t>项目主要户型为</w:t>
      </w:r>
      <w:r>
        <w:rPr>
          <w:rFonts w:hint="eastAsia" w:ascii="Arial" w:hAnsi="Arial" w:cs="Arial" w:eastAsiaTheme="minorEastAsia"/>
          <w:bCs/>
          <w:kern w:val="44"/>
          <w:szCs w:val="21"/>
        </w:rPr>
        <w:t>87-170</w:t>
      </w:r>
      <w:r>
        <w:rPr>
          <w:rFonts w:hint="eastAsia" w:asciiTheme="minorEastAsia" w:hAnsiTheme="minorEastAsia" w:eastAsiaTheme="minorEastAsia" w:cstheme="minorEastAsia"/>
          <w:bCs/>
          <w:kern w:val="44"/>
          <w:szCs w:val="21"/>
        </w:rPr>
        <w:t>平方米区间的户型，主要为两房二厅二卫、小三房二厅二卫、三房二厅二卫、四房二厅二卫的户型结构。具体分布如下：</w:t>
      </w:r>
    </w:p>
    <w:p>
      <w:pPr>
        <w:spacing w:before="315" w:beforeLines="100"/>
        <w:jc w:val="center"/>
        <w:rPr>
          <w:rFonts w:ascii="宋体" w:hAnsi="宋体" w:cs="宋体"/>
          <w:b/>
          <w:bCs/>
          <w:sz w:val="24"/>
        </w:rPr>
      </w:pPr>
      <w:r>
        <w:rPr>
          <w:rFonts w:hint="eastAsia" w:ascii="宋体" w:hAnsi="宋体" w:cs="宋体"/>
          <w:b/>
          <w:bCs/>
          <w:sz w:val="24"/>
        </w:rPr>
        <w:t>户型统计图</w:t>
      </w:r>
    </w:p>
    <w:tbl>
      <w:tblPr>
        <w:tblStyle w:val="12"/>
        <w:tblW w:w="8976" w:type="dxa"/>
        <w:jc w:val="center"/>
        <w:tblLayout w:type="autofit"/>
        <w:tblCellMar>
          <w:top w:w="0" w:type="dxa"/>
          <w:left w:w="0" w:type="dxa"/>
          <w:bottom w:w="0" w:type="dxa"/>
          <w:right w:w="0" w:type="dxa"/>
        </w:tblCellMar>
      </w:tblPr>
      <w:tblGrid>
        <w:gridCol w:w="1092"/>
        <w:gridCol w:w="936"/>
        <w:gridCol w:w="1149"/>
        <w:gridCol w:w="3197"/>
        <w:gridCol w:w="984"/>
        <w:gridCol w:w="702"/>
        <w:gridCol w:w="916"/>
      </w:tblGrid>
      <w:tr>
        <w:tblPrEx>
          <w:tblCellMar>
            <w:top w:w="0" w:type="dxa"/>
            <w:left w:w="0" w:type="dxa"/>
            <w:bottom w:w="0" w:type="dxa"/>
            <w:right w:w="0" w:type="dxa"/>
          </w:tblCellMar>
        </w:tblPrEx>
        <w:trPr>
          <w:trHeight w:val="634" w:hRule="atLeast"/>
          <w:tblHeader/>
          <w:jc w:val="center"/>
        </w:trPr>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b/>
                <w:bCs/>
                <w:kern w:val="0"/>
                <w:sz w:val="18"/>
                <w:szCs w:val="18"/>
              </w:rPr>
            </w:pPr>
            <w:r>
              <w:rPr>
                <w:rFonts w:ascii="宋体" w:hAnsi="宋体" w:cs="宋体"/>
                <w:b/>
                <w:bCs/>
                <w:kern w:val="0"/>
                <w:sz w:val="18"/>
                <w:szCs w:val="18"/>
              </w:rPr>
              <w:t>产品类型</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户型区间</w:t>
            </w:r>
          </w:p>
        </w:tc>
        <w:tc>
          <w:tcPr>
            <w:tcW w:w="1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销售绘测面积</w:t>
            </w:r>
            <w:r>
              <w:rPr>
                <w:rFonts w:hint="eastAsia" w:ascii="宋体" w:hAnsi="宋体" w:cs="宋体"/>
                <w:b/>
                <w:bCs/>
                <w:kern w:val="0"/>
                <w:sz w:val="18"/>
                <w:szCs w:val="18"/>
              </w:rPr>
              <w:br w:type="textWrapping"/>
            </w:r>
            <w:r>
              <w:rPr>
                <w:rFonts w:hint="eastAsia" w:ascii="宋体" w:hAnsi="宋体" w:cs="宋体"/>
                <w:b/>
                <w:bCs/>
                <w:kern w:val="0"/>
                <w:sz w:val="18"/>
                <w:szCs w:val="18"/>
              </w:rPr>
              <w:t>（㎡）</w:t>
            </w:r>
          </w:p>
        </w:tc>
        <w:tc>
          <w:tcPr>
            <w:tcW w:w="31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房型说明</w:t>
            </w:r>
          </w:p>
          <w:p>
            <w:pPr>
              <w:widowControl/>
              <w:jc w:val="center"/>
              <w:rPr>
                <w:rFonts w:ascii="宋体" w:hAnsi="宋体" w:cs="宋体"/>
                <w:kern w:val="0"/>
                <w:sz w:val="18"/>
                <w:szCs w:val="18"/>
              </w:rPr>
            </w:pPr>
            <w:r>
              <w:rPr>
                <w:rFonts w:hint="eastAsia" w:ascii="宋体" w:hAnsi="宋体" w:cs="宋体"/>
                <w:b/>
                <w:bCs/>
                <w:kern w:val="0"/>
                <w:sz w:val="18"/>
                <w:szCs w:val="18"/>
              </w:rPr>
              <w:t>（房/厅/卫）</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实际</w:t>
            </w:r>
            <w:r>
              <w:rPr>
                <w:rFonts w:hint="eastAsia" w:ascii="宋体" w:hAnsi="宋体" w:cs="宋体"/>
                <w:b/>
                <w:bCs/>
                <w:kern w:val="0"/>
                <w:sz w:val="18"/>
                <w:szCs w:val="18"/>
              </w:rPr>
              <w:br w:type="textWrapping"/>
            </w:r>
            <w:r>
              <w:rPr>
                <w:rFonts w:hint="eastAsia" w:ascii="宋体" w:hAnsi="宋体" w:cs="宋体"/>
                <w:b/>
                <w:bCs/>
                <w:kern w:val="0"/>
                <w:sz w:val="18"/>
                <w:szCs w:val="18"/>
              </w:rPr>
              <w:t>得房率</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户数</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户数占比</w:t>
            </w:r>
          </w:p>
        </w:tc>
      </w:tr>
      <w:tr>
        <w:tblPrEx>
          <w:tblCellMar>
            <w:top w:w="0" w:type="dxa"/>
            <w:left w:w="0" w:type="dxa"/>
            <w:bottom w:w="0" w:type="dxa"/>
            <w:right w:w="0" w:type="dxa"/>
          </w:tblCellMar>
        </w:tblPrEx>
        <w:trPr>
          <w:trHeight w:val="26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ascii="宋体" w:hAnsi="宋体" w:cs="宋体"/>
                <w:kern w:val="0"/>
                <w:sz w:val="18"/>
                <w:szCs w:val="18"/>
              </w:rPr>
              <w:t>洋房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ascii="宋体" w:hAnsi="宋体" w:cs="宋体"/>
                <w:kern w:val="0"/>
                <w:sz w:val="18"/>
                <w:szCs w:val="18"/>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4.00%</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99.19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ascii="宋体" w:hAnsi="宋体" w:cs="宋体"/>
                <w:kern w:val="0"/>
                <w:sz w:val="18"/>
                <w:szCs w:val="18"/>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392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65.33%</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ascii="宋体" w:hAnsi="宋体" w:cs="宋体"/>
                <w:kern w:val="0"/>
                <w:sz w:val="18"/>
                <w:szCs w:val="18"/>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4.17%</w:t>
            </w:r>
          </w:p>
        </w:tc>
      </w:tr>
      <w:tr>
        <w:tblPrEx>
          <w:tblCellMar>
            <w:top w:w="0" w:type="dxa"/>
            <w:left w:w="0" w:type="dxa"/>
            <w:bottom w:w="0" w:type="dxa"/>
            <w:right w:w="0" w:type="dxa"/>
          </w:tblCellMar>
        </w:tblPrEx>
        <w:trPr>
          <w:trHeight w:val="9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94.42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ascii="宋体" w:hAnsi="宋体" w:cs="宋体"/>
                <w:kern w:val="0"/>
                <w:sz w:val="18"/>
                <w:szCs w:val="18"/>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4.17%</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114.71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ascii="宋体" w:hAnsi="宋体" w:cs="宋体"/>
                <w:kern w:val="0"/>
                <w:sz w:val="18"/>
                <w:szCs w:val="18"/>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3.33%</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111.68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ascii="宋体" w:hAnsi="宋体" w:cs="宋体"/>
                <w:kern w:val="0"/>
                <w:sz w:val="18"/>
                <w:szCs w:val="18"/>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19.00%</w:t>
            </w:r>
          </w:p>
        </w:tc>
      </w:tr>
      <w:tr>
        <w:tblPrEx>
          <w:tblCellMar>
            <w:top w:w="0" w:type="dxa"/>
            <w:left w:w="0" w:type="dxa"/>
            <w:bottom w:w="0" w:type="dxa"/>
            <w:right w:w="0" w:type="dxa"/>
          </w:tblCellMar>
        </w:tblPrEx>
        <w:trPr>
          <w:trHeight w:val="264" w:hRule="atLeast"/>
          <w:jc w:val="center"/>
        </w:trPr>
        <w:tc>
          <w:tcPr>
            <w:tcW w:w="637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hint="eastAsia" w:ascii="宋体" w:hAnsi="宋体" w:cs="宋体"/>
                <w:b/>
                <w:bCs/>
                <w:kern w:val="0"/>
                <w:sz w:val="18"/>
                <w:szCs w:val="18"/>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100.00%</w:t>
            </w:r>
          </w:p>
        </w:tc>
      </w:tr>
      <w:tr>
        <w:tblPrEx>
          <w:tblCellMar>
            <w:top w:w="0" w:type="dxa"/>
            <w:left w:w="0" w:type="dxa"/>
            <w:bottom w:w="0" w:type="dxa"/>
            <w:right w:w="0" w:type="dxa"/>
          </w:tblCellMar>
        </w:tblPrEx>
        <w:trPr>
          <w:trHeight w:val="26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ascii="宋体" w:hAnsi="宋体" w:cs="宋体"/>
                <w:kern w:val="0"/>
                <w:sz w:val="18"/>
                <w:szCs w:val="18"/>
              </w:rPr>
              <w:t>小高层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95.62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宋体" w:hAnsi="宋体" w:cs="宋体"/>
                <w:kern w:val="0"/>
                <w:sz w:val="18"/>
                <w:szCs w:val="18"/>
              </w:rPr>
            </w:pPr>
            <w:r>
              <w:rPr>
                <w:rFonts w:ascii="宋体" w:hAnsi="宋体" w:cs="宋体"/>
                <w:kern w:val="0"/>
                <w:sz w:val="18"/>
                <w:szCs w:val="18"/>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56.49%</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MingLiU" w:hAnsi="MingLiU" w:eastAsia="MingLiU" w:cs="MingLiU"/>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87.14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小三房二厅二卫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38.93%</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MingLiU" w:hAnsi="MingLiU" w:eastAsia="MingLiU" w:cs="MingLiU"/>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87.39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4.58%</w:t>
            </w:r>
          </w:p>
        </w:tc>
      </w:tr>
      <w:tr>
        <w:tblPrEx>
          <w:tblCellMar>
            <w:top w:w="0" w:type="dxa"/>
            <w:left w:w="0" w:type="dxa"/>
            <w:bottom w:w="0" w:type="dxa"/>
            <w:right w:w="0" w:type="dxa"/>
          </w:tblCellMar>
        </w:tblPrEx>
        <w:trPr>
          <w:trHeight w:val="264" w:hRule="atLeast"/>
          <w:jc w:val="center"/>
        </w:trPr>
        <w:tc>
          <w:tcPr>
            <w:tcW w:w="637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18"/>
                <w:szCs w:val="18"/>
              </w:rPr>
            </w:pPr>
            <w:r>
              <w:rPr>
                <w:rFonts w:hint="eastAsia" w:ascii="宋体" w:hAnsi="宋体" w:cs="宋体"/>
                <w:b/>
                <w:bCs/>
                <w:color w:val="000000"/>
                <w:kern w:val="0"/>
                <w:sz w:val="20"/>
                <w:szCs w:val="20"/>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262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100.00%</w:t>
            </w:r>
          </w:p>
        </w:tc>
      </w:tr>
      <w:tr>
        <w:tblPrEx>
          <w:tblCellMar>
            <w:top w:w="0" w:type="dxa"/>
            <w:left w:w="0" w:type="dxa"/>
            <w:bottom w:w="0" w:type="dxa"/>
            <w:right w:w="0" w:type="dxa"/>
          </w:tblCellMar>
        </w:tblPrEx>
        <w:trPr>
          <w:trHeight w:val="26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8"/>
                <w:szCs w:val="18"/>
                <w:lang w:bidi="ar"/>
              </w:rPr>
              <w:t>叠拼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75.9%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9.52%</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75.9%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54.76%</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75.9%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26.19%</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124.76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9.52%</w:t>
            </w:r>
          </w:p>
        </w:tc>
      </w:tr>
      <w:tr>
        <w:tblPrEx>
          <w:tblCellMar>
            <w:top w:w="0" w:type="dxa"/>
            <w:left w:w="0" w:type="dxa"/>
            <w:bottom w:w="0" w:type="dxa"/>
            <w:right w:w="0" w:type="dxa"/>
          </w:tblCellMar>
        </w:tblPrEx>
        <w:trPr>
          <w:trHeight w:val="264"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6"/>
                <w:szCs w:val="16"/>
              </w:rPr>
            </w:pPr>
            <w:r>
              <w:rPr>
                <w:rFonts w:hint="eastAsia" w:ascii="宋体" w:hAnsi="宋体" w:cs="宋体"/>
                <w:b/>
                <w:bCs/>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100.00%</w:t>
            </w:r>
          </w:p>
        </w:tc>
      </w:tr>
      <w:tr>
        <w:tblPrEx>
          <w:tblCellMar>
            <w:top w:w="0" w:type="dxa"/>
            <w:left w:w="0" w:type="dxa"/>
            <w:bottom w:w="0" w:type="dxa"/>
            <w:right w:w="0" w:type="dxa"/>
          </w:tblCellMar>
        </w:tblPrEx>
        <w:trPr>
          <w:trHeight w:val="2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MingLiU" w:hAnsi="MingLiU" w:eastAsia="MingLiU" w:cs="MingLiU"/>
                <w:color w:val="000000"/>
                <w:sz w:val="16"/>
                <w:szCs w:val="16"/>
              </w:rPr>
            </w:pPr>
            <w:r>
              <w:rPr>
                <w:rFonts w:hint="eastAsia" w:ascii="宋体" w:hAnsi="宋体" w:cs="宋体"/>
                <w:color w:val="000000"/>
                <w:kern w:val="0"/>
                <w:sz w:val="18"/>
                <w:szCs w:val="18"/>
                <w:lang w:bidi="ar"/>
              </w:rPr>
              <w:t>联排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137.08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100.00%</w:t>
            </w:r>
          </w:p>
        </w:tc>
      </w:tr>
      <w:tr>
        <w:tblPrEx>
          <w:tblCellMar>
            <w:top w:w="0" w:type="dxa"/>
            <w:left w:w="0" w:type="dxa"/>
            <w:bottom w:w="0" w:type="dxa"/>
            <w:right w:w="0" w:type="dxa"/>
          </w:tblCellMar>
        </w:tblPrEx>
        <w:trPr>
          <w:trHeight w:val="264"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6"/>
                <w:szCs w:val="16"/>
              </w:rPr>
            </w:pPr>
            <w:r>
              <w:rPr>
                <w:rFonts w:hint="eastAsia" w:ascii="宋体" w:hAnsi="宋体" w:cs="宋体"/>
                <w:b/>
                <w:bCs/>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810.00%</w:t>
            </w:r>
          </w:p>
        </w:tc>
      </w:tr>
      <w:tr>
        <w:tblPrEx>
          <w:tblCellMar>
            <w:top w:w="0" w:type="dxa"/>
            <w:left w:w="0" w:type="dxa"/>
            <w:bottom w:w="0" w:type="dxa"/>
            <w:right w:w="0" w:type="dxa"/>
          </w:tblCellMar>
        </w:tblPrEx>
        <w:trPr>
          <w:trHeight w:val="2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MingLiU" w:hAnsi="MingLiU" w:eastAsia="MingLiU" w:cs="MingLiU"/>
                <w:color w:val="000000"/>
                <w:sz w:val="16"/>
                <w:szCs w:val="16"/>
              </w:rPr>
            </w:pPr>
            <w:r>
              <w:rPr>
                <w:rFonts w:hint="eastAsia" w:ascii="宋体" w:hAnsi="宋体" w:cs="宋体"/>
                <w:color w:val="000000"/>
                <w:kern w:val="0"/>
                <w:sz w:val="18"/>
                <w:szCs w:val="18"/>
                <w:lang w:bidi="ar"/>
              </w:rPr>
              <w:t>临崖别墅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171.08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四房二厅二卫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94.0%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100.00%</w:t>
            </w:r>
          </w:p>
        </w:tc>
      </w:tr>
      <w:tr>
        <w:tblPrEx>
          <w:tblCellMar>
            <w:top w:w="0" w:type="dxa"/>
            <w:left w:w="0" w:type="dxa"/>
            <w:bottom w:w="0" w:type="dxa"/>
            <w:right w:w="0" w:type="dxa"/>
          </w:tblCellMar>
        </w:tblPrEx>
        <w:trPr>
          <w:trHeight w:val="264"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kern w:val="0"/>
                <w:sz w:val="18"/>
                <w:szCs w:val="18"/>
                <w:lang w:bidi="ar"/>
              </w:rPr>
              <w:t>合计</w:t>
            </w:r>
          </w:p>
        </w:tc>
        <w:tc>
          <w:tcPr>
            <w:tcW w:w="434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100.00%</w:t>
            </w:r>
          </w:p>
        </w:tc>
      </w:tr>
      <w:tr>
        <w:tblPrEx>
          <w:tblCellMar>
            <w:top w:w="0" w:type="dxa"/>
            <w:left w:w="0" w:type="dxa"/>
            <w:bottom w:w="0" w:type="dxa"/>
            <w:right w:w="0" w:type="dxa"/>
          </w:tblCellMar>
        </w:tblPrEx>
        <w:trPr>
          <w:trHeight w:val="264"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kern w:val="0"/>
                <w:sz w:val="18"/>
                <w:szCs w:val="18"/>
                <w:lang w:bidi="ar"/>
              </w:rPr>
              <w:t>合计</w:t>
            </w:r>
          </w:p>
        </w:tc>
        <w:tc>
          <w:tcPr>
            <w:tcW w:w="434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r>
              <w:rPr>
                <w:rFonts w:ascii="Arial" w:hAnsi="Arial" w:cs="Arial"/>
                <w:kern w:val="0"/>
                <w:sz w:val="18"/>
                <w:szCs w:val="18"/>
              </w:rPr>
              <w:t>1212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Arial" w:hAnsi="Arial" w:cs="Arial"/>
                <w:kern w:val="0"/>
                <w:sz w:val="18"/>
                <w:szCs w:val="18"/>
              </w:rPr>
            </w:pPr>
          </w:p>
        </w:tc>
      </w:tr>
    </w:tbl>
    <w:p>
      <w:pPr>
        <w:rPr>
          <w:rFonts w:ascii="Arial" w:hAnsi="Arial" w:cs="Arial"/>
          <w:bCs/>
          <w:kern w:val="44"/>
          <w:szCs w:val="21"/>
        </w:rPr>
      </w:pPr>
    </w:p>
    <w:p>
      <w:pPr>
        <w:spacing w:line="480" w:lineRule="auto"/>
        <w:ind w:firstLine="420" w:firstLineChars="200"/>
        <w:rPr>
          <w:rFonts w:ascii="Arial" w:hAnsi="Arial" w:cs="Arial"/>
          <w:bCs/>
          <w:kern w:val="44"/>
          <w:szCs w:val="21"/>
          <w:lang w:val="zh-CN"/>
        </w:rPr>
      </w:pPr>
      <w:r>
        <w:rPr>
          <w:rFonts w:hint="eastAsia" w:ascii="Arial" w:hAnsi="Arial" w:cs="Arial"/>
          <w:bCs/>
          <w:kern w:val="44"/>
          <w:szCs w:val="21"/>
        </w:rPr>
        <w:t>本项目分三期开发，拟定建设期为</w:t>
      </w:r>
      <w:r>
        <w:rPr>
          <w:rFonts w:ascii="Arial" w:hAnsi="Arial" w:cs="Arial"/>
          <w:bCs/>
          <w:kern w:val="44"/>
          <w:szCs w:val="21"/>
        </w:rPr>
        <w:t>36</w:t>
      </w:r>
      <w:r>
        <w:rPr>
          <w:rFonts w:hint="eastAsia" w:ascii="Arial" w:hAnsi="Arial" w:cs="Arial"/>
          <w:bCs/>
          <w:kern w:val="44"/>
          <w:szCs w:val="21"/>
        </w:rPr>
        <w:t>个月。</w:t>
      </w:r>
      <w:r>
        <w:rPr>
          <w:rFonts w:hint="eastAsia" w:ascii="Arial" w:hAnsi="Arial" w:cs="Arial"/>
          <w:bCs/>
          <w:kern w:val="44"/>
          <w:szCs w:val="21"/>
          <w:lang w:val="zh-CN"/>
        </w:rPr>
        <w:t>据市场分析，按市场吸纳能力及公司开发能力、资金筹措的可能性，本项目工程</w:t>
      </w:r>
      <w:r>
        <w:rPr>
          <w:rFonts w:hint="eastAsia" w:ascii="Arial" w:hAnsi="Arial" w:cs="Arial"/>
          <w:bCs/>
          <w:kern w:val="44"/>
          <w:szCs w:val="21"/>
        </w:rPr>
        <w:t>目前拟定</w:t>
      </w:r>
      <w:r>
        <w:rPr>
          <w:rFonts w:hint="eastAsia" w:ascii="Arial" w:hAnsi="Arial" w:cs="Arial"/>
          <w:bCs/>
          <w:kern w:val="44"/>
          <w:szCs w:val="21"/>
          <w:lang w:val="zh-CN"/>
        </w:rPr>
        <w:t>开发建设进度计划安排如下表：</w:t>
      </w:r>
    </w:p>
    <w:tbl>
      <w:tblPr>
        <w:tblStyle w:val="12"/>
        <w:tblW w:w="9000" w:type="dxa"/>
        <w:tblInd w:w="156" w:type="dxa"/>
        <w:tblLayout w:type="fixed"/>
        <w:tblCellMar>
          <w:top w:w="0" w:type="dxa"/>
          <w:left w:w="0" w:type="dxa"/>
          <w:bottom w:w="0" w:type="dxa"/>
          <w:right w:w="0" w:type="dxa"/>
        </w:tblCellMar>
      </w:tblPr>
      <w:tblGrid>
        <w:gridCol w:w="800"/>
        <w:gridCol w:w="1995"/>
        <w:gridCol w:w="2026"/>
        <w:gridCol w:w="2080"/>
        <w:gridCol w:w="2099"/>
      </w:tblGrid>
      <w:tr>
        <w:tblPrEx>
          <w:tblCellMar>
            <w:top w:w="0" w:type="dxa"/>
            <w:left w:w="0" w:type="dxa"/>
            <w:bottom w:w="0" w:type="dxa"/>
            <w:right w:w="0" w:type="dxa"/>
          </w:tblCellMar>
        </w:tblPrEx>
        <w:trPr>
          <w:trHeight w:val="320"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kern w:val="0"/>
                <w:sz w:val="18"/>
                <w:szCs w:val="18"/>
                <w:lang w:bidi="ar"/>
              </w:rPr>
              <w:t>工期</w:t>
            </w:r>
          </w:p>
        </w:tc>
        <w:tc>
          <w:tcPr>
            <w:tcW w:w="610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b/>
                <w:bCs/>
                <w:color w:val="000000"/>
                <w:kern w:val="0"/>
                <w:sz w:val="18"/>
                <w:szCs w:val="18"/>
                <w:lang w:bidi="ar"/>
              </w:rPr>
            </w:pPr>
            <w:r>
              <w:rPr>
                <w:rFonts w:ascii="宋体" w:hAnsi="宋体" w:cs="宋体"/>
                <w:b/>
                <w:bCs/>
                <w:color w:val="000000"/>
                <w:kern w:val="0"/>
                <w:sz w:val="18"/>
                <w:szCs w:val="18"/>
                <w:lang w:bidi="ar"/>
              </w:rPr>
              <w:t>计划完成时间</w:t>
            </w:r>
          </w:p>
        </w:tc>
        <w:tc>
          <w:tcPr>
            <w:tcW w:w="209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b/>
                <w:bCs/>
                <w:color w:val="000000"/>
                <w:kern w:val="0"/>
                <w:sz w:val="18"/>
                <w:szCs w:val="18"/>
                <w:lang w:bidi="ar"/>
              </w:rPr>
            </w:pPr>
            <w:r>
              <w:rPr>
                <w:rFonts w:ascii="宋体" w:hAnsi="宋体" w:cs="宋体"/>
                <w:b/>
                <w:bCs/>
                <w:color w:val="000000"/>
                <w:kern w:val="0"/>
                <w:sz w:val="18"/>
                <w:szCs w:val="18"/>
                <w:lang w:bidi="ar"/>
              </w:rPr>
              <w:t>进度计划</w:t>
            </w:r>
          </w:p>
        </w:tc>
      </w:tr>
      <w:tr>
        <w:tblPrEx>
          <w:tblCellMar>
            <w:top w:w="0" w:type="dxa"/>
            <w:left w:w="0" w:type="dxa"/>
            <w:bottom w:w="0" w:type="dxa"/>
            <w:right w:w="0" w:type="dxa"/>
          </w:tblCellMar>
        </w:tblPrEx>
        <w:trPr>
          <w:trHeight w:val="32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20"/>
                <w:szCs w:val="20"/>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b/>
                <w:bCs/>
                <w:color w:val="000000"/>
                <w:kern w:val="0"/>
                <w:sz w:val="18"/>
                <w:szCs w:val="18"/>
                <w:lang w:bidi="ar"/>
              </w:rPr>
            </w:pPr>
            <w:r>
              <w:rPr>
                <w:rFonts w:ascii="宋体" w:hAnsi="宋体" w:cs="宋体"/>
                <w:b/>
                <w:bCs/>
                <w:color w:val="000000"/>
                <w:kern w:val="0"/>
                <w:sz w:val="18"/>
                <w:szCs w:val="18"/>
                <w:lang w:bidi="ar"/>
              </w:rPr>
              <w:t>A122-1</w:t>
            </w:r>
            <w:r>
              <w:rPr>
                <w:rFonts w:hint="eastAsia" w:ascii="宋体" w:hAnsi="宋体" w:cs="宋体"/>
                <w:b/>
                <w:bCs/>
                <w:color w:val="000000"/>
                <w:kern w:val="0"/>
                <w:sz w:val="18"/>
                <w:szCs w:val="18"/>
                <w:lang w:bidi="ar"/>
              </w:rPr>
              <w:t>号地块</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b/>
                <w:bCs/>
                <w:color w:val="000000"/>
                <w:kern w:val="0"/>
                <w:sz w:val="18"/>
                <w:szCs w:val="18"/>
                <w:lang w:bidi="ar"/>
              </w:rPr>
            </w:pPr>
            <w:r>
              <w:rPr>
                <w:rFonts w:ascii="宋体" w:hAnsi="宋体" w:cs="宋体"/>
                <w:b/>
                <w:bCs/>
                <w:color w:val="000000"/>
                <w:kern w:val="0"/>
                <w:sz w:val="18"/>
                <w:szCs w:val="18"/>
                <w:lang w:bidi="ar"/>
              </w:rPr>
              <w:t>A122-2</w:t>
            </w:r>
            <w:r>
              <w:rPr>
                <w:rFonts w:hint="eastAsia" w:ascii="宋体" w:hAnsi="宋体" w:cs="宋体"/>
                <w:b/>
                <w:bCs/>
                <w:color w:val="000000"/>
                <w:kern w:val="0"/>
                <w:sz w:val="18"/>
                <w:szCs w:val="18"/>
                <w:lang w:bidi="ar"/>
              </w:rPr>
              <w:t>号地块</w:t>
            </w:r>
          </w:p>
        </w:tc>
        <w:tc>
          <w:tcPr>
            <w:tcW w:w="2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b/>
                <w:bCs/>
                <w:color w:val="000000"/>
                <w:kern w:val="0"/>
                <w:sz w:val="18"/>
                <w:szCs w:val="18"/>
                <w:lang w:bidi="ar"/>
              </w:rPr>
            </w:pPr>
            <w:r>
              <w:rPr>
                <w:rFonts w:ascii="宋体" w:hAnsi="宋体" w:cs="宋体"/>
                <w:b/>
                <w:bCs/>
                <w:color w:val="000000"/>
                <w:kern w:val="0"/>
                <w:sz w:val="18"/>
                <w:szCs w:val="18"/>
                <w:lang w:bidi="ar"/>
              </w:rPr>
              <w:t>A122-3</w:t>
            </w:r>
            <w:r>
              <w:rPr>
                <w:rFonts w:hint="eastAsia" w:ascii="宋体" w:hAnsi="宋体" w:cs="宋体"/>
                <w:b/>
                <w:bCs/>
                <w:color w:val="000000"/>
                <w:kern w:val="0"/>
                <w:sz w:val="18"/>
                <w:szCs w:val="18"/>
                <w:lang w:bidi="ar"/>
              </w:rPr>
              <w:t>号地块</w:t>
            </w:r>
          </w:p>
        </w:tc>
        <w:tc>
          <w:tcPr>
            <w:tcW w:w="209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b/>
                <w:bCs/>
                <w:color w:val="000000"/>
                <w:kern w:val="0"/>
                <w:sz w:val="20"/>
                <w:szCs w:val="20"/>
                <w:lang w:bidi="ar"/>
              </w:rPr>
            </w:pPr>
          </w:p>
        </w:tc>
      </w:tr>
      <w:tr>
        <w:tblPrEx>
          <w:tblCellMar>
            <w:top w:w="0" w:type="dxa"/>
            <w:left w:w="0" w:type="dxa"/>
            <w:bottom w:w="0" w:type="dxa"/>
            <w:right w:w="0" w:type="dxa"/>
          </w:tblCellMar>
        </w:tblPrEx>
        <w:trPr>
          <w:trHeight w:val="121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1、筹建期</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2020/11/25-2021/</w:t>
            </w:r>
            <w:r>
              <w:rPr>
                <w:rFonts w:hint="eastAsia" w:ascii="Arial" w:hAnsi="Arial" w:cs="Arial"/>
                <w:bCs/>
                <w:sz w:val="18"/>
                <w:szCs w:val="18"/>
              </w:rPr>
              <w:t>0</w:t>
            </w:r>
            <w:r>
              <w:rPr>
                <w:rFonts w:ascii="Arial" w:hAnsi="Arial" w:cs="Arial"/>
                <w:bCs/>
                <w:sz w:val="18"/>
                <w:szCs w:val="18"/>
              </w:rPr>
              <w:t>3</w:t>
            </w:r>
            <w:r>
              <w:rPr>
                <w:rFonts w:hint="eastAsia" w:ascii="Arial" w:hAnsi="Arial" w:cs="Arial"/>
                <w:bCs/>
                <w:sz w:val="18"/>
                <w:szCs w:val="18"/>
              </w:rPr>
              <w:t>/</w:t>
            </w:r>
            <w:r>
              <w:rPr>
                <w:rFonts w:ascii="Arial" w:hAnsi="Arial" w:cs="Arial"/>
                <w:bCs/>
                <w:sz w:val="18"/>
                <w:szCs w:val="18"/>
              </w:rPr>
              <w:t>15</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2020/11/25-2021/</w:t>
            </w:r>
            <w:r>
              <w:rPr>
                <w:rFonts w:hint="eastAsia" w:ascii="Arial" w:hAnsi="Arial" w:cs="Arial"/>
                <w:bCs/>
                <w:sz w:val="18"/>
                <w:szCs w:val="18"/>
              </w:rPr>
              <w:t>0</w:t>
            </w:r>
            <w:r>
              <w:rPr>
                <w:rFonts w:ascii="Arial" w:hAnsi="Arial" w:cs="Arial"/>
                <w:bCs/>
                <w:sz w:val="18"/>
                <w:szCs w:val="18"/>
              </w:rPr>
              <w:t>5/14</w:t>
            </w:r>
          </w:p>
        </w:tc>
        <w:tc>
          <w:tcPr>
            <w:tcW w:w="2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2020/11/25-2021/</w:t>
            </w:r>
            <w:r>
              <w:rPr>
                <w:rFonts w:hint="eastAsia" w:ascii="Arial" w:hAnsi="Arial" w:cs="Arial"/>
                <w:bCs/>
                <w:sz w:val="18"/>
                <w:szCs w:val="18"/>
              </w:rPr>
              <w:t>0</w:t>
            </w:r>
            <w:r>
              <w:rPr>
                <w:rFonts w:ascii="Arial" w:hAnsi="Arial" w:cs="Arial"/>
                <w:bCs/>
                <w:sz w:val="18"/>
                <w:szCs w:val="18"/>
              </w:rPr>
              <w:t>8/10</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ascii="Arial" w:hAnsi="Arial" w:cs="Arial"/>
                <w:bCs/>
                <w:sz w:val="18"/>
                <w:szCs w:val="18"/>
              </w:rPr>
            </w:pPr>
            <w:r>
              <w:rPr>
                <w:rFonts w:hint="eastAsia" w:ascii="Arial" w:hAnsi="Arial" w:cs="Arial"/>
                <w:bCs/>
                <w:sz w:val="18"/>
                <w:szCs w:val="18"/>
              </w:rPr>
              <w:t>土地获取证明文件；政府规划部门、企业、营销中心等各方调整意见汇总；与总部的预沟通所获得的修改指示；三通一平；移交场地；基础工程施工单位进场。</w:t>
            </w:r>
          </w:p>
        </w:tc>
      </w:tr>
      <w:tr>
        <w:tblPrEx>
          <w:tblCellMar>
            <w:top w:w="0" w:type="dxa"/>
            <w:left w:w="0" w:type="dxa"/>
            <w:bottom w:w="0" w:type="dxa"/>
            <w:right w:w="0" w:type="dxa"/>
          </w:tblCellMar>
        </w:tblPrEx>
        <w:trPr>
          <w:trHeight w:val="918"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2、工程期</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w:t>
            </w:r>
            <w:r>
              <w:rPr>
                <w:rFonts w:hint="eastAsia" w:ascii="Arial" w:hAnsi="Arial" w:cs="Arial"/>
                <w:bCs/>
                <w:sz w:val="18"/>
                <w:szCs w:val="18"/>
              </w:rPr>
              <w:t>0</w:t>
            </w:r>
            <w:r>
              <w:rPr>
                <w:rFonts w:ascii="Arial" w:hAnsi="Arial" w:cs="Arial"/>
                <w:bCs/>
                <w:sz w:val="18"/>
                <w:szCs w:val="18"/>
              </w:rPr>
              <w:t>3/15/-2022/12/25</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w:t>
            </w:r>
            <w:r>
              <w:rPr>
                <w:rFonts w:hint="eastAsia" w:ascii="Arial" w:hAnsi="Arial" w:cs="Arial"/>
                <w:bCs/>
                <w:sz w:val="18"/>
                <w:szCs w:val="18"/>
              </w:rPr>
              <w:t>0</w:t>
            </w:r>
            <w:r>
              <w:rPr>
                <w:rFonts w:ascii="Arial" w:hAnsi="Arial" w:cs="Arial"/>
                <w:bCs/>
                <w:sz w:val="18"/>
                <w:szCs w:val="18"/>
              </w:rPr>
              <w:t>5/14</w:t>
            </w:r>
            <w:r>
              <w:rPr>
                <w:rFonts w:hint="eastAsia" w:ascii="Arial" w:hAnsi="Arial" w:cs="Arial"/>
                <w:bCs/>
                <w:sz w:val="18"/>
                <w:szCs w:val="18"/>
              </w:rPr>
              <w:t>-2023/0</w:t>
            </w:r>
            <w:r>
              <w:rPr>
                <w:rFonts w:ascii="Arial" w:hAnsi="Arial" w:cs="Arial"/>
                <w:bCs/>
                <w:sz w:val="18"/>
                <w:szCs w:val="18"/>
              </w:rPr>
              <w:t>4/26</w:t>
            </w:r>
          </w:p>
        </w:tc>
        <w:tc>
          <w:tcPr>
            <w:tcW w:w="2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w:t>
            </w:r>
            <w:r>
              <w:rPr>
                <w:rFonts w:hint="eastAsia" w:ascii="Arial" w:hAnsi="Arial" w:cs="Arial"/>
                <w:bCs/>
                <w:sz w:val="18"/>
                <w:szCs w:val="18"/>
              </w:rPr>
              <w:t>0</w:t>
            </w:r>
            <w:r>
              <w:rPr>
                <w:rFonts w:ascii="Arial" w:hAnsi="Arial" w:cs="Arial"/>
                <w:bCs/>
                <w:sz w:val="18"/>
                <w:szCs w:val="18"/>
              </w:rPr>
              <w:t>8/10-2023/</w:t>
            </w:r>
            <w:r>
              <w:rPr>
                <w:rFonts w:hint="eastAsia" w:ascii="Arial" w:hAnsi="Arial" w:cs="Arial"/>
                <w:bCs/>
                <w:sz w:val="18"/>
                <w:szCs w:val="18"/>
              </w:rPr>
              <w:t>0</w:t>
            </w:r>
            <w:r>
              <w:rPr>
                <w:rFonts w:ascii="Arial" w:hAnsi="Arial" w:cs="Arial"/>
                <w:bCs/>
                <w:sz w:val="18"/>
                <w:szCs w:val="18"/>
              </w:rPr>
              <w:t>6/22</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w:t>
            </w:r>
          </w:p>
        </w:tc>
      </w:tr>
      <w:tr>
        <w:tblPrEx>
          <w:tblCellMar>
            <w:top w:w="0" w:type="dxa"/>
            <w:left w:w="0" w:type="dxa"/>
            <w:bottom w:w="0" w:type="dxa"/>
            <w:right w:w="0" w:type="dxa"/>
          </w:tblCellMar>
        </w:tblPrEx>
        <w:trPr>
          <w:trHeight w:val="92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3、销售期</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w:t>
            </w:r>
            <w:r>
              <w:rPr>
                <w:rFonts w:hint="eastAsia" w:ascii="Arial" w:hAnsi="Arial" w:cs="Arial"/>
                <w:bCs/>
                <w:sz w:val="18"/>
                <w:szCs w:val="18"/>
              </w:rPr>
              <w:t>0</w:t>
            </w:r>
            <w:r>
              <w:rPr>
                <w:rFonts w:ascii="Arial" w:hAnsi="Arial" w:cs="Arial"/>
                <w:bCs/>
                <w:sz w:val="18"/>
                <w:szCs w:val="18"/>
              </w:rPr>
              <w:t>6/28</w:t>
            </w:r>
            <w:r>
              <w:rPr>
                <w:rFonts w:hint="eastAsia" w:ascii="Arial" w:hAnsi="Arial" w:cs="Arial"/>
                <w:bCs/>
                <w:sz w:val="18"/>
                <w:szCs w:val="18"/>
              </w:rPr>
              <w:t>-2023/0</w:t>
            </w:r>
            <w:r>
              <w:rPr>
                <w:rFonts w:ascii="Arial" w:hAnsi="Arial" w:cs="Arial"/>
                <w:bCs/>
                <w:sz w:val="18"/>
                <w:szCs w:val="18"/>
              </w:rPr>
              <w:t>3/25</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w:t>
            </w:r>
            <w:r>
              <w:rPr>
                <w:rFonts w:hint="eastAsia" w:ascii="Arial" w:hAnsi="Arial" w:cs="Arial"/>
                <w:bCs/>
                <w:sz w:val="18"/>
                <w:szCs w:val="18"/>
              </w:rPr>
              <w:t>0</w:t>
            </w:r>
            <w:r>
              <w:rPr>
                <w:rFonts w:ascii="Arial" w:hAnsi="Arial" w:cs="Arial"/>
                <w:bCs/>
                <w:sz w:val="18"/>
                <w:szCs w:val="18"/>
              </w:rPr>
              <w:t>9/29-2023/</w:t>
            </w:r>
            <w:r>
              <w:rPr>
                <w:rFonts w:hint="eastAsia" w:ascii="Arial" w:hAnsi="Arial" w:cs="Arial"/>
                <w:bCs/>
                <w:sz w:val="18"/>
                <w:szCs w:val="18"/>
              </w:rPr>
              <w:t>0</w:t>
            </w:r>
            <w:r>
              <w:rPr>
                <w:rFonts w:ascii="Arial" w:hAnsi="Arial" w:cs="Arial"/>
                <w:bCs/>
                <w:sz w:val="18"/>
                <w:szCs w:val="18"/>
              </w:rPr>
              <w:t>7/21</w:t>
            </w:r>
          </w:p>
        </w:tc>
        <w:tc>
          <w:tcPr>
            <w:tcW w:w="2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2022</w:t>
            </w:r>
            <w:r>
              <w:rPr>
                <w:rFonts w:hint="eastAsia" w:ascii="Arial" w:hAnsi="Arial" w:cs="Arial"/>
                <w:bCs/>
                <w:sz w:val="18"/>
                <w:szCs w:val="18"/>
              </w:rPr>
              <w:t>/0</w:t>
            </w:r>
            <w:r>
              <w:rPr>
                <w:rFonts w:ascii="Arial" w:hAnsi="Arial" w:cs="Arial"/>
                <w:bCs/>
                <w:sz w:val="18"/>
                <w:szCs w:val="18"/>
              </w:rPr>
              <w:t>1/20</w:t>
            </w:r>
            <w:r>
              <w:rPr>
                <w:rFonts w:hint="eastAsia" w:ascii="Arial" w:hAnsi="Arial" w:cs="Arial"/>
                <w:bCs/>
                <w:sz w:val="18"/>
                <w:szCs w:val="18"/>
              </w:rPr>
              <w:t>-2023/0</w:t>
            </w:r>
            <w:r>
              <w:rPr>
                <w:rFonts w:ascii="Arial" w:hAnsi="Arial" w:cs="Arial"/>
                <w:bCs/>
                <w:sz w:val="18"/>
                <w:szCs w:val="18"/>
              </w:rPr>
              <w:t>8/31</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w:t>
            </w:r>
          </w:p>
        </w:tc>
      </w:tr>
    </w:tbl>
    <w:p>
      <w:pPr>
        <w:rPr>
          <w:rFonts w:asciiTheme="minorEastAsia" w:hAnsiTheme="minorEastAsia" w:eastAsiaTheme="minorEastAsia" w:cstheme="minorEastAsia"/>
          <w:bCs/>
          <w:kern w:val="44"/>
          <w:szCs w:val="21"/>
          <w:lang w:val="zh-CN"/>
        </w:rPr>
      </w:pPr>
    </w:p>
    <w:p>
      <w:pPr>
        <w:rPr>
          <w:rStyle w:val="24"/>
          <w:rFonts w:ascii="Arial" w:hAnsi="Arial" w:cs="Arial" w:eastAsiaTheme="majorEastAsia"/>
          <w:sz w:val="24"/>
          <w:szCs w:val="22"/>
        </w:rPr>
      </w:pPr>
      <w:r>
        <w:rPr>
          <w:rStyle w:val="24"/>
          <w:rFonts w:ascii="Arial" w:hAnsi="Arial" w:cs="Arial" w:eastAsiaTheme="majorEastAsia"/>
          <w:sz w:val="24"/>
          <w:szCs w:val="22"/>
        </w:rPr>
        <w:br w:type="page"/>
      </w:r>
    </w:p>
    <w:p>
      <w:pPr>
        <w:spacing w:before="300" w:after="300" w:line="360" w:lineRule="exact"/>
        <w:jc w:val="left"/>
        <w:outlineLvl w:val="0"/>
        <w:rPr>
          <w:rStyle w:val="24"/>
          <w:rFonts w:asciiTheme="majorEastAsia" w:hAnsiTheme="majorEastAsia" w:eastAsiaTheme="majorEastAsia" w:cstheme="majorEastAsia"/>
          <w:sz w:val="24"/>
          <w:szCs w:val="22"/>
        </w:rPr>
      </w:pPr>
      <w:bookmarkStart w:id="3" w:name="_Toc29233"/>
      <w:r>
        <w:rPr>
          <w:rStyle w:val="24"/>
          <w:rFonts w:ascii="Arial" w:hAnsi="Arial" w:cs="Arial" w:eastAsiaTheme="majorEastAsia"/>
          <w:sz w:val="24"/>
          <w:szCs w:val="22"/>
        </w:rPr>
        <w:t>2</w:t>
      </w:r>
      <w:r>
        <w:rPr>
          <w:rStyle w:val="24"/>
          <w:rFonts w:hint="eastAsia" w:ascii="Arial" w:hAnsi="Arial" w:cs="Arial" w:eastAsiaTheme="majorEastAsia"/>
          <w:sz w:val="24"/>
          <w:szCs w:val="22"/>
        </w:rPr>
        <w:t>、</w:t>
      </w:r>
      <w:r>
        <w:rPr>
          <w:rStyle w:val="24"/>
          <w:rFonts w:hint="eastAsia" w:asciiTheme="majorEastAsia" w:hAnsiTheme="majorEastAsia" w:eastAsiaTheme="majorEastAsia" w:cstheme="majorEastAsia"/>
          <w:sz w:val="24"/>
          <w:szCs w:val="22"/>
        </w:rPr>
        <w:t>重大事件披露</w:t>
      </w:r>
      <w:bookmarkEnd w:id="2"/>
      <w:bookmarkEnd w:id="3"/>
    </w:p>
    <w:p>
      <w:pPr>
        <w:spacing w:line="480" w:lineRule="auto"/>
        <w:ind w:firstLine="420" w:firstLineChars="200"/>
        <w:rPr>
          <w:rFonts w:ascii="Arial" w:hAnsi="Arial" w:cs="Arial"/>
          <w:bCs/>
          <w:kern w:val="44"/>
          <w:szCs w:val="21"/>
        </w:rPr>
      </w:pPr>
      <w:bookmarkStart w:id="4" w:name="_Toc13237"/>
      <w:bookmarkStart w:id="5" w:name="_Toc2683"/>
      <w:bookmarkStart w:id="6" w:name="_Toc10978"/>
      <w:r>
        <w:rPr>
          <w:rFonts w:ascii="Arial" w:hAnsi="Arial" w:cs="Arial"/>
          <w:bCs/>
          <w:kern w:val="44"/>
          <w:szCs w:val="21"/>
        </w:rPr>
        <w:t>（1）</w:t>
      </w:r>
      <w:bookmarkEnd w:id="4"/>
      <w:bookmarkEnd w:id="5"/>
      <w:bookmarkEnd w:id="6"/>
      <w:r>
        <w:rPr>
          <w:rFonts w:hint="eastAsia" w:ascii="Arial" w:hAnsi="Arial" w:cs="Arial"/>
          <w:bCs/>
          <w:kern w:val="44"/>
          <w:szCs w:val="21"/>
        </w:rPr>
        <w:t>2021年2月4日，项目公司分别于重庆三峡银行股份有限公司鸳鸯支行与平安银行重庆分行营业部开立一般银行账户，2021年2月5日驻场人员与项目公司相关人员进行了重庆三峡银行和平安银行网银复核权限U盾及银行预留印鉴卡等相关账户资料交接工作，实现对新开立的重庆三峡银行与平安银行一般户的共管，共管交接表见附件一。</w:t>
      </w:r>
    </w:p>
    <w:p>
      <w:pPr>
        <w:spacing w:line="480" w:lineRule="auto"/>
        <w:ind w:firstLine="420" w:firstLineChars="200"/>
        <w:rPr>
          <w:rFonts w:ascii="Arial" w:hAnsi="Arial" w:cs="Arial"/>
          <w:bCs/>
          <w:kern w:val="44"/>
          <w:szCs w:val="21"/>
          <w:highlight w:val="yellow"/>
        </w:rPr>
      </w:pPr>
      <w:r>
        <w:rPr>
          <w:rFonts w:ascii="Arial" w:hAnsi="Arial" w:cs="Arial"/>
          <w:bCs/>
          <w:kern w:val="44"/>
          <w:szCs w:val="21"/>
        </w:rPr>
        <w:t>（2）</w:t>
      </w:r>
      <w:r>
        <w:rPr>
          <w:rFonts w:hint="eastAsia" w:ascii="Arial" w:hAnsi="Arial" w:cs="Arial"/>
          <w:bCs/>
          <w:kern w:val="44"/>
          <w:szCs w:val="21"/>
        </w:rPr>
        <w:t>2021年2月4日，驻场人员与项目公司相关人员进行了A122-2号地块不动产权证原件的交接工作，实现对项目公司已取得的A122-2号地块不动产权证的共管，共管交接表见附件二。</w:t>
      </w:r>
    </w:p>
    <w:p>
      <w:pPr>
        <w:spacing w:line="480" w:lineRule="auto"/>
        <w:ind w:firstLine="420" w:firstLineChars="200"/>
        <w:rPr>
          <w:rFonts w:ascii="Arial" w:hAnsi="Arial" w:cs="Arial"/>
          <w:bCs/>
          <w:kern w:val="44"/>
          <w:szCs w:val="21"/>
        </w:rPr>
      </w:pPr>
      <w:r>
        <w:rPr>
          <w:rFonts w:ascii="Arial" w:hAnsi="Arial" w:cs="Arial"/>
          <w:bCs/>
          <w:kern w:val="44"/>
          <w:szCs w:val="21"/>
        </w:rPr>
        <w:t>（3）</w:t>
      </w:r>
      <w:r>
        <w:rPr>
          <w:rFonts w:hint="eastAsia" w:ascii="Arial" w:hAnsi="Arial" w:cs="Arial"/>
          <w:bCs/>
          <w:kern w:val="44"/>
          <w:szCs w:val="21"/>
        </w:rPr>
        <w:t>2021年2月5日，驻场人员与项目公司相关人员进行了A122-3号地块不动产权证原件的交接工作，实现对项目公司已取得的A122-3号地块不动产权证的共管，共管交接表见附件三。</w:t>
      </w:r>
    </w:p>
    <w:p>
      <w:pPr>
        <w:spacing w:line="480" w:lineRule="auto"/>
        <w:ind w:firstLine="420" w:firstLineChars="200"/>
        <w:rPr>
          <w:rFonts w:ascii="Arial" w:hAnsi="Arial" w:cs="Arial"/>
          <w:bCs/>
          <w:kern w:val="44"/>
          <w:szCs w:val="21"/>
          <w:highlight w:val="yellow"/>
        </w:rPr>
      </w:pPr>
      <w:r>
        <w:rPr>
          <w:rFonts w:ascii="Arial" w:hAnsi="Arial" w:cs="Arial"/>
          <w:bCs/>
          <w:kern w:val="44"/>
          <w:szCs w:val="21"/>
        </w:rPr>
        <w:t>（4）</w:t>
      </w:r>
      <w:bookmarkStart w:id="7" w:name="_Toc23969"/>
      <w:r>
        <w:rPr>
          <w:rFonts w:hint="eastAsia" w:ascii="Arial" w:hAnsi="Arial" w:cs="Arial"/>
          <w:bCs/>
          <w:kern w:val="44"/>
          <w:szCs w:val="21"/>
        </w:rPr>
        <w:t>2021年2月19日，项目公司取得A122-1号地块不动产权证，在2021年2月22日项目公司与民生信托相关人员办理完A122-1、A122-3号地块土地抵押事宜。2021年2月23日，驻场人员与项目公司相关人员进行了A122-1号地块的不动产权证原件的交接工作，实现了对项目公司已取得的A122-1号地块不动产权证的共管，共管交接表见附件四。</w:t>
      </w:r>
    </w:p>
    <w:p>
      <w:pPr>
        <w:spacing w:before="300" w:after="300" w:line="360" w:lineRule="exact"/>
        <w:jc w:val="left"/>
        <w:outlineLvl w:val="0"/>
        <w:rPr>
          <w:rStyle w:val="24"/>
          <w:rFonts w:asciiTheme="majorEastAsia" w:hAnsiTheme="majorEastAsia" w:eastAsiaTheme="majorEastAsia" w:cstheme="majorEastAsia"/>
          <w:sz w:val="24"/>
          <w:szCs w:val="22"/>
        </w:rPr>
      </w:pPr>
      <w:bookmarkStart w:id="8" w:name="_Toc16122"/>
      <w:r>
        <w:rPr>
          <w:rStyle w:val="24"/>
          <w:rFonts w:ascii="Arial" w:hAnsi="Arial" w:cs="Arial" w:eastAsiaTheme="majorEastAsia"/>
          <w:sz w:val="24"/>
          <w:szCs w:val="22"/>
        </w:rPr>
        <w:t>3</w:t>
      </w:r>
      <w:r>
        <w:rPr>
          <w:rStyle w:val="24"/>
          <w:rFonts w:hint="eastAsia" w:ascii="Arial" w:hAnsi="Arial" w:cs="Arial" w:eastAsiaTheme="majorEastAsia"/>
          <w:sz w:val="24"/>
          <w:szCs w:val="22"/>
        </w:rPr>
        <w:t>、</w:t>
      </w:r>
      <w:r>
        <w:rPr>
          <w:rStyle w:val="24"/>
          <w:rFonts w:hint="eastAsia" w:asciiTheme="majorEastAsia" w:hAnsiTheme="majorEastAsia" w:eastAsiaTheme="majorEastAsia" w:cstheme="majorEastAsia"/>
          <w:sz w:val="24"/>
          <w:szCs w:val="22"/>
        </w:rPr>
        <w:t>项目五证办理及施工进度情况</w:t>
      </w:r>
      <w:bookmarkEnd w:id="7"/>
      <w:bookmarkEnd w:id="8"/>
    </w:p>
    <w:p>
      <w:pPr>
        <w:pStyle w:val="3"/>
        <w:rPr>
          <w:rFonts w:asciiTheme="majorEastAsia" w:hAnsiTheme="majorEastAsia" w:eastAsiaTheme="majorEastAsia" w:cstheme="majorEastAsia"/>
          <w:sz w:val="24"/>
          <w:szCs w:val="24"/>
        </w:rPr>
      </w:pPr>
      <w:bookmarkStart w:id="9" w:name="_Toc535580023"/>
      <w:bookmarkStart w:id="10" w:name="_Toc30300"/>
      <w:bookmarkStart w:id="11" w:name="_Toc37668493"/>
      <w:bookmarkStart w:id="12" w:name="_Toc535580091"/>
      <w:bookmarkStart w:id="13" w:name="_Toc535570750"/>
      <w:bookmarkStart w:id="14" w:name="_Toc535508636"/>
      <w:bookmarkStart w:id="15" w:name="_Toc532281657"/>
      <w:bookmarkStart w:id="16" w:name="_Toc22128"/>
      <w:r>
        <w:rPr>
          <w:rFonts w:cs="Arial" w:eastAsiaTheme="majorEastAsia"/>
          <w:sz w:val="24"/>
          <w:szCs w:val="24"/>
        </w:rPr>
        <w:t>3.1</w:t>
      </w:r>
      <w:r>
        <w:rPr>
          <w:rFonts w:hint="eastAsia" w:cs="Arial" w:eastAsiaTheme="majorEastAsia"/>
          <w:sz w:val="24"/>
          <w:szCs w:val="24"/>
        </w:rPr>
        <w:t>、</w:t>
      </w:r>
      <w:r>
        <w:rPr>
          <w:rFonts w:hint="eastAsia" w:asciiTheme="majorEastAsia" w:hAnsiTheme="majorEastAsia" w:eastAsiaTheme="majorEastAsia" w:cstheme="majorEastAsia"/>
          <w:sz w:val="24"/>
          <w:szCs w:val="24"/>
        </w:rPr>
        <w:t>项目五证办理情况</w:t>
      </w:r>
      <w:bookmarkEnd w:id="9"/>
      <w:bookmarkEnd w:id="10"/>
      <w:bookmarkEnd w:id="11"/>
      <w:bookmarkEnd w:id="12"/>
      <w:bookmarkEnd w:id="13"/>
      <w:bookmarkEnd w:id="14"/>
      <w:bookmarkEnd w:id="15"/>
      <w:bookmarkEnd w:id="16"/>
    </w:p>
    <w:p>
      <w:pPr>
        <w:spacing w:line="480" w:lineRule="auto"/>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标的项目为3个地块（A122-1地块、A122-2地块、A122-3地块），A122-2号地块和A122-3号地块不动产权证书于2021年1月20日取得，A122-1号地块不动产权证于2021年2月19日取得。截至2021年2月28日，项目公司A122-1、A122-2、A122-3号地块不动产权证均已实现共管。</w:t>
      </w:r>
    </w:p>
    <w:p>
      <w:pPr>
        <w:spacing w:line="480" w:lineRule="auto"/>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因项目公司在办理建设土地规划许可证时，应政府要求，需要平衡A122-1、A122-2、A122-3号地块指标，故建设用地规划证取得节点延期至2021年2月28日，预计项目公司将于2021年3月2日实际取得建设用地规划证，后期驻场人员会继续跟进证件办理进度，尽快实现对建设土地规划许可证实现共管。项目公司关于相关地块五证取得时间详见下表：</w:t>
      </w:r>
    </w:p>
    <w:tbl>
      <w:tblPr>
        <w:tblStyle w:val="12"/>
        <w:tblW w:w="9530"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84"/>
        <w:gridCol w:w="1621"/>
        <w:gridCol w:w="1621"/>
        <w:gridCol w:w="1846"/>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vMerge w:val="restart"/>
            <w:shd w:val="clear" w:color="auto" w:fill="auto"/>
            <w:tcMar>
              <w:top w:w="12" w:type="dxa"/>
              <w:left w:w="12" w:type="dxa"/>
              <w:right w:w="12"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五证</w:t>
            </w:r>
          </w:p>
        </w:tc>
        <w:tc>
          <w:tcPr>
            <w:tcW w:w="5088" w:type="dxa"/>
            <w:gridSpan w:val="3"/>
            <w:shd w:val="clear" w:color="auto" w:fill="auto"/>
            <w:noWrap/>
            <w:tcMar>
              <w:top w:w="12" w:type="dxa"/>
              <w:left w:w="12" w:type="dxa"/>
              <w:right w:w="12"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考核取得时间</w:t>
            </w:r>
          </w:p>
        </w:tc>
        <w:tc>
          <w:tcPr>
            <w:tcW w:w="2558" w:type="dxa"/>
            <w:vMerge w:val="restart"/>
            <w:shd w:val="clear" w:color="auto" w:fill="auto"/>
            <w:noWrap/>
            <w:tcMar>
              <w:top w:w="12" w:type="dxa"/>
              <w:left w:w="12" w:type="dxa"/>
              <w:right w:w="12"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实际进度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vMerge w:val="continue"/>
            <w:shd w:val="clear" w:color="auto" w:fill="auto"/>
            <w:tcMar>
              <w:top w:w="12" w:type="dxa"/>
              <w:left w:w="12" w:type="dxa"/>
              <w:right w:w="12" w:type="dxa"/>
            </w:tcMar>
            <w:vAlign w:val="center"/>
          </w:tcPr>
          <w:p>
            <w:pPr>
              <w:jc w:val="center"/>
              <w:rPr>
                <w:rFonts w:ascii="宋体" w:hAnsi="宋体" w:cs="宋体"/>
                <w:b/>
                <w:color w:val="000000"/>
                <w:szCs w:val="21"/>
              </w:rPr>
            </w:pPr>
          </w:p>
        </w:tc>
        <w:tc>
          <w:tcPr>
            <w:tcW w:w="1621" w:type="dxa"/>
            <w:shd w:val="clear" w:color="auto" w:fill="auto"/>
            <w:noWrap/>
            <w:tcMar>
              <w:top w:w="12" w:type="dxa"/>
              <w:left w:w="12" w:type="dxa"/>
              <w:right w:w="12"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A122-1号地块</w:t>
            </w:r>
          </w:p>
        </w:tc>
        <w:tc>
          <w:tcPr>
            <w:tcW w:w="1621" w:type="dxa"/>
            <w:shd w:val="clear" w:color="auto" w:fill="auto"/>
            <w:noWrap/>
            <w:tcMar>
              <w:top w:w="12" w:type="dxa"/>
              <w:left w:w="12" w:type="dxa"/>
              <w:right w:w="12"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A122-2号地块</w:t>
            </w:r>
          </w:p>
        </w:tc>
        <w:tc>
          <w:tcPr>
            <w:tcW w:w="1846" w:type="dxa"/>
            <w:shd w:val="clear" w:color="auto" w:fill="auto"/>
            <w:noWrap/>
            <w:tcMar>
              <w:top w:w="12" w:type="dxa"/>
              <w:left w:w="12" w:type="dxa"/>
              <w:right w:w="12"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A122-3号地块</w:t>
            </w:r>
          </w:p>
        </w:tc>
        <w:tc>
          <w:tcPr>
            <w:tcW w:w="2558" w:type="dxa"/>
            <w:vMerge w:val="continue"/>
            <w:shd w:val="clear" w:color="auto" w:fill="auto"/>
            <w:noWrap/>
            <w:tcMar>
              <w:top w:w="12" w:type="dxa"/>
              <w:left w:w="12" w:type="dxa"/>
              <w:right w:w="12" w:type="dxa"/>
            </w:tcMar>
            <w:vAlign w:val="center"/>
          </w:tcPr>
          <w:p>
            <w:pPr>
              <w:jc w:val="center"/>
              <w:rPr>
                <w:rFonts w:ascii="Arial" w:hAnsi="Arial" w:cs="Arial"/>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1884" w:type="dxa"/>
            <w:shd w:val="clear" w:color="auto" w:fill="auto"/>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不动产权证书</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2021年1月30日</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2021年3月30日</w:t>
            </w:r>
          </w:p>
        </w:tc>
        <w:tc>
          <w:tcPr>
            <w:tcW w:w="1846"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2021年6月09日</w:t>
            </w:r>
          </w:p>
        </w:tc>
        <w:tc>
          <w:tcPr>
            <w:tcW w:w="2558" w:type="dxa"/>
            <w:shd w:val="clear" w:color="auto" w:fill="auto"/>
            <w:tcMar>
              <w:top w:w="12" w:type="dxa"/>
              <w:left w:w="12" w:type="dxa"/>
              <w:right w:w="12" w:type="dxa"/>
            </w:tcMar>
            <w:vAlign w:val="center"/>
          </w:tcPr>
          <w:p>
            <w:pPr>
              <w:widowControl/>
              <w:jc w:val="left"/>
              <w:textAlignment w:val="center"/>
              <w:rPr>
                <w:rFonts w:ascii="Arial" w:hAnsi="Arial" w:cs="Arial"/>
                <w:color w:val="000000"/>
                <w:sz w:val="20"/>
                <w:szCs w:val="20"/>
              </w:rPr>
            </w:pPr>
            <w:r>
              <w:rPr>
                <w:rFonts w:ascii="Arial" w:hAnsi="Arial" w:cs="Arial"/>
                <w:bCs/>
                <w:sz w:val="18"/>
                <w:szCs w:val="18"/>
              </w:rPr>
              <w:t>A122-2、A122-3</w:t>
            </w:r>
            <w:r>
              <w:rPr>
                <w:rFonts w:ascii="Arial" w:hAnsi="Arial" w:cs="Arial"/>
                <w:color w:val="000000"/>
                <w:kern w:val="0"/>
                <w:sz w:val="18"/>
                <w:szCs w:val="18"/>
                <w:lang w:bidi="ar"/>
              </w:rPr>
              <w:t>号地块已于2021年1月20日取得</w:t>
            </w:r>
            <w:r>
              <w:rPr>
                <w:rFonts w:hint="eastAsia" w:ascii="Arial" w:hAnsi="Arial" w:cs="Arial"/>
                <w:color w:val="000000"/>
                <w:kern w:val="0"/>
                <w:sz w:val="18"/>
                <w:szCs w:val="18"/>
                <w:lang w:bidi="ar"/>
              </w:rPr>
              <w:t>，A122-1号地块于2021年2月19日取得。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shd w:val="clear" w:color="auto" w:fill="auto"/>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建设用地规划许可证</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w:t>
            </w:r>
            <w:r>
              <w:rPr>
                <w:rFonts w:hint="eastAsia" w:ascii="Arial" w:hAnsi="Arial" w:cs="Arial"/>
                <w:bCs/>
                <w:sz w:val="18"/>
                <w:szCs w:val="18"/>
              </w:rPr>
              <w:t>1</w:t>
            </w:r>
            <w:r>
              <w:rPr>
                <w:rFonts w:ascii="Arial" w:hAnsi="Arial" w:cs="Arial"/>
                <w:bCs/>
                <w:sz w:val="18"/>
                <w:szCs w:val="18"/>
              </w:rPr>
              <w:t>月10日</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w:t>
            </w:r>
          </w:p>
        </w:tc>
        <w:tc>
          <w:tcPr>
            <w:tcW w:w="1846"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w:t>
            </w:r>
          </w:p>
        </w:tc>
        <w:tc>
          <w:tcPr>
            <w:tcW w:w="2558" w:type="dxa"/>
            <w:shd w:val="clear" w:color="auto" w:fill="auto"/>
            <w:noWrap/>
            <w:tcMar>
              <w:top w:w="12" w:type="dxa"/>
              <w:left w:w="12" w:type="dxa"/>
              <w:right w:w="12" w:type="dxa"/>
            </w:tcMar>
            <w:vAlign w:val="center"/>
          </w:tcPr>
          <w:p>
            <w:pPr>
              <w:rPr>
                <w:rFonts w:ascii="Arial" w:hAnsi="Arial" w:cs="Arial"/>
                <w:color w:val="000000"/>
                <w:sz w:val="22"/>
                <w:szCs w:val="22"/>
              </w:rPr>
            </w:pPr>
            <w:r>
              <w:rPr>
                <w:rFonts w:hint="eastAsia" w:ascii="Arial" w:hAnsi="Arial" w:cs="Arial"/>
                <w:bCs/>
                <w:sz w:val="18"/>
                <w:szCs w:val="18"/>
              </w:rPr>
              <w:t>取得节点延期至2021年2月28日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shd w:val="clear" w:color="auto" w:fill="auto"/>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建设工程规划许可证</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2021年2月28日</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2021年4月29日</w:t>
            </w:r>
          </w:p>
        </w:tc>
        <w:tc>
          <w:tcPr>
            <w:tcW w:w="1846"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2021年7月09日</w:t>
            </w:r>
          </w:p>
        </w:tc>
        <w:tc>
          <w:tcPr>
            <w:tcW w:w="2558" w:type="dxa"/>
            <w:shd w:val="clear" w:color="auto" w:fill="auto"/>
            <w:noWrap/>
            <w:tcMar>
              <w:top w:w="12" w:type="dxa"/>
              <w:left w:w="12" w:type="dxa"/>
              <w:right w:w="12" w:type="dxa"/>
            </w:tcMar>
            <w:vAlign w:val="center"/>
          </w:tcPr>
          <w:p>
            <w:pP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shd w:val="clear" w:color="auto" w:fill="auto"/>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建筑工程施工许可证</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2021年3月15日</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2021年5月14日</w:t>
            </w:r>
          </w:p>
        </w:tc>
        <w:tc>
          <w:tcPr>
            <w:tcW w:w="1846"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2021年8月10日</w:t>
            </w:r>
          </w:p>
        </w:tc>
        <w:tc>
          <w:tcPr>
            <w:tcW w:w="2558" w:type="dxa"/>
            <w:shd w:val="clear" w:color="auto" w:fill="auto"/>
            <w:noWrap/>
            <w:tcMar>
              <w:top w:w="12" w:type="dxa"/>
              <w:left w:w="12" w:type="dxa"/>
              <w:right w:w="12" w:type="dxa"/>
            </w:tcMar>
            <w:vAlign w:val="center"/>
          </w:tcPr>
          <w:p>
            <w:pP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shd w:val="clear" w:color="auto" w:fill="auto"/>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预售许可证</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2021年6月14日</w:t>
            </w:r>
          </w:p>
        </w:tc>
        <w:tc>
          <w:tcPr>
            <w:tcW w:w="1621"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2021年9月13日</w:t>
            </w:r>
          </w:p>
        </w:tc>
        <w:tc>
          <w:tcPr>
            <w:tcW w:w="1846" w:type="dxa"/>
            <w:shd w:val="clear" w:color="auto" w:fill="auto"/>
            <w:noWrap/>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2022年1月17日</w:t>
            </w:r>
          </w:p>
        </w:tc>
        <w:tc>
          <w:tcPr>
            <w:tcW w:w="2558" w:type="dxa"/>
            <w:shd w:val="clear" w:color="auto" w:fill="auto"/>
            <w:noWrap/>
            <w:tcMar>
              <w:top w:w="12" w:type="dxa"/>
              <w:left w:w="12" w:type="dxa"/>
              <w:right w:w="12" w:type="dxa"/>
            </w:tcMar>
            <w:vAlign w:val="center"/>
          </w:tcPr>
          <w:p>
            <w:pPr>
              <w:rPr>
                <w:rFonts w:ascii="Arial" w:hAnsi="Arial" w:cs="Arial"/>
                <w:color w:val="000000"/>
                <w:sz w:val="22"/>
                <w:szCs w:val="22"/>
              </w:rPr>
            </w:pPr>
          </w:p>
        </w:tc>
      </w:tr>
    </w:tbl>
    <w:p>
      <w:pPr>
        <w:pStyle w:val="3"/>
        <w:spacing w:before="300" w:after="300" w:line="360" w:lineRule="exact"/>
      </w:pPr>
      <w:bookmarkStart w:id="17" w:name="_Toc27618"/>
      <w:bookmarkStart w:id="18" w:name="_Toc535570751"/>
      <w:bookmarkStart w:id="19" w:name="_Toc532281658"/>
      <w:bookmarkStart w:id="20" w:name="_Toc535580024"/>
      <w:bookmarkStart w:id="21" w:name="_Toc535508637"/>
      <w:bookmarkStart w:id="22" w:name="_Toc535580092"/>
      <w:bookmarkStart w:id="23" w:name="_Toc37668494"/>
      <w:bookmarkStart w:id="24" w:name="_Toc11471"/>
      <w:r>
        <w:rPr>
          <w:rFonts w:cs="Arial" w:eastAsiaTheme="majorEastAsia"/>
          <w:sz w:val="24"/>
          <w:szCs w:val="24"/>
        </w:rPr>
        <w:t>3.2</w:t>
      </w:r>
      <w:bookmarkEnd w:id="17"/>
      <w:bookmarkEnd w:id="18"/>
      <w:bookmarkEnd w:id="19"/>
      <w:bookmarkEnd w:id="20"/>
      <w:bookmarkEnd w:id="21"/>
      <w:bookmarkEnd w:id="22"/>
      <w:bookmarkEnd w:id="23"/>
      <w:r>
        <w:rPr>
          <w:rFonts w:hint="eastAsia" w:cs="Arial" w:eastAsiaTheme="majorEastAsia"/>
          <w:sz w:val="24"/>
          <w:szCs w:val="24"/>
        </w:rPr>
        <w:t>、</w:t>
      </w:r>
      <w:r>
        <w:rPr>
          <w:rFonts w:hint="eastAsia" w:asciiTheme="majorEastAsia" w:hAnsiTheme="majorEastAsia" w:eastAsiaTheme="majorEastAsia" w:cstheme="majorEastAsia"/>
          <w:sz w:val="24"/>
          <w:szCs w:val="24"/>
        </w:rPr>
        <w:t>项目进度情况</w:t>
      </w:r>
      <w:bookmarkEnd w:id="24"/>
    </w:p>
    <w:p>
      <w:pPr>
        <w:spacing w:before="315" w:beforeLines="100"/>
        <w:jc w:val="center"/>
        <w:rPr>
          <w:rFonts w:ascii="宋体" w:hAnsi="宋体" w:cs="宋体"/>
          <w:b/>
          <w:bCs/>
          <w:sz w:val="24"/>
        </w:rPr>
      </w:pPr>
      <w:r>
        <w:rPr>
          <w:rFonts w:hint="eastAsia" w:ascii="宋体" w:hAnsi="宋体" w:cs="宋体"/>
          <w:b/>
          <w:bCs/>
          <w:sz w:val="24"/>
        </w:rPr>
        <w:t>标的项目</w:t>
      </w:r>
      <w:r>
        <w:rPr>
          <w:rFonts w:ascii="Arial" w:hAnsi="Arial" w:cs="Arial"/>
          <w:b/>
          <w:bCs/>
          <w:sz w:val="24"/>
        </w:rPr>
        <w:t>202</w:t>
      </w:r>
      <w:r>
        <w:rPr>
          <w:rFonts w:hint="eastAsia" w:ascii="Arial" w:hAnsi="Arial" w:cs="Arial"/>
          <w:b/>
          <w:bCs/>
          <w:sz w:val="24"/>
        </w:rPr>
        <w:t>1</w:t>
      </w:r>
      <w:r>
        <w:rPr>
          <w:rFonts w:hint="eastAsia" w:ascii="宋体" w:hAnsi="宋体" w:cs="宋体"/>
          <w:b/>
          <w:bCs/>
          <w:sz w:val="24"/>
        </w:rPr>
        <w:t>年</w:t>
      </w:r>
      <w:r>
        <w:rPr>
          <w:rFonts w:ascii="Arial" w:hAnsi="Arial" w:cs="Arial"/>
          <w:b/>
          <w:bCs/>
          <w:sz w:val="24"/>
        </w:rPr>
        <w:t>0</w:t>
      </w:r>
      <w:r>
        <w:rPr>
          <w:rFonts w:hint="eastAsia" w:ascii="Arial" w:hAnsi="Arial" w:cs="Arial"/>
          <w:b/>
          <w:bCs/>
          <w:sz w:val="24"/>
        </w:rPr>
        <w:t>2</w:t>
      </w:r>
      <w:r>
        <w:rPr>
          <w:rFonts w:hint="eastAsia" w:ascii="宋体" w:hAnsi="宋体" w:cs="宋体"/>
          <w:b/>
          <w:bCs/>
          <w:sz w:val="24"/>
        </w:rPr>
        <w:t>月施工进度表</w:t>
      </w:r>
    </w:p>
    <w:tbl>
      <w:tblPr>
        <w:tblStyle w:val="12"/>
        <w:tblW w:w="9530" w:type="dxa"/>
        <w:tblInd w:w="116" w:type="dxa"/>
        <w:tblLayout w:type="fixed"/>
        <w:tblCellMar>
          <w:top w:w="0" w:type="dxa"/>
          <w:left w:w="0" w:type="dxa"/>
          <w:bottom w:w="0" w:type="dxa"/>
          <w:right w:w="0" w:type="dxa"/>
        </w:tblCellMar>
      </w:tblPr>
      <w:tblGrid>
        <w:gridCol w:w="520"/>
        <w:gridCol w:w="3533"/>
        <w:gridCol w:w="1235"/>
        <w:gridCol w:w="1676"/>
        <w:gridCol w:w="2566"/>
      </w:tblGrid>
      <w:tr>
        <w:tblPrEx>
          <w:tblCellMar>
            <w:top w:w="0" w:type="dxa"/>
            <w:left w:w="0" w:type="dxa"/>
            <w:bottom w:w="0" w:type="dxa"/>
            <w:right w:w="0" w:type="dxa"/>
          </w:tblCellMar>
        </w:tblPrEx>
        <w:trPr>
          <w:trHeight w:val="31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序号</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工作事项</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工作目标</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计划完成时间</w:t>
            </w:r>
          </w:p>
        </w:tc>
        <w:tc>
          <w:tcPr>
            <w:tcW w:w="25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完成进度</w:t>
            </w:r>
          </w:p>
        </w:tc>
      </w:tr>
      <w:tr>
        <w:tblPrEx>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1</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营销中心二层抹灰完成</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宋体" w:hAnsi="宋体" w:cs="宋体"/>
                <w:color w:val="000000"/>
                <w:sz w:val="20"/>
                <w:szCs w:val="20"/>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04</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44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营销中心外立面幕墙龙骨施工完成</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宋体" w:hAnsi="宋体" w:cs="宋体"/>
                <w:color w:val="000000"/>
                <w:sz w:val="20"/>
                <w:szCs w:val="20"/>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10</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3</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营销中心内装轻质隔墙施工完成</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宋体" w:hAnsi="宋体" w:cs="宋体"/>
                <w:color w:val="000000"/>
                <w:sz w:val="20"/>
                <w:szCs w:val="20"/>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10</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4</w:t>
            </w:r>
          </w:p>
        </w:tc>
        <w:tc>
          <w:tcPr>
            <w:tcW w:w="3533" w:type="dxa"/>
            <w:tcBorders>
              <w:top w:val="nil"/>
              <w:left w:val="nil"/>
              <w:bottom w:val="nil"/>
              <w:right w:val="nil"/>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营销中心内装吊顶施工完成</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宋体" w:hAnsi="宋体" w:cs="宋体"/>
                <w:color w:val="000000"/>
                <w:sz w:val="20"/>
                <w:szCs w:val="20"/>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28</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5</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样板区地下室顶板完成</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宋体" w:hAnsi="宋体" w:cs="宋体"/>
                <w:color w:val="000000"/>
                <w:sz w:val="20"/>
                <w:szCs w:val="20"/>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08</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一期二组团土方平场完成</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28</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二期一组团边坡围护进场施工</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进场施工</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28</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rPr>
          <w:trHeight w:val="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项目施工围墙搭设完成</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10</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营销中心室内水电管线安装工作</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28</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331"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营销中心泛光照明线路敷设</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28</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11</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营销中心室内智能化明线路敷设</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28</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rPr>
          <w:trHeight w:val="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tcPr>
          <w:p>
            <w:pPr>
              <w:jc w:val="center"/>
              <w:rPr>
                <w:rFonts w:ascii="Arial" w:hAnsi="Arial" w:cs="Arial"/>
                <w:color w:val="000000"/>
                <w:sz w:val="18"/>
                <w:szCs w:val="18"/>
              </w:rPr>
            </w:pPr>
            <w:r>
              <w:rPr>
                <w:rFonts w:hint="eastAsia" w:ascii="Arial" w:hAnsi="Arial" w:cs="Arial"/>
                <w:color w:val="000000"/>
                <w:sz w:val="18"/>
                <w:szCs w:val="18"/>
              </w:rPr>
              <w:t>12</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营销中心室内配合装饰空调管道及末端安装</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28</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r>
        <w:tblPrEx>
          <w:tblCellMar>
            <w:top w:w="0" w:type="dxa"/>
            <w:left w:w="0" w:type="dxa"/>
            <w:bottom w:w="0" w:type="dxa"/>
            <w:right w:w="0" w:type="dxa"/>
          </w:tblCellMar>
        </w:tblPrEx>
        <w:trPr>
          <w:trHeight w:val="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tcPr>
          <w:p>
            <w:pPr>
              <w:jc w:val="center"/>
              <w:rPr>
                <w:rFonts w:ascii="Arial" w:hAnsi="Arial" w:cs="Arial"/>
                <w:color w:val="000000"/>
                <w:sz w:val="18"/>
                <w:szCs w:val="18"/>
              </w:rPr>
            </w:pPr>
            <w:r>
              <w:rPr>
                <w:rFonts w:hint="eastAsia" w:ascii="Arial" w:hAnsi="Arial" w:cs="Arial"/>
                <w:color w:val="000000"/>
                <w:sz w:val="18"/>
                <w:szCs w:val="18"/>
              </w:rPr>
              <w:t>13</w:t>
            </w:r>
          </w:p>
        </w:tc>
        <w:tc>
          <w:tcPr>
            <w:tcW w:w="35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场地内拆迁完成</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2021年</w:t>
            </w:r>
            <w:r>
              <w:rPr>
                <w:rFonts w:hint="eastAsia" w:ascii="Arial" w:hAnsi="Arial" w:cs="Arial"/>
                <w:color w:val="000000"/>
                <w:sz w:val="18"/>
                <w:szCs w:val="18"/>
              </w:rPr>
              <w:t>2</w:t>
            </w:r>
            <w:r>
              <w:rPr>
                <w:rFonts w:ascii="Arial" w:hAnsi="Arial" w:cs="Arial"/>
                <w:color w:val="000000"/>
                <w:sz w:val="18"/>
                <w:szCs w:val="18"/>
              </w:rPr>
              <w:t>月</w:t>
            </w:r>
            <w:r>
              <w:rPr>
                <w:rFonts w:hint="eastAsia" w:ascii="Arial" w:hAnsi="Arial" w:cs="Arial"/>
                <w:color w:val="000000"/>
                <w:sz w:val="18"/>
                <w:szCs w:val="18"/>
              </w:rPr>
              <w:t>20</w:t>
            </w:r>
            <w:r>
              <w:rPr>
                <w:rFonts w:ascii="Arial" w:hAnsi="Arial" w:cs="Arial"/>
                <w:color w:val="000000"/>
                <w:sz w:val="18"/>
                <w:szCs w:val="18"/>
              </w:rPr>
              <w:t>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完成</w:t>
            </w:r>
          </w:p>
        </w:tc>
      </w:tr>
    </w:tbl>
    <w:p>
      <w:pPr>
        <w:pStyle w:val="3"/>
        <w:spacing w:before="300" w:after="300" w:line="360" w:lineRule="exact"/>
        <w:jc w:val="left"/>
        <w:rPr>
          <w:rFonts w:cs="Arial" w:eastAsiaTheme="majorEastAsia"/>
          <w:sz w:val="24"/>
          <w:szCs w:val="24"/>
        </w:rPr>
      </w:pPr>
    </w:p>
    <w:p>
      <w:pPr>
        <w:pStyle w:val="3"/>
        <w:spacing w:before="300" w:after="300" w:line="360" w:lineRule="exact"/>
        <w:jc w:val="left"/>
        <w:rPr>
          <w:rFonts w:cs="Arial" w:eastAsiaTheme="majorEastAsia"/>
          <w:sz w:val="24"/>
          <w:szCs w:val="24"/>
        </w:rPr>
      </w:pPr>
    </w:p>
    <w:p/>
    <w:p>
      <w:pPr>
        <w:pStyle w:val="3"/>
        <w:spacing w:before="300" w:after="300" w:line="360" w:lineRule="exact"/>
        <w:jc w:val="left"/>
      </w:pPr>
      <w:bookmarkStart w:id="25" w:name="_Toc20702"/>
      <w:r>
        <w:rPr>
          <w:rFonts w:cs="Arial" w:eastAsiaTheme="majorEastAsia"/>
          <w:sz w:val="24"/>
          <w:szCs w:val="24"/>
        </w:rPr>
        <w:t>3.3</w:t>
      </w:r>
      <w:r>
        <w:rPr>
          <w:rFonts w:hint="eastAsia" w:cs="Arial" w:eastAsiaTheme="majorEastAsia"/>
          <w:sz w:val="24"/>
          <w:szCs w:val="24"/>
        </w:rPr>
        <w:t>、项目现场施工照片</w:t>
      </w:r>
      <w:bookmarkEnd w:id="25"/>
    </w:p>
    <w:p>
      <w:pPr>
        <w:jc w:val="left"/>
      </w:pPr>
      <w:r>
        <w:rPr>
          <w:rFonts w:hint="eastAsia" w:cs="Arial" w:eastAsiaTheme="majorEastAsia"/>
          <w:sz w:val="24"/>
        </w:rPr>
        <w:drawing>
          <wp:anchor distT="0" distB="0" distL="114300" distR="114300" simplePos="0" relativeHeight="251660288" behindDoc="0" locked="0" layoutInCell="1" allowOverlap="1">
            <wp:simplePos x="0" y="0"/>
            <wp:positionH relativeFrom="column">
              <wp:posOffset>3603625</wp:posOffset>
            </wp:positionH>
            <wp:positionV relativeFrom="paragraph">
              <wp:posOffset>-347980</wp:posOffset>
            </wp:positionV>
            <wp:extent cx="2051685" cy="2879725"/>
            <wp:effectExtent l="0" t="0" r="635" b="5715"/>
            <wp:wrapNone/>
            <wp:docPr id="6" name="图片 6" descr="lADPDeC20U_sEs_ND8DNC9A_3024_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ADPDeC20U_sEs_ND8DNC9A_3024_4032"/>
                    <pic:cNvPicPr>
                      <a:picLocks noChangeAspect="1"/>
                    </pic:cNvPicPr>
                  </pic:nvPicPr>
                  <pic:blipFill>
                    <a:blip r:embed="rId9"/>
                    <a:stretch>
                      <a:fillRect/>
                    </a:stretch>
                  </pic:blipFill>
                  <pic:spPr>
                    <a:xfrm rot="16200000">
                      <a:off x="0" y="0"/>
                      <a:ext cx="2051685" cy="2879725"/>
                    </a:xfrm>
                    <a:prstGeom prst="rect">
                      <a:avLst/>
                    </a:prstGeom>
                  </pic:spPr>
                </pic:pic>
              </a:graphicData>
            </a:graphic>
          </wp:anchor>
        </w:drawing>
      </w:r>
      <w:r>
        <w:rPr>
          <w:rFonts w:hint="eastAsia"/>
        </w:rPr>
        <w:drawing>
          <wp:inline distT="0" distB="0" distL="114300" distR="114300">
            <wp:extent cx="2051685" cy="2879725"/>
            <wp:effectExtent l="0" t="0" r="635" b="5715"/>
            <wp:docPr id="9" name="图片 9" descr="0771701ec73b4e99b1c009808eb7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771701ec73b4e99b1c009808eb7b92"/>
                    <pic:cNvPicPr>
                      <a:picLocks noChangeAspect="1"/>
                    </pic:cNvPicPr>
                  </pic:nvPicPr>
                  <pic:blipFill>
                    <a:blip r:embed="rId10"/>
                    <a:stretch>
                      <a:fillRect/>
                    </a:stretch>
                  </pic:blipFill>
                  <pic:spPr>
                    <a:xfrm rot="16200000">
                      <a:off x="0" y="0"/>
                      <a:ext cx="2051685" cy="2879725"/>
                    </a:xfrm>
                    <a:prstGeom prst="rect">
                      <a:avLst/>
                    </a:prstGeom>
                  </pic:spPr>
                </pic:pic>
              </a:graphicData>
            </a:graphic>
          </wp:inline>
        </w:drawing>
      </w:r>
      <w:r>
        <w:rPr>
          <w:rFonts w:hint="eastAsia"/>
        </w:rPr>
        <w:t xml:space="preserve">  </w:t>
      </w:r>
    </w:p>
    <w:p>
      <w:pPr>
        <w:ind w:firstLine="1200" w:firstLineChars="500"/>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drawing>
          <wp:anchor distT="0" distB="0" distL="114300" distR="114300" simplePos="0" relativeHeight="251661312" behindDoc="0" locked="0" layoutInCell="1" allowOverlap="1">
            <wp:simplePos x="0" y="0"/>
            <wp:positionH relativeFrom="column">
              <wp:posOffset>3616960</wp:posOffset>
            </wp:positionH>
            <wp:positionV relativeFrom="paragraph">
              <wp:posOffset>-177800</wp:posOffset>
            </wp:positionV>
            <wp:extent cx="2051685" cy="2879725"/>
            <wp:effectExtent l="0" t="0" r="635" b="5715"/>
            <wp:wrapNone/>
            <wp:docPr id="7" name="图片 7" descr="lADPDf0ixnYrFrjND8DNC9A_3024_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ADPDf0ixnYrFrjND8DNC9A_3024_4032"/>
                    <pic:cNvPicPr>
                      <a:picLocks noChangeAspect="1"/>
                    </pic:cNvPicPr>
                  </pic:nvPicPr>
                  <pic:blipFill>
                    <a:blip r:embed="rId11"/>
                    <a:stretch>
                      <a:fillRect/>
                    </a:stretch>
                  </pic:blipFill>
                  <pic:spPr>
                    <a:xfrm rot="16200000">
                      <a:off x="0" y="0"/>
                      <a:ext cx="2051685" cy="2879725"/>
                    </a:xfrm>
                    <a:prstGeom prst="rect">
                      <a:avLst/>
                    </a:prstGeom>
                  </pic:spPr>
                </pic:pic>
              </a:graphicData>
            </a:graphic>
          </wp:anchor>
        </w:drawing>
      </w:r>
      <w:r>
        <w:rPr>
          <w:rFonts w:hint="eastAsia" w:ascii="Arial" w:hAnsi="Arial" w:cs="Arial"/>
          <w:b/>
          <w:bCs/>
          <w:sz w:val="18"/>
          <w:szCs w:val="18"/>
        </w:rPr>
        <w:t>1.营销中心现场施工                                       2.营销中心二楼现场施工</w:t>
      </w:r>
      <w:r>
        <w:rPr>
          <w:rFonts w:hint="eastAsia" w:cs="Arial" w:eastAsiaTheme="majorEastAsia"/>
          <w:sz w:val="24"/>
        </w:rPr>
        <w:t xml:space="preserve"> </w:t>
      </w:r>
      <w:r>
        <w:rPr>
          <w:rFonts w:hint="eastAsia"/>
        </w:rPr>
        <w:drawing>
          <wp:inline distT="0" distB="0" distL="114300" distR="114300">
            <wp:extent cx="2051685" cy="2879725"/>
            <wp:effectExtent l="0" t="0" r="635" b="5715"/>
            <wp:docPr id="14" name="图片 14" descr="9ee56101bdf5b429d1d0bd29eedd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ee56101bdf5b429d1d0bd29eedd4ca"/>
                    <pic:cNvPicPr>
                      <a:picLocks noChangeAspect="1"/>
                    </pic:cNvPicPr>
                  </pic:nvPicPr>
                  <pic:blipFill>
                    <a:blip r:embed="rId12"/>
                    <a:stretch>
                      <a:fillRect/>
                    </a:stretch>
                  </pic:blipFill>
                  <pic:spPr>
                    <a:xfrm rot="16200000">
                      <a:off x="0" y="0"/>
                      <a:ext cx="2051685" cy="2879725"/>
                    </a:xfrm>
                    <a:prstGeom prst="rect">
                      <a:avLst/>
                    </a:prstGeom>
                  </pic:spPr>
                </pic:pic>
              </a:graphicData>
            </a:graphic>
          </wp:inline>
        </w:drawing>
      </w:r>
      <w:r>
        <w:rPr>
          <w:rFonts w:hint="eastAsia"/>
        </w:rPr>
        <w:t xml:space="preserve">     </w:t>
      </w:r>
    </w:p>
    <w:p>
      <w:pPr>
        <w:ind w:firstLine="1446" w:firstLineChars="800"/>
        <w:jc w:val="left"/>
        <w:rPr>
          <w:rFonts w:asciiTheme="majorEastAsia" w:hAnsiTheme="majorEastAsia" w:eastAsiaTheme="majorEastAsia" w:cstheme="majorEastAsia"/>
          <w:sz w:val="24"/>
        </w:rPr>
      </w:pPr>
      <w:r>
        <w:rPr>
          <w:rFonts w:hint="eastAsia" w:ascii="Arial" w:hAnsi="Arial" w:cs="Arial"/>
          <w:b/>
          <w:bCs/>
          <w:sz w:val="18"/>
          <w:szCs w:val="18"/>
        </w:rPr>
        <w:t>3.地下车库施工                                            4、样板房现场施工</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drawing>
          <wp:anchor distT="0" distB="0" distL="114300" distR="114300" simplePos="0" relativeHeight="251662336" behindDoc="0" locked="0" layoutInCell="1" allowOverlap="1">
            <wp:simplePos x="0" y="0"/>
            <wp:positionH relativeFrom="column">
              <wp:posOffset>3616325</wp:posOffset>
            </wp:positionH>
            <wp:positionV relativeFrom="paragraph">
              <wp:posOffset>-368300</wp:posOffset>
            </wp:positionV>
            <wp:extent cx="2051685" cy="2879725"/>
            <wp:effectExtent l="0" t="0" r="635" b="5715"/>
            <wp:wrapNone/>
            <wp:docPr id="16" name="图片 16" descr="773404b4445333a55c67c5fe0b8b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73404b4445333a55c67c5fe0b8b8e7"/>
                    <pic:cNvPicPr>
                      <a:picLocks noChangeAspect="1"/>
                    </pic:cNvPicPr>
                  </pic:nvPicPr>
                  <pic:blipFill>
                    <a:blip r:embed="rId13"/>
                    <a:stretch>
                      <a:fillRect/>
                    </a:stretch>
                  </pic:blipFill>
                  <pic:spPr>
                    <a:xfrm rot="16200000">
                      <a:off x="0" y="0"/>
                      <a:ext cx="2051685" cy="2879725"/>
                    </a:xfrm>
                    <a:prstGeom prst="rect">
                      <a:avLst/>
                    </a:prstGeom>
                  </pic:spPr>
                </pic:pic>
              </a:graphicData>
            </a:graphic>
          </wp:anchor>
        </w:drawing>
      </w:r>
      <w:r>
        <w:rPr>
          <w:rFonts w:hint="eastAsia" w:asciiTheme="majorEastAsia" w:hAnsiTheme="majorEastAsia" w:eastAsiaTheme="majorEastAsia" w:cstheme="majorEastAsia"/>
          <w:sz w:val="24"/>
        </w:rPr>
        <w:drawing>
          <wp:inline distT="0" distB="0" distL="114300" distR="114300">
            <wp:extent cx="2051685" cy="2879725"/>
            <wp:effectExtent l="0" t="0" r="635" b="5715"/>
            <wp:docPr id="3" name="图片 3" descr="lADPDe7sy-MG6ZnND8DNC9A_3024_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DPDe7sy-MG6ZnND8DNC9A_3024_4032"/>
                    <pic:cNvPicPr>
                      <a:picLocks noChangeAspect="1"/>
                    </pic:cNvPicPr>
                  </pic:nvPicPr>
                  <pic:blipFill>
                    <a:blip r:embed="rId14"/>
                    <a:stretch>
                      <a:fillRect/>
                    </a:stretch>
                  </pic:blipFill>
                  <pic:spPr>
                    <a:xfrm rot="16200000">
                      <a:off x="0" y="0"/>
                      <a:ext cx="2051685" cy="2879725"/>
                    </a:xfrm>
                    <a:prstGeom prst="rect">
                      <a:avLst/>
                    </a:prstGeom>
                  </pic:spPr>
                </pic:pic>
              </a:graphicData>
            </a:graphic>
          </wp:inline>
        </w:drawing>
      </w:r>
    </w:p>
    <w:p>
      <w:pPr>
        <w:rPr>
          <w:rFonts w:asciiTheme="majorEastAsia" w:hAnsiTheme="majorEastAsia" w:eastAsiaTheme="majorEastAsia" w:cstheme="majorEastAsia"/>
          <w:sz w:val="24"/>
        </w:rPr>
      </w:pPr>
    </w:p>
    <w:p>
      <w:pPr>
        <w:ind w:left="840" w:firstLine="181" w:firstLineChars="100"/>
        <w:rPr>
          <w:rFonts w:ascii="Arial" w:hAnsi="Arial" w:cs="Arial"/>
          <w:b/>
          <w:bCs/>
          <w:sz w:val="18"/>
          <w:szCs w:val="18"/>
        </w:rPr>
      </w:pPr>
      <w:r>
        <w:rPr>
          <w:rFonts w:hint="eastAsia" w:ascii="Arial" w:hAnsi="Arial" w:cs="Arial"/>
          <w:b/>
          <w:bCs/>
          <w:sz w:val="18"/>
          <w:szCs w:val="18"/>
        </w:rPr>
        <w:t>5.A122-1地块土石方工程施工                               6.A122-1地块土石方工程施工</w:t>
      </w:r>
    </w:p>
    <w:p>
      <w:pPr>
        <w:ind w:left="840"/>
        <w:rPr>
          <w:rFonts w:ascii="Arial" w:hAnsi="Arial" w:cs="Arial"/>
          <w:b/>
          <w:bCs/>
          <w:sz w:val="18"/>
          <w:szCs w:val="18"/>
        </w:rPr>
      </w:pPr>
    </w:p>
    <w:p>
      <w:pPr>
        <w:rPr>
          <w:rFonts w:asciiTheme="majorEastAsia" w:hAnsiTheme="majorEastAsia" w:eastAsiaTheme="majorEastAsia" w:cstheme="majorEastAsia"/>
          <w:sz w:val="24"/>
        </w:rPr>
      </w:pPr>
    </w:p>
    <w:p>
      <w:pPr>
        <w:rPr>
          <w:rFonts w:ascii="Arial" w:hAnsi="Arial" w:cs="Arial"/>
          <w:sz w:val="18"/>
          <w:szCs w:val="18"/>
        </w:rPr>
      </w:pPr>
      <w:r>
        <w:rPr>
          <w:rFonts w:hint="eastAsia" w:ascii="Arial" w:hAnsi="Arial" w:cs="Arial"/>
          <w:b/>
          <w:bCs/>
          <w:sz w:val="18"/>
          <w:szCs w:val="18"/>
        </w:rPr>
        <w:t>注：</w:t>
      </w:r>
      <w:r>
        <w:rPr>
          <w:rFonts w:hint="eastAsia" w:ascii="Arial" w:hAnsi="Arial" w:cs="Arial"/>
          <w:sz w:val="18"/>
          <w:szCs w:val="18"/>
        </w:rPr>
        <w:t>因本月施工主要任务为营销中心建设，A122-2、A122-3号地块本月尚未开工，故没有项目施工照片。</w:t>
      </w:r>
    </w:p>
    <w:p>
      <w:pPr>
        <w:pStyle w:val="3"/>
        <w:rPr>
          <w:rFonts w:asciiTheme="majorEastAsia" w:hAnsiTheme="majorEastAsia" w:eastAsiaTheme="majorEastAsia" w:cstheme="majorEastAsia"/>
          <w:sz w:val="24"/>
          <w:szCs w:val="24"/>
        </w:rPr>
      </w:pPr>
      <w:bookmarkStart w:id="26" w:name="_Toc14039"/>
      <w:r>
        <w:rPr>
          <w:rFonts w:cs="Arial" w:eastAsiaTheme="majorEastAsia"/>
          <w:sz w:val="24"/>
          <w:szCs w:val="24"/>
        </w:rPr>
        <w:t>3.4、</w:t>
      </w:r>
      <w:r>
        <w:rPr>
          <w:rFonts w:hint="eastAsia" w:cs="Arial" w:eastAsiaTheme="majorEastAsia"/>
          <w:sz w:val="24"/>
          <w:szCs w:val="24"/>
        </w:rPr>
        <w:t>2021年3月</w:t>
      </w:r>
      <w:r>
        <w:rPr>
          <w:rFonts w:hint="eastAsia" w:asciiTheme="majorEastAsia" w:hAnsiTheme="majorEastAsia" w:eastAsiaTheme="majorEastAsia" w:cstheme="majorEastAsia"/>
          <w:sz w:val="24"/>
          <w:szCs w:val="24"/>
        </w:rPr>
        <w:t>工程施工进度计划表</w:t>
      </w:r>
      <w:bookmarkEnd w:id="26"/>
    </w:p>
    <w:tbl>
      <w:tblPr>
        <w:tblStyle w:val="12"/>
        <w:tblW w:w="8841" w:type="dxa"/>
        <w:jc w:val="center"/>
        <w:tblLayout w:type="fixed"/>
        <w:tblCellMar>
          <w:top w:w="0" w:type="dxa"/>
          <w:left w:w="0" w:type="dxa"/>
          <w:bottom w:w="0" w:type="dxa"/>
          <w:right w:w="0" w:type="dxa"/>
        </w:tblCellMar>
      </w:tblPr>
      <w:tblGrid>
        <w:gridCol w:w="937"/>
        <w:gridCol w:w="3494"/>
        <w:gridCol w:w="1580"/>
        <w:gridCol w:w="2830"/>
      </w:tblGrid>
      <w:tr>
        <w:tblPrEx>
          <w:tblCellMar>
            <w:top w:w="0" w:type="dxa"/>
            <w:left w:w="0" w:type="dxa"/>
            <w:bottom w:w="0" w:type="dxa"/>
            <w:right w:w="0" w:type="dxa"/>
          </w:tblCellMar>
        </w:tblPrEx>
        <w:trPr>
          <w:trHeight w:val="31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序号</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计划事项</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工作目标</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计划完成时间</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营销中心外立面幕墙施工完成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2021年3月25日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3494"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营销中心室内装修施工完成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2021年3月28日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3494"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营销中心西侧和北侧景观施工完成</w:t>
            </w:r>
          </w:p>
        </w:tc>
        <w:tc>
          <w:tcPr>
            <w:tcW w:w="1580"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2021年3月29日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3494"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营销中心软装施工完成</w:t>
            </w:r>
          </w:p>
        </w:tc>
        <w:tc>
          <w:tcPr>
            <w:tcW w:w="1580"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2021年3月29日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3494"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样板房七层结构完成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2021年3月30日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样板区地下室停车区域地坪施工完成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2021年3月29日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一期一组团基础进场施工</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2021年3月15日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二期一组团边坡围护进场施工</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2021年3月20日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项目施工围墙搭设完成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2021年3月15日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营销中心室内强弱电箱安装完成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2021年3月20日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11</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营销中心泛光设备及灯具安装完成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2021年3月28日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12</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营销中心室内智能化设备及调试完成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2021年3月25日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13</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营销中心室内空调设备及调试完成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2021年3月28日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14</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营销中心西侧北侧管网安装完成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2021年3月18日</w:t>
            </w:r>
          </w:p>
        </w:tc>
      </w:tr>
      <w:tr>
        <w:tblPrEx>
          <w:tblCellMar>
            <w:top w:w="0" w:type="dxa"/>
            <w:left w:w="0" w:type="dxa"/>
            <w:bottom w:w="0" w:type="dxa"/>
            <w:right w:w="0" w:type="dxa"/>
          </w:tblCellMar>
        </w:tblPrEx>
        <w:trPr>
          <w:trHeight w:val="294"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15</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营销中西侧北侧水电安装</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2021年3月28日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16</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营销中心临时生化池安装完成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2021年3月28日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17</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样板房结构预留预埋完成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2021年3月31日</w:t>
            </w:r>
          </w:p>
        </w:tc>
      </w:tr>
      <w:tr>
        <w:tblPrEx>
          <w:tblCellMar>
            <w:top w:w="0" w:type="dxa"/>
            <w:left w:w="0" w:type="dxa"/>
            <w:bottom w:w="0" w:type="dxa"/>
            <w:right w:w="0" w:type="dxa"/>
          </w:tblCellMar>
        </w:tblPrEx>
        <w:trPr>
          <w:trHeight w:val="345" w:hRule="atLeast"/>
          <w:jc w:val="center"/>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18</w:t>
            </w:r>
          </w:p>
        </w:tc>
        <w:tc>
          <w:tcPr>
            <w:tcW w:w="34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精装样板房砌体预留预埋完成</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完成</w:t>
            </w:r>
          </w:p>
        </w:tc>
        <w:tc>
          <w:tcPr>
            <w:tcW w:w="2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2021年3月16日</w:t>
            </w:r>
          </w:p>
        </w:tc>
      </w:tr>
    </w:tbl>
    <w:p>
      <w:pPr>
        <w:pStyle w:val="2"/>
        <w:keepNext w:val="0"/>
        <w:keepLines w:val="0"/>
        <w:spacing w:before="300" w:after="300" w:line="360" w:lineRule="exact"/>
        <w:jc w:val="left"/>
        <w:rPr>
          <w:rFonts w:asciiTheme="majorEastAsia" w:hAnsiTheme="majorEastAsia" w:eastAsiaTheme="majorEastAsia" w:cstheme="majorEastAsia"/>
          <w:color w:val="000000"/>
          <w:sz w:val="24"/>
        </w:rPr>
      </w:pPr>
      <w:bookmarkStart w:id="27" w:name="_Toc3374"/>
      <w:bookmarkStart w:id="28" w:name="_Toc37668496"/>
      <w:bookmarkStart w:id="29" w:name="_Toc30573"/>
      <w:r>
        <w:rPr>
          <w:rFonts w:ascii="Arial" w:hAnsi="Arial" w:cs="Arial" w:eastAsiaTheme="majorEastAsia"/>
          <w:color w:val="000000"/>
          <w:sz w:val="24"/>
        </w:rPr>
        <w:t>4</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印鉴使用情况</w:t>
      </w:r>
      <w:bookmarkEnd w:id="27"/>
      <w:bookmarkEnd w:id="28"/>
      <w:bookmarkEnd w:id="29"/>
    </w:p>
    <w:p>
      <w:pPr>
        <w:spacing w:line="480" w:lineRule="auto"/>
        <w:ind w:firstLine="420" w:firstLineChars="200"/>
        <w:rPr>
          <w:rFonts w:asciiTheme="minorEastAsia" w:hAnsiTheme="minorEastAsia" w:eastAsiaTheme="minorEastAsia" w:cstheme="minorEastAsia"/>
          <w:bCs/>
          <w:kern w:val="44"/>
          <w:szCs w:val="21"/>
        </w:rPr>
      </w:pPr>
      <w:r>
        <w:rPr>
          <w:rFonts w:hint="eastAsia" w:asciiTheme="minorEastAsia" w:hAnsiTheme="minorEastAsia" w:eastAsiaTheme="minorEastAsia" w:cstheme="minorEastAsia"/>
          <w:bCs/>
          <w:kern w:val="44"/>
          <w:szCs w:val="21"/>
        </w:rPr>
        <w:t>对于印章的使用，项目公司人员按照监管协议规定，履行印章使用流程，填写印章使用登记表，驻场人员了解用印事由，重大事项经过康信君安公司审批后按照相应权限审核用印，并同时登记电子版和纸质台账，自</w:t>
      </w:r>
      <w:r>
        <w:rPr>
          <w:rFonts w:ascii="Arial" w:hAnsi="Arial" w:cs="Arial" w:eastAsiaTheme="minorEastAsia"/>
          <w:bCs/>
          <w:kern w:val="44"/>
          <w:szCs w:val="21"/>
        </w:rPr>
        <w:t>202</w:t>
      </w:r>
      <w:r>
        <w:rPr>
          <w:rFonts w:hint="eastAsia" w:ascii="Arial" w:hAnsi="Arial" w:cs="Arial" w:eastAsiaTheme="minorEastAsia"/>
          <w:bCs/>
          <w:kern w:val="44"/>
          <w:szCs w:val="21"/>
        </w:rPr>
        <w:t>1</w:t>
      </w:r>
      <w:r>
        <w:rPr>
          <w:rFonts w:ascii="Arial" w:hAnsi="Arial" w:cs="Arial" w:eastAsiaTheme="minorEastAsia"/>
          <w:bCs/>
          <w:kern w:val="44"/>
          <w:szCs w:val="21"/>
        </w:rPr>
        <w:t>年2月</w:t>
      </w:r>
      <w:r>
        <w:rPr>
          <w:rFonts w:hint="eastAsia" w:ascii="Arial" w:hAnsi="Arial" w:cs="Arial" w:eastAsiaTheme="minorEastAsia"/>
          <w:bCs/>
          <w:kern w:val="44"/>
          <w:szCs w:val="21"/>
        </w:rPr>
        <w:t>01</w:t>
      </w:r>
      <w:r>
        <w:rPr>
          <w:rFonts w:ascii="Arial" w:hAnsi="Arial" w:cs="Arial" w:eastAsiaTheme="minorEastAsia"/>
          <w:bCs/>
          <w:kern w:val="44"/>
          <w:szCs w:val="21"/>
        </w:rPr>
        <w:t>日至2021年</w:t>
      </w:r>
      <w:r>
        <w:rPr>
          <w:rFonts w:hint="eastAsia" w:ascii="Arial" w:hAnsi="Arial" w:cs="Arial" w:eastAsiaTheme="minorEastAsia"/>
          <w:bCs/>
          <w:kern w:val="44"/>
          <w:szCs w:val="21"/>
        </w:rPr>
        <w:t>2</w:t>
      </w:r>
      <w:r>
        <w:rPr>
          <w:rFonts w:ascii="Arial" w:hAnsi="Arial" w:cs="Arial" w:eastAsiaTheme="minorEastAsia"/>
          <w:bCs/>
          <w:kern w:val="44"/>
          <w:szCs w:val="21"/>
        </w:rPr>
        <w:t>月</w:t>
      </w:r>
      <w:r>
        <w:rPr>
          <w:rFonts w:hint="eastAsia" w:ascii="Arial" w:hAnsi="Arial" w:cs="Arial" w:eastAsiaTheme="minorEastAsia"/>
          <w:bCs/>
          <w:kern w:val="44"/>
          <w:szCs w:val="21"/>
        </w:rPr>
        <w:t>28</w:t>
      </w:r>
      <w:r>
        <w:rPr>
          <w:rFonts w:hint="eastAsia" w:asciiTheme="minorEastAsia" w:hAnsiTheme="minorEastAsia" w:eastAsiaTheme="minorEastAsia" w:cstheme="minorEastAsia"/>
          <w:bCs/>
          <w:kern w:val="44"/>
          <w:szCs w:val="21"/>
        </w:rPr>
        <w:t>日项目公司印鉴使用情况详见下表：</w:t>
      </w:r>
    </w:p>
    <w:p>
      <w:pPr>
        <w:spacing w:line="480" w:lineRule="auto"/>
        <w:ind w:firstLine="420" w:firstLineChars="200"/>
        <w:rPr>
          <w:rFonts w:asciiTheme="minorEastAsia" w:hAnsiTheme="minorEastAsia" w:eastAsiaTheme="minorEastAsia" w:cstheme="minorEastAsia"/>
          <w:bCs/>
          <w:kern w:val="44"/>
          <w:szCs w:val="21"/>
        </w:rPr>
      </w:pPr>
    </w:p>
    <w:p>
      <w:pPr>
        <w:spacing w:line="480" w:lineRule="auto"/>
        <w:ind w:firstLine="420" w:firstLineChars="200"/>
        <w:rPr>
          <w:rFonts w:asciiTheme="minorEastAsia" w:hAnsiTheme="minorEastAsia" w:eastAsiaTheme="minorEastAsia" w:cstheme="minorEastAsia"/>
          <w:bCs/>
          <w:kern w:val="44"/>
          <w:szCs w:val="21"/>
        </w:rPr>
      </w:pPr>
    </w:p>
    <w:p>
      <w:pPr>
        <w:spacing w:line="480" w:lineRule="auto"/>
        <w:ind w:firstLine="420" w:firstLineChars="200"/>
        <w:rPr>
          <w:rFonts w:asciiTheme="minorEastAsia" w:hAnsiTheme="minorEastAsia" w:eastAsiaTheme="minorEastAsia" w:cstheme="minorEastAsia"/>
          <w:bCs/>
          <w:kern w:val="44"/>
          <w:szCs w:val="21"/>
        </w:rPr>
      </w:pPr>
    </w:p>
    <w:p>
      <w:pPr>
        <w:spacing w:line="480" w:lineRule="auto"/>
        <w:ind w:firstLine="420" w:firstLineChars="200"/>
        <w:rPr>
          <w:rFonts w:asciiTheme="minorEastAsia" w:hAnsiTheme="minorEastAsia" w:eastAsiaTheme="minorEastAsia" w:cstheme="minorEastAsia"/>
          <w:bCs/>
          <w:kern w:val="44"/>
          <w:szCs w:val="21"/>
        </w:rPr>
      </w:pPr>
    </w:p>
    <w:p>
      <w:pPr>
        <w:spacing w:line="480" w:lineRule="auto"/>
        <w:ind w:firstLine="420" w:firstLineChars="200"/>
        <w:rPr>
          <w:rFonts w:asciiTheme="minorEastAsia" w:hAnsiTheme="minorEastAsia" w:eastAsiaTheme="minorEastAsia" w:cstheme="minorEastAsia"/>
          <w:bCs/>
          <w:kern w:val="44"/>
          <w:szCs w:val="21"/>
        </w:rPr>
      </w:pPr>
    </w:p>
    <w:p>
      <w:pPr>
        <w:spacing w:before="315" w:beforeLines="100"/>
        <w:ind w:firstLine="482" w:firstLineChars="200"/>
        <w:jc w:val="center"/>
        <w:rPr>
          <w:rFonts w:ascii="Arial" w:hAnsi="Arial" w:cs="Arial"/>
          <w:b/>
          <w:bCs/>
          <w:sz w:val="24"/>
          <w:szCs w:val="32"/>
        </w:rPr>
      </w:pPr>
      <w:r>
        <w:rPr>
          <w:rFonts w:hint="eastAsia" w:ascii="Arial" w:hAnsi="Arial" w:cs="Arial"/>
          <w:b/>
          <w:bCs/>
          <w:sz w:val="24"/>
          <w:szCs w:val="32"/>
        </w:rPr>
        <w:t>项目公司</w:t>
      </w:r>
      <w:r>
        <w:rPr>
          <w:rFonts w:ascii="Arial" w:hAnsi="Arial" w:cs="Arial"/>
          <w:b/>
          <w:bCs/>
          <w:sz w:val="24"/>
          <w:szCs w:val="32"/>
        </w:rPr>
        <w:t>202</w:t>
      </w:r>
      <w:r>
        <w:rPr>
          <w:rFonts w:hint="eastAsia" w:ascii="Arial" w:hAnsi="Arial" w:cs="Arial"/>
          <w:b/>
          <w:bCs/>
          <w:sz w:val="24"/>
          <w:szCs w:val="32"/>
        </w:rPr>
        <w:t>1年2月01日-2021年2月28日印章使用情况</w:t>
      </w:r>
    </w:p>
    <w:tbl>
      <w:tblPr>
        <w:tblStyle w:val="12"/>
        <w:tblW w:w="910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6"/>
        <w:gridCol w:w="960"/>
        <w:gridCol w:w="3387"/>
        <w:gridCol w:w="3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b/>
                <w:bCs/>
                <w:kern w:val="0"/>
                <w:sz w:val="18"/>
                <w:szCs w:val="18"/>
                <w:lang w:bidi="ar"/>
              </w:rPr>
            </w:pPr>
            <w:r>
              <w:rPr>
                <w:rFonts w:ascii="Arial" w:hAnsi="Arial" w:cs="Arial"/>
                <w:b/>
                <w:bCs/>
                <w:kern w:val="0"/>
                <w:sz w:val="18"/>
                <w:szCs w:val="18"/>
                <w:lang w:bidi="ar"/>
              </w:rPr>
              <w:t>用印日期</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b/>
                <w:bCs/>
                <w:kern w:val="0"/>
                <w:sz w:val="18"/>
                <w:szCs w:val="18"/>
                <w:lang w:bidi="ar"/>
              </w:rPr>
            </w:pPr>
            <w:r>
              <w:rPr>
                <w:rFonts w:ascii="Arial" w:hAnsi="Arial" w:cs="Arial"/>
                <w:b/>
                <w:bCs/>
                <w:kern w:val="0"/>
                <w:sz w:val="18"/>
                <w:szCs w:val="18"/>
                <w:lang w:bidi="ar"/>
              </w:rPr>
              <w:t>印鉴名称</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b/>
                <w:bCs/>
                <w:kern w:val="0"/>
                <w:sz w:val="18"/>
                <w:szCs w:val="18"/>
                <w:lang w:bidi="ar"/>
              </w:rPr>
            </w:pPr>
            <w:r>
              <w:rPr>
                <w:rFonts w:ascii="Arial" w:hAnsi="Arial" w:cs="Arial"/>
                <w:b/>
                <w:bCs/>
                <w:kern w:val="0"/>
                <w:sz w:val="18"/>
                <w:szCs w:val="18"/>
                <w:lang w:bidi="ar"/>
              </w:rPr>
              <w:t>用印事由</w:t>
            </w:r>
          </w:p>
        </w:tc>
        <w:tc>
          <w:tcPr>
            <w:tcW w:w="3733" w:type="dxa"/>
            <w:shd w:val="clear" w:color="auto" w:fill="auto"/>
            <w:noWrap/>
            <w:tcMar>
              <w:top w:w="12" w:type="dxa"/>
              <w:left w:w="12" w:type="dxa"/>
              <w:right w:w="12" w:type="dxa"/>
            </w:tcMar>
            <w:vAlign w:val="center"/>
          </w:tcPr>
          <w:p>
            <w:pPr>
              <w:widowControl/>
              <w:jc w:val="center"/>
              <w:textAlignment w:val="center"/>
              <w:rPr>
                <w:rFonts w:ascii="Arial" w:hAnsi="Arial" w:cs="Arial"/>
                <w:b/>
                <w:bCs/>
                <w:kern w:val="0"/>
                <w:sz w:val="18"/>
                <w:szCs w:val="18"/>
                <w:lang w:bidi="ar"/>
              </w:rPr>
            </w:pPr>
            <w:r>
              <w:rPr>
                <w:rFonts w:ascii="Arial" w:hAnsi="Arial" w:cs="Arial"/>
                <w:b/>
                <w:bCs/>
                <w:kern w:val="0"/>
                <w:sz w:val="18"/>
                <w:szCs w:val="18"/>
                <w:lang w:bidi="ar"/>
              </w:rPr>
              <w:t>用印材料及份数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2021/02/01</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用于项目阶段性工程造价咨询服务合同签订</w:t>
            </w:r>
          </w:p>
        </w:tc>
        <w:tc>
          <w:tcPr>
            <w:tcW w:w="3733" w:type="dxa"/>
            <w:shd w:val="clear" w:color="auto" w:fill="auto"/>
            <w:noWrap/>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1、重庆航空小镇项目阶段性工程造价咨询服务合同（6份）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2、廉洁合作协议书（6份）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3、商业及技术保密协议（6份）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4、工程结算任务书（6份）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5、咨询费用清单（6份）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4"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用于公司员工劳动合同签订</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1、劳动合同（蔡樟均、金樟海、施智慧、唐秀才、郑家佳、唐薇、张艳、冉华、李浦、韦萍、谢茂、严园园、陈建、朱文浩、牟均泉）（各2份）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2、保密协议（各2份）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用于增购明源账号合同签订</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明源地产用户增购合同（2份）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用于营销中心幕墙、室内精装修合同签订用印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1、重庆航空小镇营销中心幕墙、室内精装修工程施工合同（6份）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 月度联系单校核汇总表（6份）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3、重庆市建筑安装工程造价预算书（6份）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4、航空小镇营销中心幕墙工程清单计价表工程表（6份）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5、航空小镇营销中心幕墙工程量清单与计价表（6份）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用于营销中心固定电话办理资料用印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1、经办人（蔡樟均）身份证复印件（4份）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2、重庆佳源名城房地产开发有限公司营业执照副本复印件（4份）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2"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因方案调整完善撤销撤消2021年1月27日办理“渝北区两路组团A分区A122-1、A122-2、A122-3地块”项目建设工程规划许可证申请的申请文件用印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关于撤消2021年1月27日办理“渝北区两路组团 A分区A122-1、A122-2、A122-3地块”项目建设工程规划许可证申请的申请（3份）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用于施工用水自来水表区域调整说明</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关于佳源名城施工用水说明（2份）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用于民防工程同期开发建设的函件用印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关于“渝北区两路组团 A 分区 A122-1、A122-2、A122-3 地块”项目民防工程同期开发建设的函件（3份）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用于商请规自局就“渝北区两路组团A分区A122-1、A122-2、A122-3地块”项目进行方案沟通研究</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关于商请就“渝北区两路组团 A 分区 A122-1、A122-2、A122-3 地块”项目进行方案沟通研究的函（3份）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关于观湖路新建道路开口及项目形象展示的请示</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关于观湖路新建道路开口及项目形象展示的请示报告（2份）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佳源名城项目2021年广告及网推设计策划委托服务合同签订</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佳源名城项目2021年广告及网推设计策划委托服务合同（6份）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960"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用于打印征信报告申请资料用印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1、法定代表人授权委托书（1份）</w:t>
            </w:r>
          </w:p>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2、经办人（张艳）身份证复印件（1份）</w:t>
            </w:r>
          </w:p>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3、营业执照正本复印件（1份）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2021/02/05</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用于中天建设企业询证函用印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企业询证函（2份）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2021/02/07</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用于佳源名城云上之城项目沙盘模型、户型模型、区位图制作合同签订</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模型设计服务承揽合同书（5份）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用于佳源云上之城项目营销中心软装采购合同签订</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软装采购合同（4份）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出具开票信息给供电局开具发票</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1、公司开票信息（1份）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2、增值税一般纳税人资格登记表（1份）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3、法人（郑求兴）身份证复印件（1份）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4、营业执照副本复印件（1份）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用于设备通电移交记录单用印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设备通电移交记录单（1份）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2021/02/17</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用于办理A122-1号地块土地证申请资料用印</w:t>
            </w:r>
          </w:p>
        </w:tc>
        <w:tc>
          <w:tcPr>
            <w:tcW w:w="3733" w:type="dxa"/>
            <w:shd w:val="clear" w:color="auto" w:fill="auto"/>
            <w:tcMar>
              <w:top w:w="12" w:type="dxa"/>
              <w:left w:w="12" w:type="dxa"/>
              <w:right w:w="12" w:type="dxa"/>
            </w:tcMar>
            <w:vAlign w:val="center"/>
          </w:tcPr>
          <w:p>
            <w:pPr>
              <w:widowControl/>
              <w:numPr>
                <w:ilvl w:val="0"/>
                <w:numId w:val="1"/>
              </w:numPr>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A122-1号地块不动产权籍调查表（1份）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2、不动产登记申请表（1份）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3、国有建设用地使用权成交确认书（1份）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4、重庆市人民政府关于招拍挂出让两路组团A分区A122-1、A122-2、A122-3地块国有建设用地使用权的批复复印件（1份）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5、国有建设用地使用权出让合同（1份）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6、关于渝北区A122-1号宗地申请交地的函</w:t>
            </w:r>
          </w:p>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7、国有建设用地使用权出让合同变更协议</w:t>
            </w:r>
          </w:p>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8、营业执照复印件（1份）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9、重庆市土地房屋权属登记申请表（1份）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10、法定代表人（郑家佳）授权委托书（1份）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11、法人（郑求兴）身份证复印件（1份）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12、法定代表人（郑求兴）证明书（1份）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13、经办人（郑家佳）身份证复印件（1份）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14、指界委托书（1份）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2021/02/18</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用于缴纳土地契税相关资料用印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1、授权委托书（1份）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2、营业执照副本复印件（1份）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3、经办人（严园园）身份证复印件（1份）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4、国有建设用地使用权出让合同（1份）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5、财产和行为纳税申报表（1份）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2021/02/18</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用于办理A122-1号地块交地资料用印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1、国有建设用地交地确认书（1份）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2、国有建设用地交地告知函（1份）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3、交地备忘录（1份）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2021/02/18</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用于分期交地承诺函用印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关于分期交地的承诺函（1份）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2021/02/22</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用于A122-1、A122-3号地块土地抵押登记事项</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1、不动产登记申请表（1份）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2、A122-1号地块土地证复印件（1份）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3、A122-3号地块土地证复印件（1份）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4、营业执照复印件（1份）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5、经办人（严园园）身份证复印件（1份）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6、法人（郑求兴）身份证复印件（1份）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7、经办人（张艳）身份证复印件（1份）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8、授权委托书（1份）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2021/02/23</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用于重庆佳源名城航空小镇电费授权委托书用印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授权委托书（2份）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2021/02/24</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用于公司公车提车资料用印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1、委托书（1份）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2、营业执照复印件（1份）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3、提车委托书（1份）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4、新车报价单（1份）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5、新车交车单（1份）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6、重庆华星锦业机动车开票确认单（1份）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7、机动车商业保险/机动车交通事故责任强制保险投保单（1份）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8、车险投保人缴费实名认证客户授权书（1份）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9、中国人民财产保险股份有限公司客户身份基本信息采集单（1份）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960"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用于项目商业定位赢商网合作协议用印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重庆佳源名城航空小镇项目赢商网合作协议</w:t>
            </w:r>
          </w:p>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用于与民生信托办理抵押融资公证资料补充用印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1、A122-1号地块土地证复印件（2份）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2、A122-2号地块土地证复印件（2份）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3、A122-3号地块土地证复印件（2份）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2021/02/26</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用于佳源名城航空小镇项目微信公众号申请认证资料用印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微信认证申请公函（2份）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2021/02/26</w:t>
            </w:r>
          </w:p>
        </w:tc>
        <w:tc>
          <w:tcPr>
            <w:tcW w:w="960"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用于A122-1号地块功能工规证办理资料用印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1、渝北区两路组团A分区A122-1地块施工总承包合同（6份）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2、关于《 渝北区两路组团A分区A122-1地块施工总承包合同》的解除协议（6份）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0"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2021/02/26</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用于航空小镇营销中心空调设备供货及安装合同用印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1、佳源集团空调设备安装合同（4份）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2、廉洁合作协议书（4份）</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3、佳源集团空调设备供货合同（4份）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1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2021/02/26</w:t>
            </w:r>
          </w:p>
        </w:tc>
        <w:tc>
          <w:tcPr>
            <w:tcW w:w="960"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用于签订广告及网推设计设计策划委托服务合同终止协议用印</w:t>
            </w:r>
          </w:p>
        </w:tc>
        <w:tc>
          <w:tcPr>
            <w:tcW w:w="3733" w:type="dxa"/>
            <w:shd w:val="clear" w:color="auto" w:fill="auto"/>
            <w:tcMar>
              <w:top w:w="12" w:type="dxa"/>
              <w:left w:w="12" w:type="dxa"/>
              <w:right w:w="12"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终止协议（2份）</w:t>
            </w:r>
          </w:p>
        </w:tc>
      </w:tr>
    </w:tbl>
    <w:p>
      <w:pPr>
        <w:spacing w:before="315" w:beforeLines="100"/>
        <w:rPr>
          <w:rFonts w:ascii="Arial" w:hAnsi="Arial" w:cs="Arial"/>
          <w:b/>
          <w:bCs/>
          <w:sz w:val="24"/>
          <w:szCs w:val="32"/>
        </w:rPr>
      </w:pPr>
    </w:p>
    <w:p>
      <w:pPr>
        <w:spacing w:before="315" w:beforeLines="100"/>
        <w:rPr>
          <w:rFonts w:ascii="Arial" w:hAnsi="Arial" w:cs="Arial"/>
          <w:b/>
          <w:bCs/>
          <w:sz w:val="24"/>
          <w:szCs w:val="32"/>
        </w:rPr>
      </w:pPr>
    </w:p>
    <w:p>
      <w:pPr>
        <w:spacing w:before="315" w:beforeLines="100"/>
        <w:ind w:firstLine="482" w:firstLineChars="200"/>
        <w:jc w:val="center"/>
        <w:rPr>
          <w:rFonts w:ascii="Arial" w:hAnsi="Arial" w:cs="Arial"/>
          <w:b/>
          <w:bCs/>
          <w:sz w:val="24"/>
          <w:szCs w:val="32"/>
        </w:rPr>
      </w:pPr>
      <w:r>
        <w:rPr>
          <w:rFonts w:ascii="Arial" w:hAnsi="Arial" w:cs="Arial"/>
          <w:b/>
          <w:bCs/>
          <w:sz w:val="24"/>
          <w:szCs w:val="32"/>
        </w:rPr>
        <w:t>202</w:t>
      </w:r>
      <w:r>
        <w:rPr>
          <w:rFonts w:hint="eastAsia" w:ascii="Arial" w:hAnsi="Arial" w:cs="Arial"/>
          <w:b/>
          <w:bCs/>
          <w:sz w:val="24"/>
          <w:szCs w:val="32"/>
        </w:rPr>
        <w:t>1年2月01日-2021年2月28日印章/证照外出使用情况</w:t>
      </w:r>
    </w:p>
    <w:tbl>
      <w:tblPr>
        <w:tblStyle w:val="12"/>
        <w:tblW w:w="9119"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4"/>
        <w:gridCol w:w="2026"/>
        <w:gridCol w:w="2507"/>
        <w:gridCol w:w="1947"/>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54" w:type="dxa"/>
            <w:shd w:val="clear" w:color="auto" w:fill="FFFFFF" w:themeFill="background1"/>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外出日期</w:t>
            </w:r>
          </w:p>
        </w:tc>
        <w:tc>
          <w:tcPr>
            <w:tcW w:w="2026" w:type="dxa"/>
            <w:shd w:val="clear" w:color="auto" w:fill="FFFFFF" w:themeFill="background1"/>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印鉴/证照名称</w:t>
            </w:r>
          </w:p>
        </w:tc>
        <w:tc>
          <w:tcPr>
            <w:tcW w:w="2507" w:type="dxa"/>
            <w:shd w:val="clear" w:color="auto" w:fill="FFFFFF" w:themeFill="background1"/>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事由</w:t>
            </w:r>
          </w:p>
        </w:tc>
        <w:tc>
          <w:tcPr>
            <w:tcW w:w="1947" w:type="dxa"/>
            <w:shd w:val="clear" w:color="auto" w:fill="FFFFFF" w:themeFill="background1"/>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外出机构</w:t>
            </w:r>
          </w:p>
        </w:tc>
        <w:tc>
          <w:tcPr>
            <w:tcW w:w="1585" w:type="dxa"/>
            <w:shd w:val="clear" w:color="auto" w:fill="FFFFFF" w:themeFill="background1"/>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54"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2021/02/03</w:t>
            </w:r>
          </w:p>
        </w:tc>
        <w:tc>
          <w:tcPr>
            <w:tcW w:w="2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营业执照（正副本）</w:t>
            </w:r>
          </w:p>
        </w:tc>
        <w:tc>
          <w:tcPr>
            <w:tcW w:w="250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平安银行开户（未办完事项）</w:t>
            </w:r>
          </w:p>
        </w:tc>
        <w:tc>
          <w:tcPr>
            <w:tcW w:w="194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平安银行重庆分行</w:t>
            </w:r>
            <w:r>
              <w:rPr>
                <w:rFonts w:hint="eastAsia" w:ascii="Arial" w:hAnsi="Arial" w:cs="Arial"/>
                <w:color w:val="000000"/>
                <w:kern w:val="0"/>
                <w:sz w:val="18"/>
                <w:szCs w:val="18"/>
                <w:lang w:bidi="ar"/>
              </w:rPr>
              <w:br w:type="textWrapping"/>
            </w:r>
          </w:p>
        </w:tc>
        <w:tc>
          <w:tcPr>
            <w:tcW w:w="1585"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张艳</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54"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2021/02/03</w:t>
            </w:r>
          </w:p>
        </w:tc>
        <w:tc>
          <w:tcPr>
            <w:tcW w:w="2026"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营业执照（正副本）</w:t>
            </w:r>
          </w:p>
        </w:tc>
        <w:tc>
          <w:tcPr>
            <w:tcW w:w="250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三峡银行开户（未办完事项）</w:t>
            </w:r>
          </w:p>
        </w:tc>
        <w:tc>
          <w:tcPr>
            <w:tcW w:w="194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重庆三峡银行鸳鸯支行</w:t>
            </w:r>
          </w:p>
        </w:tc>
        <w:tc>
          <w:tcPr>
            <w:tcW w:w="1585"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张艳</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54"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026"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营业执照（正副本）</w:t>
            </w:r>
          </w:p>
        </w:tc>
        <w:tc>
          <w:tcPr>
            <w:tcW w:w="250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为后期审计打印项目公司征信报告</w:t>
            </w:r>
          </w:p>
        </w:tc>
        <w:tc>
          <w:tcPr>
            <w:tcW w:w="194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中国人民银行重庆营业管理部</w:t>
            </w:r>
          </w:p>
        </w:tc>
        <w:tc>
          <w:tcPr>
            <w:tcW w:w="1585"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张艳</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trPr>
        <w:tc>
          <w:tcPr>
            <w:tcW w:w="1054"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2021/02/18</w:t>
            </w:r>
          </w:p>
        </w:tc>
        <w:tc>
          <w:tcPr>
            <w:tcW w:w="2026"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250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缴纳土地契税</w:t>
            </w:r>
          </w:p>
        </w:tc>
        <w:tc>
          <w:tcPr>
            <w:tcW w:w="1947"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重庆市渝北区不动产登记中心</w:t>
            </w:r>
          </w:p>
        </w:tc>
        <w:tc>
          <w:tcPr>
            <w:tcW w:w="1585"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严园园</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atLeast"/>
        </w:trPr>
        <w:tc>
          <w:tcPr>
            <w:tcW w:w="1054"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2021/02/22</w:t>
            </w:r>
          </w:p>
        </w:tc>
        <w:tc>
          <w:tcPr>
            <w:tcW w:w="2026"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法人章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财务章</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营业执照（正副本）</w:t>
            </w:r>
          </w:p>
        </w:tc>
        <w:tc>
          <w:tcPr>
            <w:tcW w:w="250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办理A122-1、A122-3号地块土地抵押事项</w:t>
            </w:r>
          </w:p>
        </w:tc>
        <w:tc>
          <w:tcPr>
            <w:tcW w:w="194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重庆市渝北区不动产登记中心</w:t>
            </w:r>
          </w:p>
        </w:tc>
        <w:tc>
          <w:tcPr>
            <w:tcW w:w="1585"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张艳</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054"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2021/02/24</w:t>
            </w:r>
          </w:p>
        </w:tc>
        <w:tc>
          <w:tcPr>
            <w:tcW w:w="2026"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w:t>
            </w:r>
          </w:p>
        </w:tc>
        <w:tc>
          <w:tcPr>
            <w:tcW w:w="250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用于公司公车提取</w:t>
            </w:r>
          </w:p>
        </w:tc>
        <w:tc>
          <w:tcPr>
            <w:tcW w:w="1947" w:type="dxa"/>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重庆华星锦业4S店</w:t>
            </w:r>
          </w:p>
        </w:tc>
        <w:tc>
          <w:tcPr>
            <w:tcW w:w="1585" w:type="dxa"/>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王林</w:t>
            </w:r>
          </w:p>
        </w:tc>
      </w:tr>
    </w:tbl>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30" w:name="_Toc22811"/>
      <w:bookmarkStart w:id="31" w:name="_Toc535508640"/>
      <w:bookmarkStart w:id="32" w:name="_Toc535580027"/>
      <w:bookmarkStart w:id="33" w:name="_Toc532281661"/>
      <w:bookmarkStart w:id="34" w:name="_Toc535580095"/>
      <w:bookmarkStart w:id="35" w:name="_Toc535570754"/>
      <w:bookmarkStart w:id="36" w:name="_Toc37668497"/>
      <w:bookmarkStart w:id="37" w:name="_Toc25437"/>
      <w:r>
        <w:rPr>
          <w:rFonts w:ascii="Arial" w:hAnsi="Arial" w:cs="Arial" w:eastAsiaTheme="majorEastAsia"/>
          <w:color w:val="000000"/>
          <w:sz w:val="24"/>
        </w:rPr>
        <w:t>5</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合同签订情况</w:t>
      </w:r>
      <w:bookmarkEnd w:id="30"/>
      <w:bookmarkEnd w:id="31"/>
      <w:bookmarkEnd w:id="32"/>
      <w:bookmarkEnd w:id="33"/>
      <w:bookmarkEnd w:id="34"/>
      <w:bookmarkEnd w:id="35"/>
      <w:bookmarkEnd w:id="36"/>
      <w:bookmarkEnd w:id="37"/>
    </w:p>
    <w:p>
      <w:pPr>
        <w:spacing w:line="480" w:lineRule="auto"/>
        <w:ind w:firstLine="420" w:firstLineChars="200"/>
        <w:rPr>
          <w:rFonts w:asciiTheme="minorEastAsia" w:hAnsiTheme="minorEastAsia" w:eastAsiaTheme="minorEastAsia" w:cstheme="minorEastAsia"/>
          <w:bCs/>
          <w:kern w:val="44"/>
          <w:szCs w:val="21"/>
        </w:rPr>
      </w:pPr>
      <w:r>
        <w:rPr>
          <w:rFonts w:hint="eastAsia" w:ascii="Arial" w:hAnsi="Arial" w:cs="Arial" w:eastAsiaTheme="minorEastAsia"/>
          <w:bCs/>
          <w:kern w:val="44"/>
          <w:szCs w:val="21"/>
        </w:rPr>
        <w:t>2021年2月01日至2021年2月28日，项目公司共签订合同24份，详见合同</w:t>
      </w:r>
      <w:bookmarkStart w:id="38" w:name="_Hlk40046665"/>
      <w:r>
        <w:rPr>
          <w:rFonts w:hint="eastAsia" w:ascii="Arial" w:hAnsi="Arial" w:cs="Arial" w:eastAsiaTheme="minorEastAsia"/>
          <w:bCs/>
          <w:kern w:val="44"/>
          <w:szCs w:val="21"/>
        </w:rPr>
        <w:t>签订情况</w:t>
      </w:r>
      <w:bookmarkEnd w:id="38"/>
      <w:r>
        <w:rPr>
          <w:rFonts w:hint="eastAsia" w:ascii="Arial" w:hAnsi="Arial" w:cs="Arial" w:eastAsiaTheme="minorEastAsia"/>
          <w:bCs/>
          <w:kern w:val="44"/>
          <w:szCs w:val="21"/>
        </w:rPr>
        <w:t>表</w:t>
      </w:r>
      <w:r>
        <w:rPr>
          <w:rFonts w:hint="eastAsia" w:asciiTheme="minorEastAsia" w:hAnsiTheme="minorEastAsia" w:eastAsiaTheme="minorEastAsia" w:cstheme="minorEastAsia"/>
          <w:bCs/>
          <w:kern w:val="44"/>
          <w:szCs w:val="21"/>
        </w:rPr>
        <w:t>：</w:t>
      </w:r>
    </w:p>
    <w:p>
      <w:pPr>
        <w:spacing w:line="480" w:lineRule="auto"/>
        <w:ind w:firstLine="482" w:firstLineChars="200"/>
        <w:jc w:val="center"/>
      </w:pPr>
      <w:r>
        <w:rPr>
          <w:rFonts w:ascii="Arial" w:hAnsi="Arial" w:cs="Arial"/>
          <w:b/>
          <w:bCs/>
          <w:sz w:val="24"/>
          <w:szCs w:val="32"/>
        </w:rPr>
        <w:t>202</w:t>
      </w:r>
      <w:r>
        <w:rPr>
          <w:rFonts w:hint="eastAsia" w:ascii="Arial" w:hAnsi="Arial" w:cs="Arial"/>
          <w:b/>
          <w:bCs/>
          <w:sz w:val="24"/>
          <w:szCs w:val="32"/>
        </w:rPr>
        <w:t>1</w:t>
      </w:r>
      <w:r>
        <w:rPr>
          <w:rFonts w:hint="eastAsia"/>
          <w:b/>
          <w:bCs/>
          <w:sz w:val="24"/>
          <w:szCs w:val="32"/>
        </w:rPr>
        <w:t>年</w:t>
      </w:r>
      <w:r>
        <w:rPr>
          <w:rFonts w:hint="eastAsia" w:ascii="Arial" w:hAnsi="Arial" w:cs="Arial"/>
          <w:b/>
          <w:bCs/>
          <w:sz w:val="24"/>
          <w:szCs w:val="32"/>
        </w:rPr>
        <w:t>2</w:t>
      </w:r>
      <w:r>
        <w:rPr>
          <w:rFonts w:hint="eastAsia"/>
          <w:b/>
          <w:bCs/>
          <w:sz w:val="24"/>
          <w:szCs w:val="32"/>
        </w:rPr>
        <w:t>月</w:t>
      </w:r>
      <w:r>
        <w:rPr>
          <w:rFonts w:hint="eastAsia" w:ascii="Arial" w:hAnsi="Arial" w:cs="Arial"/>
          <w:b/>
          <w:bCs/>
          <w:sz w:val="24"/>
          <w:szCs w:val="32"/>
        </w:rPr>
        <w:t>01日-2021年2月28日合同签订情</w:t>
      </w:r>
      <w:r>
        <w:rPr>
          <w:rFonts w:hint="eastAsia"/>
          <w:b/>
          <w:bCs/>
          <w:sz w:val="24"/>
          <w:szCs w:val="32"/>
        </w:rPr>
        <w:t>况</w:t>
      </w:r>
    </w:p>
    <w:tbl>
      <w:tblPr>
        <w:tblStyle w:val="12"/>
        <w:tblW w:w="487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1"/>
        <w:gridCol w:w="1013"/>
        <w:gridCol w:w="1263"/>
        <w:gridCol w:w="1657"/>
        <w:gridCol w:w="3610"/>
        <w:gridCol w:w="1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176"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ascii="Arial" w:hAnsi="Arial" w:cs="Arial"/>
                <w:b/>
                <w:bCs/>
                <w:color w:val="000000"/>
                <w:kern w:val="0"/>
                <w:sz w:val="18"/>
                <w:szCs w:val="18"/>
              </w:rPr>
            </w:pPr>
            <w:bookmarkStart w:id="39" w:name="_Toc31845"/>
            <w:r>
              <w:rPr>
                <w:rFonts w:ascii="Arial" w:hAnsi="Arial" w:cs="Arial"/>
                <w:b/>
                <w:bCs/>
                <w:color w:val="000000"/>
                <w:kern w:val="0"/>
                <w:sz w:val="18"/>
                <w:szCs w:val="18"/>
              </w:rPr>
              <w:t>序号</w:t>
            </w:r>
          </w:p>
        </w:tc>
        <w:tc>
          <w:tcPr>
            <w:tcW w:w="556"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ascii="Arial" w:hAnsi="Arial" w:cs="Arial"/>
                <w:b/>
                <w:bCs/>
                <w:color w:val="000000"/>
                <w:kern w:val="0"/>
                <w:sz w:val="18"/>
                <w:szCs w:val="18"/>
              </w:rPr>
            </w:pPr>
            <w:r>
              <w:rPr>
                <w:rFonts w:ascii="Arial" w:hAnsi="Arial" w:cs="Arial"/>
                <w:b/>
                <w:bCs/>
                <w:color w:val="000000"/>
                <w:kern w:val="0"/>
                <w:sz w:val="18"/>
                <w:szCs w:val="18"/>
              </w:rPr>
              <w:t>用印日期</w:t>
            </w:r>
          </w:p>
        </w:tc>
        <w:tc>
          <w:tcPr>
            <w:tcW w:w="694"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ascii="Arial" w:hAnsi="Arial" w:cs="Arial"/>
                <w:b/>
                <w:bCs/>
                <w:color w:val="000000"/>
                <w:kern w:val="0"/>
                <w:sz w:val="18"/>
                <w:szCs w:val="18"/>
              </w:rPr>
            </w:pPr>
            <w:r>
              <w:rPr>
                <w:rFonts w:ascii="Arial" w:hAnsi="Arial" w:cs="Arial"/>
                <w:b/>
                <w:bCs/>
                <w:color w:val="000000"/>
                <w:kern w:val="0"/>
                <w:sz w:val="18"/>
                <w:szCs w:val="18"/>
              </w:rPr>
              <w:t xml:space="preserve">  对方单位</w:t>
            </w:r>
          </w:p>
        </w:tc>
        <w:tc>
          <w:tcPr>
            <w:tcW w:w="909"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ascii="Arial" w:hAnsi="Arial" w:cs="Arial"/>
                <w:b/>
                <w:bCs/>
                <w:color w:val="000000"/>
                <w:kern w:val="0"/>
                <w:sz w:val="18"/>
                <w:szCs w:val="18"/>
              </w:rPr>
            </w:pPr>
            <w:r>
              <w:rPr>
                <w:rFonts w:ascii="Arial" w:hAnsi="Arial" w:cs="Arial"/>
                <w:b/>
                <w:bCs/>
                <w:color w:val="000000"/>
                <w:kern w:val="0"/>
                <w:sz w:val="18"/>
                <w:szCs w:val="18"/>
              </w:rPr>
              <w:t xml:space="preserve">  合同名称</w:t>
            </w:r>
          </w:p>
        </w:tc>
        <w:tc>
          <w:tcPr>
            <w:tcW w:w="1982"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ascii="Arial" w:hAnsi="Arial" w:cs="Arial"/>
                <w:b/>
                <w:bCs/>
                <w:color w:val="000000"/>
                <w:kern w:val="0"/>
                <w:sz w:val="18"/>
                <w:szCs w:val="18"/>
              </w:rPr>
            </w:pPr>
            <w:r>
              <w:rPr>
                <w:rFonts w:ascii="Arial" w:hAnsi="Arial" w:cs="Arial"/>
                <w:b/>
                <w:bCs/>
                <w:color w:val="000000"/>
                <w:kern w:val="0"/>
                <w:sz w:val="18"/>
                <w:szCs w:val="18"/>
              </w:rPr>
              <w:t>合同主要内容</w:t>
            </w:r>
          </w:p>
        </w:tc>
        <w:tc>
          <w:tcPr>
            <w:tcW w:w="68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ascii="Arial" w:hAnsi="Arial" w:cs="Arial"/>
                <w:b/>
                <w:bCs/>
                <w:color w:val="000000"/>
                <w:kern w:val="0"/>
                <w:sz w:val="18"/>
                <w:szCs w:val="18"/>
              </w:rPr>
            </w:pPr>
            <w:r>
              <w:rPr>
                <w:rFonts w:hint="eastAsia" w:ascii="Arial" w:hAnsi="Arial" w:cs="Arial"/>
                <w:b/>
                <w:bCs/>
                <w:color w:val="000000"/>
                <w:kern w:val="0"/>
                <w:sz w:val="18"/>
                <w:szCs w:val="18"/>
              </w:rPr>
              <w:t xml:space="preserve"> </w:t>
            </w:r>
            <w:r>
              <w:rPr>
                <w:rFonts w:ascii="Arial" w:hAnsi="Arial" w:cs="Arial"/>
                <w:b/>
                <w:bCs/>
                <w:color w:val="000000"/>
                <w:kern w:val="0"/>
                <w:sz w:val="18"/>
                <w:szCs w:val="18"/>
              </w:rPr>
              <w:t>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5"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2021/02/01</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重庆致通建设工程造价咨询有限公司</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重庆航空小镇项目阶段性工程造价咨询服务合同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1、甲方委托乙方对重庆航空小镇项目工程进行工程造价咨询工作；</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乙方出具有效的书面工程造价咨询报告书、计算稿及对应的电子光盘(工程量计算要求使用广联达，造价套价要求使用广达或其它当地常用的软件，如乙方执意使用其他软件的，则需首先征得甲方同意并提供相应软件给甲方使用，直至甲方完成该工程的全部结算工作后归还乙方)给甲方，作为乙方的工作成果。</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928,587.00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1、劳动合同期限：2020年12月1日至2021年2月25日；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2、工作岗位为驾驶员兼后勤；</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陈建</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1、劳动合同期限：2020年12月1日至2021年12月30日；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2、工作岗位为管理岗；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5"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金樟海</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1、劳动合同期限：2020年12月1日至2024年2月5日；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2、工作岗位为管理岗；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李浦</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1、劳动合同期限：2020年12月21日至2021年12月21日，试用期自用工之日起至2021年2月20日止；</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2、工作岗位为安装工程师岗；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牟均泉</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1、劳动合同期限：2020年12月1日至2023年7月31日；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2、工作岗位为管理岗；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冉华</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1、劳动合同期限：2020年12月21日至2021年12月21日，试用期自用工之日起至2021年2月20日止；</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2、工作岗位为土建工程师岗；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施智慧</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1、劳动合同期限：2020年12月1日至2021年11月5日；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2、工作岗位为经理助理岗；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8"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唐薇</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1、劳动合同期限：2020年12月21日至2021年12月21日，试用期自用工之日起至2021年2月20日止；</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2、工作岗位为工程内勤岗；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唐秀才</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1、劳动合同期限：2020年12月1日至2022年5月13日；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2、工作岗位为管理岗；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谢茂</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1、劳动合同期限：2020年12月11日至2021年12月11日，试用期自用工之日起至2021年2月10日止；</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2、工作岗位为策划专员岗；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严园园</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1、劳动合同期限：2020年12月1日至2022年7月17日；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2、工作岗位为管理岗；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张艳</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1、劳动合同期限：2021年1月4日至2022年1月4日，试用期自用工之日起至2021年3月3日止；</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2、工作岗位为出纳岗；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郑家佳</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1、劳动合同期限：2020年12月1日至2021年7月12日；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2、工作岗位为报建专员兼文员岗；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朱文浩</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1、劳动合同期限：2020年12月1日至2021年6月30日；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2、工作岗位为成本管理岗；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16</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2021/02/02</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韦萍</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劳动合同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1、劳动合同期限：2020年12月14日至2021年12月14日，试用期自用工之日起至2021年2月13日止；</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2、工作岗位为管理岗；</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3、工作地点：项目所在地；</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作时间：每日工作时间不超过8小时，每周工作时间不超过44小时，每周至少休息1天。生产经营需要，经依法协商后可以延长工作时间，一般每日不得超过1小时，特殊原因每日不得超过3小时，每月不得超过36小时。</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基本工资</w:t>
            </w:r>
          </w:p>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17</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重庆策宇建设工程有限公司</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重庆航空小镇营销中心幕墙、室内精装修工程施工合同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1、工程名称：重庆航空小镇营销中心幕墙、室内精装修工程 ；</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2、幕墙工程承包范围：工程石材/玻璃幕墙制作、安装施工；</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3、室内精装修工程承包范围：乙方按甲方提供的范围、装修施工图承包所有的装修工程及水电安装工程内容（含进户门外侧收口打胶），不含家具、饰品、窗帘等软装工程；</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4、工期：自2021年1月25日开工至2021年3月20日竣工。</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3,799,470.00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18</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浙江明源地产管理咨询有限公司</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明源地产用户增购合同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1、费用项目：ERP用户增购，可用于明源所有系统使用；</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2、收费标准：4000元/个，需要增购12个用户。</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31,200.00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19</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重庆正恒文化传播有限公司</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佳源名城项目2021年广告及网推设计策划委托服务合同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1、合作范围：甲方授权乙方为该项目独家整合推广代理的广告及网推公司，乙方为甲方提供项目广告及网推服务，负责该项目的推广策划、宣传推广、创意设计等整合推广事宜；</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2、合作期限：合同有效期为 11个月，自 2021年2月1日起至 2021年12月31日止；</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3、广告服务费6万元/月。</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660,000.00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2021/02/07</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重庆驰宇轩模型有限公司</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模型设计服务承揽合同书</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1、加工承揽项目名称：佳源云上之城；</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2、项目内容：沙盘模型、区位模型、别墅单体模型、平层户型模型；</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3、使用主要材料：ABS聚合胶板、亚克力、LED灯、塑胶漆、UHU胶、地形粉，及生态木工板、木方等模型专用材料；</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4、交货时间：2021年03月10日前；</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5、交货地点：甲方指定地点（主城区内）。</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21</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深圳广田集团股份有限公司</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软装采购合同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1、工程项目： 渝北区两路组团A分区A122-1、A122-2、A122-3地块营销中心软装工程 饰品选材、安装和布置，并对软装效果、尺寸、质量负责；</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2、工程内容：渝北区两路组团A分区A122-1、A122-2、A122-3地块营销中心软装工程的家具、窗帘、摆件花艺、摆件挂画、灯具、抱枕等的选材、安装及布置；</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3、工期：自合同签订之日起至2021年3月27日软装到场，至2021年3月30日软装摆放并调整完成。</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450,000.00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22</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重庆赢石赢商网络科技有限公司</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重庆佳源名城航空小镇项目赢商网合作协议</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1、服务期限：自协议生效之日起,根据项目需要,在15个工作日以内，提交服务报告；</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2、合作内容：根据甲方需求，由乙方大数据团队为甲方 重庆佳源名城航空小镇项目，项目商业定位  提供大数据专项研究服务。</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23</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2021/02/26</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浙江德丰科创集团有限公司</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佳源集团空调设备供货合同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1、工程名称：重庆航空小镇营销中心项目空调供货；</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2、结算方式：本项目采用固定单价法；</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3、工期要求：室内机2021年2月28日前供货完成，室外机2021年3月5日前供货完成。</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156,672.00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17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24</w:t>
            </w:r>
          </w:p>
        </w:tc>
        <w:tc>
          <w:tcPr>
            <w:tcW w:w="55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2021/02/26</w:t>
            </w:r>
          </w:p>
        </w:tc>
        <w:tc>
          <w:tcPr>
            <w:tcW w:w="69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重庆卓尚机电设备有限公司</w:t>
            </w:r>
          </w:p>
        </w:tc>
        <w:tc>
          <w:tcPr>
            <w:tcW w:w="909"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佳源集团空调设备安装合同</w:t>
            </w:r>
          </w:p>
        </w:tc>
        <w:tc>
          <w:tcPr>
            <w:tcW w:w="1982"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1、工程名称：重庆航空小镇营销中心空调设备安装工程</w:t>
            </w:r>
            <w:r>
              <w:rPr>
                <w:rFonts w:hint="eastAsia"/>
              </w:rPr>
              <w:t>；</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2、结算方式：产品清单（安装款、开孔费用、外机加固及移位）、施工图纸作为附件，上述总价为结算封顶价，含产品清单及图纸内所有安装工程，固定单价合同，单价按附件，工程量按实结算，合同总价为结算封顶价。结算价=实际工程量x合同固定单价；</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3、工期要求：安装进场时间为2021年2月28日，室内机安装完成时间为2021年3月5日，全部空调工程调安装试完成时间为2021年3月10日。</w:t>
            </w:r>
          </w:p>
        </w:tc>
        <w:tc>
          <w:tcPr>
            <w:tcW w:w="680"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113,234.00 </w:t>
            </w:r>
          </w:p>
        </w:tc>
      </w:tr>
      <w:bookmarkEnd w:id="39"/>
    </w:tbl>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40" w:name="_Toc37668498"/>
      <w:bookmarkStart w:id="41" w:name="_Toc27316"/>
      <w:bookmarkStart w:id="42" w:name="_Toc18152"/>
      <w:r>
        <w:rPr>
          <w:rFonts w:ascii="Arial" w:hAnsi="Arial" w:cs="Arial" w:eastAsiaTheme="majorEastAsia"/>
          <w:color w:val="000000"/>
          <w:sz w:val="24"/>
        </w:rPr>
        <w:t>6</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项目销售情况</w:t>
      </w:r>
      <w:bookmarkEnd w:id="40"/>
      <w:bookmarkEnd w:id="41"/>
      <w:bookmarkEnd w:id="42"/>
    </w:p>
    <w:p>
      <w:pPr>
        <w:spacing w:line="480" w:lineRule="auto"/>
        <w:ind w:firstLine="420" w:firstLineChars="200"/>
        <w:rPr>
          <w:rFonts w:ascii="Arial" w:hAnsi="Arial"/>
          <w:color w:val="000000"/>
          <w:sz w:val="24"/>
        </w:rPr>
      </w:pPr>
      <w:r>
        <w:rPr>
          <w:rFonts w:hint="eastAsia" w:ascii="Arial" w:hAnsi="Arial" w:cs="Arial"/>
          <w:bCs/>
          <w:kern w:val="44"/>
          <w:szCs w:val="21"/>
        </w:rPr>
        <w:t>标的项目目前处于前期开发阶段，还未开始销售，暂无销售数据。</w:t>
      </w:r>
      <w:bookmarkStart w:id="43" w:name="_Toc532281663"/>
      <w:bookmarkStart w:id="44" w:name="_Toc535508642"/>
      <w:bookmarkStart w:id="45" w:name="_Toc535580097"/>
      <w:bookmarkStart w:id="46" w:name="_Toc535570756"/>
      <w:bookmarkStart w:id="47" w:name="_Toc535580029"/>
      <w:bookmarkStart w:id="48" w:name="_Toc37668499"/>
    </w:p>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49" w:name="_Toc7229"/>
      <w:bookmarkStart w:id="50" w:name="_Toc21732"/>
      <w:r>
        <w:rPr>
          <w:rFonts w:ascii="Arial" w:hAnsi="Arial" w:cs="Arial" w:eastAsiaTheme="majorEastAsia"/>
          <w:color w:val="000000"/>
          <w:sz w:val="24"/>
        </w:rPr>
        <w:t>7</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资金</w:t>
      </w:r>
      <w:bookmarkEnd w:id="43"/>
      <w:r>
        <w:rPr>
          <w:rFonts w:hint="eastAsia" w:asciiTheme="majorEastAsia" w:hAnsiTheme="majorEastAsia" w:eastAsiaTheme="majorEastAsia" w:cstheme="majorEastAsia"/>
          <w:color w:val="000000"/>
          <w:sz w:val="24"/>
        </w:rPr>
        <w:t>情况</w:t>
      </w:r>
      <w:bookmarkEnd w:id="44"/>
      <w:bookmarkEnd w:id="45"/>
      <w:bookmarkEnd w:id="46"/>
      <w:bookmarkEnd w:id="47"/>
      <w:bookmarkEnd w:id="48"/>
      <w:bookmarkEnd w:id="49"/>
      <w:bookmarkEnd w:id="50"/>
    </w:p>
    <w:p>
      <w:pPr>
        <w:pStyle w:val="3"/>
        <w:spacing w:before="300" w:after="300" w:line="360" w:lineRule="exact"/>
        <w:jc w:val="left"/>
        <w:rPr>
          <w:rFonts w:eastAsia="宋体" w:cs="Arial"/>
          <w:sz w:val="24"/>
          <w:szCs w:val="24"/>
        </w:rPr>
      </w:pPr>
      <w:bookmarkStart w:id="51" w:name="_Toc16727"/>
      <w:bookmarkStart w:id="52" w:name="_Toc535508643"/>
      <w:bookmarkStart w:id="53" w:name="_Toc535580098"/>
      <w:bookmarkStart w:id="54" w:name="_Toc535580030"/>
      <w:bookmarkStart w:id="55" w:name="_Toc37668500"/>
      <w:bookmarkStart w:id="56" w:name="_Toc535570757"/>
      <w:bookmarkStart w:id="57" w:name="_Toc13578"/>
      <w:r>
        <w:rPr>
          <w:rFonts w:eastAsia="宋体" w:cs="Arial"/>
          <w:sz w:val="24"/>
          <w:szCs w:val="24"/>
        </w:rPr>
        <w:t>7.1</w:t>
      </w:r>
      <w:r>
        <w:rPr>
          <w:rFonts w:hint="eastAsia" w:eastAsia="宋体" w:cs="Arial"/>
          <w:sz w:val="24"/>
          <w:szCs w:val="24"/>
        </w:rPr>
        <w:t>、资金流出情况</w:t>
      </w:r>
      <w:bookmarkEnd w:id="51"/>
      <w:bookmarkEnd w:id="52"/>
      <w:bookmarkEnd w:id="53"/>
      <w:bookmarkEnd w:id="54"/>
      <w:bookmarkEnd w:id="55"/>
      <w:bookmarkEnd w:id="56"/>
      <w:bookmarkEnd w:id="57"/>
    </w:p>
    <w:p>
      <w:pPr>
        <w:spacing w:line="480" w:lineRule="auto"/>
        <w:ind w:firstLine="420" w:firstLineChars="200"/>
        <w:rPr>
          <w:rFonts w:ascii="Arial" w:hAnsi="Arial" w:cs="Arial"/>
          <w:bCs/>
          <w:kern w:val="44"/>
          <w:szCs w:val="21"/>
        </w:rPr>
      </w:pPr>
      <w:r>
        <w:rPr>
          <w:rFonts w:hint="eastAsia" w:ascii="Arial" w:hAnsi="Arial" w:cs="Arial"/>
          <w:bCs/>
          <w:kern w:val="44"/>
          <w:szCs w:val="21"/>
        </w:rPr>
        <w:t>2021年2月01日至2021年2月28日期间，项目公司银行账户（中国农业银行股份有限公司重庆自由贸易试验区空港支行）资金流出总额共计14,241,734.17元。已开立的其余3个银行一般账户：中国建设银行重庆渝北支行户、重庆三峡银行股份有限公司鸳鸯支行户及平安银行重庆分行营业部户在2021年2月01日至2021年2月28日期间内，均未发生银行资金流出情况。中国农业银行股份有限公司重庆自由贸易试验区空港支行户在2021年2月01日至</w:t>
      </w:r>
      <w:r>
        <w:rPr>
          <w:rFonts w:ascii="Arial" w:hAnsi="Arial" w:cs="Arial"/>
          <w:bCs/>
          <w:kern w:val="44"/>
          <w:szCs w:val="21"/>
        </w:rPr>
        <w:t>202</w:t>
      </w:r>
      <w:r>
        <w:rPr>
          <w:rFonts w:hint="eastAsia" w:ascii="Arial" w:hAnsi="Arial" w:cs="Arial"/>
          <w:bCs/>
          <w:kern w:val="44"/>
          <w:szCs w:val="21"/>
        </w:rPr>
        <w:t>1年2月28日期间资金流出情况详见下表。</w:t>
      </w:r>
    </w:p>
    <w:p>
      <w:pPr>
        <w:spacing w:before="315" w:beforeLines="100"/>
        <w:jc w:val="center"/>
        <w:rPr>
          <w:b/>
          <w:bCs/>
          <w:sz w:val="24"/>
          <w:szCs w:val="32"/>
        </w:rPr>
      </w:pPr>
      <w:bookmarkStart w:id="58" w:name="_Toc27251"/>
      <w:r>
        <w:rPr>
          <w:rFonts w:hint="eastAsia" w:ascii="Arial" w:hAnsi="Arial" w:cs="Arial"/>
          <w:b/>
          <w:bCs/>
          <w:sz w:val="24"/>
          <w:szCs w:val="32"/>
        </w:rPr>
        <w:t>2021年2月01日至</w:t>
      </w:r>
      <w:r>
        <w:rPr>
          <w:rFonts w:ascii="Arial" w:hAnsi="Arial" w:cs="Arial"/>
          <w:b/>
          <w:bCs/>
          <w:sz w:val="24"/>
          <w:szCs w:val="32"/>
        </w:rPr>
        <w:t>202</w:t>
      </w:r>
      <w:r>
        <w:rPr>
          <w:rFonts w:hint="eastAsia" w:ascii="Arial" w:hAnsi="Arial" w:cs="Arial"/>
          <w:b/>
          <w:bCs/>
          <w:sz w:val="24"/>
          <w:szCs w:val="32"/>
        </w:rPr>
        <w:t>1年2月28日资金流出情况表</w:t>
      </w:r>
      <w:bookmarkEnd w:id="58"/>
    </w:p>
    <w:tbl>
      <w:tblPr>
        <w:tblStyle w:val="12"/>
        <w:tblW w:w="908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1091"/>
        <w:gridCol w:w="2552"/>
        <w:gridCol w:w="1200"/>
        <w:gridCol w:w="1226"/>
        <w:gridCol w:w="23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tblHeader/>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b/>
                <w:bCs/>
                <w:color w:val="000000"/>
                <w:kern w:val="0"/>
                <w:sz w:val="18"/>
                <w:szCs w:val="18"/>
              </w:rPr>
              <w:t>序号</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日期</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收款方</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2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付款银行账户名称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重庆洋矩建筑工程有限公司</w:t>
            </w: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200,000.00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15.00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重庆宏都建设工程监理有限公司</w:t>
            </w: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30,000.00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杭州大江建设项目管理有限公司</w:t>
            </w: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30,000.00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重庆烽洲建筑工程有限公司</w:t>
            </w:r>
          </w:p>
        </w:tc>
        <w:tc>
          <w:tcPr>
            <w:tcW w:w="1200"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200,000.00 </w:t>
            </w:r>
          </w:p>
        </w:tc>
        <w:tc>
          <w:tcPr>
            <w:tcW w:w="2386" w:type="dxa"/>
            <w:tcBorders>
              <w:tl2br w:val="nil"/>
              <w:tr2bl w:val="nil"/>
            </w:tcBorders>
            <w:shd w:val="clear" w:color="auto" w:fill="auto"/>
            <w:tcMar>
              <w:top w:w="15" w:type="dxa"/>
              <w:left w:w="15" w:type="dxa"/>
              <w:right w:w="15" w:type="dxa"/>
            </w:tcMar>
            <w:vAlign w:val="bottom"/>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重庆宏德机械化土石方工程</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湖南龙飞电力建设有限公司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重庆本熙建设有限公司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重庆市建园建筑工程有限公司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重庆市宏德机械化土石方工程有限公司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退保证金（退还失败重转）</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2021/02/07</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国家金库重庆市渝北区支库</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实时扣税请求</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6,321.82</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短信费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年终奖</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81,286.00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CellMar>
            <w:top w:w="0" w:type="dxa"/>
            <w:left w:w="0" w:type="dxa"/>
            <w:bottom w:w="0" w:type="dxa"/>
            <w:right w:w="0" w:type="dxa"/>
          </w:tblCellMar>
        </w:tblPrEx>
        <w:trPr>
          <w:trHeight w:val="32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金樟海</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年终奖</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686,600.00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金樟海</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年终奖</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77,250.00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国家金库重庆市渝北区支库</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实时扣税请求</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18,985.00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渝北区双娱电脑经营部</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采购费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10,115.00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租房费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19,990.00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两江新区工腾广告图文制作部</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制作费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1,232.30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重庆中贸联贸易有限公司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采购费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采购费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采购费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1,499.00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快递费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1,538.71</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4,852.00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汽油费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1,573.00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采购费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12,360.00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差旅费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3,178.75</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业务招待费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4,791.80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重庆市住房公积金管理中心</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w:t>
            </w:r>
            <w:r>
              <w:rPr>
                <w:rFonts w:ascii="Arial" w:hAnsi="Arial" w:cs="Arial"/>
                <w:color w:val="000000"/>
                <w:kern w:val="0"/>
                <w:sz w:val="18"/>
                <w:szCs w:val="18"/>
                <w:lang w:bidi="ar"/>
              </w:rPr>
              <w:t>1</w:t>
            </w:r>
            <w:r>
              <w:rPr>
                <w:rFonts w:hint="eastAsia" w:ascii="Arial" w:hAnsi="Arial" w:cs="Arial"/>
                <w:color w:val="000000"/>
                <w:kern w:val="0"/>
                <w:sz w:val="18"/>
                <w:szCs w:val="18"/>
                <w:lang w:bidi="ar"/>
              </w:rPr>
              <w:t>月份住房公积金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8,100.00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重庆中贸联贸易有限公司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采购费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31,800.00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牟均泉</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牟均泉</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牟均泉</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牟均泉</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2,143.48</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冉华</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打车费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325.60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张艳</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打车费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984.81</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1,143.00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1,906.00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778.00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快递费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57.85</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唐秀才</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汽油费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460.00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1,757.00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湖南建工集团有限公司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退保证金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800,000.00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湖南省城乡建设勘测院重庆分院</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工程款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2021/02/16</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2021/02/18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国家金库重庆市渝北区支库</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实时扣税请求（契税）</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10,023,750.00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2021/02/23</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重庆华星锦业汽车销售服务有限公司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购车款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475,198.90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2021/02/23</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中国人民财产保险股份有限公司重庆市分公司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新车保险费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10,265.35</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2021/02/23</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2021/02/23</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2021/02/24</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郑家佳</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业务招待费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9,500.00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郑家佳</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550.00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11,594.00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冉华</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快递费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102.80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冉华</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业务招待费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1,273.00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张艳</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1,702.88</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两江新区工腾广告图文制作部</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打印费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1,232.30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金樟海</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工资</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74,354.50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重庆港森国际大酒店有限公司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团建费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8,369.00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发放</w:t>
            </w:r>
            <w:r>
              <w:rPr>
                <w:rFonts w:ascii="Arial" w:hAnsi="Arial" w:cs="Arial"/>
                <w:color w:val="000000"/>
                <w:kern w:val="0"/>
                <w:sz w:val="18"/>
                <w:szCs w:val="18"/>
                <w:lang w:bidi="ar"/>
              </w:rPr>
              <w:t>1</w:t>
            </w:r>
            <w:r>
              <w:rPr>
                <w:rFonts w:hint="eastAsia" w:ascii="Arial" w:hAnsi="Arial" w:cs="Arial"/>
                <w:color w:val="000000"/>
                <w:kern w:val="0"/>
                <w:sz w:val="18"/>
                <w:szCs w:val="18"/>
                <w:lang w:bidi="ar"/>
              </w:rPr>
              <w:t>月份</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员工工资</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128,055.32</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2021/02/26</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浙江明源地产管理咨询</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明源账号</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购买款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31,200.00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2021/02/26</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农行31112601040004657</w:t>
            </w:r>
          </w:p>
        </w:tc>
      </w:tr>
    </w:tbl>
    <w:p>
      <w:pPr>
        <w:spacing w:line="360" w:lineRule="auto"/>
        <w:rPr>
          <w:rFonts w:ascii="Arial" w:hAnsi="Arial"/>
          <w:color w:val="000000"/>
          <w:szCs w:val="21"/>
        </w:rPr>
      </w:pPr>
      <w:bookmarkStart w:id="59" w:name="_Toc3307"/>
      <w:r>
        <w:rPr>
          <w:rFonts w:hint="eastAsia" w:ascii="Arial" w:hAnsi="Arial"/>
          <w:b/>
          <w:color w:val="000000"/>
          <w:sz w:val="18"/>
          <w:szCs w:val="18"/>
        </w:rPr>
        <w:t>注：</w:t>
      </w:r>
      <w:r>
        <w:rPr>
          <w:rFonts w:hint="eastAsia" w:ascii="Arial" w:hAnsi="Arial"/>
          <w:color w:val="000000"/>
          <w:sz w:val="18"/>
          <w:szCs w:val="18"/>
        </w:rPr>
        <w:t>以上资金流出中银行手续费、工本费、契税为自动扣款</w:t>
      </w:r>
    </w:p>
    <w:bookmarkEnd w:id="59"/>
    <w:p>
      <w:pPr>
        <w:pStyle w:val="3"/>
        <w:spacing w:before="300" w:after="300" w:line="360" w:lineRule="exact"/>
        <w:jc w:val="left"/>
        <w:rPr>
          <w:rFonts w:ascii="宋体" w:hAnsi="宋体" w:eastAsia="宋体" w:cs="宋体"/>
          <w:sz w:val="24"/>
          <w:szCs w:val="24"/>
        </w:rPr>
      </w:pPr>
      <w:bookmarkStart w:id="60" w:name="_Toc535580099"/>
      <w:bookmarkStart w:id="61" w:name="_Toc7895"/>
      <w:bookmarkStart w:id="62" w:name="_Toc37668501"/>
      <w:bookmarkStart w:id="63" w:name="_Toc535580031"/>
      <w:bookmarkStart w:id="64" w:name="_Toc535570758"/>
      <w:bookmarkStart w:id="65" w:name="_Toc535508644"/>
      <w:bookmarkStart w:id="66" w:name="_Toc6774"/>
      <w:r>
        <w:rPr>
          <w:rFonts w:eastAsia="宋体" w:cs="Arial"/>
          <w:sz w:val="24"/>
          <w:szCs w:val="24"/>
        </w:rPr>
        <w:t>7.2</w:t>
      </w:r>
      <w:r>
        <w:rPr>
          <w:rFonts w:hint="eastAsia" w:eastAsia="宋体" w:cs="Arial"/>
          <w:sz w:val="24"/>
          <w:szCs w:val="24"/>
        </w:rPr>
        <w:t>、</w:t>
      </w:r>
      <w:r>
        <w:rPr>
          <w:rFonts w:hint="eastAsia" w:ascii="宋体" w:hAnsi="宋体" w:eastAsia="宋体" w:cs="宋体"/>
          <w:sz w:val="24"/>
          <w:szCs w:val="24"/>
        </w:rPr>
        <w:t>资金流入情况</w:t>
      </w:r>
      <w:bookmarkEnd w:id="60"/>
      <w:bookmarkEnd w:id="61"/>
      <w:bookmarkEnd w:id="62"/>
      <w:bookmarkEnd w:id="63"/>
      <w:bookmarkEnd w:id="64"/>
      <w:bookmarkEnd w:id="65"/>
      <w:bookmarkEnd w:id="66"/>
    </w:p>
    <w:p>
      <w:pPr>
        <w:pStyle w:val="4"/>
        <w:spacing w:before="300" w:after="300" w:line="360" w:lineRule="exact"/>
        <w:jc w:val="left"/>
        <w:rPr>
          <w:rFonts w:ascii="Arial" w:hAnsi="Arial" w:cs="Arial"/>
          <w:bCs/>
          <w:sz w:val="24"/>
        </w:rPr>
      </w:pPr>
      <w:r>
        <w:rPr>
          <w:rFonts w:ascii="Arial" w:hAnsi="Arial" w:cs="Arial"/>
          <w:bCs/>
          <w:sz w:val="24"/>
        </w:rPr>
        <w:t>7.2.1</w:t>
      </w:r>
      <w:r>
        <w:rPr>
          <w:rFonts w:hint="eastAsia" w:ascii="Arial" w:hAnsi="Arial" w:cs="Arial"/>
          <w:bCs/>
          <w:sz w:val="24"/>
        </w:rPr>
        <w:t>、销售回款流入</w:t>
      </w:r>
    </w:p>
    <w:p>
      <w:pPr>
        <w:spacing w:before="300" w:after="300" w:line="48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标的项目处于前期开发阶段，尚未开始销售，暂无销售回款资金流入。</w:t>
      </w:r>
    </w:p>
    <w:p>
      <w:pPr>
        <w:pStyle w:val="4"/>
        <w:spacing w:before="300" w:after="300" w:line="360" w:lineRule="exact"/>
        <w:jc w:val="left"/>
        <w:rPr>
          <w:rFonts w:ascii="Arial" w:hAnsi="Arial" w:cs="Arial"/>
          <w:bCs/>
          <w:sz w:val="24"/>
        </w:rPr>
      </w:pPr>
      <w:r>
        <w:rPr>
          <w:rFonts w:ascii="Arial" w:hAnsi="Arial" w:cs="Arial"/>
          <w:bCs/>
          <w:sz w:val="24"/>
        </w:rPr>
        <w:t>7.2.2</w:t>
      </w:r>
      <w:r>
        <w:rPr>
          <w:rFonts w:hint="eastAsia" w:ascii="Arial" w:hAnsi="Arial" w:cs="Arial"/>
          <w:bCs/>
          <w:sz w:val="24"/>
        </w:rPr>
        <w:t>、其他资金流入</w:t>
      </w:r>
    </w:p>
    <w:p>
      <w:pPr>
        <w:spacing w:line="480" w:lineRule="auto"/>
        <w:ind w:firstLine="420" w:firstLineChars="200"/>
        <w:rPr>
          <w:rFonts w:ascii="Arial" w:hAnsi="Arial" w:cs="Arial"/>
          <w:b/>
          <w:bCs/>
          <w:sz w:val="24"/>
        </w:rPr>
      </w:pPr>
      <w:r>
        <w:rPr>
          <w:rFonts w:hint="eastAsia" w:ascii="Arial" w:hAnsi="Arial" w:cs="Arial" w:eastAsiaTheme="minorEastAsia"/>
          <w:bCs/>
          <w:kern w:val="44"/>
          <w:szCs w:val="21"/>
        </w:rPr>
        <w:t>自2021年2月01日至2021年2月28日期间，项目公司中国农业银行股份有限公司重庆自由贸易试验区空港支行银行账户资金流入总额共计14,401,232.30元。</w:t>
      </w:r>
      <w:r>
        <w:rPr>
          <w:rFonts w:hint="eastAsia" w:ascii="Arial" w:hAnsi="Arial" w:cs="Arial"/>
          <w:bCs/>
          <w:kern w:val="44"/>
          <w:szCs w:val="21"/>
        </w:rPr>
        <w:t>已开立的其余3个银行一般账户：中国建设银行重庆渝北支行户、重庆三峡银行股份有限公司鸳鸯支行户及平安银行重庆分行营业部户在2021年2月01日至2021年2月28日期间内，均未发生银行资金流入情况。中国农业银行股份有限公司重庆自由贸易试验区空港支行户在2021年2月01日至</w:t>
      </w:r>
      <w:r>
        <w:rPr>
          <w:rFonts w:ascii="Arial" w:hAnsi="Arial" w:cs="Arial"/>
          <w:bCs/>
          <w:kern w:val="44"/>
          <w:szCs w:val="21"/>
        </w:rPr>
        <w:t>202</w:t>
      </w:r>
      <w:r>
        <w:rPr>
          <w:rFonts w:hint="eastAsia" w:ascii="Arial" w:hAnsi="Arial" w:cs="Arial"/>
          <w:bCs/>
          <w:kern w:val="44"/>
          <w:szCs w:val="21"/>
        </w:rPr>
        <w:t>1年2月28日期间资金流入情况详见下表。</w:t>
      </w:r>
    </w:p>
    <w:p>
      <w:pPr>
        <w:spacing w:line="480" w:lineRule="auto"/>
        <w:ind w:firstLine="482" w:firstLineChars="200"/>
        <w:jc w:val="center"/>
        <w:rPr>
          <w:rFonts w:ascii="Arial" w:hAnsi="Arial" w:cs="Arial"/>
          <w:b/>
          <w:bCs/>
          <w:sz w:val="24"/>
        </w:rPr>
      </w:pPr>
      <w:r>
        <w:rPr>
          <w:rFonts w:hint="eastAsia" w:ascii="Arial" w:hAnsi="Arial" w:cs="Arial"/>
          <w:b/>
          <w:bCs/>
          <w:sz w:val="24"/>
        </w:rPr>
        <w:t>2021年2月1日至</w:t>
      </w:r>
      <w:r>
        <w:rPr>
          <w:rFonts w:ascii="Arial" w:hAnsi="Arial" w:cs="Arial"/>
          <w:b/>
          <w:bCs/>
          <w:sz w:val="24"/>
        </w:rPr>
        <w:t>202</w:t>
      </w:r>
      <w:r>
        <w:rPr>
          <w:rFonts w:hint="eastAsia" w:ascii="Arial" w:hAnsi="Arial" w:cs="Arial"/>
          <w:b/>
          <w:bCs/>
          <w:sz w:val="24"/>
        </w:rPr>
        <w:t>1年2月28日项目公司资金流入情况表</w:t>
      </w:r>
    </w:p>
    <w:tbl>
      <w:tblPr>
        <w:tblStyle w:val="12"/>
        <w:tblW w:w="90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6"/>
        <w:gridCol w:w="1077"/>
        <w:gridCol w:w="2219"/>
        <w:gridCol w:w="1414"/>
        <w:gridCol w:w="1293"/>
        <w:gridCol w:w="24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tblHeader/>
          <w:jc w:val="center"/>
        </w:trPr>
        <w:tc>
          <w:tcPr>
            <w:tcW w:w="62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rPr>
            </w:pPr>
            <w:r>
              <w:rPr>
                <w:rFonts w:asciiTheme="minorEastAsia" w:hAnsiTheme="minorEastAsia" w:eastAsiaTheme="minorEastAsia" w:cstheme="minorEastAsia"/>
                <w:b/>
                <w:bCs/>
                <w:color w:val="000000"/>
                <w:kern w:val="0"/>
                <w:sz w:val="18"/>
                <w:szCs w:val="18"/>
              </w:rPr>
              <w:t>序号</w:t>
            </w:r>
          </w:p>
        </w:tc>
        <w:tc>
          <w:tcPr>
            <w:tcW w:w="1077"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rPr>
            </w:pPr>
            <w:r>
              <w:rPr>
                <w:rFonts w:asciiTheme="minorEastAsia" w:hAnsiTheme="minorEastAsia" w:eastAsiaTheme="minorEastAsia" w:cstheme="minorEastAsia"/>
                <w:b/>
                <w:bCs/>
                <w:color w:val="000000"/>
                <w:kern w:val="0"/>
                <w:sz w:val="18"/>
                <w:szCs w:val="18"/>
              </w:rPr>
              <w:t>收款时间</w:t>
            </w:r>
          </w:p>
        </w:tc>
        <w:tc>
          <w:tcPr>
            <w:tcW w:w="2219"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rPr>
            </w:pPr>
            <w:r>
              <w:rPr>
                <w:rFonts w:asciiTheme="minorEastAsia" w:hAnsiTheme="minorEastAsia" w:eastAsiaTheme="minorEastAsia" w:cstheme="minorEastAsia"/>
                <w:b/>
                <w:bCs/>
                <w:color w:val="000000"/>
                <w:kern w:val="0"/>
                <w:sz w:val="18"/>
                <w:szCs w:val="18"/>
              </w:rPr>
              <w:t>付款方</w:t>
            </w:r>
          </w:p>
        </w:tc>
        <w:tc>
          <w:tcPr>
            <w:tcW w:w="1414"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rPr>
            </w:pPr>
            <w:r>
              <w:rPr>
                <w:rFonts w:asciiTheme="minorEastAsia" w:hAnsiTheme="minorEastAsia" w:eastAsiaTheme="minorEastAsia" w:cstheme="minorEastAsia"/>
                <w:b/>
                <w:bCs/>
                <w:color w:val="000000"/>
                <w:kern w:val="0"/>
                <w:sz w:val="18"/>
                <w:szCs w:val="18"/>
              </w:rPr>
              <w:t>资金用途</w:t>
            </w:r>
          </w:p>
        </w:tc>
        <w:tc>
          <w:tcPr>
            <w:tcW w:w="1293"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rPr>
            </w:pPr>
            <w:r>
              <w:rPr>
                <w:rFonts w:asciiTheme="minorEastAsia" w:hAnsiTheme="minorEastAsia" w:eastAsiaTheme="minorEastAsia" w:cstheme="minorEastAsia"/>
                <w:b/>
                <w:bCs/>
                <w:color w:val="000000"/>
                <w:kern w:val="0"/>
                <w:sz w:val="18"/>
                <w:szCs w:val="18"/>
              </w:rPr>
              <w:t>金额（元）</w:t>
            </w:r>
          </w:p>
        </w:tc>
        <w:tc>
          <w:tcPr>
            <w:tcW w:w="2449"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rPr>
            </w:pPr>
            <w:r>
              <w:rPr>
                <w:rFonts w:asciiTheme="minorEastAsia" w:hAnsiTheme="minorEastAsia" w:eastAsiaTheme="minorEastAsia" w:cstheme="minorEastAsia"/>
                <w:b/>
                <w:bCs/>
                <w:color w:val="000000"/>
                <w:kern w:val="0"/>
                <w:sz w:val="18"/>
                <w:szCs w:val="18"/>
              </w:rPr>
              <w:t>收款行账户名称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21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重庆宏德机械化土石方工程有限公司</w:t>
            </w:r>
          </w:p>
        </w:tc>
        <w:tc>
          <w:tcPr>
            <w:tcW w:w="141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户名不符转回</w:t>
            </w:r>
          </w:p>
        </w:tc>
        <w:tc>
          <w:tcPr>
            <w:tcW w:w="1293"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200,000.00</w:t>
            </w:r>
          </w:p>
        </w:tc>
        <w:tc>
          <w:tcPr>
            <w:tcW w:w="24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2021/02/04</w:t>
            </w:r>
          </w:p>
        </w:tc>
        <w:tc>
          <w:tcPr>
            <w:tcW w:w="221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佳源（重庆）房地产开发集团有限公司</w:t>
            </w:r>
          </w:p>
        </w:tc>
        <w:tc>
          <w:tcPr>
            <w:tcW w:w="141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划款</w:t>
            </w:r>
          </w:p>
        </w:tc>
        <w:tc>
          <w:tcPr>
            <w:tcW w:w="1293"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1,300,000.00</w:t>
            </w:r>
          </w:p>
        </w:tc>
        <w:tc>
          <w:tcPr>
            <w:tcW w:w="24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21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佳源（重庆）房地产开发集团有限公司</w:t>
            </w:r>
          </w:p>
        </w:tc>
        <w:tc>
          <w:tcPr>
            <w:tcW w:w="141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93"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1,000,000.00</w:t>
            </w:r>
          </w:p>
        </w:tc>
        <w:tc>
          <w:tcPr>
            <w:tcW w:w="24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2021/02/08</w:t>
            </w:r>
          </w:p>
        </w:tc>
        <w:tc>
          <w:tcPr>
            <w:tcW w:w="221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两江新区工腾广告图文制作部</w:t>
            </w:r>
          </w:p>
        </w:tc>
        <w:tc>
          <w:tcPr>
            <w:tcW w:w="141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收款人账号有误退回</w:t>
            </w:r>
          </w:p>
        </w:tc>
        <w:tc>
          <w:tcPr>
            <w:tcW w:w="1293"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1,232.30</w:t>
            </w:r>
          </w:p>
        </w:tc>
        <w:tc>
          <w:tcPr>
            <w:tcW w:w="24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2021/02/09</w:t>
            </w:r>
          </w:p>
        </w:tc>
        <w:tc>
          <w:tcPr>
            <w:tcW w:w="221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佳源（重庆）房地产开发集团有限公司</w:t>
            </w:r>
          </w:p>
        </w:tc>
        <w:tc>
          <w:tcPr>
            <w:tcW w:w="141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93"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1,000,000.00</w:t>
            </w:r>
          </w:p>
        </w:tc>
        <w:tc>
          <w:tcPr>
            <w:tcW w:w="24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2021/02/18</w:t>
            </w:r>
          </w:p>
        </w:tc>
        <w:tc>
          <w:tcPr>
            <w:tcW w:w="221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佳源（重庆）房地产开发集团有限公司</w:t>
            </w:r>
          </w:p>
        </w:tc>
        <w:tc>
          <w:tcPr>
            <w:tcW w:w="141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93"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10,000,000.00</w:t>
            </w:r>
          </w:p>
        </w:tc>
        <w:tc>
          <w:tcPr>
            <w:tcW w:w="24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2021/02/23</w:t>
            </w:r>
          </w:p>
        </w:tc>
        <w:tc>
          <w:tcPr>
            <w:tcW w:w="221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佳源（重庆）房地产开发集团有限公司</w:t>
            </w:r>
          </w:p>
        </w:tc>
        <w:tc>
          <w:tcPr>
            <w:tcW w:w="141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93"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900,000.00</w:t>
            </w:r>
          </w:p>
        </w:tc>
        <w:tc>
          <w:tcPr>
            <w:tcW w:w="24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农行(31112601040004657)</w:t>
            </w:r>
          </w:p>
        </w:tc>
      </w:tr>
    </w:tbl>
    <w:p>
      <w:bookmarkStart w:id="67" w:name="_Toc535580032"/>
      <w:bookmarkStart w:id="68" w:name="_Toc535570759"/>
      <w:bookmarkStart w:id="69" w:name="_Toc535580100"/>
      <w:bookmarkStart w:id="70" w:name="_Toc29212"/>
      <w:bookmarkStart w:id="71" w:name="_Toc535508645"/>
      <w:bookmarkStart w:id="72" w:name="_Toc37668502"/>
    </w:p>
    <w:p>
      <w:pPr>
        <w:pStyle w:val="3"/>
        <w:spacing w:before="300" w:after="300" w:line="360" w:lineRule="exact"/>
        <w:rPr>
          <w:sz w:val="24"/>
          <w:szCs w:val="24"/>
        </w:rPr>
      </w:pPr>
      <w:bookmarkStart w:id="73" w:name="_Toc11273"/>
      <w:r>
        <w:rPr>
          <w:rFonts w:cs="Arial"/>
          <w:sz w:val="24"/>
          <w:szCs w:val="24"/>
        </w:rPr>
        <w:t>7.3、</w:t>
      </w:r>
      <w:r>
        <w:rPr>
          <w:rFonts w:hint="eastAsia" w:asciiTheme="majorEastAsia" w:hAnsiTheme="majorEastAsia" w:eastAsiaTheme="majorEastAsia" w:cstheme="majorEastAsia"/>
          <w:sz w:val="24"/>
          <w:szCs w:val="24"/>
        </w:rPr>
        <w:t>资金结算</w:t>
      </w:r>
      <w:bookmarkEnd w:id="67"/>
      <w:bookmarkEnd w:id="68"/>
      <w:bookmarkEnd w:id="69"/>
      <w:bookmarkEnd w:id="70"/>
      <w:bookmarkEnd w:id="71"/>
      <w:bookmarkEnd w:id="72"/>
      <w:bookmarkEnd w:id="73"/>
    </w:p>
    <w:p>
      <w:pPr>
        <w:pStyle w:val="4"/>
        <w:spacing w:before="300" w:after="300" w:line="360" w:lineRule="exact"/>
        <w:jc w:val="left"/>
        <w:rPr>
          <w:rFonts w:ascii="Arial" w:hAnsi="Arial" w:cs="Arial"/>
          <w:bCs/>
          <w:sz w:val="24"/>
        </w:rPr>
      </w:pPr>
      <w:r>
        <w:rPr>
          <w:rFonts w:ascii="Arial" w:hAnsi="Arial" w:cs="Arial"/>
          <w:bCs/>
          <w:sz w:val="24"/>
        </w:rPr>
        <w:t>7.3.1、</w:t>
      </w:r>
      <w:r>
        <w:rPr>
          <w:rFonts w:hint="eastAsia" w:ascii="Arial" w:hAnsi="Arial" w:cs="Arial"/>
          <w:bCs/>
          <w:sz w:val="24"/>
        </w:rPr>
        <w:t>各账户余额</w:t>
      </w:r>
    </w:p>
    <w:p>
      <w:pPr>
        <w:spacing w:line="480" w:lineRule="auto"/>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截至</w:t>
      </w:r>
      <w:r>
        <w:rPr>
          <w:rFonts w:ascii="Arial" w:hAnsi="Arial" w:cs="Arial" w:eastAsiaTheme="minorEastAsia"/>
          <w:bCs/>
          <w:kern w:val="44"/>
          <w:szCs w:val="21"/>
        </w:rPr>
        <w:t>202</w:t>
      </w:r>
      <w:r>
        <w:rPr>
          <w:rFonts w:hint="eastAsia" w:ascii="Arial" w:hAnsi="Arial" w:cs="Arial" w:eastAsiaTheme="minorEastAsia"/>
          <w:bCs/>
          <w:kern w:val="44"/>
          <w:szCs w:val="21"/>
        </w:rPr>
        <w:t>1年2月28日，项目公司各资金账户余额总计</w:t>
      </w:r>
      <w:r>
        <w:rPr>
          <w:rFonts w:ascii="Arial" w:hAnsi="Arial" w:cs="Arial" w:eastAsiaTheme="minorEastAsia"/>
          <w:bCs/>
          <w:kern w:val="44"/>
          <w:szCs w:val="21"/>
        </w:rPr>
        <w:t>241,615.67</w:t>
      </w:r>
      <w:r>
        <w:rPr>
          <w:rFonts w:hint="eastAsia" w:ascii="Arial" w:hAnsi="Arial" w:cs="Arial" w:eastAsiaTheme="minorEastAsia"/>
          <w:bCs/>
          <w:kern w:val="44"/>
          <w:szCs w:val="21"/>
        </w:rPr>
        <w:t>元，各账户余额见下表。</w:t>
      </w:r>
    </w:p>
    <w:p>
      <w:pPr>
        <w:spacing w:before="315" w:beforeLines="100"/>
        <w:jc w:val="center"/>
        <w:rPr>
          <w:rFonts w:asciiTheme="minorEastAsia" w:hAnsiTheme="minorEastAsia" w:eastAsiaTheme="minorEastAsia" w:cstheme="minorEastAsia"/>
          <w:b/>
          <w:color w:val="000000"/>
          <w:sz w:val="24"/>
        </w:rPr>
      </w:pPr>
      <w:r>
        <w:rPr>
          <w:rFonts w:hint="eastAsia" w:ascii="Arial" w:hAnsi="Arial" w:cs="Arial"/>
          <w:b/>
          <w:bCs/>
          <w:sz w:val="24"/>
        </w:rPr>
        <w:t>截至</w:t>
      </w:r>
      <w:r>
        <w:rPr>
          <w:rFonts w:ascii="Arial" w:hAnsi="Arial" w:cs="Arial"/>
          <w:b/>
          <w:bCs/>
          <w:sz w:val="24"/>
        </w:rPr>
        <w:t>202</w:t>
      </w:r>
      <w:r>
        <w:rPr>
          <w:rFonts w:hint="eastAsia" w:ascii="Arial" w:hAnsi="Arial" w:cs="Arial"/>
          <w:b/>
          <w:bCs/>
          <w:sz w:val="24"/>
        </w:rPr>
        <w:t>1年2月28日各银行账户余额表</w:t>
      </w:r>
    </w:p>
    <w:tbl>
      <w:tblPr>
        <w:tblStyle w:val="12"/>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3790"/>
        <w:gridCol w:w="2933"/>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blHeader/>
          <w:jc w:val="center"/>
        </w:trPr>
        <w:tc>
          <w:tcPr>
            <w:tcW w:w="628" w:type="dxa"/>
            <w:noWrap/>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序号</w:t>
            </w:r>
          </w:p>
        </w:tc>
        <w:tc>
          <w:tcPr>
            <w:tcW w:w="3790" w:type="dxa"/>
            <w:noWrap/>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开户行</w:t>
            </w:r>
          </w:p>
        </w:tc>
        <w:tc>
          <w:tcPr>
            <w:tcW w:w="2933" w:type="dxa"/>
            <w:noWrap/>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账号</w:t>
            </w:r>
          </w:p>
        </w:tc>
        <w:tc>
          <w:tcPr>
            <w:tcW w:w="1758" w:type="dxa"/>
            <w:noWrap/>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3790"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中国农业银行重庆自由贸易试验区空港支行</w:t>
            </w:r>
          </w:p>
        </w:tc>
        <w:tc>
          <w:tcPr>
            <w:tcW w:w="293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31112601040004657</w:t>
            </w:r>
          </w:p>
        </w:tc>
        <w:tc>
          <w:tcPr>
            <w:tcW w:w="1758" w:type="dxa"/>
            <w:noWrap/>
            <w:vAlign w:val="bottom"/>
          </w:tcPr>
          <w:p>
            <w:pPr>
              <w:widowControl/>
              <w:jc w:val="right"/>
              <w:textAlignment w:val="bottom"/>
              <w:rPr>
                <w:rFonts w:ascii="Arial" w:hAnsi="Arial" w:cs="Arial"/>
                <w:color w:val="000000"/>
                <w:sz w:val="20"/>
                <w:szCs w:val="20"/>
              </w:rPr>
            </w:pPr>
            <w:r>
              <w:rPr>
                <w:rFonts w:ascii="Arial" w:hAnsi="Arial" w:cs="Arial"/>
                <w:color w:val="000000"/>
                <w:kern w:val="0"/>
                <w:sz w:val="18"/>
                <w:szCs w:val="18"/>
                <w:lang w:bidi="ar"/>
              </w:rPr>
              <w:t>231,315.67</w:t>
            </w:r>
            <w:r>
              <w:rPr>
                <w:rFonts w:ascii="Arial" w:hAnsi="Arial" w:cs="Arial"/>
                <w:color w:val="000000"/>
                <w:kern w:val="0"/>
                <w:sz w:val="20"/>
                <w:szCs w:val="20"/>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3790"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中国建设银行重庆渝北支行</w:t>
            </w:r>
          </w:p>
        </w:tc>
        <w:tc>
          <w:tcPr>
            <w:tcW w:w="293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50050108360000001518</w:t>
            </w:r>
          </w:p>
        </w:tc>
        <w:tc>
          <w:tcPr>
            <w:tcW w:w="1758"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3790"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重庆三峡银行股份有限公司鸳鸯支行</w:t>
            </w:r>
          </w:p>
        </w:tc>
        <w:tc>
          <w:tcPr>
            <w:tcW w:w="293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0127014170000160</w:t>
            </w:r>
          </w:p>
        </w:tc>
        <w:tc>
          <w:tcPr>
            <w:tcW w:w="1758" w:type="dxa"/>
            <w:noWrap/>
            <w:vAlign w:val="bottom"/>
          </w:tcPr>
          <w:p>
            <w:pPr>
              <w:widowControl/>
              <w:jc w:val="right"/>
              <w:textAlignment w:val="bottom"/>
              <w:rPr>
                <w:rFonts w:ascii="Arial" w:hAnsi="Arial" w:cs="Arial"/>
                <w:color w:val="000000"/>
                <w:kern w:val="0"/>
                <w:sz w:val="18"/>
                <w:szCs w:val="18"/>
                <w:lang w:bidi="ar"/>
              </w:rPr>
            </w:pPr>
            <w:r>
              <w:rPr>
                <w:rFonts w:ascii="Arial" w:hAnsi="Arial" w:cs="Arial"/>
                <w:color w:val="000000"/>
                <w:kern w:val="0"/>
                <w:sz w:val="20"/>
                <w:szCs w:val="20"/>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3790"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平安银行重庆分行营业部</w:t>
            </w:r>
          </w:p>
        </w:tc>
        <w:tc>
          <w:tcPr>
            <w:tcW w:w="293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15052624750007</w:t>
            </w:r>
          </w:p>
        </w:tc>
        <w:tc>
          <w:tcPr>
            <w:tcW w:w="1758" w:type="dxa"/>
            <w:noWrap/>
            <w:vAlign w:val="bottom"/>
          </w:tcPr>
          <w:p>
            <w:pPr>
              <w:widowControl/>
              <w:jc w:val="right"/>
              <w:textAlignment w:val="bottom"/>
              <w:rPr>
                <w:rFonts w:ascii="Arial" w:hAnsi="Arial" w:cs="Arial"/>
                <w:color w:val="000000"/>
                <w:kern w:val="0"/>
                <w:sz w:val="18"/>
                <w:szCs w:val="18"/>
                <w:lang w:bidi="ar"/>
              </w:rPr>
            </w:pPr>
            <w:r>
              <w:rPr>
                <w:rFonts w:ascii="Arial" w:hAnsi="Arial" w:cs="Arial"/>
                <w:color w:val="000000"/>
                <w:kern w:val="0"/>
                <w:sz w:val="20"/>
                <w:szCs w:val="20"/>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18" w:type="dxa"/>
            <w:gridSpan w:val="2"/>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总    计</w:t>
            </w:r>
          </w:p>
        </w:tc>
        <w:tc>
          <w:tcPr>
            <w:tcW w:w="2933" w:type="dxa"/>
            <w:noWrap/>
            <w:vAlign w:val="center"/>
          </w:tcPr>
          <w:p>
            <w:pPr>
              <w:widowControl/>
              <w:jc w:val="center"/>
              <w:textAlignment w:val="center"/>
              <w:rPr>
                <w:rFonts w:ascii="Arial" w:hAnsi="Arial" w:cs="Arial"/>
                <w:color w:val="000000"/>
                <w:kern w:val="0"/>
                <w:sz w:val="18"/>
                <w:szCs w:val="18"/>
                <w:lang w:bidi="ar"/>
              </w:rPr>
            </w:pPr>
          </w:p>
        </w:tc>
        <w:tc>
          <w:tcPr>
            <w:tcW w:w="1758" w:type="dxa"/>
            <w:noWrap/>
            <w:vAlign w:val="bottom"/>
          </w:tcPr>
          <w:p>
            <w:pPr>
              <w:widowControl/>
              <w:jc w:val="right"/>
              <w:textAlignment w:val="bottom"/>
              <w:rPr>
                <w:rFonts w:ascii="Arial" w:hAnsi="Arial" w:cs="Arial"/>
                <w:color w:val="000000"/>
                <w:sz w:val="20"/>
                <w:szCs w:val="20"/>
              </w:rPr>
            </w:pPr>
            <w:r>
              <w:rPr>
                <w:rFonts w:ascii="Arial" w:hAnsi="Arial" w:cs="Arial"/>
                <w:b/>
                <w:bCs/>
                <w:color w:val="000000"/>
                <w:kern w:val="0"/>
                <w:sz w:val="18"/>
                <w:szCs w:val="18"/>
                <w:lang w:bidi="ar"/>
              </w:rPr>
              <w:t>241,615.67</w:t>
            </w:r>
            <w:r>
              <w:rPr>
                <w:rFonts w:ascii="Arial" w:hAnsi="Arial" w:cs="Arial"/>
                <w:color w:val="000000"/>
                <w:kern w:val="0"/>
                <w:sz w:val="20"/>
                <w:szCs w:val="20"/>
                <w:lang w:bidi="ar"/>
              </w:rPr>
              <w:t xml:space="preserve"> </w:t>
            </w:r>
          </w:p>
        </w:tc>
      </w:tr>
    </w:tbl>
    <w:p>
      <w:pPr>
        <w:pStyle w:val="3"/>
        <w:spacing w:before="300" w:after="300" w:line="360" w:lineRule="exact"/>
        <w:jc w:val="left"/>
        <w:rPr>
          <w:sz w:val="24"/>
          <w:szCs w:val="24"/>
        </w:rPr>
      </w:pPr>
      <w:bookmarkStart w:id="74" w:name="_Toc30589"/>
      <w:r>
        <w:rPr>
          <w:rFonts w:cs="Arial"/>
          <w:sz w:val="24"/>
          <w:szCs w:val="24"/>
        </w:rPr>
        <w:t>7.4、</w:t>
      </w:r>
      <w:r>
        <w:rPr>
          <w:rFonts w:hint="eastAsia" w:asciiTheme="majorEastAsia" w:hAnsiTheme="majorEastAsia" w:eastAsiaTheme="majorEastAsia" w:cstheme="majorEastAsia"/>
          <w:sz w:val="24"/>
          <w:szCs w:val="24"/>
        </w:rPr>
        <w:t>负债情况</w:t>
      </w:r>
      <w:bookmarkEnd w:id="74"/>
    </w:p>
    <w:p>
      <w:pPr>
        <w:spacing w:line="480" w:lineRule="auto"/>
        <w:ind w:firstLine="420" w:firstLineChars="200"/>
        <w:rPr>
          <w:rFonts w:ascii="Arial" w:hAnsi="Arial" w:cs="Arial" w:eastAsiaTheme="majorEastAsia"/>
          <w:sz w:val="24"/>
        </w:rPr>
      </w:pPr>
      <w:r>
        <w:rPr>
          <w:rFonts w:hint="eastAsia" w:ascii="Arial" w:hAnsi="Arial" w:cs="Arial" w:eastAsiaTheme="minorEastAsia"/>
          <w:bCs/>
          <w:kern w:val="44"/>
          <w:szCs w:val="21"/>
        </w:rPr>
        <w:t>项目公司在</w:t>
      </w:r>
      <w:r>
        <w:rPr>
          <w:rFonts w:ascii="Arial" w:hAnsi="Arial" w:cs="Arial" w:eastAsiaTheme="minorEastAsia"/>
          <w:bCs/>
          <w:kern w:val="44"/>
          <w:szCs w:val="21"/>
        </w:rPr>
        <w:t>202</w:t>
      </w:r>
      <w:r>
        <w:rPr>
          <w:rFonts w:hint="eastAsia" w:ascii="Arial" w:hAnsi="Arial" w:cs="Arial" w:eastAsiaTheme="minorEastAsia"/>
          <w:bCs/>
          <w:kern w:val="44"/>
          <w:szCs w:val="21"/>
        </w:rPr>
        <w:t>1年2月01日至2021年2月28日期间暂未发生负债。</w:t>
      </w:r>
      <w:bookmarkStart w:id="75" w:name="_Toc532281664"/>
      <w:bookmarkStart w:id="76" w:name="_Toc37668503"/>
      <w:bookmarkStart w:id="77" w:name="_Toc535508646"/>
      <w:bookmarkStart w:id="78" w:name="_Toc32370"/>
      <w:bookmarkStart w:id="79" w:name="_Toc535580101"/>
      <w:bookmarkStart w:id="80" w:name="_Toc535580033"/>
      <w:bookmarkStart w:id="81" w:name="_Toc535570760"/>
    </w:p>
    <w:p>
      <w:pPr>
        <w:pStyle w:val="2"/>
        <w:spacing w:before="360" w:after="360" w:line="360" w:lineRule="exact"/>
        <w:rPr>
          <w:rFonts w:asciiTheme="majorEastAsia" w:hAnsiTheme="majorEastAsia" w:eastAsiaTheme="majorEastAsia" w:cstheme="majorEastAsia"/>
          <w:sz w:val="24"/>
        </w:rPr>
      </w:pPr>
      <w:bookmarkStart w:id="82" w:name="_Toc902"/>
      <w:r>
        <w:rPr>
          <w:rFonts w:ascii="Arial" w:hAnsi="Arial" w:cs="Arial" w:eastAsiaTheme="majorEastAsia"/>
          <w:sz w:val="24"/>
        </w:rPr>
        <w:t>8</w:t>
      </w:r>
      <w:r>
        <w:rPr>
          <w:rFonts w:hint="eastAsia" w:ascii="Arial" w:hAnsi="Arial" w:cs="Arial" w:eastAsiaTheme="majorEastAsia"/>
          <w:sz w:val="24"/>
        </w:rPr>
        <w:t>、</w:t>
      </w:r>
      <w:r>
        <w:rPr>
          <w:rFonts w:hint="eastAsia" w:asciiTheme="majorEastAsia" w:hAnsiTheme="majorEastAsia" w:eastAsiaTheme="majorEastAsia" w:cstheme="majorEastAsia"/>
          <w:sz w:val="24"/>
        </w:rPr>
        <w:t>月度监管总结及建议</w:t>
      </w:r>
      <w:bookmarkEnd w:id="82"/>
    </w:p>
    <w:p>
      <w:pPr>
        <w:spacing w:line="480" w:lineRule="auto"/>
        <w:ind w:firstLine="420" w:firstLineChars="200"/>
      </w:pPr>
      <w:r>
        <w:rPr>
          <w:rFonts w:hint="eastAsia" w:ascii="Arial" w:hAnsi="Arial" w:cs="Arial" w:eastAsiaTheme="minorEastAsia"/>
          <w:bCs/>
          <w:kern w:val="44"/>
          <w:szCs w:val="21"/>
        </w:rPr>
        <w:t>康信君安在</w:t>
      </w:r>
      <w:r>
        <w:rPr>
          <w:rFonts w:ascii="Arial" w:hAnsi="Arial" w:cs="Arial" w:eastAsiaTheme="minorEastAsia"/>
          <w:bCs/>
          <w:kern w:val="44"/>
          <w:szCs w:val="21"/>
        </w:rPr>
        <w:t>202</w:t>
      </w:r>
      <w:r>
        <w:rPr>
          <w:rFonts w:hint="eastAsia" w:ascii="Arial" w:hAnsi="Arial" w:cs="Arial" w:eastAsiaTheme="minorEastAsia"/>
          <w:bCs/>
          <w:kern w:val="44"/>
          <w:szCs w:val="21"/>
        </w:rPr>
        <w:t>1年2月01日至2021年2月28日对项目公司监管期间内，所监管的标的项目在成本、项目合同、工程进度、印鉴使用、资金收付等方面暂未发现不规范现象，后续我司将继续在以上几个方面加强审核与监管。</w:t>
      </w:r>
    </w:p>
    <w:p/>
    <w:p>
      <w:pPr>
        <w:tabs>
          <w:tab w:val="left" w:pos="426"/>
        </w:tabs>
        <w:spacing w:line="480" w:lineRule="auto"/>
        <w:ind w:firstLine="411" w:firstLineChars="196"/>
        <w:jc w:val="right"/>
        <w:rPr>
          <w:rFonts w:ascii="Arial" w:hAnsi="Arial" w:cs="Arial"/>
          <w:bCs/>
          <w:szCs w:val="21"/>
        </w:rPr>
      </w:pPr>
      <w:r>
        <w:rPr>
          <w:rFonts w:ascii="Arial" w:hAnsi="Arial" w:cs="Arial"/>
          <w:bCs/>
          <w:szCs w:val="21"/>
        </w:rPr>
        <w:t>北京</w:t>
      </w:r>
      <w:r>
        <w:rPr>
          <w:rFonts w:hint="eastAsia" w:ascii="Arial" w:hAnsi="Arial" w:cs="Arial"/>
          <w:bCs/>
          <w:szCs w:val="21"/>
        </w:rPr>
        <w:t>康信君安资产管理</w:t>
      </w:r>
      <w:r>
        <w:rPr>
          <w:rFonts w:ascii="Arial" w:hAnsi="Arial" w:cs="Arial"/>
          <w:bCs/>
          <w:szCs w:val="21"/>
        </w:rPr>
        <w:t>有限公司</w:t>
      </w:r>
    </w:p>
    <w:p>
      <w:pPr>
        <w:tabs>
          <w:tab w:val="left" w:pos="426"/>
        </w:tabs>
        <w:spacing w:line="480" w:lineRule="auto"/>
        <w:ind w:firstLine="411" w:firstLineChars="196"/>
        <w:jc w:val="right"/>
        <w:rPr>
          <w:rFonts w:ascii="Arial" w:hAnsi="Arial" w:cs="Arial"/>
          <w:bCs/>
          <w:szCs w:val="21"/>
        </w:rPr>
      </w:pPr>
      <w:r>
        <w:rPr>
          <w:rFonts w:ascii="Arial" w:hAnsi="Arial" w:cs="Arial"/>
          <w:bCs/>
          <w:szCs w:val="21"/>
        </w:rPr>
        <w:t>驻场监管：</w:t>
      </w:r>
      <w:r>
        <w:rPr>
          <w:rFonts w:hint="eastAsia" w:ascii="Arial" w:hAnsi="Arial" w:cs="Arial"/>
          <w:bCs/>
          <w:szCs w:val="21"/>
        </w:rPr>
        <w:t>王林</w:t>
      </w:r>
    </w:p>
    <w:p>
      <w:pPr>
        <w:spacing w:line="480" w:lineRule="auto"/>
        <w:rPr>
          <w:sz w:val="24"/>
        </w:rPr>
      </w:pPr>
      <w:r>
        <w:rPr>
          <w:rFonts w:ascii="Arial" w:hAnsi="Arial" w:cs="Arial"/>
          <w:bCs/>
          <w:szCs w:val="21"/>
        </w:rPr>
        <w:tab/>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 xml:space="preserve"> </w:t>
      </w:r>
      <w:r>
        <w:rPr>
          <w:rFonts w:hint="eastAsia" w:ascii="Arial" w:hAnsi="Arial" w:cs="Arial"/>
          <w:bCs/>
          <w:szCs w:val="21"/>
        </w:rPr>
        <w:t xml:space="preserve"> 2021</w:t>
      </w:r>
      <w:r>
        <w:rPr>
          <w:rFonts w:ascii="Arial" w:hAnsi="Arial" w:cs="Arial"/>
          <w:bCs/>
          <w:szCs w:val="21"/>
        </w:rPr>
        <w:t>年</w:t>
      </w:r>
      <w:r>
        <w:rPr>
          <w:rFonts w:hint="eastAsia" w:ascii="Arial" w:hAnsi="Arial" w:cs="Arial"/>
          <w:bCs/>
          <w:szCs w:val="21"/>
        </w:rPr>
        <w:t>3</w:t>
      </w:r>
      <w:r>
        <w:rPr>
          <w:rFonts w:ascii="Arial" w:hAnsi="Arial" w:cs="Arial"/>
          <w:bCs/>
          <w:szCs w:val="21"/>
        </w:rPr>
        <w:t>月</w:t>
      </w:r>
      <w:r>
        <w:rPr>
          <w:rFonts w:hint="eastAsia" w:ascii="Arial" w:hAnsi="Arial" w:cs="Arial"/>
          <w:bCs/>
          <w:szCs w:val="21"/>
        </w:rPr>
        <w:t>3</w:t>
      </w:r>
      <w:r>
        <w:rPr>
          <w:rFonts w:ascii="Arial" w:hAnsi="Arial" w:cs="Arial"/>
          <w:bCs/>
          <w:szCs w:val="21"/>
        </w:rPr>
        <w:t>日于</w:t>
      </w:r>
      <w:r>
        <w:rPr>
          <w:rFonts w:hint="eastAsia" w:ascii="Arial" w:hAnsi="Arial" w:cs="Arial"/>
          <w:bCs/>
          <w:szCs w:val="21"/>
        </w:rPr>
        <w:t>重庆</w:t>
      </w:r>
    </w:p>
    <w:p>
      <w:pPr>
        <w:pStyle w:val="2"/>
        <w:rPr>
          <w:sz w:val="24"/>
        </w:rPr>
      </w:pPr>
      <w:bookmarkStart w:id="83" w:name="_Toc1905"/>
      <w:r>
        <w:rPr>
          <w:rFonts w:hint="eastAsia"/>
          <w:sz w:val="24"/>
        </w:rPr>
        <w:t>附件</w:t>
      </w:r>
      <w:bookmarkEnd w:id="75"/>
      <w:bookmarkEnd w:id="76"/>
      <w:bookmarkEnd w:id="77"/>
      <w:bookmarkEnd w:id="78"/>
      <w:bookmarkEnd w:id="79"/>
      <w:bookmarkEnd w:id="80"/>
      <w:bookmarkEnd w:id="81"/>
      <w:r>
        <w:rPr>
          <w:rFonts w:hint="eastAsia"/>
          <w:sz w:val="24"/>
        </w:rPr>
        <w:t>一</w:t>
      </w:r>
      <w:bookmarkEnd w:id="83"/>
      <w:bookmarkStart w:id="94" w:name="_GoBack"/>
      <w:bookmarkEnd w:id="94"/>
    </w:p>
    <w:p>
      <w:pPr>
        <w:pStyle w:val="4"/>
        <w:spacing w:before="300" w:after="300" w:line="360" w:lineRule="exact"/>
        <w:jc w:val="center"/>
        <w:rPr>
          <w:rFonts w:ascii="Arial" w:hAnsi="Arial" w:cs="Arial"/>
          <w:bCs/>
          <w:sz w:val="24"/>
        </w:rPr>
      </w:pPr>
      <w:r>
        <w:rPr>
          <w:rFonts w:hint="eastAsia" w:ascii="Arial" w:hAnsi="Arial" w:cs="Arial"/>
          <w:bCs/>
          <w:sz w:val="24"/>
        </w:rPr>
        <w:t>1、银行账户共管交接单</w:t>
      </w:r>
    </w:p>
    <w:p>
      <w:r>
        <w:drawing>
          <wp:inline distT="0" distB="0" distL="114300" distR="114300">
            <wp:extent cx="6010275" cy="3599815"/>
            <wp:effectExtent l="0" t="0" r="9525"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tretch>
                      <a:fillRect/>
                    </a:stretch>
                  </pic:blipFill>
                  <pic:spPr>
                    <a:xfrm>
                      <a:off x="0" y="0"/>
                      <a:ext cx="6010275" cy="3599815"/>
                    </a:xfrm>
                    <a:prstGeom prst="rect">
                      <a:avLst/>
                    </a:prstGeom>
                    <a:noFill/>
                    <a:ln>
                      <a:noFill/>
                    </a:ln>
                  </pic:spPr>
                </pic:pic>
              </a:graphicData>
            </a:graphic>
          </wp:inline>
        </w:drawing>
      </w:r>
    </w:p>
    <w:p>
      <w:pPr>
        <w:pStyle w:val="4"/>
        <w:spacing w:before="300" w:after="300" w:line="360" w:lineRule="exact"/>
        <w:jc w:val="center"/>
        <w:rPr>
          <w:rFonts w:ascii="Arial" w:hAnsi="Arial" w:cs="Arial"/>
          <w:bCs/>
          <w:sz w:val="24"/>
        </w:rPr>
      </w:pPr>
      <w:r>
        <w:rPr>
          <w:rFonts w:hint="eastAsia" w:ascii="Arial" w:hAnsi="Arial" w:cs="Arial"/>
          <w:bCs/>
          <w:sz w:val="24"/>
        </w:rPr>
        <w:t>2、三峡银行预留印鉴卡</w:t>
      </w:r>
    </w:p>
    <w:p>
      <w:pPr>
        <w:rPr>
          <w:sz w:val="24"/>
        </w:rPr>
      </w:pPr>
      <w:r>
        <w:rPr>
          <w:rFonts w:hint="eastAsia"/>
        </w:rPr>
        <w:drawing>
          <wp:inline distT="0" distB="0" distL="114300" distR="114300">
            <wp:extent cx="3371215" cy="6012180"/>
            <wp:effectExtent l="0" t="0" r="7620" b="12065"/>
            <wp:docPr id="18" name="图片 18" descr="三峡银行预留印鉴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三峡银行预留印鉴卡"/>
                    <pic:cNvPicPr>
                      <a:picLocks noChangeAspect="1"/>
                    </pic:cNvPicPr>
                  </pic:nvPicPr>
                  <pic:blipFill>
                    <a:blip r:embed="rId16"/>
                    <a:stretch>
                      <a:fillRect/>
                    </a:stretch>
                  </pic:blipFill>
                  <pic:spPr>
                    <a:xfrm rot="16200000">
                      <a:off x="0" y="0"/>
                      <a:ext cx="3371215" cy="6012180"/>
                    </a:xfrm>
                    <a:prstGeom prst="rect">
                      <a:avLst/>
                    </a:prstGeom>
                  </pic:spPr>
                </pic:pic>
              </a:graphicData>
            </a:graphic>
          </wp:inline>
        </w:drawing>
      </w:r>
    </w:p>
    <w:p>
      <w:pPr>
        <w:pStyle w:val="2"/>
        <w:rPr>
          <w:sz w:val="24"/>
        </w:rPr>
      </w:pPr>
      <w:bookmarkStart w:id="84" w:name="_Toc27147"/>
      <w:r>
        <w:rPr>
          <w:rFonts w:hint="eastAsia"/>
          <w:sz w:val="24"/>
        </w:rPr>
        <w:t>附件二</w:t>
      </w:r>
      <w:bookmarkEnd w:id="84"/>
    </w:p>
    <w:p>
      <w:pPr>
        <w:pStyle w:val="4"/>
        <w:spacing w:before="300" w:after="300" w:line="360" w:lineRule="exact"/>
        <w:jc w:val="center"/>
        <w:rPr>
          <w:rFonts w:ascii="Arial" w:hAnsi="Arial" w:cs="Arial"/>
          <w:bCs/>
          <w:sz w:val="24"/>
        </w:rPr>
      </w:pPr>
      <w:r>
        <w:rPr>
          <w:rFonts w:hint="eastAsia" w:ascii="Arial" w:hAnsi="Arial" w:cs="Arial"/>
          <w:bCs/>
          <w:sz w:val="24"/>
        </w:rPr>
        <w:t>1、A122-2号地块不动产权证</w:t>
      </w:r>
    </w:p>
    <w:p>
      <w:pPr>
        <w:rPr>
          <w:sz w:val="24"/>
        </w:rPr>
      </w:pPr>
      <w:r>
        <w:rPr>
          <w:sz w:val="24"/>
        </w:rPr>
        <w:drawing>
          <wp:inline distT="0" distB="0" distL="114300" distR="114300">
            <wp:extent cx="6012180" cy="3599815"/>
            <wp:effectExtent l="0" t="0" r="7620" b="12065"/>
            <wp:docPr id="21" name="图片 21" descr="9d4b544373b44423f24074272540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d4b544373b44423f24074272540e97"/>
                    <pic:cNvPicPr>
                      <a:picLocks noChangeAspect="1"/>
                    </pic:cNvPicPr>
                  </pic:nvPicPr>
                  <pic:blipFill>
                    <a:blip r:embed="rId17"/>
                    <a:stretch>
                      <a:fillRect/>
                    </a:stretch>
                  </pic:blipFill>
                  <pic:spPr>
                    <a:xfrm>
                      <a:off x="0" y="0"/>
                      <a:ext cx="6012180" cy="3599815"/>
                    </a:xfrm>
                    <a:prstGeom prst="rect">
                      <a:avLst/>
                    </a:prstGeom>
                  </pic:spPr>
                </pic:pic>
              </a:graphicData>
            </a:graphic>
          </wp:inline>
        </w:drawing>
      </w: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4"/>
        <w:spacing w:before="300" w:after="300" w:line="360" w:lineRule="exact"/>
        <w:jc w:val="center"/>
        <w:rPr>
          <w:rFonts w:ascii="Arial" w:hAnsi="Arial" w:cs="Arial"/>
          <w:bCs/>
          <w:sz w:val="24"/>
        </w:rPr>
      </w:pPr>
      <w:r>
        <w:rPr>
          <w:rFonts w:hint="eastAsia" w:ascii="Arial" w:hAnsi="Arial" w:cs="Arial"/>
          <w:bCs/>
          <w:sz w:val="24"/>
        </w:rPr>
        <w:t>2、A122-2号地块不动产权证共管交接表</w:t>
      </w:r>
    </w:p>
    <w:p/>
    <w:p>
      <w:pPr>
        <w:jc w:val="center"/>
      </w:pPr>
      <w:r>
        <w:drawing>
          <wp:inline distT="0" distB="0" distL="114300" distR="114300">
            <wp:extent cx="6012180" cy="6876415"/>
            <wp:effectExtent l="0" t="0" r="7620" b="12065"/>
            <wp:docPr id="25" name="图片 2"/>
            <wp:cNvGraphicFramePr/>
            <a:graphic xmlns:a="http://schemas.openxmlformats.org/drawingml/2006/main">
              <a:graphicData uri="http://schemas.openxmlformats.org/drawingml/2006/picture">
                <pic:pic xmlns:pic="http://schemas.openxmlformats.org/drawingml/2006/picture">
                  <pic:nvPicPr>
                    <pic:cNvPr id="25" name="图片 2"/>
                    <pic:cNvPicPr/>
                  </pic:nvPicPr>
                  <pic:blipFill>
                    <a:blip r:embed="rId18"/>
                    <a:stretch>
                      <a:fillRect/>
                    </a:stretch>
                  </pic:blipFill>
                  <pic:spPr>
                    <a:xfrm>
                      <a:off x="0" y="0"/>
                      <a:ext cx="6012180" cy="6876415"/>
                    </a:xfrm>
                    <a:prstGeom prst="rect">
                      <a:avLst/>
                    </a:prstGeom>
                    <a:noFill/>
                    <a:ln>
                      <a:noFill/>
                    </a:ln>
                  </pic:spPr>
                </pic:pic>
              </a:graphicData>
            </a:graphic>
          </wp:inline>
        </w:drawing>
      </w:r>
    </w:p>
    <w:p>
      <w:pPr>
        <w:pStyle w:val="3"/>
        <w:keepNext w:val="0"/>
        <w:keepLines w:val="0"/>
        <w:spacing w:before="300" w:after="300" w:line="360" w:lineRule="exact"/>
        <w:rPr>
          <w:rFonts w:eastAsia="宋体"/>
          <w:sz w:val="24"/>
        </w:rPr>
      </w:pPr>
    </w:p>
    <w:p>
      <w:pPr>
        <w:pStyle w:val="3"/>
        <w:keepNext w:val="0"/>
        <w:keepLines w:val="0"/>
        <w:spacing w:before="300" w:after="300" w:line="360" w:lineRule="exact"/>
        <w:rPr>
          <w:rFonts w:eastAsia="宋体"/>
          <w:sz w:val="24"/>
        </w:rPr>
      </w:pPr>
    </w:p>
    <w:p>
      <w:pPr>
        <w:pStyle w:val="2"/>
        <w:rPr>
          <w:sz w:val="24"/>
        </w:rPr>
      </w:pPr>
      <w:bookmarkStart w:id="85" w:name="_Toc987"/>
      <w:r>
        <w:rPr>
          <w:rFonts w:hint="eastAsia"/>
          <w:sz w:val="24"/>
        </w:rPr>
        <w:t>附件三</w:t>
      </w:r>
      <w:bookmarkEnd w:id="85"/>
    </w:p>
    <w:p>
      <w:pPr>
        <w:pStyle w:val="4"/>
        <w:spacing w:before="300" w:after="300" w:line="360" w:lineRule="exact"/>
        <w:jc w:val="center"/>
        <w:rPr>
          <w:rFonts w:ascii="Arial" w:hAnsi="Arial" w:cs="Arial"/>
          <w:bCs/>
          <w:sz w:val="24"/>
        </w:rPr>
      </w:pPr>
      <w:r>
        <w:rPr>
          <w:rFonts w:hint="eastAsia" w:ascii="Arial" w:hAnsi="Arial" w:cs="Arial"/>
          <w:bCs/>
          <w:sz w:val="24"/>
        </w:rPr>
        <w:t>1、A122-3号地块不动产权证</w:t>
      </w:r>
    </w:p>
    <w:p>
      <w:pPr>
        <w:rPr>
          <w:rFonts w:ascii="Arial" w:hAnsi="Arial"/>
          <w:b/>
          <w:bCs/>
          <w:sz w:val="24"/>
          <w:szCs w:val="32"/>
        </w:rPr>
      </w:pPr>
      <w:r>
        <w:rPr>
          <w:rFonts w:ascii="Arial" w:hAnsi="Arial"/>
          <w:b/>
          <w:bCs/>
          <w:sz w:val="24"/>
          <w:szCs w:val="32"/>
        </w:rPr>
        <w:drawing>
          <wp:inline distT="0" distB="0" distL="114300" distR="114300">
            <wp:extent cx="5903595" cy="4427220"/>
            <wp:effectExtent l="0" t="0" r="9525" b="7620"/>
            <wp:docPr id="26" name="图片 26" descr="422a647206c32f02788af7c1068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22a647206c32f02788af7c10686763"/>
                    <pic:cNvPicPr>
                      <a:picLocks noChangeAspect="1"/>
                    </pic:cNvPicPr>
                  </pic:nvPicPr>
                  <pic:blipFill>
                    <a:blip r:embed="rId19"/>
                    <a:stretch>
                      <a:fillRect/>
                    </a:stretch>
                  </pic:blipFill>
                  <pic:spPr>
                    <a:xfrm>
                      <a:off x="0" y="0"/>
                      <a:ext cx="5903595" cy="4427220"/>
                    </a:xfrm>
                    <a:prstGeom prst="rect">
                      <a:avLst/>
                    </a:prstGeom>
                  </pic:spPr>
                </pic:pic>
              </a:graphicData>
            </a:graphic>
          </wp:inline>
        </w:drawing>
      </w:r>
    </w:p>
    <w:p/>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4"/>
        <w:spacing w:before="300" w:after="300" w:line="360" w:lineRule="exact"/>
        <w:jc w:val="center"/>
      </w:pPr>
      <w:r>
        <w:rPr>
          <w:rFonts w:hint="eastAsia" w:ascii="Arial" w:hAnsi="Arial" w:cs="Arial"/>
          <w:bCs/>
          <w:sz w:val="24"/>
        </w:rPr>
        <w:t>2、A122-3号地块不动产权证共管交接表</w:t>
      </w:r>
    </w:p>
    <w:p>
      <w:r>
        <w:drawing>
          <wp:inline distT="0" distB="0" distL="114300" distR="114300">
            <wp:extent cx="5899150" cy="6469380"/>
            <wp:effectExtent l="0" t="0" r="13970"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0"/>
                    <a:stretch>
                      <a:fillRect/>
                    </a:stretch>
                  </pic:blipFill>
                  <pic:spPr>
                    <a:xfrm>
                      <a:off x="0" y="0"/>
                      <a:ext cx="5899150" cy="6469380"/>
                    </a:xfrm>
                    <a:prstGeom prst="rect">
                      <a:avLst/>
                    </a:prstGeom>
                    <a:noFill/>
                    <a:ln>
                      <a:noFill/>
                    </a:ln>
                  </pic:spPr>
                </pic:pic>
              </a:graphicData>
            </a:graphic>
          </wp:inline>
        </w:drawing>
      </w:r>
    </w:p>
    <w:p>
      <w:pPr>
        <w:pStyle w:val="3"/>
        <w:keepNext w:val="0"/>
        <w:keepLines w:val="0"/>
        <w:spacing w:before="300" w:after="300" w:line="360" w:lineRule="exact"/>
        <w:ind w:firstLine="241" w:firstLineChars="100"/>
        <w:rPr>
          <w:rFonts w:eastAsia="宋体"/>
          <w:sz w:val="24"/>
        </w:rPr>
      </w:pPr>
    </w:p>
    <w:p/>
    <w:p>
      <w:pPr>
        <w:pStyle w:val="3"/>
        <w:keepNext w:val="0"/>
        <w:keepLines w:val="0"/>
        <w:spacing w:before="300" w:after="300" w:line="360" w:lineRule="exact"/>
        <w:ind w:firstLine="241" w:firstLineChars="100"/>
        <w:rPr>
          <w:rFonts w:eastAsia="宋体"/>
          <w:sz w:val="24"/>
        </w:rPr>
      </w:pPr>
    </w:p>
    <w:p>
      <w:pPr>
        <w:pStyle w:val="2"/>
        <w:rPr>
          <w:sz w:val="24"/>
        </w:rPr>
      </w:pPr>
      <w:bookmarkStart w:id="86" w:name="_Toc2946"/>
      <w:r>
        <w:rPr>
          <w:rFonts w:hint="eastAsia"/>
          <w:sz w:val="24"/>
        </w:rPr>
        <w:t>附件四</w:t>
      </w:r>
      <w:bookmarkEnd w:id="86"/>
    </w:p>
    <w:p>
      <w:pPr>
        <w:pStyle w:val="4"/>
        <w:spacing w:before="300" w:after="300" w:line="360" w:lineRule="exact"/>
        <w:jc w:val="center"/>
        <w:rPr>
          <w:rFonts w:ascii="Arial" w:hAnsi="Arial"/>
          <w:bCs/>
          <w:sz w:val="24"/>
          <w:szCs w:val="32"/>
        </w:rPr>
      </w:pPr>
      <w:r>
        <w:rPr>
          <w:rFonts w:hint="eastAsia" w:ascii="Arial" w:hAnsi="Arial" w:cs="Arial"/>
          <w:bCs/>
          <w:sz w:val="24"/>
        </w:rPr>
        <w:t>1、A122-1号地块不动产权证</w:t>
      </w:r>
    </w:p>
    <w:p>
      <w:pPr>
        <w:jc w:val="center"/>
      </w:pPr>
      <w:r>
        <w:rPr>
          <w:rFonts w:hint="eastAsia"/>
        </w:rPr>
        <w:drawing>
          <wp:inline distT="0" distB="0" distL="114300" distR="114300">
            <wp:extent cx="5903595" cy="4427220"/>
            <wp:effectExtent l="0" t="0" r="9525" b="7620"/>
            <wp:docPr id="28" name="图片 28" descr="549b33ddb6a823b6e82b70c4ad60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49b33ddb6a823b6e82b70c4ad60f03"/>
                    <pic:cNvPicPr>
                      <a:picLocks noChangeAspect="1"/>
                    </pic:cNvPicPr>
                  </pic:nvPicPr>
                  <pic:blipFill>
                    <a:blip r:embed="rId21"/>
                    <a:stretch>
                      <a:fillRect/>
                    </a:stretch>
                  </pic:blipFill>
                  <pic:spPr>
                    <a:xfrm>
                      <a:off x="0" y="0"/>
                      <a:ext cx="5903595" cy="4427220"/>
                    </a:xfrm>
                    <a:prstGeom prst="rect">
                      <a:avLst/>
                    </a:prstGeom>
                  </pic:spPr>
                </pic:pic>
              </a:graphicData>
            </a:graphic>
          </wp:inline>
        </w:drawing>
      </w:r>
    </w:p>
    <w:p>
      <w:pPr>
        <w:pStyle w:val="3"/>
        <w:keepNext w:val="0"/>
        <w:keepLines w:val="0"/>
        <w:spacing w:before="300" w:after="300" w:line="360" w:lineRule="exact"/>
        <w:rPr>
          <w:sz w:val="24"/>
        </w:rPr>
      </w:pPr>
      <w:bookmarkStart w:id="87" w:name="_Toc10928"/>
      <w:bookmarkStart w:id="88" w:name="_Toc535580102"/>
      <w:bookmarkStart w:id="89" w:name="_Toc37668504"/>
      <w:bookmarkStart w:id="90" w:name="_Toc535508647"/>
      <w:bookmarkStart w:id="91" w:name="_Toc535570761"/>
      <w:bookmarkStart w:id="92" w:name="_Toc535580034"/>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3"/>
        <w:keepNext w:val="0"/>
        <w:keepLines w:val="0"/>
        <w:spacing w:before="300" w:after="300" w:line="360" w:lineRule="exact"/>
        <w:rPr>
          <w:sz w:val="24"/>
        </w:rPr>
      </w:pPr>
    </w:p>
    <w:p>
      <w:pPr>
        <w:pStyle w:val="4"/>
        <w:spacing w:before="300" w:after="300" w:line="360" w:lineRule="exact"/>
        <w:jc w:val="center"/>
        <w:rPr>
          <w:sz w:val="24"/>
        </w:rPr>
      </w:pPr>
      <w:r>
        <w:rPr>
          <w:rFonts w:hint="eastAsia" w:ascii="Arial" w:hAnsi="Arial" w:cs="Arial"/>
          <w:bCs/>
          <w:sz w:val="24"/>
        </w:rPr>
        <w:t>2、A122-1号地块不动产权证共管交接表</w:t>
      </w:r>
    </w:p>
    <w:p>
      <w:pPr>
        <w:jc w:val="center"/>
        <w:rPr>
          <w:rFonts w:ascii="Arial" w:hAnsi="Arial"/>
          <w:b/>
          <w:bCs/>
          <w:sz w:val="24"/>
          <w:szCs w:val="32"/>
        </w:rPr>
      </w:pPr>
      <w:r>
        <w:rPr>
          <w:rFonts w:hint="eastAsia" w:ascii="Arial" w:hAnsi="Arial"/>
          <w:b/>
          <w:bCs/>
          <w:sz w:val="24"/>
          <w:szCs w:val="32"/>
        </w:rPr>
        <w:drawing>
          <wp:inline distT="0" distB="0" distL="114300" distR="114300">
            <wp:extent cx="4457065" cy="6953885"/>
            <wp:effectExtent l="0" t="0" r="8255" b="10795"/>
            <wp:docPr id="31" name="图片 31" descr="1614515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14515449(1)"/>
                    <pic:cNvPicPr>
                      <a:picLocks noChangeAspect="1"/>
                    </pic:cNvPicPr>
                  </pic:nvPicPr>
                  <pic:blipFill>
                    <a:blip r:embed="rId22"/>
                    <a:srcRect t="1846" r="24470"/>
                    <a:stretch>
                      <a:fillRect/>
                    </a:stretch>
                  </pic:blipFill>
                  <pic:spPr>
                    <a:xfrm>
                      <a:off x="0" y="0"/>
                      <a:ext cx="4457065" cy="6953885"/>
                    </a:xfrm>
                    <a:prstGeom prst="rect">
                      <a:avLst/>
                    </a:prstGeom>
                  </pic:spPr>
                </pic:pic>
              </a:graphicData>
            </a:graphic>
          </wp:inline>
        </w:drawing>
      </w:r>
    </w:p>
    <w:p>
      <w:pPr>
        <w:rPr>
          <w:rFonts w:ascii="Arial" w:hAnsi="Arial"/>
          <w:b/>
          <w:bCs/>
          <w:sz w:val="24"/>
          <w:szCs w:val="32"/>
        </w:rPr>
      </w:pPr>
    </w:p>
    <w:p>
      <w:pPr>
        <w:spacing w:before="300" w:after="300" w:line="360" w:lineRule="exact"/>
        <w:rPr>
          <w:sz w:val="24"/>
        </w:rPr>
      </w:pPr>
    </w:p>
    <w:p>
      <w:pPr>
        <w:pStyle w:val="2"/>
        <w:rPr>
          <w:sz w:val="24"/>
        </w:rPr>
      </w:pPr>
      <w:bookmarkStart w:id="93" w:name="_Toc26488"/>
      <w:r>
        <w:rPr>
          <w:rFonts w:hint="eastAsia"/>
          <w:sz w:val="24"/>
        </w:rPr>
        <w:t>银行</w:t>
      </w:r>
      <w:bookmarkEnd w:id="87"/>
      <w:bookmarkEnd w:id="88"/>
      <w:bookmarkEnd w:id="89"/>
      <w:bookmarkEnd w:id="90"/>
      <w:bookmarkEnd w:id="91"/>
      <w:bookmarkEnd w:id="92"/>
      <w:r>
        <w:rPr>
          <w:rFonts w:hint="eastAsia"/>
          <w:sz w:val="24"/>
        </w:rPr>
        <w:t>余额</w:t>
      </w:r>
      <w:bookmarkEnd w:id="93"/>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中国农业银行        单位：元</w:t>
      </w:r>
    </w:p>
    <w:p>
      <w:pPr>
        <w:jc w:val="center"/>
        <w:rPr>
          <w:rFonts w:ascii="宋体" w:hAnsi="宋体" w:cs="宋体"/>
          <w:b/>
          <w:color w:val="000000"/>
          <w:kern w:val="0"/>
          <w:sz w:val="24"/>
        </w:rPr>
      </w:pPr>
      <w:r>
        <w:rPr>
          <w:rFonts w:hint="eastAsia" w:ascii="宋体" w:hAnsi="宋体" w:cs="宋体"/>
          <w:b/>
          <w:color w:val="000000"/>
          <w:kern w:val="0"/>
          <w:sz w:val="24"/>
        </w:rPr>
        <w:drawing>
          <wp:inline distT="0" distB="0" distL="114300" distR="114300">
            <wp:extent cx="5536565" cy="3599815"/>
            <wp:effectExtent l="0" t="0" r="10795" b="12065"/>
            <wp:docPr id="32" name="图片 32" descr="af5b744f90bb63ec4f31e79af557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f5b744f90bb63ec4f31e79af557e1a"/>
                    <pic:cNvPicPr>
                      <a:picLocks noChangeAspect="1"/>
                    </pic:cNvPicPr>
                  </pic:nvPicPr>
                  <pic:blipFill>
                    <a:blip r:embed="rId23"/>
                    <a:stretch>
                      <a:fillRect/>
                    </a:stretch>
                  </pic:blipFill>
                  <pic:spPr>
                    <a:xfrm>
                      <a:off x="0" y="0"/>
                      <a:ext cx="5536565" cy="3599815"/>
                    </a:xfrm>
                    <a:prstGeom prst="rect">
                      <a:avLst/>
                    </a:prstGeom>
                  </pic:spPr>
                </pic:pic>
              </a:graphicData>
            </a:graphic>
          </wp:inline>
        </w:drawing>
      </w:r>
    </w:p>
    <w:p>
      <w:pPr>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 xml:space="preserve">中国建设银行        单位：元 </w:t>
      </w:r>
    </w:p>
    <w:p>
      <w:pPr>
        <w:jc w:val="center"/>
      </w:pPr>
      <w:r>
        <w:rPr>
          <w:rFonts w:hint="eastAsia"/>
        </w:rPr>
        <w:drawing>
          <wp:inline distT="0" distB="0" distL="114300" distR="114300">
            <wp:extent cx="5896610" cy="3599815"/>
            <wp:effectExtent l="0" t="0" r="1270" b="12065"/>
            <wp:docPr id="33" name="图片 33" descr="88aa7882d2f00ace2232bd4afd4b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8aa7882d2f00ace2232bd4afd4b97a"/>
                    <pic:cNvPicPr>
                      <a:picLocks noChangeAspect="1"/>
                    </pic:cNvPicPr>
                  </pic:nvPicPr>
                  <pic:blipFill>
                    <a:blip r:embed="rId24"/>
                    <a:stretch>
                      <a:fillRect/>
                    </a:stretch>
                  </pic:blipFill>
                  <pic:spPr>
                    <a:xfrm>
                      <a:off x="0" y="0"/>
                      <a:ext cx="5896610" cy="3599815"/>
                    </a:xfrm>
                    <a:prstGeom prst="rect">
                      <a:avLst/>
                    </a:prstGeom>
                  </pic:spPr>
                </pic:pic>
              </a:graphicData>
            </a:graphic>
          </wp:inline>
        </w:drawing>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 xml:space="preserve">重庆三峡银行        单位：元 </w:t>
      </w:r>
    </w:p>
    <w:p>
      <w:pPr>
        <w:jc w:val="center"/>
      </w:pPr>
      <w:r>
        <w:drawing>
          <wp:inline distT="0" distB="0" distL="114300" distR="114300">
            <wp:extent cx="5896610" cy="3599815"/>
            <wp:effectExtent l="0" t="0" r="1270" b="12065"/>
            <wp:docPr id="34" name="图片 34" descr="596280faece185336cb4dff31d91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96280faece185336cb4dff31d9142c"/>
                    <pic:cNvPicPr>
                      <a:picLocks noChangeAspect="1"/>
                    </pic:cNvPicPr>
                  </pic:nvPicPr>
                  <pic:blipFill>
                    <a:blip r:embed="rId25"/>
                    <a:stretch>
                      <a:fillRect/>
                    </a:stretch>
                  </pic:blipFill>
                  <pic:spPr>
                    <a:xfrm>
                      <a:off x="0" y="0"/>
                      <a:ext cx="5896610" cy="3599815"/>
                    </a:xfrm>
                    <a:prstGeom prst="rect">
                      <a:avLst/>
                    </a:prstGeom>
                  </pic:spPr>
                </pic:pic>
              </a:graphicData>
            </a:graphic>
          </wp:inline>
        </w:drawing>
      </w: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平安银行        单位：元</w:t>
      </w:r>
    </w:p>
    <w:p>
      <w:pPr>
        <w:jc w:val="center"/>
      </w:pPr>
      <w:r>
        <w:drawing>
          <wp:inline distT="0" distB="0" distL="114300" distR="114300">
            <wp:extent cx="5896610" cy="3599815"/>
            <wp:effectExtent l="0" t="0" r="1270" b="12065"/>
            <wp:docPr id="35" name="图片 35" descr="77dad92e80e9dc5b857842ffe169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7dad92e80e9dc5b857842ffe16999c"/>
                    <pic:cNvPicPr>
                      <a:picLocks noChangeAspect="1"/>
                    </pic:cNvPicPr>
                  </pic:nvPicPr>
                  <pic:blipFill>
                    <a:blip r:embed="rId26"/>
                    <a:stretch>
                      <a:fillRect/>
                    </a:stretch>
                  </pic:blipFill>
                  <pic:spPr>
                    <a:xfrm>
                      <a:off x="0" y="0"/>
                      <a:ext cx="5896610" cy="3599815"/>
                    </a:xfrm>
                    <a:prstGeom prst="rect">
                      <a:avLst/>
                    </a:prstGeom>
                  </pic:spPr>
                </pic:pic>
              </a:graphicData>
            </a:graphic>
          </wp:inline>
        </w:drawing>
      </w:r>
    </w:p>
    <w:sectPr>
      <w:footerReference r:id="rId5" w:type="default"/>
      <w:pgSz w:w="11906" w:h="16838"/>
      <w:pgMar w:top="1843" w:right="1134" w:bottom="1134" w:left="1134" w:header="851" w:footer="992" w:gutter="340"/>
      <w:pgNumType w:start="1"/>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nsolas">
    <w:panose1 w:val="020B0609020204030204"/>
    <w:charset w:val="00"/>
    <w:family w:val="modern"/>
    <w:pitch w:val="default"/>
    <w:sig w:usb0="E00006FF" w:usb1="0000FCFF" w:usb2="00000001" w:usb3="00000000" w:csb0="600001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59264;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Kd1tcAAAAIAQAADwAAAAAAAAABACAAAAAiAAAAZHJzL2Rvd25y&#10;ZXYueG1sUEsBAhQAFAAAAAgAh07iQFa0xGI4AgAAZAQAAA4AAAAAAAAAAQAgAAAAJgEAAGRycy9l&#10;Mm9Eb2MueG1sUEsFBgAAAAAGAAYAWQEAANA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宋体" w:hAnsi="宋体" w:cs="宋体"/>
      </w:rPr>
    </w:pPr>
    <w:r>
      <w:rPr>
        <w:rFonts w:hint="eastAsia" w:ascii="Arial" w:hAnsi="Arial" w:cs="Arial"/>
      </w:rPr>
      <w:t>2021年2月</w:t>
    </w:r>
    <w:r>
      <w:rPr>
        <w:rFonts w:hint="eastAsia" w:ascii="宋体" w:hAnsi="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D7F8A2"/>
    <w:multiLevelType w:val="singleLevel"/>
    <w:tmpl w:val="6DD7F8A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210"/>
  <w:drawingGridVerticalSpacing w:val="160"/>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83A5A"/>
    <w:rsid w:val="00093479"/>
    <w:rsid w:val="000B5635"/>
    <w:rsid w:val="001659B0"/>
    <w:rsid w:val="001A4D16"/>
    <w:rsid w:val="00261677"/>
    <w:rsid w:val="003732BD"/>
    <w:rsid w:val="00374DA6"/>
    <w:rsid w:val="003E1015"/>
    <w:rsid w:val="004216D7"/>
    <w:rsid w:val="004452EE"/>
    <w:rsid w:val="004943FA"/>
    <w:rsid w:val="004B79D8"/>
    <w:rsid w:val="004F469B"/>
    <w:rsid w:val="00532027"/>
    <w:rsid w:val="0055281E"/>
    <w:rsid w:val="005A11B6"/>
    <w:rsid w:val="007829BB"/>
    <w:rsid w:val="007A7CD9"/>
    <w:rsid w:val="008008EE"/>
    <w:rsid w:val="00865361"/>
    <w:rsid w:val="00995910"/>
    <w:rsid w:val="009D4B3D"/>
    <w:rsid w:val="00A47622"/>
    <w:rsid w:val="00B91E7B"/>
    <w:rsid w:val="00BA7AA0"/>
    <w:rsid w:val="00C8161C"/>
    <w:rsid w:val="00D47E8A"/>
    <w:rsid w:val="00D5098B"/>
    <w:rsid w:val="00DB291D"/>
    <w:rsid w:val="00E02446"/>
    <w:rsid w:val="00E36D8F"/>
    <w:rsid w:val="00F01CC8"/>
    <w:rsid w:val="00F84996"/>
    <w:rsid w:val="010C29A7"/>
    <w:rsid w:val="012719CD"/>
    <w:rsid w:val="013A307E"/>
    <w:rsid w:val="02166EE5"/>
    <w:rsid w:val="021C6889"/>
    <w:rsid w:val="02315DC3"/>
    <w:rsid w:val="02320A19"/>
    <w:rsid w:val="028C2894"/>
    <w:rsid w:val="031846ED"/>
    <w:rsid w:val="033A7A37"/>
    <w:rsid w:val="033C6DB3"/>
    <w:rsid w:val="033D0563"/>
    <w:rsid w:val="034C0D6A"/>
    <w:rsid w:val="03651A4A"/>
    <w:rsid w:val="038A7BB8"/>
    <w:rsid w:val="039C367C"/>
    <w:rsid w:val="03BB72FE"/>
    <w:rsid w:val="03FA186A"/>
    <w:rsid w:val="040D1978"/>
    <w:rsid w:val="040D6C9F"/>
    <w:rsid w:val="04561DFE"/>
    <w:rsid w:val="04B1766B"/>
    <w:rsid w:val="04B53012"/>
    <w:rsid w:val="04E802A8"/>
    <w:rsid w:val="05196AE4"/>
    <w:rsid w:val="05220598"/>
    <w:rsid w:val="053A20DF"/>
    <w:rsid w:val="05E8030B"/>
    <w:rsid w:val="05E92E76"/>
    <w:rsid w:val="061E1B47"/>
    <w:rsid w:val="062F2AAE"/>
    <w:rsid w:val="06836B60"/>
    <w:rsid w:val="06910C29"/>
    <w:rsid w:val="07140763"/>
    <w:rsid w:val="0757704E"/>
    <w:rsid w:val="07D315B0"/>
    <w:rsid w:val="083629A3"/>
    <w:rsid w:val="083E09FA"/>
    <w:rsid w:val="08426BB5"/>
    <w:rsid w:val="08BF2BA6"/>
    <w:rsid w:val="09361F12"/>
    <w:rsid w:val="0942735D"/>
    <w:rsid w:val="0A334BD2"/>
    <w:rsid w:val="0A4F32D5"/>
    <w:rsid w:val="0A581FBD"/>
    <w:rsid w:val="0A91709D"/>
    <w:rsid w:val="0AF939C1"/>
    <w:rsid w:val="0B0A7111"/>
    <w:rsid w:val="0B102C80"/>
    <w:rsid w:val="0B14356C"/>
    <w:rsid w:val="0B286806"/>
    <w:rsid w:val="0B8C4513"/>
    <w:rsid w:val="0C7610C4"/>
    <w:rsid w:val="0C862108"/>
    <w:rsid w:val="0D1D61EF"/>
    <w:rsid w:val="0D616C53"/>
    <w:rsid w:val="0DAD1026"/>
    <w:rsid w:val="0E4906FC"/>
    <w:rsid w:val="0E522C8D"/>
    <w:rsid w:val="0E657E1B"/>
    <w:rsid w:val="0EEA6CDA"/>
    <w:rsid w:val="0F2E3E22"/>
    <w:rsid w:val="0F734B82"/>
    <w:rsid w:val="0F752D8B"/>
    <w:rsid w:val="0FD43490"/>
    <w:rsid w:val="10175421"/>
    <w:rsid w:val="104541C5"/>
    <w:rsid w:val="10A558D4"/>
    <w:rsid w:val="10DC52FA"/>
    <w:rsid w:val="129D3BF6"/>
    <w:rsid w:val="12A15873"/>
    <w:rsid w:val="12CA48F8"/>
    <w:rsid w:val="13801AB8"/>
    <w:rsid w:val="13AF07C0"/>
    <w:rsid w:val="147F0BD5"/>
    <w:rsid w:val="14E51EBF"/>
    <w:rsid w:val="15122FBD"/>
    <w:rsid w:val="15CD59F3"/>
    <w:rsid w:val="15D70172"/>
    <w:rsid w:val="16440B30"/>
    <w:rsid w:val="165D3BC9"/>
    <w:rsid w:val="16C45E08"/>
    <w:rsid w:val="16EE0DC7"/>
    <w:rsid w:val="171113A8"/>
    <w:rsid w:val="172F67DB"/>
    <w:rsid w:val="174E0008"/>
    <w:rsid w:val="17AD10D5"/>
    <w:rsid w:val="17CD5528"/>
    <w:rsid w:val="17D9669F"/>
    <w:rsid w:val="18F1277D"/>
    <w:rsid w:val="19043CA7"/>
    <w:rsid w:val="19821213"/>
    <w:rsid w:val="1A150276"/>
    <w:rsid w:val="1A1764EA"/>
    <w:rsid w:val="1A1C51F3"/>
    <w:rsid w:val="1A4E7154"/>
    <w:rsid w:val="1A5F2054"/>
    <w:rsid w:val="1A6F2A9E"/>
    <w:rsid w:val="1AC7425F"/>
    <w:rsid w:val="1B093958"/>
    <w:rsid w:val="1B230206"/>
    <w:rsid w:val="1B2D1265"/>
    <w:rsid w:val="1B6263A2"/>
    <w:rsid w:val="1B821905"/>
    <w:rsid w:val="1BE63143"/>
    <w:rsid w:val="1C535FB3"/>
    <w:rsid w:val="1C5D2E8D"/>
    <w:rsid w:val="1C6050F4"/>
    <w:rsid w:val="1C8C772B"/>
    <w:rsid w:val="1C913EC9"/>
    <w:rsid w:val="1CA26A12"/>
    <w:rsid w:val="1CB353D0"/>
    <w:rsid w:val="1CB36EF1"/>
    <w:rsid w:val="1CB43800"/>
    <w:rsid w:val="1CF30846"/>
    <w:rsid w:val="1CF7229F"/>
    <w:rsid w:val="1D26100F"/>
    <w:rsid w:val="1D716D32"/>
    <w:rsid w:val="1D97682D"/>
    <w:rsid w:val="1DAD58BE"/>
    <w:rsid w:val="1E37028E"/>
    <w:rsid w:val="1E3F3C23"/>
    <w:rsid w:val="1E4710E4"/>
    <w:rsid w:val="1E6A2573"/>
    <w:rsid w:val="1E893FA0"/>
    <w:rsid w:val="1EE1256C"/>
    <w:rsid w:val="1F000AFC"/>
    <w:rsid w:val="1F08518E"/>
    <w:rsid w:val="1F491095"/>
    <w:rsid w:val="1F6A7491"/>
    <w:rsid w:val="1FA001D4"/>
    <w:rsid w:val="200F7A30"/>
    <w:rsid w:val="2020222B"/>
    <w:rsid w:val="209A243F"/>
    <w:rsid w:val="20B650C6"/>
    <w:rsid w:val="20C11509"/>
    <w:rsid w:val="21236E3A"/>
    <w:rsid w:val="21B74056"/>
    <w:rsid w:val="22196190"/>
    <w:rsid w:val="2281256E"/>
    <w:rsid w:val="22A01DEE"/>
    <w:rsid w:val="22AB78C8"/>
    <w:rsid w:val="22BE66AF"/>
    <w:rsid w:val="233664D1"/>
    <w:rsid w:val="238D01ED"/>
    <w:rsid w:val="23C66452"/>
    <w:rsid w:val="23C81640"/>
    <w:rsid w:val="24090B50"/>
    <w:rsid w:val="241913D3"/>
    <w:rsid w:val="24253466"/>
    <w:rsid w:val="245A58B3"/>
    <w:rsid w:val="24877E13"/>
    <w:rsid w:val="24940F3E"/>
    <w:rsid w:val="24D3782D"/>
    <w:rsid w:val="252C0867"/>
    <w:rsid w:val="255E4F9C"/>
    <w:rsid w:val="2587337B"/>
    <w:rsid w:val="25BF4477"/>
    <w:rsid w:val="25E1304A"/>
    <w:rsid w:val="26331672"/>
    <w:rsid w:val="265F470B"/>
    <w:rsid w:val="268615F1"/>
    <w:rsid w:val="26D6241A"/>
    <w:rsid w:val="272261BA"/>
    <w:rsid w:val="27E42660"/>
    <w:rsid w:val="27FA0B5F"/>
    <w:rsid w:val="28136EC1"/>
    <w:rsid w:val="28D118B0"/>
    <w:rsid w:val="298A0811"/>
    <w:rsid w:val="29974216"/>
    <w:rsid w:val="29A418AC"/>
    <w:rsid w:val="29EC3E5F"/>
    <w:rsid w:val="2A4E6613"/>
    <w:rsid w:val="2AAC4A91"/>
    <w:rsid w:val="2AEB3CCA"/>
    <w:rsid w:val="2AEF3CDD"/>
    <w:rsid w:val="2B291606"/>
    <w:rsid w:val="2B674A9B"/>
    <w:rsid w:val="2BD02DC0"/>
    <w:rsid w:val="2BD552AB"/>
    <w:rsid w:val="2BE279E1"/>
    <w:rsid w:val="2CB55A6F"/>
    <w:rsid w:val="2CFB2DBA"/>
    <w:rsid w:val="2D0D6232"/>
    <w:rsid w:val="2D280DF3"/>
    <w:rsid w:val="2D551F66"/>
    <w:rsid w:val="2D8E05DB"/>
    <w:rsid w:val="2DD10D8A"/>
    <w:rsid w:val="2DE05227"/>
    <w:rsid w:val="2E5043E8"/>
    <w:rsid w:val="2EC87E66"/>
    <w:rsid w:val="2EFA6722"/>
    <w:rsid w:val="2F1D07AD"/>
    <w:rsid w:val="2F260B27"/>
    <w:rsid w:val="2F3653E9"/>
    <w:rsid w:val="2F4533C8"/>
    <w:rsid w:val="2FA35503"/>
    <w:rsid w:val="2FB0123F"/>
    <w:rsid w:val="2FE328B0"/>
    <w:rsid w:val="2FE63D96"/>
    <w:rsid w:val="300E1305"/>
    <w:rsid w:val="30477EB5"/>
    <w:rsid w:val="30632575"/>
    <w:rsid w:val="30E459C5"/>
    <w:rsid w:val="30F7674E"/>
    <w:rsid w:val="31826D41"/>
    <w:rsid w:val="31BB1264"/>
    <w:rsid w:val="320E28CA"/>
    <w:rsid w:val="323D3A27"/>
    <w:rsid w:val="32634148"/>
    <w:rsid w:val="32A51025"/>
    <w:rsid w:val="32BF1556"/>
    <w:rsid w:val="32D525B4"/>
    <w:rsid w:val="330777A6"/>
    <w:rsid w:val="334F7BCF"/>
    <w:rsid w:val="33613667"/>
    <w:rsid w:val="337323D5"/>
    <w:rsid w:val="34392581"/>
    <w:rsid w:val="34E80493"/>
    <w:rsid w:val="34FB1BBD"/>
    <w:rsid w:val="35121199"/>
    <w:rsid w:val="36351C0A"/>
    <w:rsid w:val="36380B94"/>
    <w:rsid w:val="363C4175"/>
    <w:rsid w:val="3640196D"/>
    <w:rsid w:val="36406931"/>
    <w:rsid w:val="366E0277"/>
    <w:rsid w:val="367005E8"/>
    <w:rsid w:val="36F93E34"/>
    <w:rsid w:val="371A1688"/>
    <w:rsid w:val="37D51B07"/>
    <w:rsid w:val="38342304"/>
    <w:rsid w:val="387F1BA7"/>
    <w:rsid w:val="38C11B04"/>
    <w:rsid w:val="38D71782"/>
    <w:rsid w:val="38D73C69"/>
    <w:rsid w:val="390724AF"/>
    <w:rsid w:val="39383609"/>
    <w:rsid w:val="39617F20"/>
    <w:rsid w:val="39693925"/>
    <w:rsid w:val="396F67B8"/>
    <w:rsid w:val="398F5612"/>
    <w:rsid w:val="3A6363AA"/>
    <w:rsid w:val="3A74482D"/>
    <w:rsid w:val="3A7F32E6"/>
    <w:rsid w:val="3AD921D5"/>
    <w:rsid w:val="3BBB7350"/>
    <w:rsid w:val="3C0A373D"/>
    <w:rsid w:val="3C36744D"/>
    <w:rsid w:val="3C6719E7"/>
    <w:rsid w:val="3D857261"/>
    <w:rsid w:val="3D8A5C3B"/>
    <w:rsid w:val="3E120627"/>
    <w:rsid w:val="3E222D73"/>
    <w:rsid w:val="3E316759"/>
    <w:rsid w:val="3ED94E49"/>
    <w:rsid w:val="3F7D789D"/>
    <w:rsid w:val="3FB051C6"/>
    <w:rsid w:val="3FB86CF1"/>
    <w:rsid w:val="3FBB575D"/>
    <w:rsid w:val="40384AE3"/>
    <w:rsid w:val="40477CDF"/>
    <w:rsid w:val="405A2B55"/>
    <w:rsid w:val="40902A29"/>
    <w:rsid w:val="40A40676"/>
    <w:rsid w:val="40C30487"/>
    <w:rsid w:val="40C65C85"/>
    <w:rsid w:val="40D3521D"/>
    <w:rsid w:val="41100D3D"/>
    <w:rsid w:val="41EF0A9C"/>
    <w:rsid w:val="41F5375A"/>
    <w:rsid w:val="42E63350"/>
    <w:rsid w:val="42EA0A5E"/>
    <w:rsid w:val="43353F64"/>
    <w:rsid w:val="439D3C31"/>
    <w:rsid w:val="43B92808"/>
    <w:rsid w:val="43D70B96"/>
    <w:rsid w:val="43E81DCF"/>
    <w:rsid w:val="43FB252A"/>
    <w:rsid w:val="44601871"/>
    <w:rsid w:val="44903884"/>
    <w:rsid w:val="44BA6043"/>
    <w:rsid w:val="45017A94"/>
    <w:rsid w:val="454602C9"/>
    <w:rsid w:val="454D1AF8"/>
    <w:rsid w:val="45D37D23"/>
    <w:rsid w:val="45F12590"/>
    <w:rsid w:val="45FC4CEC"/>
    <w:rsid w:val="46333F7E"/>
    <w:rsid w:val="46581CAF"/>
    <w:rsid w:val="46660698"/>
    <w:rsid w:val="46BC7CB0"/>
    <w:rsid w:val="470D17B1"/>
    <w:rsid w:val="470E4C45"/>
    <w:rsid w:val="47C60132"/>
    <w:rsid w:val="47DE106E"/>
    <w:rsid w:val="48122351"/>
    <w:rsid w:val="48745D8C"/>
    <w:rsid w:val="48890D92"/>
    <w:rsid w:val="48971346"/>
    <w:rsid w:val="4897390F"/>
    <w:rsid w:val="48AE23F1"/>
    <w:rsid w:val="48B16F13"/>
    <w:rsid w:val="48DC7F20"/>
    <w:rsid w:val="495922EE"/>
    <w:rsid w:val="49A73F0E"/>
    <w:rsid w:val="49B264CD"/>
    <w:rsid w:val="49EE7C15"/>
    <w:rsid w:val="4A4366BA"/>
    <w:rsid w:val="4AB54C8F"/>
    <w:rsid w:val="4ABA4C7D"/>
    <w:rsid w:val="4ACF3AC2"/>
    <w:rsid w:val="4AF055B1"/>
    <w:rsid w:val="4B070AE2"/>
    <w:rsid w:val="4B2826F9"/>
    <w:rsid w:val="4B4549E0"/>
    <w:rsid w:val="4B9D5A2D"/>
    <w:rsid w:val="4C120893"/>
    <w:rsid w:val="4CBD741F"/>
    <w:rsid w:val="4CFF0FA9"/>
    <w:rsid w:val="4D1E437D"/>
    <w:rsid w:val="4D4706BE"/>
    <w:rsid w:val="4D8171A8"/>
    <w:rsid w:val="4D912EE1"/>
    <w:rsid w:val="4D985254"/>
    <w:rsid w:val="4DC02368"/>
    <w:rsid w:val="4DF164C5"/>
    <w:rsid w:val="4E11426F"/>
    <w:rsid w:val="4E5B7865"/>
    <w:rsid w:val="4E844596"/>
    <w:rsid w:val="4EB773CB"/>
    <w:rsid w:val="4ECC6421"/>
    <w:rsid w:val="4EDD5208"/>
    <w:rsid w:val="4EDF585B"/>
    <w:rsid w:val="4F124E4E"/>
    <w:rsid w:val="4F7870C7"/>
    <w:rsid w:val="4F9746D4"/>
    <w:rsid w:val="4FBD7466"/>
    <w:rsid w:val="502216DB"/>
    <w:rsid w:val="503E302E"/>
    <w:rsid w:val="50554FA9"/>
    <w:rsid w:val="509953FA"/>
    <w:rsid w:val="50A531DC"/>
    <w:rsid w:val="511D4A3B"/>
    <w:rsid w:val="51223221"/>
    <w:rsid w:val="515A18E7"/>
    <w:rsid w:val="5180327B"/>
    <w:rsid w:val="5279729B"/>
    <w:rsid w:val="52847E60"/>
    <w:rsid w:val="53126824"/>
    <w:rsid w:val="534D18EE"/>
    <w:rsid w:val="53A85C2F"/>
    <w:rsid w:val="53B97D59"/>
    <w:rsid w:val="53D55C19"/>
    <w:rsid w:val="53D64FBC"/>
    <w:rsid w:val="53E16732"/>
    <w:rsid w:val="54091149"/>
    <w:rsid w:val="543B005B"/>
    <w:rsid w:val="546A0527"/>
    <w:rsid w:val="547E5EFE"/>
    <w:rsid w:val="54FB15F8"/>
    <w:rsid w:val="55282EC5"/>
    <w:rsid w:val="556E4017"/>
    <w:rsid w:val="55B61511"/>
    <w:rsid w:val="55F67F33"/>
    <w:rsid w:val="56285A2C"/>
    <w:rsid w:val="56840263"/>
    <w:rsid w:val="56F76718"/>
    <w:rsid w:val="57074657"/>
    <w:rsid w:val="577605F3"/>
    <w:rsid w:val="578F3C35"/>
    <w:rsid w:val="57913C91"/>
    <w:rsid w:val="57932768"/>
    <w:rsid w:val="57BB4CCE"/>
    <w:rsid w:val="58480E6A"/>
    <w:rsid w:val="58D042A8"/>
    <w:rsid w:val="58DB479F"/>
    <w:rsid w:val="59342F9C"/>
    <w:rsid w:val="599928A8"/>
    <w:rsid w:val="599C2499"/>
    <w:rsid w:val="5A0064C5"/>
    <w:rsid w:val="5A2967DE"/>
    <w:rsid w:val="5AAA5F2F"/>
    <w:rsid w:val="5B486EFA"/>
    <w:rsid w:val="5B5836BE"/>
    <w:rsid w:val="5B66359B"/>
    <w:rsid w:val="5BAC6EB4"/>
    <w:rsid w:val="5BC55E1B"/>
    <w:rsid w:val="5C1062BD"/>
    <w:rsid w:val="5C545DD6"/>
    <w:rsid w:val="5C5736B5"/>
    <w:rsid w:val="5C8B2CA9"/>
    <w:rsid w:val="5CAE745A"/>
    <w:rsid w:val="5CB668AA"/>
    <w:rsid w:val="5CBF6742"/>
    <w:rsid w:val="5D071F45"/>
    <w:rsid w:val="5D197A04"/>
    <w:rsid w:val="5D820EAB"/>
    <w:rsid w:val="5D866949"/>
    <w:rsid w:val="5E034C6A"/>
    <w:rsid w:val="5E4D4914"/>
    <w:rsid w:val="5E513A11"/>
    <w:rsid w:val="5EB4410A"/>
    <w:rsid w:val="5F001A37"/>
    <w:rsid w:val="5F045E89"/>
    <w:rsid w:val="5F1F0C22"/>
    <w:rsid w:val="5F413254"/>
    <w:rsid w:val="5F48111D"/>
    <w:rsid w:val="5FAE1DFB"/>
    <w:rsid w:val="5FD43180"/>
    <w:rsid w:val="5FD91DC4"/>
    <w:rsid w:val="603E1175"/>
    <w:rsid w:val="60807BD6"/>
    <w:rsid w:val="609A227F"/>
    <w:rsid w:val="60CE1200"/>
    <w:rsid w:val="61396187"/>
    <w:rsid w:val="61EE3566"/>
    <w:rsid w:val="621653FF"/>
    <w:rsid w:val="6221354F"/>
    <w:rsid w:val="62A51D42"/>
    <w:rsid w:val="62CC4C09"/>
    <w:rsid w:val="63023035"/>
    <w:rsid w:val="630A6A8E"/>
    <w:rsid w:val="63313733"/>
    <w:rsid w:val="635C1823"/>
    <w:rsid w:val="63D041A3"/>
    <w:rsid w:val="63D65F21"/>
    <w:rsid w:val="63EB43E7"/>
    <w:rsid w:val="64935A44"/>
    <w:rsid w:val="6494069E"/>
    <w:rsid w:val="64F951FF"/>
    <w:rsid w:val="65D612F9"/>
    <w:rsid w:val="65DA0542"/>
    <w:rsid w:val="65F50BAE"/>
    <w:rsid w:val="65FF427C"/>
    <w:rsid w:val="66201E86"/>
    <w:rsid w:val="66331A67"/>
    <w:rsid w:val="66357B5E"/>
    <w:rsid w:val="667C0BBD"/>
    <w:rsid w:val="66AE3065"/>
    <w:rsid w:val="66B334A0"/>
    <w:rsid w:val="66BC35E5"/>
    <w:rsid w:val="672F48E2"/>
    <w:rsid w:val="67316D06"/>
    <w:rsid w:val="67630D20"/>
    <w:rsid w:val="67AE0E7A"/>
    <w:rsid w:val="67ED5E50"/>
    <w:rsid w:val="68784875"/>
    <w:rsid w:val="68853E97"/>
    <w:rsid w:val="68880596"/>
    <w:rsid w:val="688D2DD2"/>
    <w:rsid w:val="68986408"/>
    <w:rsid w:val="68BC77D1"/>
    <w:rsid w:val="696762EE"/>
    <w:rsid w:val="696F5637"/>
    <w:rsid w:val="69762E36"/>
    <w:rsid w:val="69D37072"/>
    <w:rsid w:val="6A1C6D62"/>
    <w:rsid w:val="6AA57CDA"/>
    <w:rsid w:val="6AC10412"/>
    <w:rsid w:val="6ACF4367"/>
    <w:rsid w:val="6AD24527"/>
    <w:rsid w:val="6AD61432"/>
    <w:rsid w:val="6B014E7A"/>
    <w:rsid w:val="6B123B60"/>
    <w:rsid w:val="6B7337D8"/>
    <w:rsid w:val="6BD419A2"/>
    <w:rsid w:val="6BE713B7"/>
    <w:rsid w:val="6D551685"/>
    <w:rsid w:val="6D5A254D"/>
    <w:rsid w:val="6D5E2AE8"/>
    <w:rsid w:val="6D8F189F"/>
    <w:rsid w:val="6D962DD9"/>
    <w:rsid w:val="6DB64F7C"/>
    <w:rsid w:val="6DD43BBB"/>
    <w:rsid w:val="6DD444A8"/>
    <w:rsid w:val="6E0148B3"/>
    <w:rsid w:val="6EA34514"/>
    <w:rsid w:val="6EDB6B60"/>
    <w:rsid w:val="6F54325B"/>
    <w:rsid w:val="6FFF3E93"/>
    <w:rsid w:val="702E0C02"/>
    <w:rsid w:val="704E6133"/>
    <w:rsid w:val="70544573"/>
    <w:rsid w:val="70614264"/>
    <w:rsid w:val="7096237F"/>
    <w:rsid w:val="71282400"/>
    <w:rsid w:val="71D30286"/>
    <w:rsid w:val="71EC72F4"/>
    <w:rsid w:val="72EE4CF3"/>
    <w:rsid w:val="731B7E5F"/>
    <w:rsid w:val="735B64E5"/>
    <w:rsid w:val="73A0615C"/>
    <w:rsid w:val="74A71A24"/>
    <w:rsid w:val="74B34E36"/>
    <w:rsid w:val="74CD632F"/>
    <w:rsid w:val="755128AA"/>
    <w:rsid w:val="757D3F2B"/>
    <w:rsid w:val="76673B0F"/>
    <w:rsid w:val="76E04063"/>
    <w:rsid w:val="77514124"/>
    <w:rsid w:val="77540B09"/>
    <w:rsid w:val="777A0AA5"/>
    <w:rsid w:val="77CB5187"/>
    <w:rsid w:val="77EB7241"/>
    <w:rsid w:val="780F2EC8"/>
    <w:rsid w:val="782A3BA2"/>
    <w:rsid w:val="78415982"/>
    <w:rsid w:val="78AD5C8F"/>
    <w:rsid w:val="78C4617B"/>
    <w:rsid w:val="78FA27B3"/>
    <w:rsid w:val="795530FC"/>
    <w:rsid w:val="796B4C93"/>
    <w:rsid w:val="79A00B5F"/>
    <w:rsid w:val="79B26F55"/>
    <w:rsid w:val="7A175D32"/>
    <w:rsid w:val="7A3910C9"/>
    <w:rsid w:val="7A650814"/>
    <w:rsid w:val="7ADE6A4E"/>
    <w:rsid w:val="7B1A6AC2"/>
    <w:rsid w:val="7C115B2E"/>
    <w:rsid w:val="7C9E2421"/>
    <w:rsid w:val="7CB610BD"/>
    <w:rsid w:val="7CC72A7D"/>
    <w:rsid w:val="7CCE3A54"/>
    <w:rsid w:val="7CF10754"/>
    <w:rsid w:val="7D2D511E"/>
    <w:rsid w:val="7D4010FC"/>
    <w:rsid w:val="7D4455DB"/>
    <w:rsid w:val="7E691CCB"/>
    <w:rsid w:val="7E8559F6"/>
    <w:rsid w:val="7E9477C2"/>
    <w:rsid w:val="7EA778EC"/>
    <w:rsid w:val="7EBC3552"/>
    <w:rsid w:val="7FB5526B"/>
    <w:rsid w:val="7FE44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43"/>
    <w:qFormat/>
    <w:uiPriority w:val="0"/>
    <w:pPr>
      <w:jc w:val="left"/>
    </w:pPr>
  </w:style>
  <w:style w:type="paragraph" w:styleId="6">
    <w:name w:val="Balloon Text"/>
    <w:basedOn w:val="1"/>
    <w:link w:val="42"/>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link w:val="48"/>
    <w:qFormat/>
    <w:uiPriority w:val="0"/>
    <w:pPr>
      <w:ind w:left="420" w:leftChars="200"/>
    </w:pPr>
  </w:style>
  <w:style w:type="paragraph" w:styleId="11">
    <w:name w:val="annotation subject"/>
    <w:basedOn w:val="5"/>
    <w:next w:val="5"/>
    <w:link w:val="44"/>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FollowedHyperlink"/>
    <w:basedOn w:val="14"/>
    <w:qFormat/>
    <w:uiPriority w:val="0"/>
    <w:rPr>
      <w:color w:val="333333"/>
      <w:u w:val="none"/>
    </w:rPr>
  </w:style>
  <w:style w:type="character" w:styleId="17">
    <w:name w:val="Emphasis"/>
    <w:basedOn w:val="14"/>
    <w:qFormat/>
    <w:uiPriority w:val="0"/>
  </w:style>
  <w:style w:type="character" w:styleId="18">
    <w:name w:val="HTML Definition"/>
    <w:basedOn w:val="14"/>
    <w:qFormat/>
    <w:uiPriority w:val="0"/>
    <w:rPr>
      <w:i/>
      <w:color w:val="CC0000"/>
    </w:rPr>
  </w:style>
  <w:style w:type="character" w:styleId="19">
    <w:name w:val="Hyperlink"/>
    <w:basedOn w:val="14"/>
    <w:qFormat/>
    <w:uiPriority w:val="0"/>
    <w:rPr>
      <w:color w:val="333333"/>
      <w:u w:val="none"/>
    </w:rPr>
  </w:style>
  <w:style w:type="character" w:styleId="20">
    <w:name w:val="HTML Code"/>
    <w:basedOn w:val="14"/>
    <w:qFormat/>
    <w:uiPriority w:val="0"/>
    <w:rPr>
      <w:rFonts w:hint="default" w:ascii="Consolas" w:hAnsi="Consolas" w:eastAsia="Consolas" w:cs="Consolas"/>
      <w:color w:val="C7254E"/>
      <w:sz w:val="21"/>
      <w:szCs w:val="21"/>
      <w:shd w:val="clear" w:color="auto" w:fill="F9F2F4"/>
    </w:rPr>
  </w:style>
  <w:style w:type="character" w:styleId="21">
    <w:name w:val="annotation reference"/>
    <w:basedOn w:val="14"/>
    <w:qFormat/>
    <w:uiPriority w:val="0"/>
    <w:rPr>
      <w:sz w:val="21"/>
      <w:szCs w:val="21"/>
    </w:rPr>
  </w:style>
  <w:style w:type="character" w:styleId="22">
    <w:name w:val="HTML Keyboard"/>
    <w:basedOn w:val="14"/>
    <w:qFormat/>
    <w:uiPriority w:val="0"/>
    <w:rPr>
      <w:rFonts w:ascii="Consolas" w:hAnsi="Consolas" w:eastAsia="Consolas" w:cs="Consolas"/>
      <w:color w:val="FFFFFF"/>
      <w:sz w:val="21"/>
      <w:szCs w:val="21"/>
      <w:shd w:val="clear" w:color="auto" w:fill="333333"/>
    </w:rPr>
  </w:style>
  <w:style w:type="character" w:styleId="23">
    <w:name w:val="HTML Sample"/>
    <w:basedOn w:val="14"/>
    <w:qFormat/>
    <w:uiPriority w:val="0"/>
    <w:rPr>
      <w:rFonts w:hint="default" w:ascii="Consolas" w:hAnsi="Consolas" w:eastAsia="Consolas" w:cs="Consolas"/>
      <w:sz w:val="21"/>
      <w:szCs w:val="21"/>
    </w:rPr>
  </w:style>
  <w:style w:type="character" w:customStyle="1" w:styleId="24">
    <w:name w:val="标题 1 Char"/>
    <w:link w:val="2"/>
    <w:qFormat/>
    <w:uiPriority w:val="0"/>
    <w:rPr>
      <w:b/>
      <w:kern w:val="44"/>
      <w:sz w:val="44"/>
    </w:rPr>
  </w:style>
  <w:style w:type="character" w:customStyle="1" w:styleId="25">
    <w:name w:val="font21"/>
    <w:basedOn w:val="14"/>
    <w:qFormat/>
    <w:uiPriority w:val="0"/>
    <w:rPr>
      <w:rFonts w:hint="eastAsia" w:ascii="宋体" w:hAnsi="宋体" w:eastAsia="宋体" w:cs="宋体"/>
      <w:color w:val="000000"/>
      <w:sz w:val="20"/>
      <w:szCs w:val="20"/>
      <w:u w:val="none"/>
    </w:rPr>
  </w:style>
  <w:style w:type="character" w:customStyle="1" w:styleId="26">
    <w:name w:val="font01"/>
    <w:basedOn w:val="14"/>
    <w:qFormat/>
    <w:uiPriority w:val="0"/>
    <w:rPr>
      <w:rFonts w:hint="eastAsia" w:ascii="宋体" w:hAnsi="宋体" w:eastAsia="宋体" w:cs="宋体"/>
      <w:color w:val="0C0C0C"/>
      <w:sz w:val="20"/>
      <w:szCs w:val="20"/>
      <w:u w:val="none"/>
    </w:rPr>
  </w:style>
  <w:style w:type="character" w:customStyle="1" w:styleId="27">
    <w:name w:val="font11"/>
    <w:basedOn w:val="14"/>
    <w:qFormat/>
    <w:uiPriority w:val="0"/>
    <w:rPr>
      <w:rFonts w:hint="eastAsia" w:ascii="宋体" w:hAnsi="宋体" w:eastAsia="宋体" w:cs="宋体"/>
      <w:color w:val="000000"/>
      <w:sz w:val="20"/>
      <w:szCs w:val="20"/>
      <w:u w:val="none"/>
    </w:rPr>
  </w:style>
  <w:style w:type="character" w:customStyle="1" w:styleId="28">
    <w:name w:val="jedateymchok"/>
    <w:basedOn w:val="14"/>
    <w:qFormat/>
    <w:uiPriority w:val="0"/>
    <w:rPr>
      <w:color w:val="FFFFFF"/>
      <w:sz w:val="18"/>
      <w:szCs w:val="18"/>
      <w:shd w:val="clear" w:color="auto" w:fill="D91600"/>
    </w:rPr>
  </w:style>
  <w:style w:type="character" w:customStyle="1" w:styleId="29">
    <w:name w:val="first-child"/>
    <w:basedOn w:val="14"/>
    <w:qFormat/>
    <w:uiPriority w:val="0"/>
  </w:style>
  <w:style w:type="character" w:customStyle="1" w:styleId="30">
    <w:name w:val="jedateymchle"/>
    <w:basedOn w:val="14"/>
    <w:qFormat/>
    <w:uiPriority w:val="0"/>
    <w:rPr>
      <w:color w:val="555555"/>
      <w:sz w:val="24"/>
      <w:szCs w:val="24"/>
      <w:shd w:val="clear" w:color="auto" w:fill="F0F0F0"/>
    </w:rPr>
  </w:style>
  <w:style w:type="character" w:customStyle="1" w:styleId="31">
    <w:name w:val="fl"/>
    <w:basedOn w:val="14"/>
    <w:qFormat/>
    <w:uiPriority w:val="0"/>
  </w:style>
  <w:style w:type="character" w:customStyle="1" w:styleId="32">
    <w:name w:val="jedateymchri"/>
    <w:basedOn w:val="14"/>
    <w:qFormat/>
    <w:uiPriority w:val="0"/>
    <w:rPr>
      <w:color w:val="555555"/>
      <w:sz w:val="24"/>
      <w:szCs w:val="24"/>
      <w:shd w:val="clear" w:color="auto" w:fill="F0F0F0"/>
    </w:rPr>
  </w:style>
  <w:style w:type="character" w:customStyle="1" w:styleId="33">
    <w:name w:val="jedateymchri1"/>
    <w:basedOn w:val="14"/>
    <w:qFormat/>
    <w:uiPriority w:val="0"/>
    <w:rPr>
      <w:color w:val="555555"/>
      <w:sz w:val="24"/>
      <w:szCs w:val="24"/>
      <w:shd w:val="clear" w:color="auto" w:fill="F0F0F0"/>
    </w:rPr>
  </w:style>
  <w:style w:type="character" w:customStyle="1" w:styleId="34">
    <w:name w:val="jedateymchri2"/>
    <w:basedOn w:val="14"/>
    <w:qFormat/>
    <w:uiPriority w:val="0"/>
    <w:rPr>
      <w:color w:val="555555"/>
      <w:sz w:val="24"/>
      <w:szCs w:val="24"/>
      <w:shd w:val="clear" w:color="auto" w:fill="F0F0F0"/>
    </w:rPr>
  </w:style>
  <w:style w:type="character" w:customStyle="1" w:styleId="35">
    <w:name w:val="jedateymchri3"/>
    <w:basedOn w:val="14"/>
    <w:qFormat/>
    <w:uiPriority w:val="0"/>
    <w:rPr>
      <w:color w:val="1F547E"/>
      <w:sz w:val="24"/>
      <w:szCs w:val="24"/>
      <w:shd w:val="clear" w:color="auto" w:fill="ECF4FB"/>
    </w:rPr>
  </w:style>
  <w:style w:type="character" w:customStyle="1" w:styleId="36">
    <w:name w:val="layui-layer-tabnow"/>
    <w:basedOn w:val="14"/>
    <w:qFormat/>
    <w:uiPriority w:val="0"/>
    <w:rPr>
      <w:bdr w:val="single" w:color="CCCCCC" w:sz="6" w:space="0"/>
      <w:shd w:val="clear" w:color="auto" w:fill="FFFFFF"/>
    </w:rPr>
  </w:style>
  <w:style w:type="character" w:customStyle="1" w:styleId="37">
    <w:name w:val="icon-cry"/>
    <w:basedOn w:val="14"/>
    <w:qFormat/>
    <w:uiPriority w:val="0"/>
  </w:style>
  <w:style w:type="character" w:customStyle="1" w:styleId="38">
    <w:name w:val="nav-icon22"/>
    <w:basedOn w:val="14"/>
    <w:qFormat/>
    <w:uiPriority w:val="0"/>
  </w:style>
  <w:style w:type="character" w:customStyle="1" w:styleId="39">
    <w:name w:val="list-item-name"/>
    <w:basedOn w:val="14"/>
    <w:qFormat/>
    <w:uiPriority w:val="0"/>
    <w:rPr>
      <w:color w:val="333333"/>
      <w:sz w:val="24"/>
      <w:szCs w:val="2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2">
    <w:name w:val="批注框文本 Char"/>
    <w:basedOn w:val="14"/>
    <w:link w:val="6"/>
    <w:qFormat/>
    <w:uiPriority w:val="0"/>
    <w:rPr>
      <w:kern w:val="2"/>
      <w:sz w:val="18"/>
      <w:szCs w:val="18"/>
    </w:rPr>
  </w:style>
  <w:style w:type="character" w:customStyle="1" w:styleId="43">
    <w:name w:val="批注文字 Char"/>
    <w:basedOn w:val="14"/>
    <w:link w:val="5"/>
    <w:qFormat/>
    <w:uiPriority w:val="0"/>
    <w:rPr>
      <w:kern w:val="2"/>
      <w:sz w:val="21"/>
      <w:szCs w:val="24"/>
    </w:rPr>
  </w:style>
  <w:style w:type="character" w:customStyle="1" w:styleId="44">
    <w:name w:val="批注主题 Char"/>
    <w:basedOn w:val="43"/>
    <w:link w:val="11"/>
    <w:qFormat/>
    <w:uiPriority w:val="0"/>
    <w:rPr>
      <w:b/>
      <w:bCs/>
      <w:kern w:val="2"/>
      <w:sz w:val="21"/>
      <w:szCs w:val="24"/>
    </w:rPr>
  </w:style>
  <w:style w:type="character" w:customStyle="1" w:styleId="45">
    <w:name w:val="font31"/>
    <w:basedOn w:val="14"/>
    <w:qFormat/>
    <w:uiPriority w:val="0"/>
    <w:rPr>
      <w:rFonts w:hint="eastAsia" w:ascii="宋体" w:hAnsi="宋体" w:eastAsia="宋体" w:cs="宋体"/>
      <w:color w:val="000000"/>
      <w:sz w:val="20"/>
      <w:szCs w:val="20"/>
      <w:u w:val="none"/>
    </w:rPr>
  </w:style>
  <w:style w:type="character" w:customStyle="1" w:styleId="46">
    <w:name w:val="font41"/>
    <w:basedOn w:val="14"/>
    <w:qFormat/>
    <w:uiPriority w:val="0"/>
    <w:rPr>
      <w:rFonts w:hint="default" w:ascii="MingLiU" w:hAnsi="MingLiU" w:eastAsia="MingLiU" w:cs="MingLiU"/>
      <w:color w:val="000000"/>
      <w:sz w:val="20"/>
      <w:szCs w:val="20"/>
      <w:u w:val="none"/>
    </w:rPr>
  </w:style>
  <w:style w:type="character" w:customStyle="1" w:styleId="47">
    <w:name w:val="font51"/>
    <w:basedOn w:val="14"/>
    <w:qFormat/>
    <w:uiPriority w:val="0"/>
    <w:rPr>
      <w:rFonts w:hint="eastAsia" w:ascii="宋体" w:hAnsi="宋体" w:eastAsia="宋体" w:cs="宋体"/>
      <w:color w:val="000000"/>
      <w:sz w:val="20"/>
      <w:szCs w:val="20"/>
      <w:u w:val="none"/>
    </w:rPr>
  </w:style>
  <w:style w:type="character" w:customStyle="1" w:styleId="48">
    <w:name w:val="目录 2 Char"/>
    <w:link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3158</Words>
  <Characters>18005</Characters>
  <Lines>150</Lines>
  <Paragraphs>42</Paragraphs>
  <TotalTime>2</TotalTime>
  <ScaleCrop>false</ScaleCrop>
  <LinksUpToDate>false</LinksUpToDate>
  <CharactersWithSpaces>21121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2021-03-08T01:14:00Z</dcterms:created>
  <dc:creator>刘涛</dc:creator>
  <cp:lastModifiedBy>冯望</cp:lastModifiedBy>
  <dcterms:modified xsi:type="dcterms:W3CDTF">2021-03-08T02:16:38Z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