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E239" w14:textId="77777777" w:rsidR="00967DBA" w:rsidRPr="001E2D40" w:rsidRDefault="00967DBA" w:rsidP="00967DBA">
      <w:pPr>
        <w:pStyle w:val="1"/>
        <w:topLinePunct/>
        <w:jc w:val="left"/>
        <w:rPr>
          <w:rFonts w:ascii="仿宋_GB2312" w:hAnsi="仿宋"/>
        </w:rPr>
      </w:pPr>
      <w:bookmarkStart w:id="0" w:name="_Toc233265677"/>
      <w:bookmarkStart w:id="1" w:name="_Toc233266229"/>
      <w:bookmarkStart w:id="2" w:name="_Toc233266697"/>
      <w:bookmarkStart w:id="3" w:name="_Toc233266771"/>
      <w:bookmarkStart w:id="4" w:name="_Toc372725955"/>
      <w:r w:rsidRPr="001E2D40">
        <w:rPr>
          <w:rFonts w:ascii="仿宋_GB2312" w:hAnsi="仿宋" w:hint="eastAsia"/>
        </w:rPr>
        <w:t>附件一:</w:t>
      </w:r>
    </w:p>
    <w:p w14:paraId="030291BC" w14:textId="77777777" w:rsidR="004A2D2A" w:rsidRPr="001E2D40" w:rsidRDefault="004A2D2A" w:rsidP="00357234">
      <w:pPr>
        <w:pStyle w:val="1"/>
        <w:topLinePunct/>
        <w:ind w:firstLineChars="200" w:firstLine="643"/>
        <w:rPr>
          <w:rFonts w:ascii="仿宋_GB2312" w:hAnsi="仿宋"/>
        </w:rPr>
      </w:pPr>
      <w:r w:rsidRPr="001E2D40">
        <w:rPr>
          <w:rFonts w:ascii="仿宋_GB2312" w:hAnsi="仿宋" w:hint="eastAsia"/>
        </w:rPr>
        <w:t>企业关于进行资产评估有关事项的说明</w:t>
      </w:r>
      <w:bookmarkEnd w:id="0"/>
      <w:bookmarkEnd w:id="1"/>
      <w:bookmarkEnd w:id="2"/>
      <w:bookmarkEnd w:id="3"/>
      <w:bookmarkEnd w:id="4"/>
    </w:p>
    <w:p w14:paraId="149D7D0A"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bookmarkStart w:id="5" w:name="_Toc233265678"/>
      <w:bookmarkStart w:id="6" w:name="_Toc233266230"/>
      <w:bookmarkStart w:id="7" w:name="_Toc233266698"/>
      <w:bookmarkStart w:id="8" w:name="_Toc233266772"/>
      <w:bookmarkStart w:id="9" w:name="_Toc372725956"/>
      <w:r w:rsidRPr="001E2D40">
        <w:rPr>
          <w:rFonts w:ascii="仿宋_GB2312" w:hAnsi="仿宋" w:hint="eastAsia"/>
          <w:sz w:val="24"/>
          <w:szCs w:val="24"/>
        </w:rPr>
        <w:t>委托方与被评估单位概况</w:t>
      </w:r>
      <w:bookmarkEnd w:id="5"/>
      <w:bookmarkEnd w:id="6"/>
      <w:bookmarkEnd w:id="7"/>
      <w:bookmarkEnd w:id="8"/>
      <w:bookmarkEnd w:id="9"/>
    </w:p>
    <w:p w14:paraId="0110F175" w14:textId="7C402BB4" w:rsidR="00263CE7" w:rsidRPr="00263CE7" w:rsidRDefault="001F7268" w:rsidP="00263CE7">
      <w:pPr>
        <w:topLinePunct/>
        <w:adjustRightInd w:val="0"/>
        <w:ind w:firstLineChars="200" w:firstLine="480"/>
        <w:rPr>
          <w:rFonts w:ascii="仿宋_GB2312" w:hAnsi="仿宋"/>
        </w:rPr>
      </w:pPr>
      <w:r w:rsidRPr="001F7268">
        <w:rPr>
          <w:rFonts w:ascii="仿宋_GB2312" w:hAnsi="仿宋" w:hint="eastAsia"/>
        </w:rPr>
        <w:t>本项目的委托人及被评估单位均为</w:t>
      </w:r>
      <w:r w:rsidR="0036365F">
        <w:rPr>
          <w:rFonts w:ascii="仿宋_GB2312" w:hAnsi="仿宋" w:hint="eastAsia"/>
        </w:rPr>
        <w:t>北京月亮峡谷旅游开发有限公司</w:t>
      </w:r>
      <w:r w:rsidRPr="001F7268">
        <w:rPr>
          <w:rFonts w:ascii="仿宋_GB2312" w:hAnsi="仿宋" w:hint="eastAsia"/>
        </w:rPr>
        <w:t>，评估报告使用人为委托人及国家法律法规规定的评估报告使用人。</w:t>
      </w:r>
    </w:p>
    <w:p w14:paraId="020BC9BC" w14:textId="5CAB8486" w:rsidR="00263CE7" w:rsidRPr="00263CE7" w:rsidRDefault="00263CE7" w:rsidP="00263CE7">
      <w:pPr>
        <w:topLinePunct/>
        <w:adjustRightInd w:val="0"/>
        <w:ind w:firstLineChars="200" w:firstLine="480"/>
        <w:rPr>
          <w:rFonts w:ascii="仿宋_GB2312" w:hAnsi="仿宋"/>
        </w:rPr>
      </w:pPr>
      <w:r w:rsidRPr="00263CE7">
        <w:rPr>
          <w:rFonts w:ascii="仿宋_GB2312" w:hAnsi="仿宋" w:hint="eastAsia"/>
        </w:rPr>
        <w:t>（一）</w:t>
      </w:r>
      <w:r w:rsidRPr="00263CE7">
        <w:rPr>
          <w:rFonts w:ascii="仿宋_GB2312" w:hAnsi="仿宋" w:hint="eastAsia"/>
        </w:rPr>
        <w:tab/>
        <w:t>概况</w:t>
      </w:r>
    </w:p>
    <w:p w14:paraId="1BA13750"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统一社会信用代码：91110228679618412L</w:t>
      </w:r>
    </w:p>
    <w:p w14:paraId="12D3C012"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企业名称：北京月亮峡谷旅游开发有限公司</w:t>
      </w:r>
    </w:p>
    <w:p w14:paraId="607C3B5E"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公司类型：有限责任公司(法人独资)</w:t>
      </w:r>
    </w:p>
    <w:p w14:paraId="18FE7445"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住    所：北京市密云区溪翁庄镇政府东侧7号楼2层</w:t>
      </w:r>
    </w:p>
    <w:p w14:paraId="74BF3CDA"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法定代表人：</w:t>
      </w:r>
      <w:proofErr w:type="gramStart"/>
      <w:r w:rsidRPr="0036365F">
        <w:rPr>
          <w:rFonts w:ascii="仿宋_GB2312" w:hAnsi="仿宋" w:hint="eastAsia"/>
        </w:rPr>
        <w:t>戚春生</w:t>
      </w:r>
      <w:proofErr w:type="gramEnd"/>
    </w:p>
    <w:p w14:paraId="678E6377"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注册资本：7600万元</w:t>
      </w:r>
    </w:p>
    <w:p w14:paraId="5C8AB833" w14:textId="77777777" w:rsidR="0036365F" w:rsidRPr="0036365F" w:rsidRDefault="0036365F" w:rsidP="0036365F">
      <w:pPr>
        <w:topLinePunct/>
        <w:adjustRightInd w:val="0"/>
        <w:ind w:firstLineChars="200" w:firstLine="480"/>
        <w:rPr>
          <w:rFonts w:ascii="仿宋_GB2312" w:hAnsi="仿宋" w:hint="eastAsia"/>
        </w:rPr>
      </w:pPr>
      <w:r w:rsidRPr="0036365F">
        <w:rPr>
          <w:rFonts w:ascii="仿宋_GB2312" w:hAnsi="仿宋" w:hint="eastAsia"/>
        </w:rPr>
        <w:t>成立日期：2008年08月27日</w:t>
      </w:r>
    </w:p>
    <w:p w14:paraId="14F327A1" w14:textId="5B4A548C" w:rsidR="0036365F" w:rsidRPr="00263CE7" w:rsidRDefault="0036365F" w:rsidP="001F7268">
      <w:pPr>
        <w:topLinePunct/>
        <w:adjustRightInd w:val="0"/>
        <w:ind w:firstLineChars="200" w:firstLine="480"/>
        <w:rPr>
          <w:rFonts w:ascii="仿宋_GB2312" w:hAnsi="仿宋" w:hint="eastAsia"/>
        </w:rPr>
      </w:pPr>
      <w:r w:rsidRPr="0036365F">
        <w:rPr>
          <w:rFonts w:ascii="仿宋_GB2312" w:hAnsi="仿宋" w:hint="eastAsia"/>
        </w:rPr>
        <w:t>经营范围：旅游资源开发（不含旅游业务）；组织文化艺术交流活动（不含演出及棋牌娱乐）；承办展览展示；图文设计、制作；技术开发、技术转让、技术咨询；商务信息咨询（不含中介）；会议服务；市场调查；企业营销、形象策划。（企业依法自主选择经营项目，开展经营活动；依法须经批准的项目，经相关部门批准后依批准的内容开展经营活动；不得从事本市产业政策禁止和限制类项目的经营活动。）</w:t>
      </w:r>
    </w:p>
    <w:p w14:paraId="220D3DAB" w14:textId="3C5AD94D" w:rsidR="00263CE7" w:rsidRPr="00263CE7" w:rsidRDefault="00263CE7" w:rsidP="00263CE7">
      <w:pPr>
        <w:topLinePunct/>
        <w:adjustRightInd w:val="0"/>
        <w:ind w:firstLineChars="200" w:firstLine="480"/>
        <w:rPr>
          <w:rFonts w:ascii="仿宋_GB2312" w:hAnsi="仿宋"/>
        </w:rPr>
      </w:pPr>
      <w:r w:rsidRPr="00263CE7">
        <w:rPr>
          <w:rFonts w:ascii="仿宋_GB2312" w:hAnsi="仿宋" w:hint="eastAsia"/>
        </w:rPr>
        <w:t>（二）</w:t>
      </w:r>
      <w:r w:rsidRPr="00263CE7">
        <w:rPr>
          <w:rFonts w:ascii="仿宋_GB2312" w:hAnsi="仿宋" w:hint="eastAsia"/>
        </w:rPr>
        <w:tab/>
      </w:r>
      <w:r w:rsidR="001F7268">
        <w:rPr>
          <w:rFonts w:ascii="仿宋_GB2312" w:hAnsi="仿宋" w:hint="eastAsia"/>
        </w:rPr>
        <w:t>企业</w:t>
      </w:r>
      <w:r w:rsidR="001F7268">
        <w:rPr>
          <w:rFonts w:ascii="仿宋_GB2312" w:hAnsi="仿宋"/>
        </w:rPr>
        <w:t>简介</w:t>
      </w:r>
    </w:p>
    <w:p w14:paraId="6A919FC8" w14:textId="753DEE79" w:rsidR="001F7268" w:rsidRDefault="0036365F" w:rsidP="00263CE7">
      <w:pPr>
        <w:topLinePunct/>
        <w:adjustRightInd w:val="0"/>
        <w:ind w:firstLineChars="200" w:firstLine="480"/>
        <w:rPr>
          <w:rFonts w:ascii="仿宋_GB2312" w:hAnsi="仿宋"/>
        </w:rPr>
      </w:pPr>
      <w:r w:rsidRPr="0036365F">
        <w:rPr>
          <w:rFonts w:ascii="仿宋_GB2312" w:hAnsi="仿宋" w:hint="eastAsia"/>
        </w:rPr>
        <w:t>北京月亮峡谷旅游开发有限公司成立于2008年08月27日，办公住所位于北京市密云区溪翁庄镇政府东侧7号楼2层，注册资本7600万元人民币。经营范围为旅游资源开发（不含旅游业务）；组织文化艺术交流活动（不含演出及棋牌娱乐）；承办展览展示；图文设计、制作；技术开发、技术转让、技术咨询；商务信息咨询（不含中介）；会议服务；市场调查；企业营销、形象策划。北京月亮峡谷旅游开发有限公司为北京东润投资集团有限公司全资子公司，实物资产为月亮河天鹅堡会所项目，项目用地位于密云溪翁庄镇密云</w:t>
      </w:r>
      <w:proofErr w:type="gramStart"/>
      <w:r w:rsidRPr="0036365F">
        <w:rPr>
          <w:rFonts w:ascii="仿宋_GB2312" w:hAnsi="仿宋" w:hint="eastAsia"/>
        </w:rPr>
        <w:t>水库环</w:t>
      </w:r>
      <w:proofErr w:type="gramEnd"/>
      <w:r w:rsidRPr="0036365F">
        <w:rPr>
          <w:rFonts w:ascii="仿宋_GB2312" w:hAnsi="仿宋" w:hint="eastAsia"/>
        </w:rPr>
        <w:t>湖路旁。</w:t>
      </w:r>
    </w:p>
    <w:p w14:paraId="708CFBF6" w14:textId="0D60307F" w:rsidR="00263CE7" w:rsidRPr="00263CE7" w:rsidRDefault="001F7268" w:rsidP="00263CE7">
      <w:pPr>
        <w:topLinePunct/>
        <w:adjustRightInd w:val="0"/>
        <w:ind w:firstLineChars="200" w:firstLine="480"/>
        <w:rPr>
          <w:rFonts w:ascii="仿宋_GB2312" w:hAnsi="仿宋"/>
        </w:rPr>
      </w:pPr>
      <w:r>
        <w:rPr>
          <w:rFonts w:ascii="仿宋_GB2312" w:hAnsi="仿宋" w:hint="eastAsia"/>
        </w:rPr>
        <w:t>（三</w:t>
      </w:r>
      <w:r w:rsidRPr="00263CE7">
        <w:rPr>
          <w:rFonts w:ascii="仿宋_GB2312" w:hAnsi="仿宋" w:hint="eastAsia"/>
        </w:rPr>
        <w:t>）</w:t>
      </w:r>
      <w:r w:rsidRPr="00263CE7">
        <w:rPr>
          <w:rFonts w:ascii="仿宋_GB2312" w:hAnsi="仿宋" w:hint="eastAsia"/>
        </w:rPr>
        <w:tab/>
      </w:r>
      <w:r w:rsidR="00263CE7" w:rsidRPr="00263CE7">
        <w:rPr>
          <w:rFonts w:ascii="仿宋_GB2312" w:hAnsi="仿宋" w:hint="eastAsia"/>
        </w:rPr>
        <w:t>股权结构</w:t>
      </w:r>
    </w:p>
    <w:p w14:paraId="61200B62" w14:textId="216EEFF2" w:rsidR="001F7268" w:rsidRDefault="001F7268" w:rsidP="001F7268">
      <w:pPr>
        <w:topLinePunct/>
        <w:adjustRightInd w:val="0"/>
        <w:ind w:firstLineChars="200" w:firstLine="480"/>
        <w:rPr>
          <w:rFonts w:ascii="仿宋_GB2312" w:hAnsi="仿宋"/>
        </w:rPr>
      </w:pPr>
      <w:bookmarkStart w:id="10" w:name="_Toc233265679"/>
      <w:bookmarkStart w:id="11" w:name="_Toc233266231"/>
      <w:bookmarkStart w:id="12" w:name="_Toc233266699"/>
      <w:bookmarkStart w:id="13" w:name="_Toc233266773"/>
      <w:bookmarkStart w:id="14" w:name="_Toc246145020"/>
      <w:bookmarkStart w:id="15" w:name="_Toc233265680"/>
      <w:bookmarkStart w:id="16" w:name="_Toc233266232"/>
      <w:bookmarkStart w:id="17" w:name="_Toc233266700"/>
      <w:bookmarkStart w:id="18" w:name="_Toc233266774"/>
      <w:bookmarkStart w:id="19" w:name="_Toc372725958"/>
      <w:r w:rsidRPr="001F7268">
        <w:rPr>
          <w:rFonts w:ascii="仿宋_GB2312" w:hAnsi="仿宋"/>
        </w:rPr>
        <w:lastRenderedPageBreak/>
        <w:t>至评估基准日，</w:t>
      </w:r>
      <w:r w:rsidR="0036365F">
        <w:rPr>
          <w:rFonts w:ascii="仿宋_GB2312" w:hAnsi="仿宋"/>
        </w:rPr>
        <w:t>北京月亮峡谷旅游开发有限公司</w:t>
      </w:r>
      <w:r w:rsidRPr="001F7268">
        <w:rPr>
          <w:rFonts w:ascii="仿宋_GB2312" w:hAnsi="仿宋"/>
        </w:rPr>
        <w:t>股权结构如下：</w:t>
      </w:r>
    </w:p>
    <w:tbl>
      <w:tblPr>
        <w:tblW w:w="88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42"/>
        <w:gridCol w:w="2025"/>
        <w:gridCol w:w="1530"/>
        <w:gridCol w:w="1559"/>
        <w:gridCol w:w="1532"/>
      </w:tblGrid>
      <w:tr w:rsidR="0036365F" w:rsidRPr="0036365F" w14:paraId="5918D40F" w14:textId="77777777" w:rsidTr="0036365F">
        <w:trPr>
          <w:jc w:val="center"/>
        </w:trPr>
        <w:tc>
          <w:tcPr>
            <w:tcW w:w="2242" w:type="dxa"/>
            <w:vAlign w:val="center"/>
          </w:tcPr>
          <w:p w14:paraId="3E757BA6"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股东</w:t>
            </w:r>
          </w:p>
        </w:tc>
        <w:tc>
          <w:tcPr>
            <w:tcW w:w="2025" w:type="dxa"/>
            <w:vAlign w:val="center"/>
          </w:tcPr>
          <w:p w14:paraId="3C1568C5"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出资额（万元）</w:t>
            </w:r>
          </w:p>
        </w:tc>
        <w:tc>
          <w:tcPr>
            <w:tcW w:w="1530" w:type="dxa"/>
            <w:vAlign w:val="center"/>
          </w:tcPr>
          <w:p w14:paraId="1C6122C3"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出资时间</w:t>
            </w:r>
          </w:p>
        </w:tc>
        <w:tc>
          <w:tcPr>
            <w:tcW w:w="1559" w:type="dxa"/>
            <w:vAlign w:val="center"/>
          </w:tcPr>
          <w:p w14:paraId="557F5A78"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出资方式</w:t>
            </w:r>
          </w:p>
        </w:tc>
        <w:tc>
          <w:tcPr>
            <w:tcW w:w="1532" w:type="dxa"/>
            <w:vAlign w:val="center"/>
          </w:tcPr>
          <w:p w14:paraId="11BEA050"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所占比例</w:t>
            </w:r>
          </w:p>
        </w:tc>
      </w:tr>
      <w:tr w:rsidR="0036365F" w:rsidRPr="0036365F" w14:paraId="71368CB8" w14:textId="77777777" w:rsidTr="0036365F">
        <w:trPr>
          <w:jc w:val="center"/>
        </w:trPr>
        <w:tc>
          <w:tcPr>
            <w:tcW w:w="2242" w:type="dxa"/>
            <w:vMerge w:val="restart"/>
            <w:vAlign w:val="center"/>
          </w:tcPr>
          <w:p w14:paraId="288C29BA"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北京东润投资集团有限公司</w:t>
            </w:r>
          </w:p>
        </w:tc>
        <w:tc>
          <w:tcPr>
            <w:tcW w:w="2025" w:type="dxa"/>
            <w:vAlign w:val="center"/>
          </w:tcPr>
          <w:p w14:paraId="24299C17"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640</w:t>
            </w:r>
          </w:p>
        </w:tc>
        <w:tc>
          <w:tcPr>
            <w:tcW w:w="1530" w:type="dxa"/>
            <w:vAlign w:val="center"/>
          </w:tcPr>
          <w:p w14:paraId="6B55D7D3"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2011-12-30</w:t>
            </w:r>
          </w:p>
        </w:tc>
        <w:tc>
          <w:tcPr>
            <w:tcW w:w="1559" w:type="dxa"/>
            <w:vAlign w:val="center"/>
          </w:tcPr>
          <w:p w14:paraId="57459FB4"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土地使用权</w:t>
            </w:r>
          </w:p>
        </w:tc>
        <w:tc>
          <w:tcPr>
            <w:tcW w:w="1532" w:type="dxa"/>
            <w:vMerge w:val="restart"/>
            <w:vAlign w:val="center"/>
          </w:tcPr>
          <w:p w14:paraId="250CA584"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100%</w:t>
            </w:r>
          </w:p>
        </w:tc>
      </w:tr>
      <w:tr w:rsidR="0036365F" w:rsidRPr="0036365F" w14:paraId="2DF358EE" w14:textId="77777777" w:rsidTr="0036365F">
        <w:trPr>
          <w:jc w:val="center"/>
        </w:trPr>
        <w:tc>
          <w:tcPr>
            <w:tcW w:w="2242" w:type="dxa"/>
            <w:vMerge/>
            <w:vAlign w:val="center"/>
          </w:tcPr>
          <w:p w14:paraId="54C171E4" w14:textId="77777777" w:rsidR="0036365F" w:rsidRPr="0036365F" w:rsidRDefault="0036365F" w:rsidP="0036365F">
            <w:pPr>
              <w:pStyle w:val="a4"/>
              <w:topLinePunct/>
              <w:spacing w:line="276" w:lineRule="auto"/>
              <w:ind w:leftChars="0" w:left="0"/>
              <w:jc w:val="center"/>
              <w:rPr>
                <w:sz w:val="21"/>
                <w:szCs w:val="21"/>
              </w:rPr>
            </w:pPr>
          </w:p>
        </w:tc>
        <w:tc>
          <w:tcPr>
            <w:tcW w:w="2025" w:type="dxa"/>
            <w:vAlign w:val="center"/>
          </w:tcPr>
          <w:p w14:paraId="1C3B2C32"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6680</w:t>
            </w:r>
          </w:p>
        </w:tc>
        <w:tc>
          <w:tcPr>
            <w:tcW w:w="1530" w:type="dxa"/>
            <w:vAlign w:val="center"/>
          </w:tcPr>
          <w:p w14:paraId="251B3103"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2023-4-30</w:t>
            </w:r>
          </w:p>
        </w:tc>
        <w:tc>
          <w:tcPr>
            <w:tcW w:w="1559" w:type="dxa"/>
            <w:vAlign w:val="center"/>
          </w:tcPr>
          <w:p w14:paraId="1F34186F"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货币</w:t>
            </w:r>
          </w:p>
        </w:tc>
        <w:tc>
          <w:tcPr>
            <w:tcW w:w="1532" w:type="dxa"/>
            <w:vMerge/>
            <w:vAlign w:val="center"/>
          </w:tcPr>
          <w:p w14:paraId="2C9A13B9" w14:textId="77777777" w:rsidR="0036365F" w:rsidRPr="0036365F" w:rsidRDefault="0036365F" w:rsidP="0036365F">
            <w:pPr>
              <w:pStyle w:val="a4"/>
              <w:topLinePunct/>
              <w:spacing w:line="276" w:lineRule="auto"/>
              <w:ind w:leftChars="0" w:left="0"/>
              <w:jc w:val="center"/>
              <w:rPr>
                <w:sz w:val="21"/>
                <w:szCs w:val="21"/>
              </w:rPr>
            </w:pPr>
          </w:p>
        </w:tc>
      </w:tr>
      <w:tr w:rsidR="0036365F" w:rsidRPr="0036365F" w14:paraId="75783F59" w14:textId="77777777" w:rsidTr="0036365F">
        <w:trPr>
          <w:jc w:val="center"/>
        </w:trPr>
        <w:tc>
          <w:tcPr>
            <w:tcW w:w="2242" w:type="dxa"/>
            <w:vMerge/>
            <w:vAlign w:val="center"/>
          </w:tcPr>
          <w:p w14:paraId="6BA76931" w14:textId="77777777" w:rsidR="0036365F" w:rsidRPr="0036365F" w:rsidRDefault="0036365F" w:rsidP="0036365F">
            <w:pPr>
              <w:pStyle w:val="a4"/>
              <w:topLinePunct/>
              <w:spacing w:line="276" w:lineRule="auto"/>
              <w:ind w:leftChars="0" w:left="0"/>
              <w:jc w:val="center"/>
              <w:rPr>
                <w:sz w:val="21"/>
                <w:szCs w:val="21"/>
              </w:rPr>
            </w:pPr>
          </w:p>
        </w:tc>
        <w:tc>
          <w:tcPr>
            <w:tcW w:w="2025" w:type="dxa"/>
            <w:vAlign w:val="center"/>
          </w:tcPr>
          <w:p w14:paraId="107B68A0"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280</w:t>
            </w:r>
          </w:p>
        </w:tc>
        <w:tc>
          <w:tcPr>
            <w:tcW w:w="1530" w:type="dxa"/>
            <w:vAlign w:val="center"/>
          </w:tcPr>
          <w:p w14:paraId="69698449"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2008-8-21</w:t>
            </w:r>
          </w:p>
        </w:tc>
        <w:tc>
          <w:tcPr>
            <w:tcW w:w="1559" w:type="dxa"/>
            <w:vAlign w:val="center"/>
          </w:tcPr>
          <w:p w14:paraId="1004CD46" w14:textId="77777777" w:rsidR="0036365F" w:rsidRPr="0036365F" w:rsidRDefault="0036365F" w:rsidP="0036365F">
            <w:pPr>
              <w:pStyle w:val="a4"/>
              <w:topLinePunct/>
              <w:spacing w:line="276" w:lineRule="auto"/>
              <w:ind w:leftChars="0" w:left="0"/>
              <w:jc w:val="center"/>
              <w:rPr>
                <w:sz w:val="21"/>
                <w:szCs w:val="21"/>
              </w:rPr>
            </w:pPr>
            <w:r w:rsidRPr="0036365F">
              <w:rPr>
                <w:sz w:val="21"/>
                <w:szCs w:val="21"/>
              </w:rPr>
              <w:t>货币</w:t>
            </w:r>
          </w:p>
        </w:tc>
        <w:tc>
          <w:tcPr>
            <w:tcW w:w="1532" w:type="dxa"/>
            <w:vMerge/>
            <w:vAlign w:val="center"/>
          </w:tcPr>
          <w:p w14:paraId="2343A75C" w14:textId="77777777" w:rsidR="0036365F" w:rsidRPr="0036365F" w:rsidRDefault="0036365F" w:rsidP="0036365F">
            <w:pPr>
              <w:pStyle w:val="a4"/>
              <w:topLinePunct/>
              <w:spacing w:line="276" w:lineRule="auto"/>
              <w:ind w:leftChars="0" w:left="0"/>
              <w:jc w:val="center"/>
              <w:rPr>
                <w:sz w:val="21"/>
                <w:szCs w:val="21"/>
              </w:rPr>
            </w:pPr>
          </w:p>
        </w:tc>
      </w:tr>
      <w:tr w:rsidR="0036365F" w:rsidRPr="0036365F" w14:paraId="4A77956C" w14:textId="77777777" w:rsidTr="0036365F">
        <w:trPr>
          <w:jc w:val="center"/>
        </w:trPr>
        <w:tc>
          <w:tcPr>
            <w:tcW w:w="2242" w:type="dxa"/>
            <w:vAlign w:val="center"/>
          </w:tcPr>
          <w:p w14:paraId="21232BC0"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合计</w:t>
            </w:r>
          </w:p>
        </w:tc>
        <w:tc>
          <w:tcPr>
            <w:tcW w:w="2025" w:type="dxa"/>
            <w:vAlign w:val="center"/>
          </w:tcPr>
          <w:p w14:paraId="5D522650"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7600</w:t>
            </w:r>
          </w:p>
        </w:tc>
        <w:tc>
          <w:tcPr>
            <w:tcW w:w="1530" w:type="dxa"/>
            <w:vAlign w:val="center"/>
          </w:tcPr>
          <w:p w14:paraId="3394A26E"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w:t>
            </w:r>
          </w:p>
        </w:tc>
        <w:tc>
          <w:tcPr>
            <w:tcW w:w="1559" w:type="dxa"/>
            <w:vAlign w:val="center"/>
          </w:tcPr>
          <w:p w14:paraId="682827DB"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w:t>
            </w:r>
          </w:p>
        </w:tc>
        <w:tc>
          <w:tcPr>
            <w:tcW w:w="1532" w:type="dxa"/>
            <w:vAlign w:val="center"/>
          </w:tcPr>
          <w:p w14:paraId="678DEADA" w14:textId="77777777" w:rsidR="0036365F" w:rsidRPr="0036365F" w:rsidRDefault="0036365F" w:rsidP="0036365F">
            <w:pPr>
              <w:pStyle w:val="a4"/>
              <w:topLinePunct/>
              <w:spacing w:line="276" w:lineRule="auto"/>
              <w:ind w:leftChars="0" w:left="0"/>
              <w:jc w:val="center"/>
              <w:rPr>
                <w:b/>
                <w:sz w:val="21"/>
                <w:szCs w:val="21"/>
              </w:rPr>
            </w:pPr>
            <w:r w:rsidRPr="0036365F">
              <w:rPr>
                <w:b/>
                <w:sz w:val="21"/>
                <w:szCs w:val="21"/>
              </w:rPr>
              <w:t>100%</w:t>
            </w:r>
          </w:p>
        </w:tc>
      </w:tr>
    </w:tbl>
    <w:p w14:paraId="06BEB8C6" w14:textId="77777777" w:rsidR="00C16F73" w:rsidRPr="001E2D40" w:rsidRDefault="00C16F73"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r w:rsidRPr="001E2D40">
        <w:rPr>
          <w:rFonts w:ascii="仿宋_GB2312" w:hAnsi="仿宋" w:hint="eastAsia"/>
          <w:sz w:val="24"/>
          <w:szCs w:val="24"/>
        </w:rPr>
        <w:t>关于经济行为的说明</w:t>
      </w:r>
      <w:bookmarkEnd w:id="10"/>
      <w:bookmarkEnd w:id="11"/>
      <w:bookmarkEnd w:id="12"/>
      <w:bookmarkEnd w:id="13"/>
      <w:bookmarkEnd w:id="14"/>
    </w:p>
    <w:p w14:paraId="50E784E7" w14:textId="12C7C7EC" w:rsidR="008200CE" w:rsidRPr="006636B5" w:rsidRDefault="0036365F" w:rsidP="006636B5">
      <w:pPr>
        <w:pStyle w:val="a4"/>
        <w:topLinePunct/>
        <w:adjustRightInd w:val="0"/>
        <w:spacing w:after="0"/>
        <w:ind w:leftChars="0" w:left="0" w:firstLineChars="200" w:firstLine="480"/>
        <w:rPr>
          <w:rFonts w:ascii="仿宋_GB2312" w:hAnsi="仿宋"/>
        </w:rPr>
      </w:pPr>
      <w:r w:rsidRPr="0036365F">
        <w:rPr>
          <w:rFonts w:ascii="仿宋_GB2312" w:hAnsi="仿宋" w:hint="eastAsia"/>
        </w:rPr>
        <w:t>本次评估目的是对北京月亮峡谷旅游开发有限公司的股东全部权益进行评估，提供其在评估基准日的市场价值，为北京月亮峡谷旅游开发有限公司</w:t>
      </w:r>
      <w:proofErr w:type="gramStart"/>
      <w:r w:rsidRPr="0036365F">
        <w:rPr>
          <w:rFonts w:ascii="仿宋_GB2312" w:hAnsi="仿宋" w:hint="eastAsia"/>
        </w:rPr>
        <w:t>拟了解</w:t>
      </w:r>
      <w:proofErr w:type="gramEnd"/>
      <w:r w:rsidRPr="0036365F">
        <w:rPr>
          <w:rFonts w:ascii="仿宋_GB2312" w:hAnsi="仿宋" w:hint="eastAsia"/>
        </w:rPr>
        <w:t>股权价值提供参考依据。</w:t>
      </w:r>
    </w:p>
    <w:p w14:paraId="26E08F0E"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r w:rsidRPr="001E2D40">
        <w:rPr>
          <w:rFonts w:ascii="仿宋_GB2312" w:hAnsi="仿宋" w:hint="eastAsia"/>
          <w:sz w:val="24"/>
          <w:szCs w:val="24"/>
        </w:rPr>
        <w:t>关于评估对象和评估范围的说明</w:t>
      </w:r>
      <w:bookmarkEnd w:id="15"/>
      <w:bookmarkEnd w:id="16"/>
      <w:bookmarkEnd w:id="17"/>
      <w:bookmarkEnd w:id="18"/>
      <w:bookmarkEnd w:id="19"/>
    </w:p>
    <w:p w14:paraId="66167339"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本项目的评估对象为北京月亮峡谷旅游开发有限公司的股东全部权益，评估范围为北京月亮峡谷旅游开发有限公司的全部资产及相关负债。</w:t>
      </w:r>
    </w:p>
    <w:p w14:paraId="064F3165"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资产合计：69,874,077.88元，其中：</w:t>
      </w:r>
    </w:p>
    <w:p w14:paraId="2726A172"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流动资产：             账面金额     307,190.27元</w:t>
      </w:r>
    </w:p>
    <w:p w14:paraId="100C5D45" w14:textId="0E292AD8"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非流动资产：           账面金额     69,566,887.61元</w:t>
      </w:r>
    </w:p>
    <w:p w14:paraId="4562E526" w14:textId="38230DD1"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 xml:space="preserve">    在建工程：         账面金额     63,153,755.34元</w:t>
      </w:r>
    </w:p>
    <w:p w14:paraId="7DFDCEC6" w14:textId="2673F965"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 xml:space="preserve">    无形资产：</w:t>
      </w:r>
      <w:r w:rsidRPr="0036365F">
        <w:rPr>
          <w:rFonts w:ascii="仿宋_GB2312" w:hAnsi="仿宋" w:hint="eastAsia"/>
        </w:rPr>
        <w:tab/>
      </w:r>
      <w:r w:rsidRPr="0036365F">
        <w:rPr>
          <w:rFonts w:ascii="仿宋_GB2312" w:hAnsi="仿宋" w:hint="eastAsia"/>
        </w:rPr>
        <w:tab/>
      </w:r>
      <w:r>
        <w:rPr>
          <w:rFonts w:ascii="仿宋_GB2312" w:hAnsi="仿宋"/>
        </w:rPr>
        <w:t xml:space="preserve">   </w:t>
      </w:r>
      <w:r w:rsidRPr="0036365F">
        <w:rPr>
          <w:rFonts w:ascii="仿宋_GB2312" w:hAnsi="仿宋" w:hint="eastAsia"/>
        </w:rPr>
        <w:t>账面金额     6,412,817.27元</w:t>
      </w:r>
    </w:p>
    <w:p w14:paraId="0CF27852"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负债合计：0.00元，其中：</w:t>
      </w:r>
    </w:p>
    <w:p w14:paraId="4CFE94F7"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流动负债：             账面金额     0.00元</w:t>
      </w:r>
    </w:p>
    <w:p w14:paraId="5DA5A3E4"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非流动负债：           账面金额     0.00元</w:t>
      </w:r>
    </w:p>
    <w:p w14:paraId="4E78DE10" w14:textId="4D66F1D3" w:rsidR="0036365F" w:rsidRPr="001E2D40" w:rsidRDefault="0036365F" w:rsidP="001F7268">
      <w:pPr>
        <w:pStyle w:val="a0"/>
        <w:topLinePunct/>
        <w:adjustRightInd w:val="0"/>
        <w:ind w:firstLine="480"/>
        <w:rPr>
          <w:rFonts w:ascii="仿宋_GB2312" w:hAnsi="仿宋" w:hint="eastAsia"/>
        </w:rPr>
      </w:pPr>
      <w:r w:rsidRPr="0036365F">
        <w:rPr>
          <w:rFonts w:ascii="仿宋_GB2312" w:hAnsi="仿宋" w:hint="eastAsia"/>
        </w:rPr>
        <w:t>本次评估对象和评估范围与委托确定的评估对象和评估范围一致。</w:t>
      </w:r>
    </w:p>
    <w:p w14:paraId="7B3D93F3"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bookmarkStart w:id="20" w:name="_Toc233265681"/>
      <w:bookmarkStart w:id="21" w:name="_Toc233266233"/>
      <w:bookmarkStart w:id="22" w:name="_Toc233266701"/>
      <w:bookmarkStart w:id="23" w:name="_Toc233266775"/>
      <w:bookmarkStart w:id="24" w:name="_Toc372725959"/>
      <w:r w:rsidRPr="001E2D40">
        <w:rPr>
          <w:rFonts w:ascii="仿宋_GB2312" w:hAnsi="仿宋" w:hint="eastAsia"/>
          <w:sz w:val="24"/>
          <w:szCs w:val="24"/>
        </w:rPr>
        <w:t>关于评估基准日的说明</w:t>
      </w:r>
      <w:bookmarkEnd w:id="20"/>
      <w:bookmarkEnd w:id="21"/>
      <w:bookmarkEnd w:id="22"/>
      <w:bookmarkEnd w:id="23"/>
      <w:bookmarkEnd w:id="24"/>
    </w:p>
    <w:p w14:paraId="3877D689" w14:textId="77777777" w:rsidR="0036365F" w:rsidRPr="0036365F" w:rsidRDefault="0036365F" w:rsidP="0036365F">
      <w:pPr>
        <w:pStyle w:val="a0"/>
        <w:topLinePunct/>
        <w:adjustRightInd w:val="0"/>
        <w:ind w:firstLine="480"/>
        <w:rPr>
          <w:rFonts w:ascii="仿宋_GB2312" w:hAnsi="仿宋" w:hint="eastAsia"/>
        </w:rPr>
      </w:pPr>
      <w:r w:rsidRPr="0036365F">
        <w:rPr>
          <w:rFonts w:ascii="仿宋_GB2312" w:hAnsi="仿宋" w:hint="eastAsia"/>
        </w:rPr>
        <w:t>本项目评估基准日是二</w:t>
      </w:r>
      <w:r w:rsidRPr="0036365F">
        <w:rPr>
          <w:rFonts w:ascii="微软雅黑" w:eastAsia="微软雅黑" w:hAnsi="微软雅黑" w:cs="微软雅黑" w:hint="eastAsia"/>
        </w:rPr>
        <w:t>〇</w:t>
      </w:r>
      <w:r w:rsidRPr="0036365F">
        <w:rPr>
          <w:rFonts w:ascii="仿宋_GB2312" w:hAnsi="仿宋_GB2312" w:cs="仿宋_GB2312" w:hint="eastAsia"/>
        </w:rPr>
        <w:t>二三年五月三十一日。</w:t>
      </w:r>
    </w:p>
    <w:p w14:paraId="0DCF6B15" w14:textId="686E28E6" w:rsidR="00357234" w:rsidRPr="00357234" w:rsidRDefault="0036365F" w:rsidP="0036365F">
      <w:pPr>
        <w:pStyle w:val="a0"/>
        <w:topLinePunct/>
        <w:adjustRightInd w:val="0"/>
        <w:ind w:firstLine="480"/>
        <w:rPr>
          <w:rFonts w:ascii="仿宋_GB2312" w:hAnsi="仿宋"/>
        </w:rPr>
      </w:pPr>
      <w:r w:rsidRPr="0036365F">
        <w:rPr>
          <w:rFonts w:ascii="仿宋_GB2312" w:hAnsi="仿宋" w:hint="eastAsia"/>
        </w:rPr>
        <w:t>评估基准日由委托人确定。该评估基准日是委托人根据经济行为性质和评估目的计划实现时间确立的，它与北京月亮峡谷旅游开发有限公司会计核算截止日期一致，且尽可能接近评估目的实现日，以便有利于保证评估结果有效地服务于评估目的。</w:t>
      </w:r>
    </w:p>
    <w:p w14:paraId="172863D0" w14:textId="694BC97C" w:rsidR="008200CE" w:rsidRDefault="00357234" w:rsidP="00357234">
      <w:pPr>
        <w:pStyle w:val="a0"/>
        <w:topLinePunct/>
        <w:adjustRightInd w:val="0"/>
        <w:ind w:firstLine="480"/>
        <w:rPr>
          <w:rFonts w:ascii="仿宋_GB2312" w:hAnsi="仿宋"/>
        </w:rPr>
      </w:pPr>
      <w:r w:rsidRPr="00357234">
        <w:rPr>
          <w:rFonts w:ascii="仿宋_GB2312" w:hAnsi="仿宋" w:hint="eastAsia"/>
        </w:rPr>
        <w:lastRenderedPageBreak/>
        <w:t>评估中取价标准均为评估基准日有效的价格标准。</w:t>
      </w:r>
    </w:p>
    <w:p w14:paraId="38188892"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bookmarkStart w:id="25" w:name="_Toc233265682"/>
      <w:bookmarkStart w:id="26" w:name="_Toc233266234"/>
      <w:bookmarkStart w:id="27" w:name="_Toc233266702"/>
      <w:bookmarkStart w:id="28" w:name="_Toc233266776"/>
      <w:bookmarkStart w:id="29" w:name="_Toc372725960"/>
      <w:r w:rsidRPr="001E2D40">
        <w:rPr>
          <w:rFonts w:ascii="仿宋_GB2312" w:hAnsi="仿宋" w:hint="eastAsia"/>
          <w:sz w:val="24"/>
          <w:szCs w:val="24"/>
        </w:rPr>
        <w:t>可能影响评估工作的重大事项说明</w:t>
      </w:r>
      <w:bookmarkEnd w:id="25"/>
      <w:bookmarkEnd w:id="26"/>
      <w:bookmarkEnd w:id="27"/>
      <w:bookmarkEnd w:id="28"/>
      <w:bookmarkEnd w:id="29"/>
    </w:p>
    <w:p w14:paraId="203C2368" w14:textId="77777777" w:rsidR="004A2D2A" w:rsidRPr="001E2D40" w:rsidRDefault="004A2D2A" w:rsidP="00C12244">
      <w:pPr>
        <w:ind w:firstLineChars="200" w:firstLine="480"/>
        <w:rPr>
          <w:shd w:val="clear" w:color="auto" w:fill="FFFFFF" w:themeFill="background1"/>
        </w:rPr>
      </w:pPr>
      <w:r w:rsidRPr="001E2D40">
        <w:rPr>
          <w:rFonts w:hint="eastAsia"/>
        </w:rPr>
        <w:t>无。</w:t>
      </w:r>
    </w:p>
    <w:p w14:paraId="3E270281"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shd w:val="clear" w:color="auto" w:fill="FFFFFF" w:themeFill="background1"/>
        </w:rPr>
      </w:pPr>
      <w:bookmarkStart w:id="30" w:name="_Toc233265683"/>
      <w:bookmarkStart w:id="31" w:name="_Toc233266235"/>
      <w:bookmarkStart w:id="32" w:name="_Toc233266703"/>
      <w:bookmarkStart w:id="33" w:name="_Toc233266777"/>
      <w:bookmarkStart w:id="34" w:name="_Toc372725961"/>
      <w:r w:rsidRPr="001E2D40">
        <w:rPr>
          <w:rFonts w:ascii="仿宋_GB2312" w:hAnsi="仿宋" w:hint="eastAsia"/>
          <w:sz w:val="24"/>
          <w:szCs w:val="24"/>
          <w:shd w:val="clear" w:color="auto" w:fill="FFFFFF" w:themeFill="background1"/>
        </w:rPr>
        <w:t>资产负债清查情况</w:t>
      </w:r>
      <w:bookmarkEnd w:id="30"/>
      <w:bookmarkEnd w:id="31"/>
      <w:bookmarkEnd w:id="32"/>
      <w:bookmarkEnd w:id="33"/>
      <w:bookmarkEnd w:id="34"/>
    </w:p>
    <w:p w14:paraId="4B52ABCD" w14:textId="6A094922" w:rsidR="004B4B33" w:rsidRPr="008200CE" w:rsidRDefault="00263CE7" w:rsidP="00357234">
      <w:pPr>
        <w:topLinePunct/>
        <w:adjustRightInd w:val="0"/>
        <w:ind w:firstLineChars="200" w:firstLine="480"/>
        <w:rPr>
          <w:rFonts w:ascii="仿宋_GB2312" w:hAnsi="仿宋"/>
        </w:rPr>
      </w:pPr>
      <w:bookmarkStart w:id="35" w:name="_Toc233265685"/>
      <w:bookmarkStart w:id="36" w:name="_Toc233266237"/>
      <w:bookmarkStart w:id="37" w:name="_Toc233266705"/>
      <w:bookmarkStart w:id="38" w:name="_Toc233266779"/>
      <w:bookmarkStart w:id="39" w:name="_Toc372725962"/>
      <w:r w:rsidRPr="00263CE7">
        <w:rPr>
          <w:rFonts w:ascii="仿宋_GB2312" w:hAnsi="仿宋" w:hint="eastAsia"/>
        </w:rPr>
        <w:t>本次评估对象和评估范围与委托确定的评估对象和评估范围一致。</w:t>
      </w:r>
    </w:p>
    <w:p w14:paraId="367B330C" w14:textId="77777777" w:rsidR="00C16F73" w:rsidRPr="001E2D40" w:rsidRDefault="00C16F73" w:rsidP="00C16F73">
      <w:pPr>
        <w:numPr>
          <w:ilvl w:val="3"/>
          <w:numId w:val="4"/>
        </w:numPr>
        <w:tabs>
          <w:tab w:val="left" w:pos="993"/>
          <w:tab w:val="left" w:pos="1276"/>
          <w:tab w:val="left" w:pos="1418"/>
        </w:tabs>
        <w:topLinePunct/>
        <w:adjustRightInd w:val="0"/>
        <w:rPr>
          <w:rFonts w:ascii="仿宋_GB2312" w:hAnsi="仿宋"/>
        </w:rPr>
      </w:pPr>
      <w:r w:rsidRPr="001E2D40">
        <w:rPr>
          <w:rFonts w:ascii="仿宋_GB2312" w:hAnsi="仿宋" w:hint="eastAsia"/>
        </w:rPr>
        <w:t>清查工作的组织情况</w:t>
      </w:r>
    </w:p>
    <w:p w14:paraId="2F622F86" w14:textId="27694791" w:rsidR="00C16F73" w:rsidRPr="001E2D40" w:rsidRDefault="004B4B33" w:rsidP="00C16F73">
      <w:pPr>
        <w:topLinePunct/>
        <w:adjustRightInd w:val="0"/>
        <w:ind w:firstLineChars="200" w:firstLine="480"/>
        <w:rPr>
          <w:rFonts w:ascii="仿宋_GB2312" w:hAnsi="仿宋"/>
        </w:rPr>
      </w:pPr>
      <w:r>
        <w:rPr>
          <w:rFonts w:ascii="仿宋_GB2312" w:hAnsi="仿宋" w:hint="eastAsia"/>
        </w:rPr>
        <w:t>本次清查工作由</w:t>
      </w:r>
      <w:r w:rsidR="0036365F">
        <w:rPr>
          <w:rFonts w:ascii="仿宋_GB2312" w:hAnsi="仿宋" w:hint="eastAsia"/>
        </w:rPr>
        <w:t>北京月亮峡谷旅游开发有限公司</w:t>
      </w:r>
      <w:r>
        <w:rPr>
          <w:rFonts w:ascii="仿宋_GB2312" w:hAnsi="仿宋" w:hint="eastAsia"/>
        </w:rPr>
        <w:t>财务部</w:t>
      </w:r>
      <w:r w:rsidR="00C16F73" w:rsidRPr="001E2D40">
        <w:rPr>
          <w:rFonts w:ascii="仿宋_GB2312" w:hAnsi="仿宋" w:hint="eastAsia"/>
        </w:rPr>
        <w:t>配合资产评估</w:t>
      </w:r>
      <w:r>
        <w:rPr>
          <w:rFonts w:ascii="仿宋_GB2312" w:hAnsi="仿宋" w:hint="eastAsia"/>
        </w:rPr>
        <w:t>专业人员</w:t>
      </w:r>
      <w:r w:rsidR="00C16F73" w:rsidRPr="001E2D40">
        <w:rPr>
          <w:rFonts w:ascii="仿宋_GB2312" w:hAnsi="仿宋" w:hint="eastAsia"/>
        </w:rPr>
        <w:t>进行</w:t>
      </w:r>
      <w:r>
        <w:rPr>
          <w:rFonts w:ascii="仿宋_GB2312" w:hAnsi="仿宋" w:hint="eastAsia"/>
        </w:rPr>
        <w:t>，</w:t>
      </w:r>
      <w:r w:rsidR="00C16F73" w:rsidRPr="001E2D40">
        <w:rPr>
          <w:rFonts w:ascii="仿宋_GB2312" w:hAnsi="仿宋" w:hint="eastAsia"/>
        </w:rPr>
        <w:t>清查</w:t>
      </w:r>
      <w:r>
        <w:rPr>
          <w:rFonts w:ascii="仿宋_GB2312" w:hAnsi="仿宋" w:hint="eastAsia"/>
        </w:rPr>
        <w:t>时间为</w:t>
      </w:r>
      <w:r w:rsidR="001F7268" w:rsidRPr="001F7268">
        <w:rPr>
          <w:rFonts w:ascii="仿宋_GB2312" w:hAnsi="仿宋" w:hint="eastAsia"/>
        </w:rPr>
        <w:t>2023年</w:t>
      </w:r>
      <w:r w:rsidR="00650D4A">
        <w:rPr>
          <w:rFonts w:ascii="仿宋_GB2312" w:hAnsi="仿宋"/>
        </w:rPr>
        <w:t>7</w:t>
      </w:r>
      <w:r w:rsidR="001F7268" w:rsidRPr="001F7268">
        <w:rPr>
          <w:rFonts w:ascii="仿宋_GB2312" w:hAnsi="仿宋" w:hint="eastAsia"/>
        </w:rPr>
        <w:t>月</w:t>
      </w:r>
      <w:r w:rsidR="00650D4A">
        <w:rPr>
          <w:rFonts w:ascii="仿宋_GB2312" w:hAnsi="仿宋"/>
        </w:rPr>
        <w:t>4</w:t>
      </w:r>
      <w:r w:rsidR="001F7268" w:rsidRPr="001F7268">
        <w:rPr>
          <w:rFonts w:ascii="仿宋_GB2312" w:hAnsi="仿宋" w:hint="eastAsia"/>
        </w:rPr>
        <w:t>日</w:t>
      </w:r>
      <w:r w:rsidR="00C16F73" w:rsidRPr="001E2D40">
        <w:rPr>
          <w:rFonts w:ascii="仿宋_GB2312" w:hAnsi="仿宋" w:hint="eastAsia"/>
        </w:rPr>
        <w:t>。</w:t>
      </w:r>
    </w:p>
    <w:p w14:paraId="64C5EB30" w14:textId="77777777" w:rsidR="00C16F73" w:rsidRPr="001E2D40" w:rsidRDefault="00C16F73" w:rsidP="00C16F73">
      <w:pPr>
        <w:numPr>
          <w:ilvl w:val="3"/>
          <w:numId w:val="4"/>
        </w:numPr>
        <w:tabs>
          <w:tab w:val="left" w:pos="993"/>
          <w:tab w:val="left" w:pos="1276"/>
          <w:tab w:val="left" w:pos="1418"/>
        </w:tabs>
        <w:topLinePunct/>
        <w:adjustRightInd w:val="0"/>
        <w:rPr>
          <w:rFonts w:ascii="仿宋_GB2312" w:hAnsi="仿宋"/>
        </w:rPr>
      </w:pPr>
      <w:r w:rsidRPr="001E2D40">
        <w:rPr>
          <w:rFonts w:ascii="仿宋_GB2312" w:hAnsi="仿宋" w:hint="eastAsia"/>
        </w:rPr>
        <w:t>清查结论</w:t>
      </w:r>
    </w:p>
    <w:p w14:paraId="17DC8388" w14:textId="28330D6C" w:rsidR="00C16F73" w:rsidRPr="001E2D40" w:rsidRDefault="00C16F73" w:rsidP="00C16F73">
      <w:pPr>
        <w:tabs>
          <w:tab w:val="left" w:pos="993"/>
          <w:tab w:val="left" w:pos="1276"/>
          <w:tab w:val="left" w:pos="1418"/>
        </w:tabs>
        <w:topLinePunct/>
        <w:adjustRightInd w:val="0"/>
        <w:ind w:firstLineChars="200" w:firstLine="480"/>
        <w:rPr>
          <w:rFonts w:ascii="仿宋_GB2312" w:hAnsi="仿宋"/>
        </w:rPr>
      </w:pPr>
      <w:r w:rsidRPr="001E2D40">
        <w:rPr>
          <w:rFonts w:ascii="仿宋_GB2312" w:hAnsi="仿宋" w:hint="eastAsia"/>
        </w:rPr>
        <w:t>经过认真清查，</w:t>
      </w:r>
      <w:r w:rsidR="004B4B33">
        <w:rPr>
          <w:rFonts w:ascii="仿宋_GB2312" w:hAnsi="仿宋" w:hint="eastAsia"/>
        </w:rPr>
        <w:t>账实相符</w:t>
      </w:r>
      <w:r w:rsidRPr="001E2D40">
        <w:rPr>
          <w:rFonts w:ascii="仿宋_GB2312" w:hAnsi="仿宋" w:hint="eastAsia"/>
        </w:rPr>
        <w:t>。</w:t>
      </w:r>
    </w:p>
    <w:p w14:paraId="01AEABE3" w14:textId="77777777" w:rsidR="004A2D2A" w:rsidRPr="001E2D40" w:rsidRDefault="004A2D2A" w:rsidP="00357234">
      <w:pPr>
        <w:pStyle w:val="3"/>
        <w:keepNext w:val="0"/>
        <w:keepLines w:val="0"/>
        <w:numPr>
          <w:ilvl w:val="0"/>
          <w:numId w:val="4"/>
        </w:numPr>
        <w:tabs>
          <w:tab w:val="left" w:pos="1134"/>
        </w:tabs>
        <w:topLinePunct/>
        <w:adjustRightInd w:val="0"/>
        <w:spacing w:beforeLines="50" w:before="156" w:afterLines="50" w:after="156" w:line="360" w:lineRule="auto"/>
        <w:ind w:left="0" w:firstLineChars="200" w:firstLine="482"/>
        <w:textAlignment w:val="baseline"/>
        <w:rPr>
          <w:rFonts w:ascii="仿宋_GB2312" w:hAnsi="仿宋"/>
          <w:sz w:val="24"/>
          <w:szCs w:val="24"/>
        </w:rPr>
      </w:pPr>
      <w:r w:rsidRPr="001E2D40">
        <w:rPr>
          <w:rFonts w:ascii="仿宋_GB2312" w:hAnsi="仿宋" w:hint="eastAsia"/>
          <w:sz w:val="24"/>
          <w:szCs w:val="24"/>
        </w:rPr>
        <w:t>资料清单</w:t>
      </w:r>
      <w:bookmarkEnd w:id="35"/>
      <w:bookmarkEnd w:id="36"/>
      <w:bookmarkEnd w:id="37"/>
      <w:bookmarkEnd w:id="38"/>
      <w:bookmarkEnd w:id="39"/>
    </w:p>
    <w:p w14:paraId="2504CEC6" w14:textId="31A05F6E" w:rsidR="004A2D2A" w:rsidRDefault="0036365F" w:rsidP="004A2D2A">
      <w:pPr>
        <w:numPr>
          <w:ilvl w:val="0"/>
          <w:numId w:val="1"/>
        </w:numPr>
        <w:tabs>
          <w:tab w:val="left" w:pos="851"/>
        </w:tabs>
        <w:topLinePunct/>
        <w:adjustRightInd w:val="0"/>
        <w:snapToGrid w:val="0"/>
        <w:ind w:left="0" w:firstLineChars="200" w:firstLine="480"/>
        <w:rPr>
          <w:rFonts w:ascii="仿宋_GB2312" w:hAnsi="仿宋"/>
        </w:rPr>
      </w:pPr>
      <w:r>
        <w:rPr>
          <w:rFonts w:ascii="仿宋_GB2312" w:hAnsi="仿宋" w:hint="eastAsia"/>
        </w:rPr>
        <w:t>北京月亮峡谷旅游开发有限公司</w:t>
      </w:r>
      <w:r w:rsidR="004A2D2A" w:rsidRPr="001E2D40">
        <w:rPr>
          <w:rFonts w:ascii="仿宋_GB2312" w:cs="仿宋_GB2312" w:hint="eastAsia"/>
          <w:kern w:val="0"/>
          <w:lang w:val="zh-CN"/>
        </w:rPr>
        <w:t>企业法人营业执照</w:t>
      </w:r>
      <w:r w:rsidR="004A2D2A" w:rsidRPr="001E2D40">
        <w:rPr>
          <w:rFonts w:ascii="仿宋_GB2312" w:hAnsi="仿宋" w:hint="eastAsia"/>
        </w:rPr>
        <w:t>；</w:t>
      </w:r>
    </w:p>
    <w:p w14:paraId="447D5B52" w14:textId="4C95B7A3" w:rsidR="00E92157" w:rsidRPr="001E2D40" w:rsidRDefault="004B4B33" w:rsidP="00CC177A">
      <w:pPr>
        <w:numPr>
          <w:ilvl w:val="0"/>
          <w:numId w:val="1"/>
        </w:numPr>
        <w:tabs>
          <w:tab w:val="left" w:pos="851"/>
        </w:tabs>
        <w:topLinePunct/>
        <w:adjustRightInd w:val="0"/>
        <w:snapToGrid w:val="0"/>
        <w:rPr>
          <w:rFonts w:ascii="仿宋_GB2312" w:hAnsi="仿宋"/>
        </w:rPr>
      </w:pPr>
      <w:r>
        <w:rPr>
          <w:rFonts w:ascii="仿宋_GB2312" w:hAnsi="仿宋" w:hint="eastAsia"/>
        </w:rPr>
        <w:t>权属证明资料</w:t>
      </w:r>
      <w:r w:rsidR="00E92157" w:rsidRPr="001E2D40">
        <w:rPr>
          <w:rFonts w:ascii="仿宋_GB2312" w:hAnsi="仿宋" w:hint="eastAsia"/>
        </w:rPr>
        <w:t>；</w:t>
      </w:r>
    </w:p>
    <w:p w14:paraId="67C90880" w14:textId="77777777" w:rsidR="00C16F94" w:rsidRPr="001E2D40" w:rsidRDefault="004A2D2A" w:rsidP="00C16F94">
      <w:pPr>
        <w:numPr>
          <w:ilvl w:val="0"/>
          <w:numId w:val="1"/>
        </w:numPr>
        <w:tabs>
          <w:tab w:val="left" w:pos="851"/>
        </w:tabs>
        <w:topLinePunct/>
        <w:adjustRightInd w:val="0"/>
        <w:snapToGrid w:val="0"/>
        <w:ind w:left="0" w:firstLineChars="200" w:firstLine="480"/>
        <w:rPr>
          <w:rFonts w:ascii="仿宋_GB2312" w:hAnsi="仿宋"/>
        </w:rPr>
      </w:pPr>
      <w:r w:rsidRPr="001E2D40">
        <w:rPr>
          <w:rFonts w:ascii="仿宋_GB2312" w:hAnsi="仿宋" w:hint="eastAsia"/>
        </w:rPr>
        <w:t>其他资料。</w:t>
      </w:r>
    </w:p>
    <w:p w14:paraId="265809AB" w14:textId="77777777" w:rsidR="00183278" w:rsidRPr="001E2D40" w:rsidRDefault="00183278" w:rsidP="00E21C8F">
      <w:pPr>
        <w:tabs>
          <w:tab w:val="left" w:pos="851"/>
        </w:tabs>
        <w:topLinePunct/>
        <w:adjustRightInd w:val="0"/>
        <w:snapToGrid w:val="0"/>
        <w:rPr>
          <w:rFonts w:ascii="仿宋_GB2312" w:hAnsi="仿宋"/>
        </w:rPr>
      </w:pPr>
    </w:p>
    <w:p w14:paraId="501FC9D5" w14:textId="77777777" w:rsidR="00C03B92" w:rsidRPr="001E2D40" w:rsidRDefault="00C03B92">
      <w:pPr>
        <w:widowControl/>
        <w:spacing w:line="240" w:lineRule="auto"/>
        <w:jc w:val="left"/>
        <w:rPr>
          <w:rFonts w:ascii="仿宋_GB2312" w:hAnsi="仿宋"/>
        </w:rPr>
      </w:pPr>
      <w:r w:rsidRPr="001E2D40">
        <w:rPr>
          <w:rFonts w:ascii="仿宋_GB2312" w:hAnsi="仿宋"/>
        </w:rPr>
        <w:br w:type="page"/>
      </w:r>
    </w:p>
    <w:p w14:paraId="0C31DDB0" w14:textId="25EB8300" w:rsidR="004A2D2A" w:rsidRPr="001E2D40" w:rsidRDefault="00DA796B" w:rsidP="00656CD0">
      <w:pPr>
        <w:topLinePunct/>
        <w:adjustRightInd w:val="0"/>
        <w:ind w:right="480"/>
        <w:jc w:val="left"/>
        <w:rPr>
          <w:rFonts w:ascii="仿宋_GB2312" w:hAnsi="仿宋"/>
        </w:rPr>
      </w:pPr>
      <w:r>
        <w:rPr>
          <w:rFonts w:ascii="仿宋_GB2312" w:hAnsi="仿宋" w:hint="eastAsia"/>
        </w:rPr>
        <w:lastRenderedPageBreak/>
        <w:t>（</w:t>
      </w:r>
      <w:r w:rsidR="00955011" w:rsidRPr="001E2D40">
        <w:rPr>
          <w:rFonts w:ascii="仿宋_GB2312" w:hAnsi="仿宋" w:hint="eastAsia"/>
        </w:rPr>
        <w:t>此页为</w:t>
      </w:r>
      <w:r w:rsidR="00650D4A" w:rsidRPr="00650D4A">
        <w:rPr>
          <w:rFonts w:ascii="仿宋_GB2312" w:hAnsi="仿宋" w:hint="eastAsia"/>
        </w:rPr>
        <w:t>北京月亮峡谷旅游开发有限公司</w:t>
      </w:r>
      <w:proofErr w:type="gramStart"/>
      <w:r w:rsidR="00650D4A" w:rsidRPr="00650D4A">
        <w:rPr>
          <w:rFonts w:ascii="仿宋_GB2312" w:hAnsi="仿宋" w:hint="eastAsia"/>
        </w:rPr>
        <w:t>拟了解</w:t>
      </w:r>
      <w:proofErr w:type="gramEnd"/>
      <w:r w:rsidR="00650D4A" w:rsidRPr="00650D4A">
        <w:rPr>
          <w:rFonts w:ascii="仿宋_GB2312" w:hAnsi="仿宋" w:hint="eastAsia"/>
        </w:rPr>
        <w:t>股权价值所涉及的其股东全部权益市场价值评估</w:t>
      </w:r>
      <w:r w:rsidR="00955011" w:rsidRPr="001E2D40">
        <w:rPr>
          <w:rFonts w:ascii="仿宋_GB2312" w:hAnsi="仿宋" w:hint="eastAsia"/>
        </w:rPr>
        <w:t>资产评估有关事项说明盖章页</w:t>
      </w:r>
      <w:r>
        <w:rPr>
          <w:rFonts w:ascii="仿宋_GB2312" w:hAnsi="仿宋" w:hint="eastAsia"/>
        </w:rPr>
        <w:t>）</w:t>
      </w:r>
    </w:p>
    <w:p w14:paraId="4621C989" w14:textId="77777777" w:rsidR="00DA796B" w:rsidRPr="00DA796B" w:rsidRDefault="00DA796B" w:rsidP="00DA796B">
      <w:pPr>
        <w:topLinePunct/>
        <w:adjustRightInd w:val="0"/>
        <w:ind w:firstLineChars="200" w:firstLine="560"/>
        <w:rPr>
          <w:rFonts w:ascii="仿宋_GB2312" w:hAnsi="仿宋"/>
          <w:sz w:val="28"/>
        </w:rPr>
      </w:pPr>
    </w:p>
    <w:p w14:paraId="193D57C7" w14:textId="77777777" w:rsidR="00DA796B" w:rsidRPr="001E2D40" w:rsidRDefault="00DA796B" w:rsidP="00DA796B">
      <w:pPr>
        <w:topLinePunct/>
        <w:adjustRightInd w:val="0"/>
        <w:ind w:firstLineChars="200" w:firstLine="560"/>
        <w:rPr>
          <w:rFonts w:ascii="仿宋_GB2312" w:hAnsi="仿宋"/>
          <w:sz w:val="28"/>
        </w:rPr>
      </w:pPr>
    </w:p>
    <w:p w14:paraId="615D19F3" w14:textId="77777777" w:rsidR="00DA796B" w:rsidRPr="001E2D40" w:rsidRDefault="00DA796B" w:rsidP="00DA796B">
      <w:pPr>
        <w:topLinePunct/>
        <w:adjustRightInd w:val="0"/>
        <w:ind w:firstLineChars="200" w:firstLine="560"/>
        <w:rPr>
          <w:rFonts w:ascii="仿宋_GB2312" w:hAnsi="仿宋"/>
          <w:sz w:val="28"/>
        </w:rPr>
      </w:pPr>
    </w:p>
    <w:p w14:paraId="4BB96302" w14:textId="77777777" w:rsidR="00DA796B" w:rsidRPr="001E2D40" w:rsidRDefault="00DA796B" w:rsidP="00DA796B">
      <w:pPr>
        <w:topLinePunct/>
        <w:adjustRightInd w:val="0"/>
        <w:ind w:firstLineChars="200" w:firstLine="560"/>
        <w:rPr>
          <w:rFonts w:ascii="仿宋_GB2312" w:hAnsi="仿宋"/>
          <w:sz w:val="28"/>
        </w:rPr>
      </w:pPr>
    </w:p>
    <w:p w14:paraId="22181480" w14:textId="77777777" w:rsidR="00DA796B" w:rsidRPr="001E2D40" w:rsidRDefault="00DA796B" w:rsidP="00DA796B">
      <w:pPr>
        <w:topLinePunct/>
        <w:adjustRightInd w:val="0"/>
        <w:ind w:firstLineChars="200" w:firstLine="560"/>
        <w:rPr>
          <w:rFonts w:ascii="仿宋_GB2312" w:hAnsi="仿宋"/>
          <w:sz w:val="28"/>
        </w:rPr>
      </w:pPr>
    </w:p>
    <w:p w14:paraId="10D74500" w14:textId="77777777" w:rsidR="00DA796B" w:rsidRPr="001E2D40" w:rsidRDefault="00DA796B" w:rsidP="00DA796B">
      <w:pPr>
        <w:topLinePunct/>
        <w:adjustRightInd w:val="0"/>
        <w:ind w:firstLineChars="200" w:firstLine="560"/>
        <w:rPr>
          <w:rFonts w:ascii="仿宋_GB2312" w:hAnsi="仿宋"/>
          <w:sz w:val="28"/>
        </w:rPr>
      </w:pPr>
    </w:p>
    <w:p w14:paraId="2D7EC3F4" w14:textId="77777777" w:rsidR="00DA796B" w:rsidRPr="001E2D40" w:rsidRDefault="00DA796B" w:rsidP="00DA796B">
      <w:pPr>
        <w:topLinePunct/>
        <w:adjustRightInd w:val="0"/>
        <w:ind w:firstLineChars="200" w:firstLine="560"/>
        <w:rPr>
          <w:rFonts w:ascii="仿宋_GB2312" w:hAnsi="仿宋"/>
          <w:sz w:val="28"/>
        </w:rPr>
      </w:pPr>
    </w:p>
    <w:p w14:paraId="73302EE5" w14:textId="77777777" w:rsidR="00DA796B" w:rsidRPr="00564376" w:rsidRDefault="00DA796B" w:rsidP="00DA796B">
      <w:pPr>
        <w:topLinePunct/>
        <w:adjustRightInd w:val="0"/>
        <w:ind w:firstLineChars="200" w:firstLine="560"/>
        <w:rPr>
          <w:rFonts w:ascii="仿宋_GB2312" w:hAnsi="仿宋"/>
          <w:sz w:val="28"/>
        </w:rPr>
      </w:pPr>
    </w:p>
    <w:p w14:paraId="1A83FD6E" w14:textId="77777777" w:rsidR="00DA796B" w:rsidRPr="001E2D40" w:rsidRDefault="00DA796B" w:rsidP="00DA796B">
      <w:pPr>
        <w:topLinePunct/>
        <w:adjustRightInd w:val="0"/>
        <w:ind w:firstLineChars="200" w:firstLine="560"/>
        <w:rPr>
          <w:rFonts w:ascii="仿宋_GB2312" w:hAnsi="仿宋"/>
          <w:sz w:val="28"/>
        </w:rPr>
      </w:pPr>
    </w:p>
    <w:p w14:paraId="549E3090" w14:textId="77777777" w:rsidR="00DA796B" w:rsidRPr="001E2D40" w:rsidRDefault="00DA796B" w:rsidP="00DA796B">
      <w:pPr>
        <w:topLinePunct/>
        <w:adjustRightInd w:val="0"/>
        <w:ind w:firstLineChars="200" w:firstLine="560"/>
        <w:rPr>
          <w:rFonts w:ascii="仿宋_GB2312" w:hAnsi="仿宋"/>
          <w:sz w:val="28"/>
        </w:rPr>
      </w:pPr>
    </w:p>
    <w:p w14:paraId="53B9E8B7" w14:textId="77777777" w:rsidR="00DA796B" w:rsidRPr="001E2D40" w:rsidRDefault="00DA796B" w:rsidP="00DA796B">
      <w:pPr>
        <w:topLinePunct/>
        <w:adjustRightInd w:val="0"/>
        <w:ind w:firstLineChars="200" w:firstLine="560"/>
        <w:rPr>
          <w:rFonts w:ascii="仿宋_GB2312" w:hAnsi="仿宋"/>
          <w:sz w:val="28"/>
        </w:rPr>
      </w:pPr>
    </w:p>
    <w:p w14:paraId="1E219D9B" w14:textId="77777777" w:rsidR="00DA796B" w:rsidRPr="001E2D40" w:rsidRDefault="00DA796B" w:rsidP="00DA796B">
      <w:pPr>
        <w:topLinePunct/>
        <w:adjustRightInd w:val="0"/>
        <w:ind w:firstLineChars="200" w:firstLine="560"/>
        <w:rPr>
          <w:rFonts w:ascii="仿宋_GB2312" w:hAnsi="仿宋"/>
          <w:sz w:val="28"/>
        </w:rPr>
      </w:pPr>
    </w:p>
    <w:p w14:paraId="0AA81715" w14:textId="77777777" w:rsidR="00DA796B" w:rsidRPr="001E2D40" w:rsidRDefault="00DA796B" w:rsidP="00DA796B">
      <w:pPr>
        <w:topLinePunct/>
        <w:adjustRightInd w:val="0"/>
        <w:ind w:firstLineChars="200" w:firstLine="560"/>
        <w:rPr>
          <w:rFonts w:ascii="仿宋_GB2312" w:hAnsi="仿宋"/>
          <w:sz w:val="28"/>
        </w:rPr>
      </w:pPr>
    </w:p>
    <w:p w14:paraId="6D8A36F3" w14:textId="3952BDEB" w:rsidR="00DA796B" w:rsidRPr="001E2D40" w:rsidRDefault="00650D4A" w:rsidP="00650D4A">
      <w:pPr>
        <w:topLinePunct/>
        <w:adjustRightInd w:val="0"/>
        <w:ind w:rightChars="200" w:right="480"/>
        <w:jc w:val="right"/>
        <w:rPr>
          <w:rFonts w:ascii="仿宋_GB2312" w:hAnsi="仿宋"/>
        </w:rPr>
      </w:pPr>
      <w:r>
        <w:rPr>
          <w:rFonts w:ascii="仿宋_GB2312" w:hAnsi="仿宋" w:hint="eastAsia"/>
        </w:rPr>
        <w:t>委托人及</w:t>
      </w:r>
      <w:r w:rsidR="00DA796B" w:rsidRPr="001E2D40">
        <w:rPr>
          <w:rFonts w:ascii="仿宋_GB2312" w:hAnsi="仿宋" w:hint="eastAsia"/>
        </w:rPr>
        <w:t>被评估单位：</w:t>
      </w:r>
      <w:r w:rsidR="00DA796B" w:rsidRPr="001E2D40">
        <w:rPr>
          <w:rFonts w:ascii="仿宋_GB2312" w:hAnsi="仿宋"/>
        </w:rPr>
        <w:t xml:space="preserve"> </w:t>
      </w:r>
      <w:r w:rsidR="0036365F">
        <w:rPr>
          <w:rFonts w:ascii="仿宋_GB2312" w:hAnsi="仿宋" w:hint="eastAsia"/>
        </w:rPr>
        <w:t>北京月亮峡谷旅游开发有限公司</w:t>
      </w:r>
    </w:p>
    <w:p w14:paraId="6A6AFC90" w14:textId="77777777" w:rsidR="00DA796B" w:rsidRPr="001E2D40" w:rsidRDefault="00DA796B" w:rsidP="00DA796B">
      <w:pPr>
        <w:topLinePunct/>
        <w:adjustRightInd w:val="0"/>
        <w:ind w:firstLineChars="2008" w:firstLine="4819"/>
        <w:jc w:val="left"/>
        <w:rPr>
          <w:rFonts w:ascii="仿宋_GB2312" w:hAnsi="仿宋"/>
        </w:rPr>
      </w:pPr>
    </w:p>
    <w:p w14:paraId="25681CEC" w14:textId="77777777" w:rsidR="00DA796B" w:rsidRPr="001E2D40" w:rsidRDefault="00DA796B" w:rsidP="00650D4A">
      <w:pPr>
        <w:topLinePunct/>
        <w:adjustRightInd w:val="0"/>
        <w:ind w:firstLineChars="900" w:firstLine="2160"/>
        <w:jc w:val="left"/>
        <w:rPr>
          <w:rFonts w:ascii="仿宋_GB2312" w:hAnsi="仿宋"/>
        </w:rPr>
      </w:pPr>
      <w:r w:rsidRPr="001E2D40">
        <w:rPr>
          <w:rFonts w:ascii="仿宋_GB2312" w:hAnsi="仿宋" w:hint="eastAsia"/>
        </w:rPr>
        <w:t>法定代表人或负责人签字：</w:t>
      </w:r>
    </w:p>
    <w:p w14:paraId="262A3FD6" w14:textId="77777777" w:rsidR="00DA796B" w:rsidRPr="001E2D40" w:rsidRDefault="00DA796B" w:rsidP="00DA796B">
      <w:pPr>
        <w:topLinePunct/>
        <w:adjustRightInd w:val="0"/>
        <w:ind w:firstLineChars="1300" w:firstLine="3120"/>
        <w:jc w:val="left"/>
        <w:rPr>
          <w:rFonts w:ascii="仿宋_GB2312" w:hAnsi="仿宋"/>
        </w:rPr>
      </w:pPr>
    </w:p>
    <w:p w14:paraId="4919F472" w14:textId="6E196DB8" w:rsidR="00DA796B" w:rsidRDefault="00DA796B" w:rsidP="00DA796B">
      <w:pPr>
        <w:topLinePunct/>
        <w:adjustRightInd w:val="0"/>
        <w:ind w:right="480" w:firstLineChars="2000" w:firstLine="4800"/>
        <w:rPr>
          <w:rFonts w:ascii="仿宋_GB2312" w:hAnsi="仿宋"/>
        </w:rPr>
      </w:pPr>
      <w:r w:rsidRPr="001E2D40">
        <w:rPr>
          <w:rFonts w:ascii="仿宋_GB2312" w:hAnsi="仿宋"/>
        </w:rPr>
        <w:t>年</w:t>
      </w:r>
      <w:r>
        <w:rPr>
          <w:rFonts w:ascii="仿宋_GB2312" w:hAnsi="仿宋" w:hint="eastAsia"/>
        </w:rPr>
        <w:t xml:space="preserve"> </w:t>
      </w:r>
      <w:r>
        <w:rPr>
          <w:rFonts w:ascii="仿宋_GB2312" w:hAnsi="仿宋"/>
        </w:rPr>
        <w:t xml:space="preserve"> </w:t>
      </w:r>
      <w:r>
        <w:rPr>
          <w:rFonts w:ascii="仿宋_GB2312" w:hAnsi="仿宋" w:hint="eastAsia"/>
        </w:rPr>
        <w:t xml:space="preserve">   </w:t>
      </w:r>
      <w:r w:rsidRPr="001E2D40">
        <w:rPr>
          <w:rFonts w:ascii="仿宋_GB2312" w:hAnsi="仿宋"/>
        </w:rPr>
        <w:t>月</w:t>
      </w:r>
      <w:r>
        <w:rPr>
          <w:rFonts w:ascii="仿宋_GB2312" w:hAnsi="仿宋" w:hint="eastAsia"/>
        </w:rPr>
        <w:t xml:space="preserve"> </w:t>
      </w:r>
      <w:r>
        <w:rPr>
          <w:rFonts w:ascii="仿宋_GB2312" w:hAnsi="仿宋"/>
        </w:rPr>
        <w:t xml:space="preserve">   </w:t>
      </w:r>
      <w:r>
        <w:rPr>
          <w:rFonts w:ascii="仿宋_GB2312" w:hAnsi="仿宋" w:hint="eastAsia"/>
        </w:rPr>
        <w:t xml:space="preserve"> </w:t>
      </w:r>
      <w:r w:rsidRPr="001E2D40">
        <w:rPr>
          <w:rFonts w:ascii="仿宋_GB2312" w:hAnsi="仿宋"/>
        </w:rPr>
        <w:t>日</w:t>
      </w:r>
    </w:p>
    <w:sectPr w:rsidR="00DA796B" w:rsidSect="00BF19CD">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2994" w14:textId="77777777" w:rsidR="00863BF0" w:rsidRDefault="00863BF0" w:rsidP="007E2601">
      <w:pPr>
        <w:spacing w:line="240" w:lineRule="auto"/>
      </w:pPr>
      <w:r>
        <w:separator/>
      </w:r>
    </w:p>
  </w:endnote>
  <w:endnote w:type="continuationSeparator" w:id="0">
    <w:p w14:paraId="40FC4FAF" w14:textId="77777777" w:rsidR="00863BF0" w:rsidRDefault="00863BF0" w:rsidP="007E2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9D60" w14:textId="77777777" w:rsidR="00863BF0" w:rsidRDefault="00863BF0" w:rsidP="007E2601">
      <w:pPr>
        <w:spacing w:line="240" w:lineRule="auto"/>
      </w:pPr>
      <w:r>
        <w:separator/>
      </w:r>
    </w:p>
  </w:footnote>
  <w:footnote w:type="continuationSeparator" w:id="0">
    <w:p w14:paraId="789711F0" w14:textId="77777777" w:rsidR="00863BF0" w:rsidRDefault="00863BF0" w:rsidP="007E26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C8"/>
    <w:multiLevelType w:val="hybridMultilevel"/>
    <w:tmpl w:val="7826CE0A"/>
    <w:lvl w:ilvl="0" w:tplc="3FEE00D0">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13C9290D"/>
    <w:multiLevelType w:val="hybridMultilevel"/>
    <w:tmpl w:val="36EAF7D8"/>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102" w:hanging="420"/>
      </w:pPr>
    </w:lvl>
    <w:lvl w:ilvl="2" w:tplc="0409001B" w:tentative="1">
      <w:start w:val="1"/>
      <w:numFmt w:val="lowerRoman"/>
      <w:lvlText w:val="%3."/>
      <w:lvlJc w:val="right"/>
      <w:pPr>
        <w:ind w:left="318" w:hanging="420"/>
      </w:pPr>
    </w:lvl>
    <w:lvl w:ilvl="3" w:tplc="0409000F" w:tentative="1">
      <w:start w:val="1"/>
      <w:numFmt w:val="decimal"/>
      <w:lvlText w:val="%4."/>
      <w:lvlJc w:val="left"/>
      <w:pPr>
        <w:ind w:left="738" w:hanging="420"/>
      </w:pPr>
    </w:lvl>
    <w:lvl w:ilvl="4" w:tplc="04090019" w:tentative="1">
      <w:start w:val="1"/>
      <w:numFmt w:val="lowerLetter"/>
      <w:lvlText w:val="%5)"/>
      <w:lvlJc w:val="left"/>
      <w:pPr>
        <w:ind w:left="1158" w:hanging="420"/>
      </w:pPr>
    </w:lvl>
    <w:lvl w:ilvl="5" w:tplc="0409001B" w:tentative="1">
      <w:start w:val="1"/>
      <w:numFmt w:val="lowerRoman"/>
      <w:lvlText w:val="%6."/>
      <w:lvlJc w:val="right"/>
      <w:pPr>
        <w:ind w:left="1578" w:hanging="420"/>
      </w:pPr>
    </w:lvl>
    <w:lvl w:ilvl="6" w:tplc="0409000F" w:tentative="1">
      <w:start w:val="1"/>
      <w:numFmt w:val="decimal"/>
      <w:lvlText w:val="%7."/>
      <w:lvlJc w:val="left"/>
      <w:pPr>
        <w:ind w:left="1998" w:hanging="420"/>
      </w:pPr>
    </w:lvl>
    <w:lvl w:ilvl="7" w:tplc="04090019" w:tentative="1">
      <w:start w:val="1"/>
      <w:numFmt w:val="lowerLetter"/>
      <w:lvlText w:val="%8)"/>
      <w:lvlJc w:val="left"/>
      <w:pPr>
        <w:ind w:left="2418" w:hanging="420"/>
      </w:pPr>
    </w:lvl>
    <w:lvl w:ilvl="8" w:tplc="0409001B" w:tentative="1">
      <w:start w:val="1"/>
      <w:numFmt w:val="lowerRoman"/>
      <w:lvlText w:val="%9."/>
      <w:lvlJc w:val="right"/>
      <w:pPr>
        <w:ind w:left="2838" w:hanging="420"/>
      </w:pPr>
    </w:lvl>
  </w:abstractNum>
  <w:abstractNum w:abstractNumId="2" w15:restartNumberingAfterBreak="0">
    <w:nsid w:val="2A8F67A5"/>
    <w:multiLevelType w:val="hybridMultilevel"/>
    <w:tmpl w:val="FC4C71C2"/>
    <w:lvl w:ilvl="0" w:tplc="9D5429E0">
      <w:start w:val="1"/>
      <w:numFmt w:val="decimal"/>
      <w:lvlText w:val="%1）"/>
      <w:lvlJc w:val="left"/>
      <w:pPr>
        <w:ind w:left="1620" w:hanging="360"/>
      </w:pPr>
      <w:rPr>
        <w:rFonts w:hint="default"/>
      </w:rPr>
    </w:lvl>
    <w:lvl w:ilvl="1" w:tplc="0090F3E0">
      <w:start w:val="1"/>
      <w:numFmt w:val="decimal"/>
      <w:lvlText w:val="%2．"/>
      <w:lvlJc w:val="left"/>
      <w:pPr>
        <w:ind w:left="2100" w:hanging="420"/>
      </w:pPr>
      <w:rPr>
        <w:rFonts w:hint="default"/>
      </w:rPr>
    </w:lvl>
    <w:lvl w:ilvl="2" w:tplc="AE241B9E">
      <w:start w:val="1"/>
      <w:numFmt w:val="japaneseCounting"/>
      <w:lvlText w:val="%3、"/>
      <w:lvlJc w:val="left"/>
      <w:pPr>
        <w:ind w:left="2610" w:hanging="510"/>
      </w:pPr>
      <w:rPr>
        <w:rFonts w:hint="default"/>
      </w:rPr>
    </w:lvl>
    <w:lvl w:ilvl="3" w:tplc="0409000F">
      <w:start w:val="1"/>
      <w:numFmt w:val="decimal"/>
      <w:lvlText w:val="%4."/>
      <w:lvlJc w:val="left"/>
      <w:pPr>
        <w:ind w:left="3285" w:hanging="765"/>
      </w:pPr>
      <w:rPr>
        <w:rFonts w:hint="default"/>
      </w:rPr>
    </w:lvl>
    <w:lvl w:ilvl="4" w:tplc="B624134C">
      <w:start w:val="1"/>
      <w:numFmt w:val="decimal"/>
      <w:lvlText w:val="（%5）"/>
      <w:lvlJc w:val="left"/>
      <w:pPr>
        <w:ind w:left="3660" w:hanging="720"/>
      </w:pPr>
      <w:rPr>
        <w:rFonts w:hint="default"/>
      </w:r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2D497658"/>
    <w:multiLevelType w:val="hybridMultilevel"/>
    <w:tmpl w:val="4D9A9518"/>
    <w:lvl w:ilvl="0" w:tplc="F6220BB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3AAC06D5"/>
    <w:multiLevelType w:val="hybridMultilevel"/>
    <w:tmpl w:val="AC56DAE8"/>
    <w:lvl w:ilvl="0" w:tplc="D0A4C7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3923D18"/>
    <w:multiLevelType w:val="hybridMultilevel"/>
    <w:tmpl w:val="0BDEBA72"/>
    <w:lvl w:ilvl="0" w:tplc="2F02E752">
      <w:start w:val="1"/>
      <w:numFmt w:val="japaneseCounting"/>
      <w:lvlText w:val="（%1）"/>
      <w:lvlJc w:val="left"/>
      <w:pPr>
        <w:ind w:left="840" w:hanging="360"/>
      </w:pPr>
      <w:rPr>
        <w:rFonts w:ascii="仿宋_GB2312" w:eastAsia="仿宋_GB2312" w:hAnsi="仿宋"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5A7A4609"/>
    <w:multiLevelType w:val="hybridMultilevel"/>
    <w:tmpl w:val="36EAF7D8"/>
    <w:lvl w:ilvl="0" w:tplc="04090013">
      <w:start w:val="1"/>
      <w:numFmt w:val="chineseCountingThousand"/>
      <w:lvlText w:val="%1、"/>
      <w:lvlJc w:val="left"/>
      <w:pPr>
        <w:ind w:left="420" w:hanging="420"/>
      </w:pPr>
      <w:rPr>
        <w:rFonts w:hint="default"/>
      </w:rPr>
    </w:lvl>
    <w:lvl w:ilvl="1" w:tplc="04090019" w:tentative="1">
      <w:start w:val="1"/>
      <w:numFmt w:val="lowerLetter"/>
      <w:lvlText w:val="%2)"/>
      <w:lvlJc w:val="left"/>
      <w:pPr>
        <w:ind w:left="-102" w:hanging="420"/>
      </w:pPr>
    </w:lvl>
    <w:lvl w:ilvl="2" w:tplc="0409001B" w:tentative="1">
      <w:start w:val="1"/>
      <w:numFmt w:val="lowerRoman"/>
      <w:lvlText w:val="%3."/>
      <w:lvlJc w:val="right"/>
      <w:pPr>
        <w:ind w:left="318" w:hanging="420"/>
      </w:pPr>
    </w:lvl>
    <w:lvl w:ilvl="3" w:tplc="0409000F">
      <w:start w:val="1"/>
      <w:numFmt w:val="decimal"/>
      <w:lvlText w:val="%4."/>
      <w:lvlJc w:val="left"/>
      <w:pPr>
        <w:ind w:left="738" w:hanging="420"/>
      </w:pPr>
    </w:lvl>
    <w:lvl w:ilvl="4" w:tplc="04090019" w:tentative="1">
      <w:start w:val="1"/>
      <w:numFmt w:val="lowerLetter"/>
      <w:lvlText w:val="%5)"/>
      <w:lvlJc w:val="left"/>
      <w:pPr>
        <w:ind w:left="1158" w:hanging="420"/>
      </w:pPr>
    </w:lvl>
    <w:lvl w:ilvl="5" w:tplc="0409001B" w:tentative="1">
      <w:start w:val="1"/>
      <w:numFmt w:val="lowerRoman"/>
      <w:lvlText w:val="%6."/>
      <w:lvlJc w:val="right"/>
      <w:pPr>
        <w:ind w:left="1578" w:hanging="420"/>
      </w:pPr>
    </w:lvl>
    <w:lvl w:ilvl="6" w:tplc="0409000F" w:tentative="1">
      <w:start w:val="1"/>
      <w:numFmt w:val="decimal"/>
      <w:lvlText w:val="%7."/>
      <w:lvlJc w:val="left"/>
      <w:pPr>
        <w:ind w:left="1998" w:hanging="420"/>
      </w:pPr>
    </w:lvl>
    <w:lvl w:ilvl="7" w:tplc="04090019" w:tentative="1">
      <w:start w:val="1"/>
      <w:numFmt w:val="lowerLetter"/>
      <w:lvlText w:val="%8)"/>
      <w:lvlJc w:val="left"/>
      <w:pPr>
        <w:ind w:left="2418" w:hanging="420"/>
      </w:pPr>
    </w:lvl>
    <w:lvl w:ilvl="8" w:tplc="0409001B" w:tentative="1">
      <w:start w:val="1"/>
      <w:numFmt w:val="lowerRoman"/>
      <w:lvlText w:val="%9."/>
      <w:lvlJc w:val="right"/>
      <w:pPr>
        <w:ind w:left="2838" w:hanging="420"/>
      </w:pPr>
    </w:lvl>
  </w:abstractNum>
  <w:abstractNum w:abstractNumId="8" w15:restartNumberingAfterBreak="0">
    <w:nsid w:val="5E9118B9"/>
    <w:multiLevelType w:val="hybridMultilevel"/>
    <w:tmpl w:val="A0B4A870"/>
    <w:lvl w:ilvl="0" w:tplc="F2C4EFB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5467969"/>
    <w:multiLevelType w:val="hybridMultilevel"/>
    <w:tmpl w:val="D9345440"/>
    <w:lvl w:ilvl="0" w:tplc="6F50C61C">
      <w:start w:val="1"/>
      <w:numFmt w:val="decimal"/>
      <w:lvlText w:val="（%1）"/>
      <w:lvlJc w:val="left"/>
      <w:pPr>
        <w:ind w:left="1854"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10" w15:restartNumberingAfterBreak="0">
    <w:nsid w:val="66E77E7C"/>
    <w:multiLevelType w:val="hybridMultilevel"/>
    <w:tmpl w:val="8E7490B8"/>
    <w:lvl w:ilvl="0" w:tplc="0090F3E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70D72B0E"/>
    <w:multiLevelType w:val="hybridMultilevel"/>
    <w:tmpl w:val="DDD6078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785728345">
    <w:abstractNumId w:val="5"/>
  </w:num>
  <w:num w:numId="2" w16cid:durableId="412513209">
    <w:abstractNumId w:val="9"/>
  </w:num>
  <w:num w:numId="3" w16cid:durableId="2085298592">
    <w:abstractNumId w:val="2"/>
  </w:num>
  <w:num w:numId="4" w16cid:durableId="1265111577">
    <w:abstractNumId w:val="7"/>
  </w:num>
  <w:num w:numId="5" w16cid:durableId="2049180193">
    <w:abstractNumId w:val="0"/>
  </w:num>
  <w:num w:numId="6" w16cid:durableId="1178812871">
    <w:abstractNumId w:val="10"/>
  </w:num>
  <w:num w:numId="7" w16cid:durableId="1473401744">
    <w:abstractNumId w:val="8"/>
  </w:num>
  <w:num w:numId="8" w16cid:durableId="1696342091">
    <w:abstractNumId w:val="6"/>
  </w:num>
  <w:num w:numId="9" w16cid:durableId="89473104">
    <w:abstractNumId w:val="4"/>
  </w:num>
  <w:num w:numId="10" w16cid:durableId="814837021">
    <w:abstractNumId w:val="3"/>
  </w:num>
  <w:num w:numId="11" w16cid:durableId="989988861">
    <w:abstractNumId w:val="11"/>
  </w:num>
  <w:num w:numId="12" w16cid:durableId="699353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D2A"/>
    <w:rsid w:val="00003D9B"/>
    <w:rsid w:val="0001166C"/>
    <w:rsid w:val="0001626F"/>
    <w:rsid w:val="00017EEC"/>
    <w:rsid w:val="000248DD"/>
    <w:rsid w:val="00035F4D"/>
    <w:rsid w:val="00042E48"/>
    <w:rsid w:val="0005002B"/>
    <w:rsid w:val="00051157"/>
    <w:rsid w:val="000613FC"/>
    <w:rsid w:val="00061A77"/>
    <w:rsid w:val="00061DDA"/>
    <w:rsid w:val="00064F0F"/>
    <w:rsid w:val="00066DB4"/>
    <w:rsid w:val="0007138F"/>
    <w:rsid w:val="00085AB3"/>
    <w:rsid w:val="00087CDC"/>
    <w:rsid w:val="00094F28"/>
    <w:rsid w:val="000A0BAD"/>
    <w:rsid w:val="000A16B2"/>
    <w:rsid w:val="000A29FD"/>
    <w:rsid w:val="000A7994"/>
    <w:rsid w:val="000B1ED6"/>
    <w:rsid w:val="000C1777"/>
    <w:rsid w:val="000C2A9A"/>
    <w:rsid w:val="000D3063"/>
    <w:rsid w:val="000D43DC"/>
    <w:rsid w:val="000E23D8"/>
    <w:rsid w:val="000E3172"/>
    <w:rsid w:val="000E35CC"/>
    <w:rsid w:val="000E44D1"/>
    <w:rsid w:val="000F1498"/>
    <w:rsid w:val="00103895"/>
    <w:rsid w:val="00103FB5"/>
    <w:rsid w:val="0010631A"/>
    <w:rsid w:val="001127E1"/>
    <w:rsid w:val="00116827"/>
    <w:rsid w:val="00120551"/>
    <w:rsid w:val="00126402"/>
    <w:rsid w:val="0013064F"/>
    <w:rsid w:val="00130E9B"/>
    <w:rsid w:val="00132C63"/>
    <w:rsid w:val="00135563"/>
    <w:rsid w:val="001355A5"/>
    <w:rsid w:val="00147353"/>
    <w:rsid w:val="00164321"/>
    <w:rsid w:val="00167C68"/>
    <w:rsid w:val="001736CA"/>
    <w:rsid w:val="001751EB"/>
    <w:rsid w:val="001773D4"/>
    <w:rsid w:val="00183278"/>
    <w:rsid w:val="001950FC"/>
    <w:rsid w:val="001A1CF3"/>
    <w:rsid w:val="001A5D42"/>
    <w:rsid w:val="001B44AF"/>
    <w:rsid w:val="001B4D40"/>
    <w:rsid w:val="001C1074"/>
    <w:rsid w:val="001C5652"/>
    <w:rsid w:val="001D6BAF"/>
    <w:rsid w:val="001E1AE4"/>
    <w:rsid w:val="001E2D40"/>
    <w:rsid w:val="001F626F"/>
    <w:rsid w:val="001F7268"/>
    <w:rsid w:val="002000E9"/>
    <w:rsid w:val="002011B9"/>
    <w:rsid w:val="002118E7"/>
    <w:rsid w:val="00226496"/>
    <w:rsid w:val="002267EA"/>
    <w:rsid w:val="0025076D"/>
    <w:rsid w:val="0025205D"/>
    <w:rsid w:val="00252255"/>
    <w:rsid w:val="00254ACA"/>
    <w:rsid w:val="00256FB5"/>
    <w:rsid w:val="002574C8"/>
    <w:rsid w:val="00257BD4"/>
    <w:rsid w:val="00263CE7"/>
    <w:rsid w:val="00267DD4"/>
    <w:rsid w:val="002778A5"/>
    <w:rsid w:val="00277FBA"/>
    <w:rsid w:val="002804FC"/>
    <w:rsid w:val="00282339"/>
    <w:rsid w:val="00284A8F"/>
    <w:rsid w:val="002873EE"/>
    <w:rsid w:val="002A7352"/>
    <w:rsid w:val="002B3C4B"/>
    <w:rsid w:val="002C10E7"/>
    <w:rsid w:val="002C228F"/>
    <w:rsid w:val="002E1227"/>
    <w:rsid w:val="002F653F"/>
    <w:rsid w:val="00300EFE"/>
    <w:rsid w:val="00303F9D"/>
    <w:rsid w:val="0030747B"/>
    <w:rsid w:val="003124CC"/>
    <w:rsid w:val="0031366E"/>
    <w:rsid w:val="00326E9C"/>
    <w:rsid w:val="0033336E"/>
    <w:rsid w:val="00333C82"/>
    <w:rsid w:val="003418D6"/>
    <w:rsid w:val="00352D89"/>
    <w:rsid w:val="00357234"/>
    <w:rsid w:val="003579AA"/>
    <w:rsid w:val="0036365F"/>
    <w:rsid w:val="003870E5"/>
    <w:rsid w:val="003909C2"/>
    <w:rsid w:val="00392AA1"/>
    <w:rsid w:val="00393B91"/>
    <w:rsid w:val="00396958"/>
    <w:rsid w:val="003974D4"/>
    <w:rsid w:val="003A0D6D"/>
    <w:rsid w:val="003B2377"/>
    <w:rsid w:val="003C032C"/>
    <w:rsid w:val="003C1CF0"/>
    <w:rsid w:val="003D04E4"/>
    <w:rsid w:val="003D6B0A"/>
    <w:rsid w:val="003E2B80"/>
    <w:rsid w:val="003E3BA1"/>
    <w:rsid w:val="00401522"/>
    <w:rsid w:val="004044E1"/>
    <w:rsid w:val="00406F82"/>
    <w:rsid w:val="004075F2"/>
    <w:rsid w:val="00407C05"/>
    <w:rsid w:val="004133D9"/>
    <w:rsid w:val="00413FA5"/>
    <w:rsid w:val="004144BC"/>
    <w:rsid w:val="00415A11"/>
    <w:rsid w:val="00433E9D"/>
    <w:rsid w:val="00434CC8"/>
    <w:rsid w:val="00447705"/>
    <w:rsid w:val="00450E17"/>
    <w:rsid w:val="00457D91"/>
    <w:rsid w:val="00461027"/>
    <w:rsid w:val="004623A2"/>
    <w:rsid w:val="00475416"/>
    <w:rsid w:val="00476E8B"/>
    <w:rsid w:val="00480946"/>
    <w:rsid w:val="004812D5"/>
    <w:rsid w:val="00482B22"/>
    <w:rsid w:val="00485A63"/>
    <w:rsid w:val="004863C4"/>
    <w:rsid w:val="00492AB0"/>
    <w:rsid w:val="004A2D2A"/>
    <w:rsid w:val="004A473A"/>
    <w:rsid w:val="004B4B33"/>
    <w:rsid w:val="004B548A"/>
    <w:rsid w:val="004C2D97"/>
    <w:rsid w:val="004C3B17"/>
    <w:rsid w:val="004C684C"/>
    <w:rsid w:val="004E3D44"/>
    <w:rsid w:val="004E7729"/>
    <w:rsid w:val="004F0566"/>
    <w:rsid w:val="00500A25"/>
    <w:rsid w:val="00512931"/>
    <w:rsid w:val="00530D27"/>
    <w:rsid w:val="00531876"/>
    <w:rsid w:val="005342C5"/>
    <w:rsid w:val="0053455A"/>
    <w:rsid w:val="00536B62"/>
    <w:rsid w:val="00541D18"/>
    <w:rsid w:val="005429DB"/>
    <w:rsid w:val="0054675E"/>
    <w:rsid w:val="00561BDB"/>
    <w:rsid w:val="00564376"/>
    <w:rsid w:val="00567653"/>
    <w:rsid w:val="00574F61"/>
    <w:rsid w:val="005751C1"/>
    <w:rsid w:val="0057730B"/>
    <w:rsid w:val="00583975"/>
    <w:rsid w:val="00584C24"/>
    <w:rsid w:val="0059080F"/>
    <w:rsid w:val="00592E18"/>
    <w:rsid w:val="00593F1E"/>
    <w:rsid w:val="0059651C"/>
    <w:rsid w:val="00596F5C"/>
    <w:rsid w:val="005A7E5A"/>
    <w:rsid w:val="005B6CD7"/>
    <w:rsid w:val="005C25DA"/>
    <w:rsid w:val="005C3656"/>
    <w:rsid w:val="005C4623"/>
    <w:rsid w:val="005C53C7"/>
    <w:rsid w:val="005D51B0"/>
    <w:rsid w:val="005D6960"/>
    <w:rsid w:val="005E213E"/>
    <w:rsid w:val="005E634B"/>
    <w:rsid w:val="005F1954"/>
    <w:rsid w:val="005F1EF5"/>
    <w:rsid w:val="005F2BEE"/>
    <w:rsid w:val="006008FA"/>
    <w:rsid w:val="006013FE"/>
    <w:rsid w:val="006072EF"/>
    <w:rsid w:val="006125BC"/>
    <w:rsid w:val="00613469"/>
    <w:rsid w:val="0061682B"/>
    <w:rsid w:val="00617A01"/>
    <w:rsid w:val="00625AAF"/>
    <w:rsid w:val="00626B8D"/>
    <w:rsid w:val="006304E4"/>
    <w:rsid w:val="00630B77"/>
    <w:rsid w:val="006379E0"/>
    <w:rsid w:val="006403B7"/>
    <w:rsid w:val="006508B3"/>
    <w:rsid w:val="00650D4A"/>
    <w:rsid w:val="00652C12"/>
    <w:rsid w:val="00656CD0"/>
    <w:rsid w:val="006636B5"/>
    <w:rsid w:val="00664776"/>
    <w:rsid w:val="00680F8F"/>
    <w:rsid w:val="0068351D"/>
    <w:rsid w:val="00687678"/>
    <w:rsid w:val="00690D80"/>
    <w:rsid w:val="0069449D"/>
    <w:rsid w:val="00694A47"/>
    <w:rsid w:val="00694AFD"/>
    <w:rsid w:val="006A60B5"/>
    <w:rsid w:val="006B0ECC"/>
    <w:rsid w:val="006B3A92"/>
    <w:rsid w:val="006C13BE"/>
    <w:rsid w:val="006C7280"/>
    <w:rsid w:val="006D103B"/>
    <w:rsid w:val="006D178E"/>
    <w:rsid w:val="006D1814"/>
    <w:rsid w:val="006D4652"/>
    <w:rsid w:val="006F0584"/>
    <w:rsid w:val="006F6831"/>
    <w:rsid w:val="00702C12"/>
    <w:rsid w:val="00706253"/>
    <w:rsid w:val="00706A7F"/>
    <w:rsid w:val="00707AA3"/>
    <w:rsid w:val="00707F26"/>
    <w:rsid w:val="00710F12"/>
    <w:rsid w:val="00720A48"/>
    <w:rsid w:val="00724A79"/>
    <w:rsid w:val="00730484"/>
    <w:rsid w:val="00731DCF"/>
    <w:rsid w:val="00734EFC"/>
    <w:rsid w:val="007443E4"/>
    <w:rsid w:val="00745348"/>
    <w:rsid w:val="0074706E"/>
    <w:rsid w:val="007470A5"/>
    <w:rsid w:val="007659D0"/>
    <w:rsid w:val="00767114"/>
    <w:rsid w:val="007772E8"/>
    <w:rsid w:val="00781E7A"/>
    <w:rsid w:val="00787BFD"/>
    <w:rsid w:val="0079613D"/>
    <w:rsid w:val="007A64B3"/>
    <w:rsid w:val="007B0625"/>
    <w:rsid w:val="007B705E"/>
    <w:rsid w:val="007C0B84"/>
    <w:rsid w:val="007C6473"/>
    <w:rsid w:val="007E2601"/>
    <w:rsid w:val="007E44E0"/>
    <w:rsid w:val="007F2695"/>
    <w:rsid w:val="00800071"/>
    <w:rsid w:val="00801245"/>
    <w:rsid w:val="008069DA"/>
    <w:rsid w:val="00813FCD"/>
    <w:rsid w:val="008200CE"/>
    <w:rsid w:val="00822332"/>
    <w:rsid w:val="00824015"/>
    <w:rsid w:val="0082416A"/>
    <w:rsid w:val="00824297"/>
    <w:rsid w:val="008246D7"/>
    <w:rsid w:val="00826633"/>
    <w:rsid w:val="008271DB"/>
    <w:rsid w:val="00830188"/>
    <w:rsid w:val="00845FAD"/>
    <w:rsid w:val="0085136D"/>
    <w:rsid w:val="00857281"/>
    <w:rsid w:val="00863BF0"/>
    <w:rsid w:val="00865664"/>
    <w:rsid w:val="00866D1A"/>
    <w:rsid w:val="0087465F"/>
    <w:rsid w:val="00875B07"/>
    <w:rsid w:val="00882857"/>
    <w:rsid w:val="00885FC5"/>
    <w:rsid w:val="00894048"/>
    <w:rsid w:val="00896A90"/>
    <w:rsid w:val="00897456"/>
    <w:rsid w:val="008A08BC"/>
    <w:rsid w:val="008B1DC3"/>
    <w:rsid w:val="008B6765"/>
    <w:rsid w:val="008B6ECB"/>
    <w:rsid w:val="008C696D"/>
    <w:rsid w:val="008D2738"/>
    <w:rsid w:val="00930037"/>
    <w:rsid w:val="00930FF7"/>
    <w:rsid w:val="00931144"/>
    <w:rsid w:val="0093309E"/>
    <w:rsid w:val="00937BFA"/>
    <w:rsid w:val="0094418D"/>
    <w:rsid w:val="00944E10"/>
    <w:rsid w:val="009452DB"/>
    <w:rsid w:val="009453AD"/>
    <w:rsid w:val="00955011"/>
    <w:rsid w:val="00955620"/>
    <w:rsid w:val="00964E15"/>
    <w:rsid w:val="00965B9B"/>
    <w:rsid w:val="00967DBA"/>
    <w:rsid w:val="009712B5"/>
    <w:rsid w:val="0098321E"/>
    <w:rsid w:val="009A20FF"/>
    <w:rsid w:val="009A65E4"/>
    <w:rsid w:val="009A6828"/>
    <w:rsid w:val="009C0DAD"/>
    <w:rsid w:val="009C1DB1"/>
    <w:rsid w:val="009C25EF"/>
    <w:rsid w:val="009D1FD7"/>
    <w:rsid w:val="009D77F5"/>
    <w:rsid w:val="009E0459"/>
    <w:rsid w:val="009E6D68"/>
    <w:rsid w:val="009F04F4"/>
    <w:rsid w:val="00A00BA7"/>
    <w:rsid w:val="00A03260"/>
    <w:rsid w:val="00A032F8"/>
    <w:rsid w:val="00A066B2"/>
    <w:rsid w:val="00A101A5"/>
    <w:rsid w:val="00A14F52"/>
    <w:rsid w:val="00A1581C"/>
    <w:rsid w:val="00A2141E"/>
    <w:rsid w:val="00A239E8"/>
    <w:rsid w:val="00A30058"/>
    <w:rsid w:val="00A34627"/>
    <w:rsid w:val="00A37ED2"/>
    <w:rsid w:val="00A46D96"/>
    <w:rsid w:val="00A57730"/>
    <w:rsid w:val="00A64B18"/>
    <w:rsid w:val="00A74AE0"/>
    <w:rsid w:val="00A777AB"/>
    <w:rsid w:val="00A77D0B"/>
    <w:rsid w:val="00A817E7"/>
    <w:rsid w:val="00A83EEF"/>
    <w:rsid w:val="00A85420"/>
    <w:rsid w:val="00A953AD"/>
    <w:rsid w:val="00AA53E4"/>
    <w:rsid w:val="00AA5D77"/>
    <w:rsid w:val="00AA622B"/>
    <w:rsid w:val="00AA7439"/>
    <w:rsid w:val="00AC464A"/>
    <w:rsid w:val="00AC5CAD"/>
    <w:rsid w:val="00AE590E"/>
    <w:rsid w:val="00B01DD5"/>
    <w:rsid w:val="00B07DC7"/>
    <w:rsid w:val="00B1608F"/>
    <w:rsid w:val="00B21386"/>
    <w:rsid w:val="00B25376"/>
    <w:rsid w:val="00B304C8"/>
    <w:rsid w:val="00B31911"/>
    <w:rsid w:val="00B422FB"/>
    <w:rsid w:val="00B423CC"/>
    <w:rsid w:val="00B51A53"/>
    <w:rsid w:val="00B56494"/>
    <w:rsid w:val="00B57453"/>
    <w:rsid w:val="00B62134"/>
    <w:rsid w:val="00B64339"/>
    <w:rsid w:val="00B71EC4"/>
    <w:rsid w:val="00B74286"/>
    <w:rsid w:val="00B8300D"/>
    <w:rsid w:val="00B9678B"/>
    <w:rsid w:val="00BA5E36"/>
    <w:rsid w:val="00BB156F"/>
    <w:rsid w:val="00BB43DA"/>
    <w:rsid w:val="00BB457B"/>
    <w:rsid w:val="00BB5F78"/>
    <w:rsid w:val="00BB6866"/>
    <w:rsid w:val="00BC180E"/>
    <w:rsid w:val="00BC50D3"/>
    <w:rsid w:val="00BC7CBD"/>
    <w:rsid w:val="00BD1049"/>
    <w:rsid w:val="00BD2D8F"/>
    <w:rsid w:val="00BD2FA8"/>
    <w:rsid w:val="00BE3C06"/>
    <w:rsid w:val="00BE6351"/>
    <w:rsid w:val="00BF03D4"/>
    <w:rsid w:val="00BF07B0"/>
    <w:rsid w:val="00BF19CD"/>
    <w:rsid w:val="00BF353C"/>
    <w:rsid w:val="00BF69C7"/>
    <w:rsid w:val="00BF7723"/>
    <w:rsid w:val="00C002DD"/>
    <w:rsid w:val="00C02366"/>
    <w:rsid w:val="00C03B92"/>
    <w:rsid w:val="00C045EF"/>
    <w:rsid w:val="00C0463C"/>
    <w:rsid w:val="00C07F80"/>
    <w:rsid w:val="00C12244"/>
    <w:rsid w:val="00C16D3B"/>
    <w:rsid w:val="00C16F73"/>
    <w:rsid w:val="00C16F94"/>
    <w:rsid w:val="00C217A8"/>
    <w:rsid w:val="00C24051"/>
    <w:rsid w:val="00C36A8B"/>
    <w:rsid w:val="00C404CA"/>
    <w:rsid w:val="00C4112F"/>
    <w:rsid w:val="00C42489"/>
    <w:rsid w:val="00C452B6"/>
    <w:rsid w:val="00C51F1B"/>
    <w:rsid w:val="00C53BBD"/>
    <w:rsid w:val="00C63386"/>
    <w:rsid w:val="00C71CEA"/>
    <w:rsid w:val="00C76779"/>
    <w:rsid w:val="00C80D94"/>
    <w:rsid w:val="00C82900"/>
    <w:rsid w:val="00C84B34"/>
    <w:rsid w:val="00C85222"/>
    <w:rsid w:val="00C9297E"/>
    <w:rsid w:val="00CA2D1D"/>
    <w:rsid w:val="00CA4890"/>
    <w:rsid w:val="00CB21D6"/>
    <w:rsid w:val="00CB269D"/>
    <w:rsid w:val="00CB2DF6"/>
    <w:rsid w:val="00CC060C"/>
    <w:rsid w:val="00CC177A"/>
    <w:rsid w:val="00CD190B"/>
    <w:rsid w:val="00CD191C"/>
    <w:rsid w:val="00CD23AD"/>
    <w:rsid w:val="00CD4217"/>
    <w:rsid w:val="00CD73FC"/>
    <w:rsid w:val="00CD7DE3"/>
    <w:rsid w:val="00CE1529"/>
    <w:rsid w:val="00CE476B"/>
    <w:rsid w:val="00CE6C2B"/>
    <w:rsid w:val="00CF331E"/>
    <w:rsid w:val="00CF522E"/>
    <w:rsid w:val="00D04564"/>
    <w:rsid w:val="00D207C1"/>
    <w:rsid w:val="00D22843"/>
    <w:rsid w:val="00D40775"/>
    <w:rsid w:val="00D431FB"/>
    <w:rsid w:val="00D52167"/>
    <w:rsid w:val="00D54E82"/>
    <w:rsid w:val="00D57E94"/>
    <w:rsid w:val="00D61658"/>
    <w:rsid w:val="00D64660"/>
    <w:rsid w:val="00D6576A"/>
    <w:rsid w:val="00D67AC2"/>
    <w:rsid w:val="00D72245"/>
    <w:rsid w:val="00D73FA7"/>
    <w:rsid w:val="00D74AA6"/>
    <w:rsid w:val="00D762BF"/>
    <w:rsid w:val="00D80226"/>
    <w:rsid w:val="00D8095F"/>
    <w:rsid w:val="00DA0148"/>
    <w:rsid w:val="00DA0F46"/>
    <w:rsid w:val="00DA2138"/>
    <w:rsid w:val="00DA796B"/>
    <w:rsid w:val="00DB3E2C"/>
    <w:rsid w:val="00DB463B"/>
    <w:rsid w:val="00DB4A78"/>
    <w:rsid w:val="00DC1F22"/>
    <w:rsid w:val="00DC2A64"/>
    <w:rsid w:val="00DC5548"/>
    <w:rsid w:val="00DD1654"/>
    <w:rsid w:val="00DD1C42"/>
    <w:rsid w:val="00DD700C"/>
    <w:rsid w:val="00DE0134"/>
    <w:rsid w:val="00DE2031"/>
    <w:rsid w:val="00DE2086"/>
    <w:rsid w:val="00DE22E6"/>
    <w:rsid w:val="00DE3A24"/>
    <w:rsid w:val="00DE5729"/>
    <w:rsid w:val="00DF08C5"/>
    <w:rsid w:val="00DF0D19"/>
    <w:rsid w:val="00E01426"/>
    <w:rsid w:val="00E03A57"/>
    <w:rsid w:val="00E10610"/>
    <w:rsid w:val="00E14162"/>
    <w:rsid w:val="00E21B5D"/>
    <w:rsid w:val="00E21C8F"/>
    <w:rsid w:val="00E23243"/>
    <w:rsid w:val="00E37CDC"/>
    <w:rsid w:val="00E4062B"/>
    <w:rsid w:val="00E50ED9"/>
    <w:rsid w:val="00E5268F"/>
    <w:rsid w:val="00E63494"/>
    <w:rsid w:val="00E658E5"/>
    <w:rsid w:val="00E6635F"/>
    <w:rsid w:val="00E701C1"/>
    <w:rsid w:val="00E72B66"/>
    <w:rsid w:val="00E736BB"/>
    <w:rsid w:val="00E73AE6"/>
    <w:rsid w:val="00E760C1"/>
    <w:rsid w:val="00E8272F"/>
    <w:rsid w:val="00E82755"/>
    <w:rsid w:val="00E92157"/>
    <w:rsid w:val="00E94F9F"/>
    <w:rsid w:val="00EB0F75"/>
    <w:rsid w:val="00EB23ED"/>
    <w:rsid w:val="00EC109B"/>
    <w:rsid w:val="00ED1836"/>
    <w:rsid w:val="00ED5755"/>
    <w:rsid w:val="00ED7496"/>
    <w:rsid w:val="00EE2467"/>
    <w:rsid w:val="00EE54D3"/>
    <w:rsid w:val="00EE65DE"/>
    <w:rsid w:val="00F013CE"/>
    <w:rsid w:val="00F07418"/>
    <w:rsid w:val="00F12196"/>
    <w:rsid w:val="00F14DFF"/>
    <w:rsid w:val="00F16D01"/>
    <w:rsid w:val="00F20C45"/>
    <w:rsid w:val="00F43F05"/>
    <w:rsid w:val="00F46A4F"/>
    <w:rsid w:val="00F51DD4"/>
    <w:rsid w:val="00F531AA"/>
    <w:rsid w:val="00F53801"/>
    <w:rsid w:val="00F53E50"/>
    <w:rsid w:val="00F540E1"/>
    <w:rsid w:val="00F55F8A"/>
    <w:rsid w:val="00F70F4C"/>
    <w:rsid w:val="00F711F7"/>
    <w:rsid w:val="00F7157C"/>
    <w:rsid w:val="00F909DB"/>
    <w:rsid w:val="00F937F8"/>
    <w:rsid w:val="00FA1C64"/>
    <w:rsid w:val="00FB7F84"/>
    <w:rsid w:val="00FC287E"/>
    <w:rsid w:val="00FC3A8A"/>
    <w:rsid w:val="00FC5D9D"/>
    <w:rsid w:val="00FD426F"/>
    <w:rsid w:val="00FD647C"/>
    <w:rsid w:val="00FE1A3A"/>
    <w:rsid w:val="00FE2A5A"/>
    <w:rsid w:val="00FF3A39"/>
    <w:rsid w:val="00FF4176"/>
    <w:rsid w:val="00FF7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FA13"/>
  <w15:docId w15:val="{BDD948A1-5630-4B16-AEB0-20B38FE8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2A"/>
    <w:pPr>
      <w:widowControl w:val="0"/>
      <w:spacing w:line="360" w:lineRule="auto"/>
      <w:jc w:val="both"/>
    </w:pPr>
    <w:rPr>
      <w:rFonts w:ascii="Times New Roman" w:eastAsia="仿宋_GB2312" w:hAnsi="Times New Roman" w:cs="Times New Roman"/>
      <w:sz w:val="24"/>
      <w:szCs w:val="24"/>
    </w:rPr>
  </w:style>
  <w:style w:type="paragraph" w:styleId="1">
    <w:name w:val="heading 1"/>
    <w:aliases w:val="Section Heading"/>
    <w:basedOn w:val="a"/>
    <w:next w:val="a0"/>
    <w:link w:val="10"/>
    <w:qFormat/>
    <w:rsid w:val="004A2D2A"/>
    <w:pPr>
      <w:keepNext/>
      <w:keepLines/>
      <w:adjustRightInd w:val="0"/>
      <w:snapToGrid w:val="0"/>
      <w:spacing w:before="240" w:after="160"/>
      <w:jc w:val="center"/>
      <w:textAlignment w:val="baseline"/>
      <w:outlineLvl w:val="0"/>
    </w:pPr>
    <w:rPr>
      <w:b/>
      <w:kern w:val="44"/>
      <w:sz w:val="32"/>
      <w:szCs w:val="20"/>
    </w:rPr>
  </w:style>
  <w:style w:type="paragraph" w:styleId="3">
    <w:name w:val="heading 3"/>
    <w:basedOn w:val="a"/>
    <w:next w:val="a"/>
    <w:link w:val="30"/>
    <w:qFormat/>
    <w:rsid w:val="004A2D2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Section Heading 字符"/>
    <w:basedOn w:val="a1"/>
    <w:link w:val="1"/>
    <w:rsid w:val="004A2D2A"/>
    <w:rPr>
      <w:rFonts w:ascii="Times New Roman" w:eastAsia="仿宋_GB2312" w:hAnsi="Times New Roman" w:cs="Times New Roman"/>
      <w:b/>
      <w:kern w:val="44"/>
      <w:sz w:val="32"/>
      <w:szCs w:val="20"/>
    </w:rPr>
  </w:style>
  <w:style w:type="character" w:customStyle="1" w:styleId="30">
    <w:name w:val="标题 3 字符"/>
    <w:basedOn w:val="a1"/>
    <w:link w:val="3"/>
    <w:rsid w:val="004A2D2A"/>
    <w:rPr>
      <w:rFonts w:ascii="Times New Roman" w:eastAsia="仿宋_GB2312" w:hAnsi="Times New Roman" w:cs="Times New Roman"/>
      <w:b/>
      <w:bCs/>
      <w:sz w:val="32"/>
      <w:szCs w:val="32"/>
    </w:rPr>
  </w:style>
  <w:style w:type="paragraph" w:styleId="a0">
    <w:name w:val="Normal Indent"/>
    <w:aliases w:val="正文2级,正文（首行缩进两字）,表正文,正文非缩进,特点,缩进,ALT+Z,四号,段1,正文缩进William,标题4,正文（首行缩进两字） Char,正文（首行缩进两字） Char Char Char Char,正文（首行缩进两字） Char Char Char Char Char Char,正文缩进1,表正文1,正文非缩进1,正文缩进William1,特点1,ALT+Z1,标题41,正文（首行缩进两字） Char1 Char Char Char,±íÕýÎÄ,ÕýÎÄ·ÇËõ½ø"/>
    <w:basedOn w:val="a"/>
    <w:unhideWhenUsed/>
    <w:rsid w:val="004A2D2A"/>
    <w:pPr>
      <w:ind w:firstLineChars="200" w:firstLine="420"/>
    </w:pPr>
  </w:style>
  <w:style w:type="paragraph" w:styleId="a4">
    <w:name w:val="Body Text Indent"/>
    <w:basedOn w:val="a"/>
    <w:link w:val="a5"/>
    <w:unhideWhenUsed/>
    <w:rsid w:val="004A2D2A"/>
    <w:pPr>
      <w:spacing w:after="120"/>
      <w:ind w:leftChars="200" w:left="420"/>
    </w:pPr>
  </w:style>
  <w:style w:type="character" w:customStyle="1" w:styleId="a5">
    <w:name w:val="正文文本缩进 字符"/>
    <w:basedOn w:val="a1"/>
    <w:link w:val="a4"/>
    <w:rsid w:val="004A2D2A"/>
    <w:rPr>
      <w:rFonts w:ascii="Times New Roman" w:eastAsia="仿宋_GB2312" w:hAnsi="Times New Roman" w:cs="Times New Roman"/>
      <w:sz w:val="24"/>
      <w:szCs w:val="24"/>
    </w:rPr>
  </w:style>
  <w:style w:type="paragraph" w:customStyle="1" w:styleId="2">
    <w:name w:val="样式2"/>
    <w:basedOn w:val="a"/>
    <w:link w:val="2CharChar"/>
    <w:rsid w:val="004A2D2A"/>
    <w:pPr>
      <w:adjustRightInd w:val="0"/>
      <w:snapToGrid w:val="0"/>
      <w:textAlignment w:val="baseline"/>
    </w:pPr>
    <w:rPr>
      <w:rFonts w:ascii="宋体" w:eastAsia="宋体"/>
      <w:spacing w:val="2"/>
      <w:kern w:val="0"/>
      <w:szCs w:val="20"/>
    </w:rPr>
  </w:style>
  <w:style w:type="paragraph" w:styleId="a6">
    <w:name w:val="List Paragraph"/>
    <w:basedOn w:val="a"/>
    <w:qFormat/>
    <w:rsid w:val="004A2D2A"/>
    <w:pPr>
      <w:ind w:firstLineChars="200" w:firstLine="420"/>
    </w:pPr>
  </w:style>
  <w:style w:type="character" w:customStyle="1" w:styleId="2CharChar">
    <w:name w:val="样式2 Char Char"/>
    <w:basedOn w:val="a1"/>
    <w:link w:val="2"/>
    <w:rsid w:val="004A2D2A"/>
    <w:rPr>
      <w:rFonts w:ascii="宋体" w:eastAsia="宋体" w:hAnsi="Times New Roman" w:cs="Times New Roman"/>
      <w:spacing w:val="2"/>
      <w:kern w:val="0"/>
      <w:sz w:val="24"/>
      <w:szCs w:val="20"/>
    </w:rPr>
  </w:style>
  <w:style w:type="paragraph" w:styleId="a7">
    <w:name w:val="Normal (Web)"/>
    <w:basedOn w:val="a"/>
    <w:uiPriority w:val="99"/>
    <w:semiHidden/>
    <w:unhideWhenUsed/>
    <w:rsid w:val="00A066B2"/>
    <w:pPr>
      <w:widowControl/>
      <w:spacing w:before="100" w:beforeAutospacing="1" w:after="100" w:afterAutospacing="1" w:line="240" w:lineRule="auto"/>
      <w:jc w:val="left"/>
    </w:pPr>
    <w:rPr>
      <w:rFonts w:ascii="宋体" w:eastAsia="宋体" w:hAnsi="宋体" w:cs="宋体"/>
      <w:kern w:val="0"/>
    </w:rPr>
  </w:style>
  <w:style w:type="paragraph" w:styleId="a8">
    <w:name w:val="header"/>
    <w:basedOn w:val="a"/>
    <w:link w:val="a9"/>
    <w:uiPriority w:val="99"/>
    <w:unhideWhenUsed/>
    <w:rsid w:val="007E2601"/>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1"/>
    <w:link w:val="a8"/>
    <w:uiPriority w:val="99"/>
    <w:rsid w:val="007E2601"/>
    <w:rPr>
      <w:rFonts w:ascii="Times New Roman" w:eastAsia="仿宋_GB2312" w:hAnsi="Times New Roman" w:cs="Times New Roman"/>
      <w:sz w:val="18"/>
      <w:szCs w:val="18"/>
    </w:rPr>
  </w:style>
  <w:style w:type="paragraph" w:styleId="aa">
    <w:name w:val="footer"/>
    <w:basedOn w:val="a"/>
    <w:link w:val="ab"/>
    <w:uiPriority w:val="99"/>
    <w:unhideWhenUsed/>
    <w:rsid w:val="007E2601"/>
    <w:pPr>
      <w:tabs>
        <w:tab w:val="center" w:pos="4153"/>
        <w:tab w:val="right" w:pos="8306"/>
      </w:tabs>
      <w:snapToGrid w:val="0"/>
      <w:spacing w:line="240" w:lineRule="auto"/>
      <w:jc w:val="left"/>
    </w:pPr>
    <w:rPr>
      <w:sz w:val="18"/>
      <w:szCs w:val="18"/>
    </w:rPr>
  </w:style>
  <w:style w:type="character" w:customStyle="1" w:styleId="ab">
    <w:name w:val="页脚 字符"/>
    <w:basedOn w:val="a1"/>
    <w:link w:val="aa"/>
    <w:uiPriority w:val="99"/>
    <w:rsid w:val="007E2601"/>
    <w:rPr>
      <w:rFonts w:ascii="Times New Roman" w:eastAsia="仿宋_GB2312" w:hAnsi="Times New Roman" w:cs="Times New Roman"/>
      <w:sz w:val="18"/>
      <w:szCs w:val="18"/>
    </w:rPr>
  </w:style>
  <w:style w:type="paragraph" w:styleId="ac">
    <w:name w:val="Date"/>
    <w:basedOn w:val="a"/>
    <w:next w:val="a"/>
    <w:link w:val="ad"/>
    <w:rsid w:val="008200CE"/>
    <w:pPr>
      <w:adjustRightInd w:val="0"/>
      <w:spacing w:line="240" w:lineRule="auto"/>
      <w:jc w:val="right"/>
      <w:textAlignment w:val="baseline"/>
    </w:pPr>
    <w:rPr>
      <w:rFonts w:eastAsia="宋体"/>
      <w:sz w:val="28"/>
      <w:szCs w:val="20"/>
    </w:rPr>
  </w:style>
  <w:style w:type="character" w:customStyle="1" w:styleId="ad">
    <w:name w:val="日期 字符"/>
    <w:basedOn w:val="a1"/>
    <w:link w:val="ac"/>
    <w:rsid w:val="008200CE"/>
    <w:rPr>
      <w:rFonts w:ascii="Times New Roman" w:eastAsia="宋体" w:hAnsi="Times New Roman" w:cs="Times New Roman"/>
      <w:sz w:val="28"/>
      <w:szCs w:val="20"/>
    </w:rPr>
  </w:style>
  <w:style w:type="paragraph" w:styleId="20">
    <w:name w:val="Body Text Indent 2"/>
    <w:basedOn w:val="a"/>
    <w:link w:val="21"/>
    <w:uiPriority w:val="99"/>
    <w:semiHidden/>
    <w:unhideWhenUsed/>
    <w:rsid w:val="00357234"/>
    <w:pPr>
      <w:spacing w:after="120" w:line="480" w:lineRule="auto"/>
      <w:ind w:leftChars="200" w:left="420"/>
    </w:pPr>
  </w:style>
  <w:style w:type="character" w:customStyle="1" w:styleId="21">
    <w:name w:val="正文文本缩进 2 字符"/>
    <w:basedOn w:val="a1"/>
    <w:link w:val="20"/>
    <w:uiPriority w:val="99"/>
    <w:semiHidden/>
    <w:rsid w:val="00357234"/>
    <w:rPr>
      <w:rFonts w:ascii="Times New Roman" w:eastAsia="仿宋_GB2312" w:hAnsi="Times New Roman" w:cs="Times New Roman"/>
      <w:sz w:val="24"/>
      <w:szCs w:val="24"/>
    </w:rPr>
  </w:style>
  <w:style w:type="paragraph" w:styleId="ae">
    <w:name w:val="Body Text"/>
    <w:basedOn w:val="a"/>
    <w:link w:val="af"/>
    <w:uiPriority w:val="99"/>
    <w:semiHidden/>
    <w:unhideWhenUsed/>
    <w:rsid w:val="00DA796B"/>
    <w:pPr>
      <w:spacing w:after="120"/>
    </w:pPr>
  </w:style>
  <w:style w:type="character" w:customStyle="1" w:styleId="af">
    <w:name w:val="正文文本 字符"/>
    <w:basedOn w:val="a1"/>
    <w:link w:val="ae"/>
    <w:uiPriority w:val="99"/>
    <w:semiHidden/>
    <w:rsid w:val="00DA796B"/>
    <w:rPr>
      <w:rFonts w:ascii="Times New Roman" w:eastAsia="仿宋_GB2312" w:hAnsi="Times New Roman" w:cs="Times New Roman"/>
      <w:sz w:val="24"/>
      <w:szCs w:val="24"/>
    </w:rPr>
  </w:style>
  <w:style w:type="character" w:styleId="af0">
    <w:name w:val="annotation reference"/>
    <w:rsid w:val="006636B5"/>
    <w:rPr>
      <w:sz w:val="21"/>
      <w:szCs w:val="21"/>
    </w:rPr>
  </w:style>
  <w:style w:type="paragraph" w:styleId="af1">
    <w:name w:val="annotation text"/>
    <w:aliases w:val=" Char"/>
    <w:basedOn w:val="a"/>
    <w:link w:val="af2"/>
    <w:rsid w:val="006636B5"/>
    <w:pPr>
      <w:spacing w:line="240" w:lineRule="auto"/>
      <w:jc w:val="left"/>
    </w:pPr>
    <w:rPr>
      <w:rFonts w:eastAsia="宋体"/>
      <w:sz w:val="21"/>
      <w:szCs w:val="20"/>
    </w:rPr>
  </w:style>
  <w:style w:type="character" w:customStyle="1" w:styleId="af2">
    <w:name w:val="批注文字 字符"/>
    <w:aliases w:val=" Char 字符"/>
    <w:basedOn w:val="a1"/>
    <w:link w:val="af1"/>
    <w:rsid w:val="006636B5"/>
    <w:rPr>
      <w:rFonts w:ascii="Times New Roman" w:eastAsia="宋体" w:hAnsi="Times New Roman" w:cs="Times New Roman"/>
      <w:szCs w:val="20"/>
    </w:rPr>
  </w:style>
  <w:style w:type="paragraph" w:styleId="af3">
    <w:name w:val="Balloon Text"/>
    <w:basedOn w:val="a"/>
    <w:link w:val="af4"/>
    <w:uiPriority w:val="99"/>
    <w:semiHidden/>
    <w:unhideWhenUsed/>
    <w:rsid w:val="006636B5"/>
    <w:pPr>
      <w:spacing w:line="240" w:lineRule="auto"/>
    </w:pPr>
    <w:rPr>
      <w:sz w:val="18"/>
      <w:szCs w:val="18"/>
    </w:rPr>
  </w:style>
  <w:style w:type="character" w:customStyle="1" w:styleId="af4">
    <w:name w:val="批注框文本 字符"/>
    <w:basedOn w:val="a1"/>
    <w:link w:val="af3"/>
    <w:uiPriority w:val="99"/>
    <w:semiHidden/>
    <w:rsid w:val="006636B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8760">
      <w:bodyDiv w:val="1"/>
      <w:marLeft w:val="0"/>
      <w:marRight w:val="0"/>
      <w:marTop w:val="0"/>
      <w:marBottom w:val="0"/>
      <w:divBdr>
        <w:top w:val="none" w:sz="0" w:space="0" w:color="auto"/>
        <w:left w:val="none" w:sz="0" w:space="0" w:color="auto"/>
        <w:bottom w:val="none" w:sz="0" w:space="0" w:color="auto"/>
        <w:right w:val="none" w:sz="0" w:space="0" w:color="auto"/>
      </w:divBdr>
    </w:div>
    <w:div w:id="751200732">
      <w:bodyDiv w:val="1"/>
      <w:marLeft w:val="0"/>
      <w:marRight w:val="0"/>
      <w:marTop w:val="0"/>
      <w:marBottom w:val="0"/>
      <w:divBdr>
        <w:top w:val="none" w:sz="0" w:space="0" w:color="auto"/>
        <w:left w:val="none" w:sz="0" w:space="0" w:color="auto"/>
        <w:bottom w:val="none" w:sz="0" w:space="0" w:color="auto"/>
        <w:right w:val="none" w:sz="0" w:space="0" w:color="auto"/>
      </w:divBdr>
    </w:div>
    <w:div w:id="827284385">
      <w:bodyDiv w:val="1"/>
      <w:marLeft w:val="0"/>
      <w:marRight w:val="0"/>
      <w:marTop w:val="0"/>
      <w:marBottom w:val="0"/>
      <w:divBdr>
        <w:top w:val="none" w:sz="0" w:space="0" w:color="auto"/>
        <w:left w:val="none" w:sz="0" w:space="0" w:color="auto"/>
        <w:bottom w:val="none" w:sz="0" w:space="0" w:color="auto"/>
        <w:right w:val="none" w:sz="0" w:space="0" w:color="auto"/>
      </w:divBdr>
    </w:div>
    <w:div w:id="998189790">
      <w:bodyDiv w:val="1"/>
      <w:marLeft w:val="0"/>
      <w:marRight w:val="0"/>
      <w:marTop w:val="0"/>
      <w:marBottom w:val="0"/>
      <w:divBdr>
        <w:top w:val="none" w:sz="0" w:space="0" w:color="auto"/>
        <w:left w:val="none" w:sz="0" w:space="0" w:color="auto"/>
        <w:bottom w:val="none" w:sz="0" w:space="0" w:color="auto"/>
        <w:right w:val="none" w:sz="0" w:space="0" w:color="auto"/>
      </w:divBdr>
    </w:div>
    <w:div w:id="1025715374">
      <w:bodyDiv w:val="1"/>
      <w:marLeft w:val="0"/>
      <w:marRight w:val="0"/>
      <w:marTop w:val="0"/>
      <w:marBottom w:val="0"/>
      <w:divBdr>
        <w:top w:val="none" w:sz="0" w:space="0" w:color="auto"/>
        <w:left w:val="none" w:sz="0" w:space="0" w:color="auto"/>
        <w:bottom w:val="none" w:sz="0" w:space="0" w:color="auto"/>
        <w:right w:val="none" w:sz="0" w:space="0" w:color="auto"/>
      </w:divBdr>
    </w:div>
    <w:div w:id="1110666540">
      <w:bodyDiv w:val="1"/>
      <w:marLeft w:val="0"/>
      <w:marRight w:val="0"/>
      <w:marTop w:val="0"/>
      <w:marBottom w:val="0"/>
      <w:divBdr>
        <w:top w:val="none" w:sz="0" w:space="0" w:color="auto"/>
        <w:left w:val="none" w:sz="0" w:space="0" w:color="auto"/>
        <w:bottom w:val="none" w:sz="0" w:space="0" w:color="auto"/>
        <w:right w:val="none" w:sz="0" w:space="0" w:color="auto"/>
      </w:divBdr>
    </w:div>
    <w:div w:id="1534616210">
      <w:bodyDiv w:val="1"/>
      <w:marLeft w:val="0"/>
      <w:marRight w:val="0"/>
      <w:marTop w:val="0"/>
      <w:marBottom w:val="0"/>
      <w:divBdr>
        <w:top w:val="none" w:sz="0" w:space="0" w:color="auto"/>
        <w:left w:val="none" w:sz="0" w:space="0" w:color="auto"/>
        <w:bottom w:val="none" w:sz="0" w:space="0" w:color="auto"/>
        <w:right w:val="none" w:sz="0" w:space="0" w:color="auto"/>
      </w:divBdr>
    </w:div>
    <w:div w:id="17974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771BDA-BF5E-44B5-B524-60856E03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264</Words>
  <Characters>1507</Characters>
  <Application>Microsoft Office Word</Application>
  <DocSecurity>0</DocSecurity>
  <Lines>12</Lines>
  <Paragraphs>3</Paragraphs>
  <ScaleCrop>false</ScaleCrop>
  <Company>CHINA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Yabo Peng</cp:lastModifiedBy>
  <cp:revision>26</cp:revision>
  <cp:lastPrinted>2017-01-19T07:31:00Z</cp:lastPrinted>
  <dcterms:created xsi:type="dcterms:W3CDTF">2020-02-27T06:31:00Z</dcterms:created>
  <dcterms:modified xsi:type="dcterms:W3CDTF">2023-08-08T03:17:00Z</dcterms:modified>
</cp:coreProperties>
</file>