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rPr>
      </w:pPr>
      <w:r>
        <w:rPr>
          <w:rFonts w:hint="eastAsia" w:ascii="Arial" w:hAnsi="Arial" w:eastAsia="宋体" w:cs="宋体"/>
          <w:b/>
          <w:bCs/>
          <w:kern w:val="0"/>
          <w:sz w:val="40"/>
          <w:szCs w:val="40"/>
        </w:rPr>
        <w:t>房地产抵押评估</w:t>
      </w:r>
      <w:r>
        <w:rPr>
          <w:rFonts w:hint="eastAsia" w:ascii="Arial" w:hAnsi="Arial" w:eastAsia="宋体" w:cs="宋体"/>
          <w:b/>
          <w:bCs/>
          <w:color w:val="000000" w:themeColor="text1"/>
          <w:kern w:val="0"/>
          <w:sz w:val="40"/>
          <w:szCs w:val="40"/>
          <w14:textFill>
            <w14:solidFill>
              <w14:schemeClr w14:val="tx1"/>
            </w14:solidFill>
          </w14:textFill>
        </w:rPr>
        <w:t>复估单</w:t>
      </w:r>
    </w:p>
    <w:p>
      <w:pPr>
        <w:jc w:val="right"/>
        <w:rPr>
          <w:rFonts w:ascii="Arial" w:hAnsi="Arial"/>
        </w:rPr>
      </w:pPr>
      <w:r>
        <w:rPr>
          <w:rFonts w:hint="eastAsia" w:ascii="Arial" w:hAnsi="Arial" w:eastAsia="宋体" w:cs="宋体"/>
          <w:kern w:val="0"/>
          <w:sz w:val="20"/>
          <w:szCs w:val="20"/>
        </w:rPr>
        <w:t>报告编号：康正评字2023-1-0834-P02DYGJ2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上海浦东发展银行股份有限公司北京市分行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北京市海淀区三里河路17号902</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为上海浦东发展银行股份有限公司确定押品复估抵押价值。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2023年11月22日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甘家口大厦</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293.88平方米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16（-3）</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9</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综合</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钢混</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估价对象于咨询时点存在抵押权，本次评估以原有的抵押权注销后再设立新的抵押权为假设前提，故不考虑此项优先受偿权。</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highlight w:val="none"/>
              </w:rPr>
            </w:pPr>
            <w:r>
              <w:rPr>
                <w:rFonts w:hint="eastAsia" w:ascii="Arial" w:hAnsi="Arial" w:eastAsia="宋体" w:cs="宋体"/>
                <w:kern w:val="0"/>
                <w:sz w:val="20"/>
                <w:szCs w:val="20"/>
                <w:highlight w:val="none"/>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kern w:val="0"/>
                <w:sz w:val="20"/>
                <w:szCs w:val="20"/>
                <w:highlight w:val="none"/>
              </w:rPr>
            </w:pPr>
            <w:r>
              <w:rPr>
                <w:rFonts w:hint="eastAsia" w:ascii="Arial" w:hAnsi="Arial" w:eastAsia="宋体" w:cs="宋体"/>
                <w:b/>
                <w:bCs/>
                <w:kern w:val="0"/>
                <w:sz w:val="20"/>
                <w:szCs w:val="20"/>
                <w:highlight w:val="none"/>
              </w:rPr>
              <w:t>351</w:t>
            </w:r>
            <w:r>
              <w:rPr>
                <w:rFonts w:hint="eastAsia" w:ascii="Arial" w:hAnsi="Arial" w:eastAsia="宋体" w:cs="宋体"/>
                <w:b/>
                <w:bCs/>
                <w:kern w:val="0"/>
                <w:sz w:val="20"/>
                <w:szCs w:val="20"/>
                <w:highlight w:val="none"/>
                <w:lang w:val="en-US" w:eastAsia="zh-CN"/>
              </w:rPr>
              <w:t>51</w:t>
            </w:r>
            <w:r>
              <w:rPr>
                <w:rFonts w:hint="eastAsia" w:ascii="Arial" w:hAnsi="Arial" w:eastAsia="宋体" w:cs="宋体"/>
                <w:b/>
                <w:bCs/>
                <w:kern w:val="0"/>
                <w:sz w:val="20"/>
                <w:szCs w:val="20"/>
                <w:highlight w:val="none"/>
              </w:rPr>
              <w:t>元/平方米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highlight w:val="none"/>
              </w:rPr>
            </w:pPr>
            <w:r>
              <w:rPr>
                <w:rFonts w:hint="eastAsia" w:ascii="Arial" w:hAnsi="Arial" w:eastAsia="宋体" w:cs="宋体"/>
                <w:kern w:val="0"/>
                <w:sz w:val="20"/>
                <w:szCs w:val="20"/>
                <w:highlight w:val="none"/>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kern w:val="0"/>
                <w:sz w:val="20"/>
                <w:szCs w:val="20"/>
                <w:highlight w:val="none"/>
              </w:rPr>
            </w:pPr>
            <w:r>
              <w:rPr>
                <w:rFonts w:hint="eastAsia" w:ascii="Arial" w:hAnsi="Arial" w:eastAsia="宋体" w:cs="宋体"/>
                <w:b/>
                <w:bCs/>
                <w:kern w:val="0"/>
                <w:sz w:val="20"/>
                <w:szCs w:val="20"/>
                <w:highlight w:val="none"/>
              </w:rPr>
              <w:t>103</w:t>
            </w:r>
            <w:r>
              <w:rPr>
                <w:rFonts w:hint="eastAsia" w:ascii="Arial" w:hAnsi="Arial" w:eastAsia="宋体" w:cs="宋体"/>
                <w:b/>
                <w:bCs/>
                <w:kern w:val="0"/>
                <w:sz w:val="20"/>
                <w:szCs w:val="20"/>
                <w:highlight w:val="none"/>
                <w:lang w:val="en-US" w:eastAsia="zh-CN"/>
              </w:rPr>
              <w:t>3</w:t>
            </w:r>
            <w:r>
              <w:rPr>
                <w:rFonts w:hint="eastAsia" w:ascii="Arial" w:hAnsi="Arial" w:eastAsia="宋体" w:cs="宋体"/>
                <w:b/>
                <w:bCs/>
                <w:kern w:val="0"/>
                <w:sz w:val="20"/>
                <w:szCs w:val="20"/>
                <w:highlight w:val="none"/>
              </w:rPr>
              <w:t>万元</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highlight w:val="none"/>
              </w:rPr>
            </w:pPr>
            <w:r>
              <w:rPr>
                <w:rFonts w:hint="eastAsia" w:ascii="Arial" w:hAnsi="Arial" w:eastAsia="宋体" w:cs="宋体"/>
                <w:kern w:val="0"/>
                <w:sz w:val="20"/>
                <w:szCs w:val="20"/>
                <w:highlight w:val="none"/>
              </w:rPr>
              <w:t>大写金额</w:t>
            </w:r>
          </w:p>
        </w:tc>
        <w:tc>
          <w:tcPr>
            <w:tcW w:w="6412" w:type="dxa"/>
            <w:gridSpan w:val="3"/>
            <w:tcBorders>
              <w:top w:val="single" w:color="auto" w:sz="4" w:space="0"/>
              <w:left w:val="nil"/>
              <w:bottom w:val="nil"/>
              <w:right w:val="single" w:color="000000" w:sz="4" w:space="0"/>
            </w:tcBorders>
            <w:shd w:val="clear" w:color="auto" w:fill="auto"/>
            <w:noWrap/>
            <w:vAlign w:val="bottom"/>
          </w:tcPr>
          <w:p>
            <w:pPr>
              <w:widowControl/>
              <w:jc w:val="left"/>
              <w:textAlignment w:val="bottom"/>
              <w:rPr>
                <w:rFonts w:ascii="宋体" w:hAnsi="宋体" w:eastAsia="宋体" w:cs="宋体"/>
                <w:color w:val="000000"/>
                <w:sz w:val="22"/>
                <w:highlight w:val="none"/>
              </w:rPr>
            </w:pPr>
            <w:r>
              <w:rPr>
                <w:rFonts w:hint="eastAsia" w:ascii="Arial" w:hAnsi="Arial" w:eastAsia="宋体" w:cs="宋体"/>
                <w:b/>
                <w:bCs/>
                <w:kern w:val="0"/>
                <w:sz w:val="20"/>
                <w:szCs w:val="20"/>
                <w:highlight w:val="none"/>
              </w:rPr>
              <w:t>壹仟零叁拾</w:t>
            </w:r>
            <w:r>
              <w:rPr>
                <w:rFonts w:hint="eastAsia" w:ascii="Arial" w:hAnsi="Arial" w:eastAsia="宋体" w:cs="宋体"/>
                <w:b/>
                <w:bCs/>
                <w:kern w:val="0"/>
                <w:sz w:val="20"/>
                <w:szCs w:val="20"/>
                <w:highlight w:val="none"/>
                <w:lang w:val="en-US" w:eastAsia="zh-CN"/>
              </w:rPr>
              <w:t>叁</w:t>
            </w:r>
            <w:r>
              <w:rPr>
                <w:rFonts w:hint="eastAsia" w:ascii="Arial" w:hAnsi="Arial" w:eastAsia="宋体" w:cs="宋体"/>
                <w:b/>
                <w:bCs/>
                <w:kern w:val="0"/>
                <w:sz w:val="20"/>
                <w:szCs w:val="20"/>
                <w:highlight w:val="none"/>
              </w:rPr>
              <w:t>万元整</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w:t>
            </w:r>
            <w:bookmarkStart w:id="0" w:name="_GoBack"/>
            <w:bookmarkEnd w:id="0"/>
            <w:r>
              <w:rPr>
                <w:rFonts w:hint="eastAsia" w:ascii="Arial" w:hAnsi="Arial" w:eastAsia="宋体" w:cs="宋体"/>
                <w:kern w:val="0"/>
                <w:sz w:val="20"/>
                <w:szCs w:val="20"/>
              </w:rPr>
              <w:t>文件存档。</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3、本次复估未对估价对象进行实地勘查，若实际情况与估价委托人提供的信息有所差异时，会对估价结果产生影响，相关数据会发生变化，估价结果需做相应调整。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pPr>
        <w:rPr>
          <w:rFonts w:ascii="Arial" w:hAnsi="Arial"/>
        </w:rPr>
      </w:pPr>
    </w:p>
    <w:p>
      <w:pPr>
        <w:jc w:val="right"/>
        <w:rPr>
          <w:rFonts w:ascii="Arial" w:hAnsi="Arial"/>
        </w:rPr>
      </w:pPr>
      <w:r>
        <w:rPr>
          <w:rFonts w:hint="eastAsia" w:ascii="Arial" w:hAnsi="Arial" w:eastAsia="宋体" w:cs="宋体"/>
          <w:kern w:val="0"/>
          <w:sz w:val="20"/>
          <w:szCs w:val="20"/>
        </w:rPr>
        <w:t>北京康正宏基房地产评估有限公司</w:t>
      </w:r>
    </w:p>
    <w:p>
      <w:pPr>
        <w:jc w:val="right"/>
      </w:pPr>
      <w:r>
        <w:rPr>
          <w:rFonts w:hint="eastAsia" w:ascii="Arial" w:hAnsi="Arial" w:eastAsia="宋体" w:cs="宋体"/>
          <w:kern w:val="0"/>
          <w:sz w:val="20"/>
          <w:szCs w:val="20"/>
        </w:rPr>
        <w:t>二○二三年十一月二十三</w:t>
      </w:r>
      <w:r>
        <w:rPr>
          <w:rFonts w:hint="eastAsia" w:ascii="宋体" w:hAnsi="宋体" w:eastAsia="宋体" w:cs="宋体"/>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BF20BE"/>
    <w:rsid w:val="0046333F"/>
    <w:rsid w:val="00791B27"/>
    <w:rsid w:val="00795B85"/>
    <w:rsid w:val="00863392"/>
    <w:rsid w:val="00895F2F"/>
    <w:rsid w:val="00A92DEB"/>
    <w:rsid w:val="00B42607"/>
    <w:rsid w:val="00BF20BE"/>
    <w:rsid w:val="00E95130"/>
    <w:rsid w:val="34765342"/>
    <w:rsid w:val="37CB528D"/>
    <w:rsid w:val="52446B20"/>
    <w:rsid w:val="72F85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907</Words>
  <Characters>948</Characters>
  <Lines>7</Lines>
  <Paragraphs>2</Paragraphs>
  <TotalTime>0</TotalTime>
  <ScaleCrop>false</ScaleCrop>
  <LinksUpToDate>false</LinksUpToDate>
  <CharactersWithSpaces>948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李斌</cp:lastModifiedBy>
  <cp:lastPrinted>2023-11-23T08:30:50Z</cp:lastPrinted>
  <dcterms:modified xsi:type="dcterms:W3CDTF">2023-11-23T08:30:51Z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D698524FE298480885E52BCE814BA498_12</vt:lpwstr>
  </property>
</Properties>
</file>