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21"/>
          <w:szCs w:val="21"/>
        </w:rPr>
      </w:pPr>
      <w:r>
        <w:rPr>
          <w:rFonts w:hint="eastAsia" w:ascii="宋体" w:hAnsi="宋体"/>
          <w:b/>
          <w:sz w:val="21"/>
          <w:szCs w:val="21"/>
        </w:rPr>
        <w:t xml:space="preserve">                                                                                          </w:t>
      </w:r>
    </w:p>
    <w:p>
      <w:pPr>
        <w:widowControl w:val="0"/>
        <w:spacing w:line="480" w:lineRule="auto"/>
        <w:jc w:val="center"/>
        <w:rPr>
          <w:rFonts w:ascii="Arial" w:hAnsi="Arial" w:cs="Arial"/>
          <w:b/>
          <w:bCs/>
          <w:kern w:val="2"/>
          <w:sz w:val="30"/>
          <w:szCs w:val="30"/>
        </w:rPr>
      </w:pP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2021年中航信托•天启【2020】565号宜宾站前广场项目</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股权投资集合资金信托计划</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（中航信托•天启【2020】565号宜宾站前广场项目）</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监管月报</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第5期</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 2021年 6月）</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编号：AVICTC2020X1312</w:t>
      </w: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widowControl w:val="0"/>
        <w:spacing w:line="480" w:lineRule="auto"/>
        <w:rPr>
          <w:rFonts w:ascii="Arial" w:hAnsi="Arial" w:cs="Arial"/>
          <w:b/>
          <w:bCs/>
          <w:color w:val="000000"/>
          <w:kern w:val="2"/>
          <w:sz w:val="21"/>
          <w:szCs w:val="21"/>
        </w:rPr>
      </w:pPr>
      <w:r>
        <w:rPr>
          <w:rFonts w:hint="eastAsia" w:ascii="Arial" w:hAnsi="Arial" w:cs="Arial"/>
          <w:b/>
          <w:bCs/>
          <w:color w:val="000000"/>
          <w:kern w:val="2"/>
          <w:sz w:val="21"/>
          <w:szCs w:val="21"/>
        </w:rPr>
        <w:t>编制单位：北京康信君安资产管理有限公司</w:t>
      </w:r>
    </w:p>
    <w:p>
      <w:pPr>
        <w:widowControl w:val="0"/>
        <w:spacing w:line="480" w:lineRule="auto"/>
        <w:rPr>
          <w:rFonts w:ascii="Arial" w:hAnsi="Arial" w:cs="Arial"/>
          <w:b/>
          <w:bCs/>
          <w:color w:val="000000"/>
          <w:kern w:val="2"/>
          <w:sz w:val="21"/>
          <w:szCs w:val="21"/>
        </w:rPr>
      </w:pPr>
      <w:r>
        <w:rPr>
          <w:rFonts w:hint="eastAsia" w:ascii="Arial" w:hAnsi="Arial" w:cs="Arial"/>
          <w:b/>
          <w:bCs/>
          <w:color w:val="000000"/>
          <w:kern w:val="2"/>
          <w:sz w:val="21"/>
          <w:szCs w:val="21"/>
        </w:rPr>
        <w:t>监管人员：陈文丽</w:t>
      </w:r>
    </w:p>
    <w:p>
      <w:pPr>
        <w:widowControl w:val="0"/>
        <w:spacing w:line="480" w:lineRule="auto"/>
        <w:rPr>
          <w:rFonts w:ascii="Arial" w:hAnsi="Arial" w:cs="Arial"/>
          <w:b/>
          <w:bCs/>
          <w:color w:val="000000"/>
          <w:kern w:val="2"/>
          <w:sz w:val="21"/>
          <w:szCs w:val="21"/>
        </w:rPr>
      </w:pPr>
      <w:r>
        <w:rPr>
          <w:rFonts w:hint="eastAsia" w:ascii="Arial" w:hAnsi="Arial" w:cs="Arial"/>
          <w:b/>
          <w:bCs/>
          <w:color w:val="000000"/>
          <w:kern w:val="2"/>
          <w:sz w:val="21"/>
          <w:szCs w:val="21"/>
        </w:rPr>
        <w:t>编制时间：2021年7月7日</w:t>
      </w: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b/>
          <w:bCs/>
          <w:sz w:val="21"/>
          <w:szCs w:val="21"/>
        </w:rPr>
      </w:pPr>
    </w:p>
    <w:p>
      <w:pPr>
        <w:jc w:val="center"/>
        <w:rPr>
          <w:rFonts w:ascii="宋体" w:hAnsi="宋体" w:cs="宋体"/>
          <w:b/>
          <w:bCs/>
          <w:sz w:val="21"/>
          <w:szCs w:val="21"/>
        </w:rPr>
      </w:pPr>
    </w:p>
    <w:p>
      <w:pPr>
        <w:jc w:val="center"/>
        <w:rPr>
          <w:rFonts w:ascii="宋体" w:hAnsi="宋体" w:cs="宋体"/>
          <w:b/>
          <w:bCs/>
          <w:sz w:val="21"/>
          <w:szCs w:val="21"/>
        </w:rPr>
      </w:pPr>
    </w:p>
    <w:p>
      <w:pPr>
        <w:jc w:val="center"/>
        <w:rPr>
          <w:rFonts w:ascii="宋体" w:hAnsi="宋体" w:cs="宋体"/>
          <w:b/>
          <w:bCs/>
          <w:sz w:val="21"/>
          <w:szCs w:val="21"/>
        </w:rPr>
      </w:pPr>
    </w:p>
    <w:p>
      <w:pPr>
        <w:jc w:val="center"/>
        <w:rPr>
          <w:rFonts w:ascii="宋体" w:hAnsi="宋体" w:cs="宋体"/>
          <w:b/>
          <w:bCs/>
          <w:sz w:val="21"/>
          <w:szCs w:val="21"/>
        </w:rPr>
      </w:pPr>
    </w:p>
    <w:p>
      <w:pPr>
        <w:widowControl w:val="0"/>
        <w:spacing w:line="360" w:lineRule="auto"/>
        <w:jc w:val="center"/>
        <w:rPr>
          <w:rFonts w:ascii="宋体" w:hAnsi="宋体"/>
          <w:b/>
          <w:bCs/>
          <w:sz w:val="28"/>
        </w:rPr>
        <w:sectPr>
          <w:pgSz w:w="11906" w:h="16838"/>
          <w:pgMar w:top="1134" w:right="1134" w:bottom="1134" w:left="1134" w:header="851" w:footer="992" w:gutter="0"/>
          <w:pgNumType w:start="1"/>
          <w:cols w:space="425" w:num="1"/>
          <w:docGrid w:type="linesAndChars" w:linePitch="326" w:charSpace="0"/>
        </w:sectPr>
      </w:pPr>
      <w:bookmarkStart w:id="0" w:name="_Toc133693353"/>
    </w:p>
    <w:sdt>
      <w:sdtPr>
        <w:rPr>
          <w:rFonts w:ascii="宋体" w:hAnsi="宋体"/>
          <w:b/>
          <w:bCs/>
          <w:sz w:val="28"/>
        </w:rPr>
        <w:id w:val="147481098"/>
        <w15:color w:val="DBDBDB"/>
        <w:docPartObj>
          <w:docPartGallery w:val="Table of Contents"/>
          <w:docPartUnique/>
        </w:docPartObj>
      </w:sdtPr>
      <w:sdtEndPr>
        <w:rPr>
          <w:rFonts w:ascii="Arial" w:hAnsi="Arial" w:cs="Arial"/>
          <w:b w:val="0"/>
          <w:bCs w:val="0"/>
          <w:sz w:val="21"/>
          <w:szCs w:val="21"/>
        </w:rPr>
      </w:sdtEndPr>
      <w:sdtContent>
        <w:p>
          <w:pPr>
            <w:widowControl w:val="0"/>
            <w:spacing w:line="360" w:lineRule="auto"/>
            <w:jc w:val="center"/>
            <w:rPr>
              <w:b/>
              <w:bCs/>
              <w:sz w:val="28"/>
            </w:rPr>
          </w:pPr>
          <w:r>
            <w:rPr>
              <w:rFonts w:hint="eastAsia" w:ascii="Arial" w:hAnsi="Arial" w:cs="Arial"/>
              <w:b/>
              <w:bCs/>
              <w:sz w:val="28"/>
              <w:szCs w:val="22"/>
            </w:rPr>
            <w:t>目录</w:t>
          </w:r>
        </w:p>
        <w:p>
          <w:pPr>
            <w:pStyle w:val="13"/>
            <w:tabs>
              <w:tab w:val="right" w:leader="dot" w:pos="9638"/>
            </w:tabs>
            <w:spacing w:after="0" w:line="360" w:lineRule="auto"/>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TOC \o "1-1" \h \u </w:instrText>
          </w:r>
          <w:r>
            <w:rPr>
              <w:rFonts w:ascii="Arial" w:hAnsi="Arial" w:cs="Arial"/>
              <w:sz w:val="21"/>
              <w:szCs w:val="21"/>
            </w:rPr>
            <w:fldChar w:fldCharType="separate"/>
          </w:r>
          <w:r>
            <w:fldChar w:fldCharType="begin"/>
          </w:r>
          <w:r>
            <w:instrText xml:space="preserve"> HYPERLINK \l "_Toc30775" </w:instrText>
          </w:r>
          <w:r>
            <w:fldChar w:fldCharType="separate"/>
          </w:r>
          <w:r>
            <w:rPr>
              <w:rFonts w:hint="eastAsia" w:ascii="Arial" w:hAnsi="Arial" w:cs="Arial"/>
              <w:sz w:val="21"/>
              <w:szCs w:val="21"/>
            </w:rPr>
            <w:t>一、项目基本情况介绍</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_Toc30775 \h </w:instrText>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"_Toc2240" </w:instrText>
          </w:r>
          <w:r>
            <w:fldChar w:fldCharType="separate"/>
          </w:r>
          <w:r>
            <w:rPr>
              <w:rFonts w:hint="eastAsia" w:ascii="Arial" w:hAnsi="Arial" w:cs="Arial"/>
              <w:sz w:val="21"/>
              <w:szCs w:val="21"/>
            </w:rPr>
            <w:t>二、信托资金使用情况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_Toc2240 \h </w:instrText>
          </w:r>
          <w:r>
            <w:rPr>
              <w:rFonts w:ascii="Arial" w:hAnsi="Arial" w:cs="Arial"/>
              <w:sz w:val="21"/>
              <w:szCs w:val="21"/>
            </w:rPr>
            <w:fldChar w:fldCharType="separate"/>
          </w:r>
          <w:r>
            <w:rPr>
              <w:rFonts w:ascii="Arial" w:hAnsi="Arial" w:cs="Arial"/>
              <w:sz w:val="21"/>
              <w:szCs w:val="21"/>
            </w:rPr>
            <w:t>3</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"_Toc26476" </w:instrText>
          </w:r>
          <w:r>
            <w:fldChar w:fldCharType="separate"/>
          </w:r>
          <w:r>
            <w:rPr>
              <w:rFonts w:hint="eastAsia" w:ascii="Arial" w:hAnsi="Arial" w:cs="Arial"/>
              <w:sz w:val="21"/>
              <w:szCs w:val="21"/>
            </w:rPr>
            <w:t>三、项目证件办理情况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_Toc26476 \h </w:instrText>
          </w:r>
          <w:r>
            <w:rPr>
              <w:rFonts w:ascii="Arial" w:hAnsi="Arial" w:cs="Arial"/>
              <w:sz w:val="21"/>
              <w:szCs w:val="21"/>
            </w:rPr>
            <w:fldChar w:fldCharType="separate"/>
          </w:r>
          <w:r>
            <w:rPr>
              <w:rFonts w:ascii="Arial" w:hAnsi="Arial" w:cs="Arial"/>
              <w:sz w:val="21"/>
              <w:szCs w:val="21"/>
            </w:rPr>
            <w:t>3</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"_Toc27011" </w:instrText>
          </w:r>
          <w:r>
            <w:fldChar w:fldCharType="separate"/>
          </w:r>
          <w:r>
            <w:rPr>
              <w:rFonts w:hint="eastAsia" w:ascii="Arial" w:hAnsi="Arial" w:cs="Arial"/>
              <w:sz w:val="21"/>
              <w:szCs w:val="21"/>
            </w:rPr>
            <w:t>四、项目开发建设情况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_Toc27011 \h </w:instrText>
          </w:r>
          <w:r>
            <w:rPr>
              <w:rFonts w:ascii="Arial" w:hAnsi="Arial" w:cs="Arial"/>
              <w:sz w:val="21"/>
              <w:szCs w:val="21"/>
            </w:rPr>
            <w:fldChar w:fldCharType="separate"/>
          </w:r>
          <w:r>
            <w:rPr>
              <w:rFonts w:ascii="Arial" w:hAnsi="Arial" w:cs="Arial"/>
              <w:sz w:val="21"/>
              <w:szCs w:val="21"/>
            </w:rPr>
            <w:t>4</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"_Toc23579" </w:instrText>
          </w:r>
          <w:r>
            <w:fldChar w:fldCharType="separate"/>
          </w:r>
          <w:r>
            <w:rPr>
              <w:rFonts w:hint="eastAsia" w:ascii="Arial" w:hAnsi="Arial" w:cs="Arial"/>
              <w:sz w:val="21"/>
              <w:szCs w:val="21"/>
            </w:rPr>
            <w:t>五、项目合同及成本执行情况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_Toc23579 \h </w:instrText>
          </w:r>
          <w:r>
            <w:rPr>
              <w:rFonts w:ascii="Arial" w:hAnsi="Arial" w:cs="Arial"/>
              <w:sz w:val="21"/>
              <w:szCs w:val="21"/>
            </w:rPr>
            <w:fldChar w:fldCharType="separate"/>
          </w:r>
          <w:r>
            <w:rPr>
              <w:rFonts w:ascii="Arial" w:hAnsi="Arial" w:cs="Arial"/>
              <w:sz w:val="21"/>
              <w:szCs w:val="21"/>
            </w:rPr>
            <w:t>5</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"_Toc24614" </w:instrText>
          </w:r>
          <w:r>
            <w:fldChar w:fldCharType="separate"/>
          </w:r>
          <w:r>
            <w:rPr>
              <w:rFonts w:hint="eastAsia" w:ascii="Arial" w:hAnsi="Arial" w:cs="Arial"/>
              <w:sz w:val="21"/>
              <w:szCs w:val="21"/>
            </w:rPr>
            <w:t>六、项目销售情况统计</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_Toc24614 \h </w:instrText>
          </w:r>
          <w:r>
            <w:rPr>
              <w:rFonts w:ascii="Arial" w:hAnsi="Arial" w:cs="Arial"/>
              <w:sz w:val="21"/>
              <w:szCs w:val="21"/>
            </w:rPr>
            <w:fldChar w:fldCharType="separate"/>
          </w:r>
          <w:r>
            <w:rPr>
              <w:rFonts w:ascii="Arial" w:hAnsi="Arial" w:cs="Arial"/>
              <w:sz w:val="21"/>
              <w:szCs w:val="21"/>
            </w:rPr>
            <w:t>6</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"_Toc11579" </w:instrText>
          </w:r>
          <w:r>
            <w:fldChar w:fldCharType="separate"/>
          </w:r>
          <w:r>
            <w:rPr>
              <w:rFonts w:hint="eastAsia" w:ascii="Arial" w:hAnsi="Arial" w:cs="Arial"/>
              <w:sz w:val="21"/>
              <w:szCs w:val="21"/>
            </w:rPr>
            <w:t>七、项目银行账户情况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_Toc11579 \h </w:instrText>
          </w:r>
          <w:r>
            <w:rPr>
              <w:rFonts w:ascii="Arial" w:hAnsi="Arial" w:cs="Arial"/>
              <w:sz w:val="21"/>
              <w:szCs w:val="21"/>
            </w:rPr>
            <w:fldChar w:fldCharType="separate"/>
          </w:r>
          <w:r>
            <w:rPr>
              <w:rFonts w:ascii="Arial" w:hAnsi="Arial" w:cs="Arial"/>
              <w:sz w:val="21"/>
              <w:szCs w:val="21"/>
            </w:rPr>
            <w:t>8</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"_Toc13388" </w:instrText>
          </w:r>
          <w:r>
            <w:fldChar w:fldCharType="separate"/>
          </w:r>
          <w:r>
            <w:rPr>
              <w:rFonts w:hint="eastAsia" w:ascii="Arial" w:hAnsi="Arial" w:cs="Arial"/>
              <w:sz w:val="21"/>
              <w:szCs w:val="21"/>
            </w:rPr>
            <w:t>八、资金收支情况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_Toc13388 \h </w:instrText>
          </w:r>
          <w:r>
            <w:rPr>
              <w:rFonts w:ascii="Arial" w:hAnsi="Arial" w:cs="Arial"/>
              <w:sz w:val="21"/>
              <w:szCs w:val="21"/>
            </w:rPr>
            <w:fldChar w:fldCharType="separate"/>
          </w:r>
          <w:r>
            <w:rPr>
              <w:rFonts w:ascii="Arial" w:hAnsi="Arial" w:cs="Arial"/>
              <w:sz w:val="21"/>
              <w:szCs w:val="21"/>
            </w:rPr>
            <w:t>9</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"_Toc9822" </w:instrText>
          </w:r>
          <w:r>
            <w:fldChar w:fldCharType="separate"/>
          </w:r>
          <w:r>
            <w:rPr>
              <w:rFonts w:hint="eastAsia" w:ascii="Arial" w:hAnsi="Arial" w:cs="Arial"/>
              <w:sz w:val="21"/>
              <w:szCs w:val="21"/>
            </w:rPr>
            <w:t>九、融资情况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_Toc9822 \h </w:instrText>
          </w:r>
          <w:r>
            <w:rPr>
              <w:rFonts w:ascii="Arial" w:hAnsi="Arial" w:cs="Arial"/>
              <w:sz w:val="21"/>
              <w:szCs w:val="21"/>
            </w:rPr>
            <w:fldChar w:fldCharType="separate"/>
          </w:r>
          <w:r>
            <w:rPr>
              <w:rFonts w:ascii="Arial" w:hAnsi="Arial" w:cs="Arial"/>
              <w:sz w:val="21"/>
              <w:szCs w:val="21"/>
            </w:rPr>
            <w:t>21</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"_Toc972" </w:instrText>
          </w:r>
          <w:r>
            <w:fldChar w:fldCharType="separate"/>
          </w:r>
          <w:r>
            <w:rPr>
              <w:rFonts w:hint="eastAsia" w:ascii="Arial" w:hAnsi="Arial" w:cs="Arial"/>
              <w:sz w:val="21"/>
              <w:szCs w:val="21"/>
            </w:rPr>
            <w:t>十、项目周边竞品情况分析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_Toc972 \h </w:instrText>
          </w:r>
          <w:r>
            <w:rPr>
              <w:rFonts w:ascii="Arial" w:hAnsi="Arial" w:cs="Arial"/>
              <w:sz w:val="21"/>
              <w:szCs w:val="21"/>
            </w:rPr>
            <w:fldChar w:fldCharType="separate"/>
          </w:r>
          <w:r>
            <w:rPr>
              <w:rFonts w:ascii="Arial" w:hAnsi="Arial" w:cs="Arial"/>
              <w:sz w:val="21"/>
              <w:szCs w:val="21"/>
            </w:rPr>
            <w:t>22</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"_Toc13379" </w:instrText>
          </w:r>
          <w:r>
            <w:fldChar w:fldCharType="separate"/>
          </w:r>
          <w:r>
            <w:rPr>
              <w:rFonts w:hint="eastAsia" w:ascii="Arial" w:hAnsi="Arial" w:cs="Arial"/>
              <w:sz w:val="21"/>
              <w:szCs w:val="21"/>
            </w:rPr>
            <w:t>十一、区域市场情况分析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_Toc13379 \h </w:instrText>
          </w:r>
          <w:r>
            <w:rPr>
              <w:rFonts w:ascii="Arial" w:hAnsi="Arial" w:cs="Arial"/>
              <w:sz w:val="21"/>
              <w:szCs w:val="21"/>
            </w:rPr>
            <w:fldChar w:fldCharType="separate"/>
          </w:r>
          <w:r>
            <w:rPr>
              <w:rFonts w:ascii="Arial" w:hAnsi="Arial" w:cs="Arial"/>
              <w:sz w:val="21"/>
              <w:szCs w:val="21"/>
            </w:rPr>
            <w:t>23</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"_Toc23949" </w:instrText>
          </w:r>
          <w:r>
            <w:fldChar w:fldCharType="separate"/>
          </w:r>
          <w:r>
            <w:rPr>
              <w:rFonts w:hint="eastAsia" w:ascii="Arial" w:hAnsi="Arial" w:cs="Arial"/>
              <w:sz w:val="21"/>
              <w:szCs w:val="21"/>
            </w:rPr>
            <w:t>十二、项目公司资金计划执行情况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_Toc23949 \h </w:instrText>
          </w:r>
          <w:r>
            <w:rPr>
              <w:rFonts w:ascii="Arial" w:hAnsi="Arial" w:cs="Arial"/>
              <w:sz w:val="21"/>
              <w:szCs w:val="21"/>
            </w:rPr>
            <w:fldChar w:fldCharType="separate"/>
          </w:r>
          <w:r>
            <w:rPr>
              <w:rFonts w:ascii="Arial" w:hAnsi="Arial" w:cs="Arial"/>
              <w:sz w:val="21"/>
              <w:szCs w:val="21"/>
            </w:rPr>
            <w:t>25</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"_Toc13011" </w:instrText>
          </w:r>
          <w:r>
            <w:fldChar w:fldCharType="separate"/>
          </w:r>
          <w:r>
            <w:rPr>
              <w:rFonts w:hint="eastAsia" w:ascii="Arial" w:hAnsi="Arial" w:cs="Arial"/>
              <w:sz w:val="21"/>
              <w:szCs w:val="21"/>
            </w:rPr>
            <w:t>十三、项目公司用印情况（明细台账作为附件）</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_Toc13011 \h </w:instrText>
          </w:r>
          <w:r>
            <w:rPr>
              <w:rFonts w:ascii="Arial" w:hAnsi="Arial" w:cs="Arial"/>
              <w:sz w:val="21"/>
              <w:szCs w:val="21"/>
            </w:rPr>
            <w:fldChar w:fldCharType="separate"/>
          </w:r>
          <w:r>
            <w:rPr>
              <w:rFonts w:ascii="Arial" w:hAnsi="Arial" w:cs="Arial"/>
              <w:sz w:val="21"/>
              <w:szCs w:val="21"/>
            </w:rPr>
            <w:t>25</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"_Toc31746" </w:instrText>
          </w:r>
          <w:r>
            <w:fldChar w:fldCharType="separate"/>
          </w:r>
          <w:r>
            <w:rPr>
              <w:rFonts w:hint="eastAsia" w:ascii="Arial" w:hAnsi="Arial" w:cs="Arial"/>
              <w:sz w:val="21"/>
              <w:szCs w:val="21"/>
            </w:rPr>
            <w:t>十四、项目公司印章证照外出使用情况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_Toc31746 \h </w:instrText>
          </w:r>
          <w:r>
            <w:rPr>
              <w:rFonts w:ascii="Arial" w:hAnsi="Arial" w:cs="Arial"/>
              <w:sz w:val="21"/>
              <w:szCs w:val="21"/>
            </w:rPr>
            <w:fldChar w:fldCharType="separate"/>
          </w:r>
          <w:r>
            <w:rPr>
              <w:rFonts w:ascii="Arial" w:hAnsi="Arial" w:cs="Arial"/>
              <w:sz w:val="21"/>
              <w:szCs w:val="21"/>
            </w:rPr>
            <w:t>26</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"_Toc20509" </w:instrText>
          </w:r>
          <w:r>
            <w:fldChar w:fldCharType="separate"/>
          </w:r>
          <w:r>
            <w:rPr>
              <w:rFonts w:hint="eastAsia" w:ascii="Arial" w:hAnsi="Arial" w:cs="Arial"/>
              <w:sz w:val="21"/>
              <w:szCs w:val="21"/>
            </w:rPr>
            <w:t>十五、项目公司签约情况（明细台账作为附件）</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_Toc20509 \h </w:instrText>
          </w:r>
          <w:r>
            <w:rPr>
              <w:rFonts w:ascii="Arial" w:hAnsi="Arial" w:cs="Arial"/>
              <w:sz w:val="21"/>
              <w:szCs w:val="21"/>
            </w:rPr>
            <w:fldChar w:fldCharType="separate"/>
          </w:r>
          <w:r>
            <w:rPr>
              <w:rFonts w:ascii="Arial" w:hAnsi="Arial" w:cs="Arial"/>
              <w:sz w:val="21"/>
              <w:szCs w:val="21"/>
            </w:rPr>
            <w:t>26</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"_Toc25799" </w:instrText>
          </w:r>
          <w:r>
            <w:fldChar w:fldCharType="separate"/>
          </w:r>
          <w:r>
            <w:rPr>
              <w:rFonts w:hint="eastAsia" w:ascii="Arial" w:hAnsi="Arial" w:cs="Arial"/>
              <w:sz w:val="21"/>
              <w:szCs w:val="21"/>
            </w:rPr>
            <w:t>十六、项目整体运行情况分析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_Toc25799 \h </w:instrText>
          </w:r>
          <w:r>
            <w:rPr>
              <w:rFonts w:ascii="Arial" w:hAnsi="Arial" w:cs="Arial"/>
              <w:sz w:val="21"/>
              <w:szCs w:val="21"/>
            </w:rPr>
            <w:fldChar w:fldCharType="separate"/>
          </w:r>
          <w:r>
            <w:rPr>
              <w:rFonts w:ascii="Arial" w:hAnsi="Arial" w:cs="Arial"/>
              <w:sz w:val="21"/>
              <w:szCs w:val="21"/>
            </w:rPr>
            <w:t>27</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"_Toc21512" </w:instrText>
          </w:r>
          <w:r>
            <w:fldChar w:fldCharType="separate"/>
          </w:r>
          <w:r>
            <w:rPr>
              <w:rFonts w:hint="eastAsia" w:ascii="Arial" w:hAnsi="Arial" w:cs="Arial"/>
              <w:sz w:val="21"/>
              <w:szCs w:val="21"/>
            </w:rPr>
            <w:t>十七、附件</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_Toc21512 \h </w:instrText>
          </w:r>
          <w:r>
            <w:rPr>
              <w:rFonts w:ascii="Arial" w:hAnsi="Arial" w:cs="Arial"/>
              <w:sz w:val="21"/>
              <w:szCs w:val="21"/>
            </w:rPr>
            <w:fldChar w:fldCharType="separate"/>
          </w:r>
          <w:r>
            <w:rPr>
              <w:rFonts w:ascii="Arial" w:hAnsi="Arial" w:cs="Arial"/>
              <w:sz w:val="21"/>
              <w:szCs w:val="21"/>
            </w:rPr>
            <w:t>28</w:t>
          </w:r>
          <w:r>
            <w:rPr>
              <w:rFonts w:ascii="Arial" w:hAnsi="Arial" w:cs="Arial"/>
              <w:sz w:val="21"/>
              <w:szCs w:val="21"/>
            </w:rPr>
            <w:fldChar w:fldCharType="end"/>
          </w:r>
          <w:r>
            <w:rPr>
              <w:rFonts w:ascii="Arial" w:hAnsi="Arial" w:cs="Arial"/>
              <w:sz w:val="21"/>
              <w:szCs w:val="21"/>
            </w:rPr>
            <w:fldChar w:fldCharType="end"/>
          </w:r>
        </w:p>
        <w:p>
          <w:pPr>
            <w:rPr>
              <w:rFonts w:ascii="Arial" w:hAnsi="Arial" w:cs="Arial"/>
              <w:sz w:val="21"/>
              <w:szCs w:val="21"/>
            </w:rPr>
          </w:pPr>
          <w:r>
            <w:rPr>
              <w:rFonts w:ascii="Arial" w:hAnsi="Arial" w:cs="Arial"/>
              <w:sz w:val="21"/>
              <w:szCs w:val="21"/>
            </w:rPr>
            <w:fldChar w:fldCharType="end"/>
          </w:r>
        </w:p>
      </w:sdtContent>
    </w:sdt>
    <w:p>
      <w:pPr>
        <w:spacing w:line="480" w:lineRule="auto"/>
        <w:rPr>
          <w:rFonts w:ascii="宋体" w:hAnsi="宋体" w:cs="宋体"/>
          <w:b/>
          <w:bCs/>
          <w:szCs w:val="21"/>
        </w:rPr>
        <w:sectPr>
          <w:footerReference r:id="rId3" w:type="default"/>
          <w:pgSz w:w="11906" w:h="16838"/>
          <w:pgMar w:top="1134" w:right="1134" w:bottom="1134" w:left="1134" w:header="851" w:footer="992" w:gutter="0"/>
          <w:pgNumType w:start="1"/>
          <w:cols w:space="425" w:num="1"/>
          <w:docGrid w:type="linesAndChars" w:linePitch="326" w:charSpace="0"/>
        </w:sectPr>
      </w:pPr>
    </w:p>
    <w:p>
      <w:pPr>
        <w:spacing w:line="480" w:lineRule="auto"/>
        <w:rPr>
          <w:rFonts w:ascii="宋体" w:hAnsi="宋体" w:cs="宋体"/>
          <w:b/>
          <w:bCs/>
          <w:szCs w:val="21"/>
        </w:rPr>
      </w:pPr>
      <w:r>
        <w:rPr>
          <w:rFonts w:hint="eastAsia" w:ascii="宋体" w:hAnsi="宋体" w:cs="宋体"/>
          <w:b/>
          <w:bCs/>
          <w:szCs w:val="21"/>
        </w:rPr>
        <w:t>中航信托股份有限公司：</w:t>
      </w:r>
      <w:bookmarkEnd w:id="0"/>
      <w:r>
        <w:rPr>
          <w:rFonts w:ascii="宋体" w:hAnsi="宋体" w:cs="宋体"/>
          <w:b/>
          <w:bCs/>
          <w:szCs w:val="21"/>
        </w:rPr>
        <w:t xml:space="preserve"> </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 xml:space="preserve">受贵司委托，北京康信君安资产管理有限公司对宜宾骏继洪骥置业有限责任公司开发建设位于四川省    宜宾市宜宾站前广场项目提供投后管理监管服务。根据贵司与我司签署的编号为 【AVICTC2020X1312-3】《监管委托协议》约定，现就本期标的项目股东会/董事会议案情况、资金情况、印鉴及证照使用情况、项目证照办理情况、银行账户情况、合同签署及执行情况、工程进度情况、成本合约情况、销售进度情况、财务状况、项目存在的风险情况等方面，报告如下：  </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为方便阅读之目的，本报告中将部分名称简写为：</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•项目公司：宜宾骏继洪骥置业有限责任公司</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•SPV公司：成都信茂涵置业有限公司</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（以上公司均已纳入监管范围）</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•中航信托：中航信托股份有限公司</w:t>
      </w:r>
    </w:p>
    <w:p>
      <w:pPr>
        <w:widowControl w:val="0"/>
        <w:spacing w:line="480" w:lineRule="auto"/>
        <w:ind w:firstLine="420" w:firstLineChars="200"/>
        <w:jc w:val="both"/>
        <w:rPr>
          <w:rFonts w:ascii="Arial" w:hAnsi="Arial" w:cs="Arial"/>
          <w:kern w:val="44"/>
          <w:sz w:val="21"/>
          <w:szCs w:val="21"/>
          <w:lang w:val="zh-CN"/>
        </w:rPr>
      </w:pPr>
      <w:r>
        <w:rPr>
          <w:rFonts w:hint="eastAsia" w:ascii="Arial" w:hAnsi="Arial" w:cs="Arial"/>
          <w:kern w:val="44"/>
          <w:sz w:val="21"/>
          <w:szCs w:val="21"/>
        </w:rPr>
        <w:t>•康信君安：北京康信君安资产管理有限公司</w:t>
      </w:r>
      <w:r>
        <w:rPr>
          <w:rFonts w:hint="eastAsia" w:ascii="Arial" w:hAnsi="Arial" w:cs="Arial"/>
          <w:kern w:val="44"/>
          <w:sz w:val="21"/>
          <w:szCs w:val="21"/>
          <w:lang w:val="zh-CN"/>
        </w:rPr>
        <w:tab/>
      </w:r>
    </w:p>
    <w:p>
      <w:pPr>
        <w:jc w:val="center"/>
        <w:rPr>
          <w:rFonts w:ascii="宋体" w:hAnsi="宋体" w:cs="宋体"/>
          <w:b/>
          <w:bCs/>
          <w:sz w:val="21"/>
          <w:szCs w:val="21"/>
        </w:rPr>
      </w:pPr>
    </w:p>
    <w:p>
      <w:pPr>
        <w:jc w:val="center"/>
        <w:rPr>
          <w:rFonts w:ascii="宋体" w:hAnsi="宋体" w:cs="宋体"/>
          <w:b/>
          <w:bCs/>
          <w:sz w:val="21"/>
          <w:szCs w:val="21"/>
        </w:rPr>
        <w:sectPr>
          <w:footerReference r:id="rId4" w:type="default"/>
          <w:pgSz w:w="11906" w:h="16838"/>
          <w:pgMar w:top="1134" w:right="1134" w:bottom="1134" w:left="1134" w:header="851" w:footer="992" w:gutter="0"/>
          <w:pgNumType w:start="1"/>
          <w:cols w:space="425" w:num="1"/>
          <w:docGrid w:type="linesAndChars" w:linePitch="326" w:charSpace="0"/>
        </w:sectPr>
      </w:pPr>
    </w:p>
    <w:p>
      <w:pPr>
        <w:jc w:val="center"/>
      </w:pPr>
      <w:r>
        <w:rPr>
          <w:rFonts w:hint="eastAsia" w:ascii="宋体" w:hAnsi="宋体" w:cs="宋体"/>
          <w:b/>
          <w:bCs/>
          <w:sz w:val="21"/>
          <w:szCs w:val="21"/>
        </w:rPr>
        <w:t>摘</w:t>
      </w:r>
      <w:r>
        <w:rPr>
          <w:rFonts w:ascii="宋体" w:hAnsi="宋体" w:cs="宋体"/>
          <w:b/>
          <w:bCs/>
          <w:sz w:val="21"/>
          <w:szCs w:val="21"/>
        </w:rPr>
        <w:t xml:space="preserve">  </w:t>
      </w:r>
      <w:r>
        <w:rPr>
          <w:rFonts w:hint="eastAsia" w:ascii="宋体" w:hAnsi="宋体" w:cs="宋体"/>
          <w:b/>
          <w:bCs/>
          <w:sz w:val="21"/>
          <w:szCs w:val="21"/>
        </w:rPr>
        <w:t>要</w:t>
      </w:r>
    </w:p>
    <w:p>
      <w:pPr>
        <w:widowControl w:val="0"/>
        <w:spacing w:line="480" w:lineRule="auto"/>
        <w:ind w:firstLine="420" w:firstLineChars="200"/>
        <w:jc w:val="both"/>
        <w:rPr>
          <w:rFonts w:ascii="Arial" w:hAnsi="Arial" w:cs="Arial"/>
          <w:kern w:val="44"/>
          <w:sz w:val="21"/>
          <w:szCs w:val="21"/>
        </w:rPr>
      </w:pPr>
      <w:bookmarkStart w:id="1" w:name="_Toc29548"/>
      <w:r>
        <w:rPr>
          <w:rFonts w:hint="eastAsia" w:ascii="Arial" w:hAnsi="Arial" w:cs="Arial"/>
          <w:kern w:val="44"/>
          <w:sz w:val="21"/>
          <w:szCs w:val="21"/>
        </w:rPr>
        <w:t>（1）项目简况：</w:t>
      </w:r>
      <w:bookmarkEnd w:id="1"/>
    </w:p>
    <w:tbl>
      <w:tblPr>
        <w:tblStyle w:val="18"/>
        <w:tblW w:w="9318" w:type="dxa"/>
        <w:jc w:val="center"/>
        <w:tblLayout w:type="fixed"/>
        <w:tblCellMar>
          <w:top w:w="0" w:type="dxa"/>
          <w:left w:w="0" w:type="dxa"/>
          <w:bottom w:w="0" w:type="dxa"/>
          <w:right w:w="0" w:type="dxa"/>
        </w:tblCellMar>
      </w:tblPr>
      <w:tblGrid>
        <w:gridCol w:w="2330"/>
        <w:gridCol w:w="1763"/>
        <w:gridCol w:w="2437"/>
        <w:gridCol w:w="2788"/>
      </w:tblGrid>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项目名称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中航信托•天启【2020】565号宜宾站前广场项目</w:t>
            </w:r>
          </w:p>
          <w:p>
            <w:pPr>
              <w:jc w:val="center"/>
              <w:rPr>
                <w:rFonts w:ascii="Arial" w:hAnsi="Arial" w:cs="Arial"/>
                <w:color w:val="000000"/>
                <w:sz w:val="18"/>
                <w:szCs w:val="18"/>
              </w:rPr>
            </w:pPr>
            <w:r>
              <w:rPr>
                <w:rFonts w:hint="eastAsia" w:ascii="Arial" w:hAnsi="Arial" w:cs="Arial"/>
                <w:color w:val="000000"/>
                <w:sz w:val="18"/>
                <w:szCs w:val="18"/>
                <w:lang w:bidi="ar"/>
              </w:rPr>
              <w:t>股权投资集合资金信托计划</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业务部门</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lang w:bidi="ar"/>
              </w:rPr>
              <w:t>西南业务部</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项目成立日</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lang w:bidi="ar"/>
              </w:rPr>
              <w:t>2021年4月2日</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项目总规模（万）</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lang w:bidi="ar"/>
              </w:rPr>
              <w:t>28000</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截至报告日已投放规模（万）</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lang w:bidi="ar"/>
              </w:rPr>
              <w:t>28000</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合作开发商/交易对手</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lang w:bidi="ar"/>
              </w:rPr>
              <w:t>世茂集团控股有限公司</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交易结构简述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lang w:bidi="ar"/>
              </w:rPr>
            </w:pPr>
            <w:r>
              <w:rPr>
                <w:rFonts w:hint="eastAsia" w:ascii="Arial" w:hAnsi="Arial" w:cs="Arial"/>
                <w:color w:val="000000"/>
                <w:sz w:val="18"/>
                <w:szCs w:val="18"/>
                <w:lang w:bidi="ar"/>
              </w:rPr>
              <w:t>（1）2.8亿元全部用于认缴深圳航宜投资合伙企业（有限合伙）的有限合伙LP份额。</w:t>
            </w:r>
          </w:p>
          <w:p>
            <w:pPr>
              <w:rPr>
                <w:rFonts w:ascii="Arial" w:hAnsi="Arial" w:cs="Arial"/>
                <w:color w:val="000000"/>
                <w:sz w:val="18"/>
                <w:szCs w:val="18"/>
                <w:lang w:bidi="ar"/>
              </w:rPr>
            </w:pPr>
            <w:r>
              <w:rPr>
                <w:rFonts w:hint="eastAsia" w:ascii="Arial" w:hAnsi="Arial" w:cs="Arial"/>
                <w:color w:val="000000"/>
                <w:sz w:val="18"/>
                <w:szCs w:val="18"/>
                <w:lang w:bidi="ar"/>
              </w:rPr>
              <w:t>（2）合伙企业收到资金后，以1.5亿元注册资本+1.3亿元资本公积形式向成都信茂涵增资，此时合伙企业持有成都信茂涵49%股权。</w:t>
            </w:r>
          </w:p>
          <w:p>
            <w:pPr>
              <w:rPr>
                <w:rFonts w:ascii="Arial" w:hAnsi="Arial" w:cs="Arial"/>
                <w:color w:val="000000"/>
                <w:sz w:val="18"/>
                <w:szCs w:val="18"/>
              </w:rPr>
            </w:pPr>
            <w:r>
              <w:rPr>
                <w:rFonts w:hint="eastAsia" w:ascii="Arial" w:hAnsi="Arial" w:cs="Arial"/>
                <w:color w:val="000000"/>
                <w:sz w:val="18"/>
                <w:szCs w:val="18"/>
                <w:lang w:bidi="ar"/>
              </w:rPr>
              <w:t>（3）成都信茂涵收到增资款后，全部以资本公积形式投入项目公司，资金最终用于标的项目建设或归还世茂方的前期投入。</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标的项目名称（案名）</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lang w:bidi="ar"/>
              </w:rPr>
              <w:t>宜宾站前广场项目</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地址</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lang w:bidi="ar"/>
              </w:rPr>
              <w:t>宜宾市翠屏区天柏组团ZB07-01地块、ZB07-04地块、ZB07-05地块、ZB07-06-02地块、ZB07-06-03地块、ZB07-08地块</w:t>
            </w:r>
          </w:p>
        </w:tc>
      </w:tr>
      <w:tr>
        <w:tblPrEx>
          <w:tblCellMar>
            <w:top w:w="0" w:type="dxa"/>
            <w:left w:w="0" w:type="dxa"/>
            <w:bottom w:w="0" w:type="dxa"/>
            <w:right w:w="0" w:type="dxa"/>
          </w:tblCellMar>
        </w:tblPrEx>
        <w:trPr>
          <w:trHeight w:val="449"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项目业态及面积</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line="360" w:lineRule="auto"/>
              <w:ind w:firstLine="360" w:firstLineChars="200"/>
              <w:rPr>
                <w:rFonts w:ascii="Arial" w:hAnsi="Arial" w:cs="Arial"/>
                <w:color w:val="000000"/>
                <w:sz w:val="18"/>
                <w:szCs w:val="18"/>
              </w:rPr>
            </w:pPr>
            <w:r>
              <w:rPr>
                <w:rFonts w:hint="eastAsia" w:ascii="Arial" w:hAnsi="Arial" w:cs="Arial"/>
                <w:color w:val="000000"/>
                <w:sz w:val="18"/>
                <w:szCs w:val="18"/>
                <w:lang w:bidi="ar"/>
              </w:rPr>
              <w:t>高层204,770㎡、LOFT 22,804㎡、商业15,200㎡、公共配套6,894㎡</w:t>
            </w:r>
          </w:p>
        </w:tc>
      </w:tr>
    </w:tbl>
    <w:p>
      <w:pPr>
        <w:spacing w:line="360" w:lineRule="auto"/>
        <w:jc w:val="both"/>
        <w:rPr>
          <w:rFonts w:ascii="Arial" w:hAnsi="Arial" w:cs="Arial"/>
          <w:sz w:val="21"/>
          <w:szCs w:val="21"/>
        </w:rPr>
      </w:pPr>
    </w:p>
    <w:p>
      <w:pPr>
        <w:widowControl w:val="0"/>
        <w:spacing w:line="480" w:lineRule="auto"/>
        <w:ind w:firstLine="420" w:firstLineChars="200"/>
        <w:jc w:val="both"/>
        <w:rPr>
          <w:rFonts w:ascii="Arial" w:hAnsi="Arial" w:cs="Arial"/>
          <w:kern w:val="44"/>
          <w:sz w:val="21"/>
          <w:szCs w:val="21"/>
        </w:rPr>
      </w:pPr>
      <w:bookmarkStart w:id="2" w:name="_Toc3889"/>
      <w:r>
        <w:rPr>
          <w:rFonts w:hint="eastAsia" w:ascii="Arial" w:hAnsi="Arial" w:cs="Arial"/>
          <w:kern w:val="44"/>
          <w:sz w:val="21"/>
          <w:szCs w:val="21"/>
        </w:rPr>
        <w:t>（2）监管交接情况：</w:t>
      </w:r>
      <w:bookmarkEnd w:id="2"/>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被监管主体：成都信茂涵置业有限公司、宜宾骏继洪骥置业有限责任公司</w:t>
      </w:r>
    </w:p>
    <w:p>
      <w:pPr>
        <w:widowControl w:val="0"/>
        <w:spacing w:line="480" w:lineRule="auto"/>
        <w:ind w:firstLine="420" w:firstLineChars="200"/>
        <w:jc w:val="both"/>
        <w:rPr>
          <w:rFonts w:ascii="Arial" w:hAnsi="Arial" w:cs="Arial"/>
          <w:kern w:val="44"/>
          <w:szCs w:val="21"/>
        </w:rPr>
      </w:pPr>
      <w:r>
        <w:rPr>
          <w:rFonts w:hint="eastAsia" w:ascii="Arial" w:hAnsi="Arial" w:cs="Arial"/>
          <w:kern w:val="44"/>
          <w:sz w:val="21"/>
          <w:szCs w:val="21"/>
        </w:rPr>
        <w:t>驻场时间：2021年02月03日起   驻场人员：陈文丽  联系方式：15989266142</w:t>
      </w:r>
    </w:p>
    <w:tbl>
      <w:tblPr>
        <w:tblStyle w:val="18"/>
        <w:tblW w:w="9318" w:type="dxa"/>
        <w:tblInd w:w="0" w:type="dxa"/>
        <w:tblLayout w:type="fixed"/>
        <w:tblCellMar>
          <w:top w:w="0" w:type="dxa"/>
          <w:left w:w="0" w:type="dxa"/>
          <w:bottom w:w="0" w:type="dxa"/>
          <w:right w:w="0" w:type="dxa"/>
        </w:tblCellMar>
      </w:tblPr>
      <w:tblGrid>
        <w:gridCol w:w="1698"/>
        <w:gridCol w:w="1350"/>
        <w:gridCol w:w="4605"/>
        <w:gridCol w:w="1665"/>
      </w:tblGrid>
      <w:tr>
        <w:tblPrEx>
          <w:tblCellMar>
            <w:top w:w="0" w:type="dxa"/>
            <w:left w:w="0" w:type="dxa"/>
            <w:bottom w:w="0" w:type="dxa"/>
            <w:right w:w="0" w:type="dxa"/>
          </w:tblCellMar>
        </w:tblPrEx>
        <w:trPr>
          <w:trHeight w:val="662" w:hRule="atLeast"/>
        </w:trPr>
        <w:tc>
          <w:tcPr>
            <w:tcW w:w="169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监管内容</w:t>
            </w:r>
          </w:p>
        </w:tc>
        <w:tc>
          <w:tcPr>
            <w:tcW w:w="7620"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股东会/董事会议案</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资金监管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印鉴监管 </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证照监管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账户监管</w:t>
            </w:r>
            <w:r>
              <w:rPr>
                <w:rFonts w:hint="eastAsia" w:ascii="Arial" w:hAnsi="Arial" w:cs="Arial"/>
                <w:color w:val="000000"/>
                <w:sz w:val="18"/>
                <w:szCs w:val="18"/>
                <w:lang w:bidi="ar"/>
              </w:rPr>
              <w:sym w:font="Wingdings 2" w:char="0052"/>
            </w:r>
          </w:p>
          <w:p>
            <w:pPr>
              <w:textAlignment w:val="center"/>
              <w:rPr>
                <w:rFonts w:ascii="Arial" w:hAnsi="Arial" w:cs="Arial"/>
                <w:color w:val="000000"/>
                <w:sz w:val="18"/>
                <w:szCs w:val="18"/>
              </w:rPr>
            </w:pPr>
            <w:r>
              <w:rPr>
                <w:rFonts w:hint="eastAsia" w:ascii="Arial" w:hAnsi="Arial" w:cs="Arial"/>
                <w:color w:val="000000"/>
                <w:sz w:val="18"/>
                <w:szCs w:val="18"/>
                <w:lang w:bidi="ar"/>
              </w:rPr>
              <w:t>合同监管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工程监管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成本监管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财务监管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销售进度监管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w:t>
            </w:r>
          </w:p>
        </w:tc>
      </w:tr>
      <w:tr>
        <w:tblPrEx>
          <w:tblCellMar>
            <w:top w:w="0" w:type="dxa"/>
            <w:left w:w="0" w:type="dxa"/>
            <w:bottom w:w="0" w:type="dxa"/>
            <w:right w:w="0" w:type="dxa"/>
          </w:tblCellMar>
        </w:tblPrEx>
        <w:trPr>
          <w:cantSplit/>
          <w:trHeight w:val="319" w:hRule="atLeast"/>
        </w:trPr>
        <w:tc>
          <w:tcPr>
            <w:tcW w:w="169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监管物品</w:t>
            </w:r>
          </w:p>
        </w:tc>
        <w:tc>
          <w:tcPr>
            <w:tcW w:w="595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在管物品</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待管物品/待</w:t>
            </w:r>
          </w:p>
          <w:p>
            <w:pPr>
              <w:jc w:val="center"/>
              <w:textAlignment w:val="center"/>
              <w:rPr>
                <w:rFonts w:ascii="Arial" w:hAnsi="Arial" w:cs="Arial"/>
                <w:color w:val="000000"/>
                <w:sz w:val="18"/>
                <w:szCs w:val="18"/>
              </w:rPr>
            </w:pPr>
            <w:r>
              <w:rPr>
                <w:rFonts w:ascii="Arial" w:hAnsi="Arial" w:cs="Arial"/>
                <w:color w:val="000000"/>
                <w:sz w:val="18"/>
                <w:szCs w:val="18"/>
                <w:lang w:bidi="ar"/>
              </w:rPr>
              <w:t>落实监管事项</w:t>
            </w:r>
          </w:p>
        </w:tc>
      </w:tr>
      <w:tr>
        <w:tblPrEx>
          <w:tblCellMar>
            <w:top w:w="0" w:type="dxa"/>
            <w:left w:w="0" w:type="dxa"/>
            <w:bottom w:w="0" w:type="dxa"/>
            <w:right w:w="0" w:type="dxa"/>
          </w:tblCellMar>
        </w:tblPrEx>
        <w:trPr>
          <w:trHeight w:val="363" w:hRule="atLeast"/>
        </w:trPr>
        <w:tc>
          <w:tcPr>
            <w:tcW w:w="169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印章</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SPV公司</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公章</w:t>
            </w:r>
          </w:p>
        </w:tc>
        <w:tc>
          <w:tcPr>
            <w:tcW w:w="166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财务章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法人章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项目公司</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公章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财务章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法人章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发票章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合同专用章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证照</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SPV公司</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营业执照</w:t>
            </w:r>
            <w:r>
              <w:rPr>
                <w:rFonts w:hint="eastAsia" w:ascii="Arial" w:hAnsi="Arial" w:cs="Arial"/>
                <w:color w:val="000000"/>
                <w:sz w:val="18"/>
                <w:szCs w:val="18"/>
                <w:lang w:bidi="ar"/>
              </w:rPr>
              <w:t>正副本</w:t>
            </w:r>
          </w:p>
        </w:tc>
        <w:tc>
          <w:tcPr>
            <w:tcW w:w="166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基本存款账户信息</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项目公司</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营业执照</w:t>
            </w:r>
            <w:r>
              <w:rPr>
                <w:rFonts w:hint="eastAsia" w:ascii="Arial" w:hAnsi="Arial" w:cs="Arial"/>
                <w:color w:val="000000"/>
                <w:sz w:val="18"/>
                <w:szCs w:val="18"/>
                <w:lang w:bidi="ar"/>
              </w:rPr>
              <w:t>正副本</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bl>
    <w:p>
      <w:pPr>
        <w:jc w:val="center"/>
        <w:rPr>
          <w:rFonts w:ascii="Arial" w:hAnsi="Arial" w:cs="Arial"/>
          <w:color w:val="000000"/>
          <w:sz w:val="18"/>
          <w:szCs w:val="18"/>
        </w:rPr>
        <w:sectPr>
          <w:footerReference r:id="rId5" w:type="default"/>
          <w:pgSz w:w="11906" w:h="16838"/>
          <w:pgMar w:top="1134" w:right="1134" w:bottom="1134" w:left="1134" w:header="851" w:footer="992" w:gutter="0"/>
          <w:pgNumType w:start="1"/>
          <w:cols w:space="425" w:num="1"/>
          <w:docGrid w:type="linesAndChars" w:linePitch="326" w:charSpace="0"/>
        </w:sectPr>
      </w:pPr>
    </w:p>
    <w:tbl>
      <w:tblPr>
        <w:tblStyle w:val="18"/>
        <w:tblW w:w="9318" w:type="dxa"/>
        <w:tblInd w:w="0" w:type="dxa"/>
        <w:tblLayout w:type="fixed"/>
        <w:tblCellMar>
          <w:top w:w="0" w:type="dxa"/>
          <w:left w:w="0" w:type="dxa"/>
          <w:bottom w:w="0" w:type="dxa"/>
          <w:right w:w="0" w:type="dxa"/>
        </w:tblCellMar>
      </w:tblPr>
      <w:tblGrid>
        <w:gridCol w:w="1698"/>
        <w:gridCol w:w="1350"/>
        <w:gridCol w:w="4605"/>
        <w:gridCol w:w="1665"/>
      </w:tblGrid>
      <w:tr>
        <w:tblPrEx>
          <w:tblCellMar>
            <w:top w:w="0" w:type="dxa"/>
            <w:left w:w="0" w:type="dxa"/>
            <w:bottom w:w="0" w:type="dxa"/>
            <w:right w:w="0" w:type="dxa"/>
          </w:tblCellMar>
        </w:tblPrEx>
        <w:trPr>
          <w:trHeight w:val="363" w:hRule="atLeast"/>
        </w:trPr>
        <w:tc>
          <w:tcPr>
            <w:tcW w:w="1698" w:type="dxa"/>
            <w:tcBorders>
              <w:left w:val="single" w:color="000000" w:sz="4" w:space="0"/>
              <w:right w:val="single" w:color="000000" w:sz="4" w:space="0"/>
            </w:tcBorders>
            <w:shd w:val="clear" w:color="auto" w:fill="auto"/>
            <w:noWrap/>
            <w:tcMar>
              <w:top w:w="10" w:type="dxa"/>
              <w:left w:w="10" w:type="dxa"/>
              <w:right w:w="10" w:type="dxa"/>
            </w:tcMar>
            <w:vAlign w:val="center"/>
          </w:tcPr>
          <w:p>
            <w:pPr>
              <w:pStyle w:val="2"/>
            </w:pPr>
          </w:p>
        </w:tc>
        <w:tc>
          <w:tcPr>
            <w:tcW w:w="1350" w:type="dxa"/>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基本存款账户信息</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bl>
    <w:tbl>
      <w:tblPr>
        <w:tblStyle w:val="18"/>
        <w:tblpPr w:leftFromText="180" w:rightFromText="180" w:vertAnchor="text" w:horzAnchor="page" w:tblpX="1137" w:tblpY="419"/>
        <w:tblOverlap w:val="never"/>
        <w:tblW w:w="9318" w:type="dxa"/>
        <w:tblInd w:w="0" w:type="dxa"/>
        <w:tblLayout w:type="fixed"/>
        <w:tblCellMar>
          <w:top w:w="0" w:type="dxa"/>
          <w:left w:w="0" w:type="dxa"/>
          <w:bottom w:w="0" w:type="dxa"/>
          <w:right w:w="0" w:type="dxa"/>
        </w:tblCellMar>
      </w:tblPr>
      <w:tblGrid>
        <w:gridCol w:w="1668"/>
        <w:gridCol w:w="1365"/>
        <w:gridCol w:w="4620"/>
        <w:gridCol w:w="1665"/>
      </w:tblGrid>
      <w:tr>
        <w:tblPrEx>
          <w:tblCellMar>
            <w:top w:w="0" w:type="dxa"/>
            <w:left w:w="0" w:type="dxa"/>
            <w:bottom w:w="0" w:type="dxa"/>
            <w:right w:w="0" w:type="dxa"/>
          </w:tblCellMar>
        </w:tblPrEx>
        <w:trPr>
          <w:trHeight w:val="399" w:hRule="atLeast"/>
        </w:trPr>
        <w:tc>
          <w:tcPr>
            <w:tcW w:w="1668" w:type="dxa"/>
            <w:vMerge w:val="restart"/>
            <w:tcBorders>
              <w:left w:val="single" w:color="000000" w:sz="4" w:space="0"/>
              <w:right w:val="single" w:color="000000" w:sz="4" w:space="0"/>
            </w:tcBorders>
            <w:shd w:val="clear" w:color="auto" w:fill="auto"/>
            <w:noWrap/>
            <w:tcMar>
              <w:top w:w="10" w:type="dxa"/>
              <w:left w:w="10" w:type="dxa"/>
              <w:right w:w="10" w:type="dxa"/>
            </w:tcMar>
            <w:vAlign w:val="center"/>
          </w:tcPr>
          <w:p>
            <w:pPr>
              <w:jc w:val="both"/>
              <w:rPr>
                <w:rFonts w:ascii="Arial" w:hAnsi="Arial" w:cs="Arial"/>
                <w:color w:val="000000"/>
                <w:sz w:val="18"/>
                <w:szCs w:val="18"/>
              </w:rPr>
            </w:pPr>
          </w:p>
        </w:tc>
        <w:tc>
          <w:tcPr>
            <w:tcW w:w="1365" w:type="dxa"/>
            <w:vMerge w:val="restart"/>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暂定资质证书正副本</w:t>
            </w:r>
          </w:p>
        </w:tc>
        <w:tc>
          <w:tcPr>
            <w:tcW w:w="1665"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不动产权证书</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不动产权证书</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(宜宾市翠屏区天柏组团ZB07-04地块)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不动产权证书</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(宜宾市翠屏区天柏组团ZB07-05地块)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不动产权证书</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(宜宾市翠屏区天柏组团ZB07-06-02地块)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不动产权证书</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(宜宾市翠屏区天柏组团ZB07-06-03地块)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不动产权证书</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(宜宾市翠屏区天柏组团ZB07-08地块)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建设用地规划许可证</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建设工程规划许可证</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（宜宾市翠屏区天柏组团ZB07-01地块云锦一期）</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建筑工程施工许可证</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（宜宾市天柏组团中坝片区站前广场ZB07-01地块</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云锦一期一批次1#、2#、3#、4#、1#门卫及电商服务，2#门卫及地下室）</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建筑工程施工许可证</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（宜宾市天柏组团中坝片区站前广场ZB07-01地块云锦一期二批次5#、6#、7#、地下室）</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商品房预售许可证</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（宜宾市翠屏区天柏组团ZB07-01地块云锦一期）1#楼</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商品房预售许可证</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（宜宾市翠屏区天柏组团ZB07-01地块云锦一期）2#楼</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商品房预售许可证</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（宜宾市翠屏区天柏组团ZB07-01地块云锦一期）3#楼</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合同监管</w:t>
            </w:r>
          </w:p>
        </w:tc>
        <w:tc>
          <w:tcPr>
            <w:tcW w:w="5985" w:type="dxa"/>
            <w:gridSpan w:val="2"/>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进场前签署</w:t>
            </w:r>
            <w:r>
              <w:rPr>
                <w:rFonts w:hint="eastAsia" w:ascii="Arial" w:hAnsi="Arial" w:cs="Arial"/>
                <w:color w:val="000000"/>
                <w:sz w:val="18"/>
                <w:szCs w:val="18"/>
                <w:lang w:bidi="ar"/>
              </w:rPr>
              <w:t>工程</w:t>
            </w:r>
            <w:r>
              <w:rPr>
                <w:rFonts w:ascii="Arial" w:hAnsi="Arial" w:cs="Arial"/>
                <w:color w:val="000000"/>
                <w:sz w:val="18"/>
                <w:szCs w:val="18"/>
                <w:lang w:bidi="ar"/>
              </w:rPr>
              <w:t>合同</w:t>
            </w:r>
            <w:r>
              <w:rPr>
                <w:rFonts w:hint="eastAsia" w:ascii="Arial" w:hAnsi="Arial" w:cs="Arial"/>
                <w:color w:val="000000"/>
                <w:sz w:val="18"/>
                <w:szCs w:val="18"/>
                <w:lang w:bidi="ar"/>
              </w:rPr>
              <w:t>部分交接，营销合同</w:t>
            </w:r>
            <w:r>
              <w:rPr>
                <w:rFonts w:ascii="Arial" w:hAnsi="Arial" w:cs="Arial"/>
                <w:color w:val="000000"/>
                <w:sz w:val="18"/>
                <w:szCs w:val="18"/>
                <w:lang w:bidi="ar"/>
              </w:rPr>
              <w:t>全部交接，建立台账，合计</w:t>
            </w:r>
            <w:r>
              <w:rPr>
                <w:rFonts w:hint="eastAsia" w:ascii="Arial" w:hAnsi="Arial" w:cs="Arial"/>
                <w:color w:val="000000"/>
                <w:sz w:val="18"/>
                <w:szCs w:val="18"/>
                <w:lang w:bidi="ar"/>
              </w:rPr>
              <w:t>144</w:t>
            </w:r>
            <w:r>
              <w:rPr>
                <w:rFonts w:ascii="Arial" w:hAnsi="Arial" w:cs="Arial"/>
                <w:color w:val="000000"/>
                <w:sz w:val="18"/>
                <w:szCs w:val="18"/>
                <w:lang w:bidi="ar"/>
              </w:rPr>
              <w:t>份，合同金额</w:t>
            </w:r>
            <w:r>
              <w:rPr>
                <w:rFonts w:hint="eastAsia" w:ascii="Arial" w:hAnsi="Arial" w:cs="Arial"/>
                <w:color w:val="000000"/>
                <w:sz w:val="18"/>
                <w:szCs w:val="18"/>
                <w:lang w:bidi="ar"/>
              </w:rPr>
              <w:t>1,166,268,025.63元</w:t>
            </w:r>
            <w:r>
              <w:rPr>
                <w:rFonts w:ascii="Arial" w:hAnsi="Arial" w:cs="Arial"/>
                <w:color w:val="000000"/>
                <w:sz w:val="18"/>
                <w:szCs w:val="18"/>
                <w:lang w:bidi="ar"/>
              </w:rPr>
              <w:t>，已付金额</w:t>
            </w:r>
            <w:r>
              <w:rPr>
                <w:rFonts w:hint="eastAsia" w:ascii="Arial" w:hAnsi="Arial" w:cs="Arial"/>
                <w:color w:val="000000"/>
                <w:sz w:val="18"/>
                <w:szCs w:val="18"/>
                <w:lang w:bidi="ar"/>
              </w:rPr>
              <w:t>817,993,351.94元。</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restar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银行账户密钥</w:t>
            </w:r>
          </w:p>
        </w:tc>
        <w:tc>
          <w:tcPr>
            <w:tcW w:w="1365" w:type="dxa"/>
            <w:vMerge w:val="restar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SPV公司</w:t>
            </w:r>
          </w:p>
        </w:tc>
        <w:tc>
          <w:tcPr>
            <w:tcW w:w="462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账号：</w:t>
            </w:r>
            <w:r>
              <w:rPr>
                <w:rFonts w:hint="eastAsia" w:ascii="Arial" w:hAnsi="Arial" w:cs="Arial"/>
                <w:color w:val="000000"/>
                <w:sz w:val="18"/>
                <w:szCs w:val="18"/>
                <w:lang w:bidi="ar"/>
              </w:rPr>
              <w:t>130711887990</w:t>
            </w:r>
          </w:p>
        </w:tc>
        <w:tc>
          <w:tcPr>
            <w:tcW w:w="1665" w:type="dxa"/>
            <w:vMerge w:val="restart"/>
            <w:tcBorders>
              <w:top w:val="single" w:color="000000" w:sz="4" w:space="0"/>
              <w:left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均为最后一道U盾</w:t>
            </w:r>
          </w:p>
        </w:tc>
      </w:tr>
      <w:tr>
        <w:tblPrEx>
          <w:tblCellMar>
            <w:top w:w="0" w:type="dxa"/>
            <w:left w:w="0" w:type="dxa"/>
            <w:bottom w:w="0" w:type="dxa"/>
            <w:right w:w="0" w:type="dxa"/>
          </w:tblCellMar>
        </w:tblPrEx>
        <w:trPr>
          <w:trHeight w:val="363" w:hRule="atLeast"/>
        </w:trPr>
        <w:tc>
          <w:tcPr>
            <w:tcW w:w="1668"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365"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2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账号：</w:t>
            </w:r>
            <w:r>
              <w:rPr>
                <w:rFonts w:hint="eastAsia" w:ascii="Arial" w:hAnsi="Arial" w:cs="Arial"/>
                <w:color w:val="000000"/>
                <w:sz w:val="18"/>
                <w:szCs w:val="18"/>
                <w:lang w:bidi="ar"/>
              </w:rPr>
              <w:t>8111001012200756429</w:t>
            </w:r>
          </w:p>
        </w:tc>
        <w:tc>
          <w:tcPr>
            <w:tcW w:w="1665" w:type="dxa"/>
            <w:vMerge w:val="continue"/>
            <w:tcBorders>
              <w:left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365"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462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账号：1000030004096586</w:t>
            </w:r>
          </w:p>
        </w:tc>
        <w:tc>
          <w:tcPr>
            <w:tcW w:w="1665" w:type="dxa"/>
            <w:vMerge w:val="continue"/>
            <w:tcBorders>
              <w:left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365" w:type="dxa"/>
            <w:vMerge w:val="restar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项目公司</w:t>
            </w:r>
          </w:p>
        </w:tc>
        <w:tc>
          <w:tcPr>
            <w:tcW w:w="462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账号：2314506209100058473</w:t>
            </w:r>
          </w:p>
        </w:tc>
        <w:tc>
          <w:tcPr>
            <w:tcW w:w="1665" w:type="dxa"/>
            <w:vMerge w:val="continue"/>
            <w:tcBorders>
              <w:left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365"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462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账号：51050172610800000904</w:t>
            </w:r>
          </w:p>
        </w:tc>
        <w:tc>
          <w:tcPr>
            <w:tcW w:w="1665" w:type="dxa"/>
            <w:vMerge w:val="continue"/>
            <w:tcBorders>
              <w:left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365"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462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账号：22470201040022852</w:t>
            </w:r>
          </w:p>
        </w:tc>
        <w:tc>
          <w:tcPr>
            <w:tcW w:w="1665" w:type="dxa"/>
            <w:vMerge w:val="continue"/>
            <w:tcBorders>
              <w:left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top w:val="single" w:color="auto" w:sz="4" w:space="0"/>
              <w:left w:val="single" w:color="auto"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365" w:type="dxa"/>
            <w:vMerge w:val="continue"/>
            <w:tcBorders>
              <w:top w:val="single" w:color="auto" w:sz="4" w:space="0"/>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4620" w:type="dxa"/>
            <w:tcBorders>
              <w:top w:val="single" w:color="auto"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账号：51050172610800000895</w:t>
            </w:r>
          </w:p>
        </w:tc>
        <w:tc>
          <w:tcPr>
            <w:tcW w:w="1665" w:type="dxa"/>
            <w:vMerge w:val="continue"/>
            <w:tcBorders>
              <w:left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lang w:bidi="ar"/>
              </w:rPr>
              <w:t>账号：115868581512</w:t>
            </w:r>
          </w:p>
        </w:tc>
        <w:tc>
          <w:tcPr>
            <w:tcW w:w="1665" w:type="dxa"/>
            <w:vMerge w:val="continue"/>
            <w:tcBorders>
              <w:left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p>
        </w:tc>
        <w:tc>
          <w:tcPr>
            <w:tcW w:w="1365"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账号：8111001012900684397</w:t>
            </w:r>
          </w:p>
        </w:tc>
        <w:tc>
          <w:tcPr>
            <w:tcW w:w="1665" w:type="dxa"/>
            <w:vMerge w:val="continue"/>
            <w:tcBorders>
              <w:left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账号：632327658</w:t>
            </w:r>
          </w:p>
        </w:tc>
        <w:tc>
          <w:tcPr>
            <w:tcW w:w="1665" w:type="dxa"/>
            <w:vMerge w:val="continue"/>
            <w:tcBorders>
              <w:left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lang w:bidi="ar"/>
              </w:rPr>
              <w:t>账号：830900346010301</w:t>
            </w:r>
          </w:p>
        </w:tc>
        <w:tc>
          <w:tcPr>
            <w:tcW w:w="1665" w:type="dxa"/>
            <w:vMerge w:val="continue"/>
            <w:tcBorders>
              <w:left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p>
        </w:tc>
        <w:tc>
          <w:tcPr>
            <w:tcW w:w="1365"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lang w:bidi="ar"/>
              </w:rPr>
            </w:pPr>
            <w:r>
              <w:rPr>
                <w:rFonts w:hint="eastAsia" w:ascii="Arial" w:hAnsi="Arial" w:cs="Arial"/>
                <w:color w:val="000000"/>
                <w:sz w:val="18"/>
                <w:szCs w:val="18"/>
                <w:lang w:bidi="ar"/>
              </w:rPr>
              <w:t>账号：</w:t>
            </w:r>
            <w:r>
              <w:rPr>
                <w:rFonts w:hint="eastAsia" w:ascii="Arial" w:hAnsi="Arial" w:cs="Arial"/>
                <w:color w:val="000000"/>
                <w:sz w:val="18"/>
                <w:szCs w:val="18"/>
              </w:rPr>
              <w:t>1061300000865997</w:t>
            </w:r>
          </w:p>
        </w:tc>
        <w:tc>
          <w:tcPr>
            <w:tcW w:w="1665" w:type="dxa"/>
            <w:vMerge w:val="continue"/>
            <w:tcBorders>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保险柜钥匙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SPV公司</w:t>
            </w: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钥匙1把（驻场保管）</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项目</w:t>
            </w:r>
            <w:r>
              <w:rPr>
                <w:rFonts w:ascii="Arial" w:hAnsi="Arial" w:cs="Arial"/>
                <w:color w:val="000000"/>
                <w:sz w:val="18"/>
                <w:szCs w:val="18"/>
              </w:rPr>
              <w:t>公司</w:t>
            </w: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柜中柜：</w:t>
            </w:r>
          </w:p>
          <w:p>
            <w:pPr>
              <w:rPr>
                <w:rFonts w:ascii="Arial" w:hAnsi="Arial" w:cs="Arial"/>
                <w:color w:val="000000"/>
                <w:sz w:val="18"/>
                <w:szCs w:val="18"/>
              </w:rPr>
            </w:pPr>
            <w:r>
              <w:rPr>
                <w:rFonts w:hint="eastAsia" w:ascii="Arial" w:hAnsi="Arial" w:cs="Arial"/>
                <w:color w:val="000000"/>
                <w:sz w:val="18"/>
                <w:szCs w:val="18"/>
              </w:rPr>
              <w:t>大密码柜（钥匙+密码）套住项目公司原保险柜，驻场保管大密码柜的钥匙+密码，合作方金座保管原保险柜钥匙，项目公司保管原保险柜密码</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bl>
    <w:p/>
    <w:p>
      <w:pPr>
        <w:widowControl w:val="0"/>
        <w:spacing w:line="480" w:lineRule="auto"/>
        <w:ind w:firstLine="420" w:firstLineChars="200"/>
        <w:jc w:val="both"/>
        <w:rPr>
          <w:rFonts w:ascii="Arial" w:hAnsi="Arial" w:cs="Arial"/>
          <w:kern w:val="44"/>
          <w:sz w:val="21"/>
          <w:szCs w:val="21"/>
        </w:rPr>
      </w:pPr>
      <w:bookmarkStart w:id="3" w:name="_Toc5895"/>
      <w:r>
        <w:rPr>
          <w:rFonts w:hint="eastAsia" w:ascii="Arial" w:hAnsi="Arial" w:cs="Arial"/>
          <w:kern w:val="44"/>
          <w:sz w:val="21"/>
          <w:szCs w:val="21"/>
        </w:rPr>
        <w:t>（3）项目重要节点跟踪：</w:t>
      </w:r>
      <w:bookmarkEnd w:id="3"/>
    </w:p>
    <w:p>
      <w:pPr>
        <w:widowControl w:val="0"/>
        <w:spacing w:line="480" w:lineRule="auto"/>
        <w:ind w:firstLine="420" w:firstLineChars="200"/>
        <w:jc w:val="both"/>
        <w:rPr>
          <w:rFonts w:ascii="Arial" w:hAnsi="Arial" w:cs="Arial"/>
          <w:kern w:val="44"/>
          <w:sz w:val="21"/>
          <w:szCs w:val="21"/>
        </w:rPr>
      </w:pPr>
      <w:bookmarkStart w:id="4" w:name="_Toc4229"/>
      <w:r>
        <w:rPr>
          <w:rFonts w:hint="eastAsia" w:ascii="Arial" w:hAnsi="Arial" w:cs="Arial"/>
          <w:kern w:val="44"/>
          <w:sz w:val="21"/>
          <w:szCs w:val="21"/>
        </w:rPr>
        <w:t>3.1项目公司经营计划节点达成情况</w:t>
      </w:r>
    </w:p>
    <w:tbl>
      <w:tblPr>
        <w:tblStyle w:val="19"/>
        <w:tblW w:w="93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731"/>
        <w:gridCol w:w="1609"/>
        <w:gridCol w:w="4031"/>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blHeader/>
        </w:trPr>
        <w:tc>
          <w:tcPr>
            <w:tcW w:w="644" w:type="dxa"/>
            <w:vAlign w:val="center"/>
          </w:tcPr>
          <w:p>
            <w:pPr>
              <w:spacing w:line="360" w:lineRule="auto"/>
              <w:jc w:val="center"/>
              <w:rPr>
                <w:rFonts w:ascii="Arial" w:hAnsi="Arial" w:cs="Arial"/>
                <w:b/>
                <w:bCs/>
                <w:sz w:val="18"/>
                <w:szCs w:val="18"/>
              </w:rPr>
            </w:pPr>
            <w:r>
              <w:rPr>
                <w:rFonts w:hint="eastAsia" w:ascii="Arial" w:hAnsi="Arial" w:cs="Arial"/>
                <w:b/>
                <w:bCs/>
                <w:sz w:val="18"/>
                <w:szCs w:val="18"/>
              </w:rPr>
              <w:t>序号</w:t>
            </w:r>
          </w:p>
        </w:tc>
        <w:tc>
          <w:tcPr>
            <w:tcW w:w="1731" w:type="dxa"/>
            <w:vAlign w:val="center"/>
          </w:tcPr>
          <w:p>
            <w:pPr>
              <w:spacing w:line="360" w:lineRule="auto"/>
              <w:jc w:val="center"/>
              <w:rPr>
                <w:rFonts w:ascii="Arial" w:hAnsi="Arial" w:cs="Arial"/>
                <w:b/>
                <w:bCs/>
                <w:sz w:val="18"/>
                <w:szCs w:val="18"/>
              </w:rPr>
            </w:pPr>
            <w:r>
              <w:rPr>
                <w:rFonts w:hint="eastAsia" w:ascii="Arial" w:hAnsi="Arial" w:cs="Arial"/>
                <w:b/>
                <w:bCs/>
                <w:sz w:val="18"/>
                <w:szCs w:val="18"/>
              </w:rPr>
              <w:t>时间节点</w:t>
            </w:r>
          </w:p>
        </w:tc>
        <w:tc>
          <w:tcPr>
            <w:tcW w:w="1609" w:type="dxa"/>
            <w:vAlign w:val="center"/>
          </w:tcPr>
          <w:p>
            <w:pPr>
              <w:spacing w:line="360" w:lineRule="auto"/>
              <w:jc w:val="center"/>
              <w:rPr>
                <w:rFonts w:ascii="Arial" w:hAnsi="Arial" w:cs="Arial"/>
                <w:b/>
                <w:bCs/>
                <w:sz w:val="18"/>
                <w:szCs w:val="18"/>
              </w:rPr>
            </w:pPr>
            <w:r>
              <w:rPr>
                <w:rFonts w:hint="eastAsia" w:ascii="Arial" w:hAnsi="Arial" w:cs="Arial"/>
                <w:b/>
                <w:bCs/>
                <w:sz w:val="18"/>
                <w:szCs w:val="18"/>
              </w:rPr>
              <w:t>计划</w:t>
            </w:r>
          </w:p>
        </w:tc>
        <w:tc>
          <w:tcPr>
            <w:tcW w:w="4031" w:type="dxa"/>
            <w:vAlign w:val="center"/>
          </w:tcPr>
          <w:p>
            <w:pPr>
              <w:spacing w:line="360" w:lineRule="auto"/>
              <w:jc w:val="center"/>
              <w:rPr>
                <w:rFonts w:ascii="Arial" w:hAnsi="Arial" w:cs="Arial"/>
                <w:b/>
                <w:bCs/>
                <w:sz w:val="18"/>
                <w:szCs w:val="18"/>
              </w:rPr>
            </w:pPr>
            <w:r>
              <w:rPr>
                <w:rFonts w:hint="eastAsia" w:ascii="Arial" w:hAnsi="Arial" w:cs="Arial"/>
                <w:b/>
                <w:bCs/>
                <w:sz w:val="18"/>
                <w:szCs w:val="18"/>
              </w:rPr>
              <w:t>实际</w:t>
            </w:r>
          </w:p>
        </w:tc>
        <w:tc>
          <w:tcPr>
            <w:tcW w:w="1292" w:type="dxa"/>
            <w:vAlign w:val="center"/>
          </w:tcPr>
          <w:p>
            <w:pPr>
              <w:spacing w:line="360" w:lineRule="auto"/>
              <w:jc w:val="center"/>
              <w:rPr>
                <w:rFonts w:ascii="Arial" w:hAnsi="Arial" w:cs="Arial"/>
                <w:b/>
                <w:bCs/>
                <w:sz w:val="18"/>
                <w:szCs w:val="18"/>
              </w:rPr>
            </w:pPr>
            <w:r>
              <w:rPr>
                <w:rFonts w:hint="eastAsia" w:ascii="Arial" w:hAnsi="Arial" w:cs="Arial"/>
                <w:b/>
                <w:bCs/>
                <w:sz w:val="18"/>
                <w:szCs w:val="18"/>
              </w:rPr>
              <w:t>未达成原因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w:t>
            </w:r>
          </w:p>
        </w:tc>
        <w:tc>
          <w:tcPr>
            <w:tcW w:w="1731"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2020年6月</w:t>
            </w:r>
          </w:p>
        </w:tc>
        <w:tc>
          <w:tcPr>
            <w:tcW w:w="1609"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立项批复</w:t>
            </w:r>
          </w:p>
        </w:tc>
        <w:tc>
          <w:tcPr>
            <w:tcW w:w="4031" w:type="dxa"/>
            <w:vAlign w:val="center"/>
          </w:tcPr>
          <w:p>
            <w:pPr>
              <w:rPr>
                <w:rFonts w:ascii="Arial" w:hAnsi="Arial" w:cs="Arial"/>
                <w:color w:val="000000"/>
                <w:sz w:val="18"/>
                <w:szCs w:val="18"/>
              </w:rPr>
            </w:pPr>
            <w:r>
              <w:rPr>
                <w:rFonts w:hint="eastAsia" w:ascii="Arial" w:hAnsi="Arial" w:cs="Arial"/>
                <w:color w:val="000000"/>
                <w:sz w:val="18"/>
                <w:szCs w:val="18"/>
              </w:rPr>
              <w:t>2020年5月26日</w:t>
            </w:r>
          </w:p>
        </w:tc>
        <w:tc>
          <w:tcPr>
            <w:tcW w:w="1292" w:type="dxa"/>
            <w:vAlign w:val="center"/>
          </w:tcPr>
          <w:p>
            <w:pPr>
              <w:spacing w:line="360" w:lineRule="auto"/>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4"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w:t>
            </w:r>
          </w:p>
        </w:tc>
        <w:tc>
          <w:tcPr>
            <w:tcW w:w="1731"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2020年7月</w:t>
            </w:r>
          </w:p>
        </w:tc>
        <w:tc>
          <w:tcPr>
            <w:tcW w:w="1609"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用地规划许可证</w:t>
            </w:r>
          </w:p>
        </w:tc>
        <w:tc>
          <w:tcPr>
            <w:tcW w:w="4031" w:type="dxa"/>
            <w:vAlign w:val="center"/>
          </w:tcPr>
          <w:p>
            <w:pPr>
              <w:rPr>
                <w:rFonts w:ascii="Arial" w:hAnsi="Arial" w:cs="Arial"/>
                <w:color w:val="000000"/>
                <w:sz w:val="18"/>
                <w:szCs w:val="18"/>
              </w:rPr>
            </w:pPr>
            <w:r>
              <w:rPr>
                <w:rFonts w:hint="eastAsia" w:ascii="Arial" w:hAnsi="Arial" w:cs="Arial"/>
                <w:color w:val="000000"/>
                <w:sz w:val="18"/>
                <w:szCs w:val="18"/>
              </w:rPr>
              <w:t>2020年6月 5日</w:t>
            </w:r>
          </w:p>
        </w:tc>
        <w:tc>
          <w:tcPr>
            <w:tcW w:w="1292" w:type="dxa"/>
            <w:vAlign w:val="center"/>
          </w:tcPr>
          <w:p>
            <w:pPr>
              <w:spacing w:line="360" w:lineRule="auto"/>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3</w:t>
            </w:r>
          </w:p>
        </w:tc>
        <w:tc>
          <w:tcPr>
            <w:tcW w:w="1731"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2020年10月（一期），剩余证11月取得</w:t>
            </w:r>
          </w:p>
        </w:tc>
        <w:tc>
          <w:tcPr>
            <w:tcW w:w="160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国有土地使用权证</w:t>
            </w:r>
          </w:p>
        </w:tc>
        <w:tc>
          <w:tcPr>
            <w:tcW w:w="4031" w:type="dxa"/>
            <w:vAlign w:val="center"/>
          </w:tcPr>
          <w:p>
            <w:pPr>
              <w:rPr>
                <w:rFonts w:ascii="Arial" w:hAnsi="Arial" w:cs="Arial"/>
                <w:color w:val="000000"/>
                <w:sz w:val="18"/>
                <w:szCs w:val="18"/>
              </w:rPr>
            </w:pPr>
            <w:r>
              <w:rPr>
                <w:rFonts w:hint="eastAsia" w:ascii="Arial" w:hAnsi="Arial" w:cs="Arial"/>
                <w:color w:val="000000"/>
                <w:sz w:val="18"/>
                <w:szCs w:val="18"/>
              </w:rPr>
              <w:t>1.2020年09月27日(宜宾市翠屏区天柏组团ZB07-01地块)；</w:t>
            </w:r>
          </w:p>
          <w:p>
            <w:pPr>
              <w:rPr>
                <w:rFonts w:ascii="Arial" w:hAnsi="Arial" w:cs="Arial"/>
                <w:color w:val="000000"/>
                <w:sz w:val="18"/>
                <w:szCs w:val="18"/>
              </w:rPr>
            </w:pPr>
            <w:r>
              <w:rPr>
                <w:rFonts w:hint="eastAsia" w:ascii="Arial" w:hAnsi="Arial" w:cs="Arial"/>
                <w:color w:val="000000"/>
                <w:sz w:val="18"/>
                <w:szCs w:val="18"/>
              </w:rPr>
              <w:t>2.2020年10月10日(宜宾市翠屏区天柏组团ZB07-04地块)；</w:t>
            </w:r>
          </w:p>
          <w:p>
            <w:pPr>
              <w:rPr>
                <w:rFonts w:ascii="Arial" w:hAnsi="Arial" w:cs="Arial"/>
                <w:color w:val="000000"/>
                <w:sz w:val="18"/>
                <w:szCs w:val="18"/>
              </w:rPr>
            </w:pPr>
            <w:r>
              <w:rPr>
                <w:rFonts w:hint="eastAsia" w:ascii="Arial" w:hAnsi="Arial" w:cs="Arial"/>
                <w:color w:val="000000"/>
                <w:sz w:val="18"/>
                <w:szCs w:val="18"/>
              </w:rPr>
              <w:t>3.2020年10月10日(宜宾市翠屏区天柏组团ZB07-05地块)；</w:t>
            </w:r>
          </w:p>
          <w:p>
            <w:pPr>
              <w:rPr>
                <w:rFonts w:ascii="Arial" w:hAnsi="Arial" w:cs="Arial"/>
                <w:color w:val="000000"/>
                <w:sz w:val="18"/>
                <w:szCs w:val="18"/>
              </w:rPr>
            </w:pPr>
            <w:r>
              <w:rPr>
                <w:rFonts w:hint="eastAsia" w:ascii="Arial" w:hAnsi="Arial" w:cs="Arial"/>
                <w:color w:val="000000"/>
                <w:sz w:val="18"/>
                <w:szCs w:val="18"/>
              </w:rPr>
              <w:t>4.2020年10月10日(宜宾市翠屏区天柏组团ZB07-06-02地块)；</w:t>
            </w:r>
          </w:p>
          <w:p>
            <w:pPr>
              <w:rPr>
                <w:rFonts w:ascii="Arial" w:hAnsi="Arial" w:cs="Arial"/>
                <w:color w:val="000000"/>
                <w:sz w:val="18"/>
                <w:szCs w:val="18"/>
              </w:rPr>
            </w:pPr>
            <w:r>
              <w:rPr>
                <w:rFonts w:hint="eastAsia" w:ascii="Arial" w:hAnsi="Arial" w:cs="Arial"/>
                <w:color w:val="000000"/>
                <w:sz w:val="18"/>
                <w:szCs w:val="18"/>
              </w:rPr>
              <w:t>5.2020年10月10日(宜宾市翠屏区天柏组团ZB07-06-03地块)；</w:t>
            </w:r>
          </w:p>
          <w:p>
            <w:pPr>
              <w:rPr>
                <w:rFonts w:ascii="Arial" w:hAnsi="Arial" w:cs="Arial"/>
                <w:color w:val="000000"/>
                <w:sz w:val="18"/>
                <w:szCs w:val="18"/>
              </w:rPr>
            </w:pPr>
            <w:r>
              <w:rPr>
                <w:rFonts w:hint="eastAsia" w:ascii="Arial" w:hAnsi="Arial" w:cs="Arial"/>
                <w:color w:val="000000"/>
                <w:sz w:val="18"/>
                <w:szCs w:val="18"/>
              </w:rPr>
              <w:t>6.2020年10月10日(宜宾市翠屏区天柏组团ZB07-08地块)。</w:t>
            </w:r>
          </w:p>
        </w:tc>
        <w:tc>
          <w:tcPr>
            <w:tcW w:w="1292"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44"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4</w:t>
            </w:r>
          </w:p>
        </w:tc>
        <w:tc>
          <w:tcPr>
            <w:tcW w:w="1731"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2020年8月</w:t>
            </w:r>
          </w:p>
        </w:tc>
        <w:tc>
          <w:tcPr>
            <w:tcW w:w="160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设计方案批复</w:t>
            </w:r>
          </w:p>
        </w:tc>
        <w:tc>
          <w:tcPr>
            <w:tcW w:w="4031" w:type="dxa"/>
            <w:vAlign w:val="center"/>
          </w:tcPr>
          <w:p>
            <w:pPr>
              <w:rPr>
                <w:rFonts w:ascii="Arial" w:hAnsi="Arial" w:cs="Arial"/>
                <w:color w:val="000000"/>
                <w:sz w:val="18"/>
                <w:szCs w:val="18"/>
              </w:rPr>
            </w:pPr>
            <w:r>
              <w:rPr>
                <w:rFonts w:hint="eastAsia" w:ascii="Arial" w:hAnsi="Arial" w:cs="Arial"/>
                <w:color w:val="000000"/>
                <w:sz w:val="18"/>
                <w:szCs w:val="18"/>
              </w:rPr>
              <w:t>2020年8月（翠资源规划函【2020】154号）</w:t>
            </w:r>
          </w:p>
        </w:tc>
        <w:tc>
          <w:tcPr>
            <w:tcW w:w="1292"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5</w:t>
            </w:r>
          </w:p>
        </w:tc>
        <w:tc>
          <w:tcPr>
            <w:tcW w:w="1731"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2020年9月</w:t>
            </w:r>
          </w:p>
        </w:tc>
        <w:tc>
          <w:tcPr>
            <w:tcW w:w="160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工程规划许可证</w:t>
            </w:r>
          </w:p>
        </w:tc>
        <w:tc>
          <w:tcPr>
            <w:tcW w:w="4031" w:type="dxa"/>
            <w:vAlign w:val="center"/>
          </w:tcPr>
          <w:p>
            <w:pPr>
              <w:rPr>
                <w:rFonts w:ascii="Arial" w:hAnsi="Arial" w:cs="Arial"/>
                <w:color w:val="000000"/>
                <w:sz w:val="18"/>
                <w:szCs w:val="18"/>
              </w:rPr>
            </w:pPr>
            <w:r>
              <w:rPr>
                <w:rFonts w:hint="eastAsia" w:ascii="Arial" w:hAnsi="Arial" w:cs="Arial"/>
                <w:color w:val="000000"/>
                <w:sz w:val="18"/>
                <w:szCs w:val="18"/>
              </w:rPr>
              <w:t>1.2020年8月14日取得一期（建字第511502202000036号）</w:t>
            </w:r>
          </w:p>
        </w:tc>
        <w:tc>
          <w:tcPr>
            <w:tcW w:w="1292"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6</w:t>
            </w:r>
          </w:p>
        </w:tc>
        <w:tc>
          <w:tcPr>
            <w:tcW w:w="1731"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2020年10月</w:t>
            </w:r>
          </w:p>
        </w:tc>
        <w:tc>
          <w:tcPr>
            <w:tcW w:w="160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施工许可证</w:t>
            </w:r>
          </w:p>
        </w:tc>
        <w:tc>
          <w:tcPr>
            <w:tcW w:w="4031" w:type="dxa"/>
            <w:vAlign w:val="center"/>
          </w:tcPr>
          <w:p>
            <w:pPr>
              <w:rPr>
                <w:rFonts w:ascii="Arial" w:hAnsi="Arial" w:cs="Arial"/>
                <w:color w:val="000000"/>
                <w:sz w:val="18"/>
                <w:szCs w:val="18"/>
              </w:rPr>
            </w:pPr>
            <w:r>
              <w:rPr>
                <w:rFonts w:hint="eastAsia" w:ascii="Arial" w:hAnsi="Arial" w:cs="Arial"/>
                <w:color w:val="000000"/>
                <w:sz w:val="18"/>
                <w:szCs w:val="18"/>
              </w:rPr>
              <w:t>1.2020年09月10日（宜宾市天柏组团中坝片区站前广场ZB07-01地块</w:t>
            </w:r>
          </w:p>
          <w:p>
            <w:pPr>
              <w:rPr>
                <w:rFonts w:ascii="Arial" w:hAnsi="Arial" w:cs="Arial"/>
                <w:color w:val="000000"/>
                <w:sz w:val="18"/>
                <w:szCs w:val="18"/>
              </w:rPr>
            </w:pPr>
            <w:r>
              <w:rPr>
                <w:rFonts w:hint="eastAsia" w:ascii="Arial" w:hAnsi="Arial" w:cs="Arial"/>
                <w:color w:val="000000"/>
                <w:sz w:val="18"/>
                <w:szCs w:val="18"/>
              </w:rPr>
              <w:t>云锦一期一批次1#、2#、3#、4#、1#门卫及电商服务，2#门卫及地下室）；</w:t>
            </w:r>
          </w:p>
          <w:p>
            <w:pPr>
              <w:rPr>
                <w:rFonts w:ascii="Arial" w:hAnsi="Arial" w:cs="Arial"/>
                <w:color w:val="000000"/>
                <w:sz w:val="18"/>
                <w:szCs w:val="18"/>
              </w:rPr>
            </w:pPr>
            <w:r>
              <w:rPr>
                <w:rFonts w:hint="eastAsia" w:ascii="Arial" w:hAnsi="Arial" w:cs="Arial"/>
                <w:color w:val="000000"/>
                <w:sz w:val="18"/>
                <w:szCs w:val="18"/>
              </w:rPr>
              <w:t>2.2020年12月18日（宜宾市天柏组团中坝片区站前广场ZB07-01地块云锦一期二批次5#、6#、7#、地下室）</w:t>
            </w:r>
          </w:p>
        </w:tc>
        <w:tc>
          <w:tcPr>
            <w:tcW w:w="1292"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7</w:t>
            </w:r>
          </w:p>
        </w:tc>
        <w:tc>
          <w:tcPr>
            <w:tcW w:w="1731"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2020年8月</w:t>
            </w:r>
          </w:p>
        </w:tc>
        <w:tc>
          <w:tcPr>
            <w:tcW w:w="1609"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开工</w:t>
            </w:r>
          </w:p>
        </w:tc>
        <w:tc>
          <w:tcPr>
            <w:tcW w:w="4031" w:type="dxa"/>
            <w:vAlign w:val="center"/>
          </w:tcPr>
          <w:p>
            <w:pPr>
              <w:rPr>
                <w:rFonts w:ascii="Arial" w:hAnsi="Arial" w:cs="Arial"/>
                <w:color w:val="000000"/>
                <w:sz w:val="18"/>
                <w:szCs w:val="18"/>
              </w:rPr>
            </w:pPr>
            <w:r>
              <w:rPr>
                <w:rFonts w:hint="eastAsia" w:ascii="Arial" w:hAnsi="Arial" w:cs="Arial"/>
                <w:color w:val="000000"/>
                <w:sz w:val="18"/>
                <w:szCs w:val="18"/>
              </w:rPr>
              <w:t>2020年8月</w:t>
            </w:r>
          </w:p>
        </w:tc>
        <w:tc>
          <w:tcPr>
            <w:tcW w:w="1292" w:type="dxa"/>
            <w:vAlign w:val="center"/>
          </w:tcPr>
          <w:p>
            <w:pPr>
              <w:spacing w:line="360" w:lineRule="auto"/>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8</w:t>
            </w:r>
          </w:p>
        </w:tc>
        <w:tc>
          <w:tcPr>
            <w:tcW w:w="1731"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2020年11月</w:t>
            </w:r>
          </w:p>
        </w:tc>
        <w:tc>
          <w:tcPr>
            <w:tcW w:w="1609"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达到预售条件</w:t>
            </w:r>
          </w:p>
        </w:tc>
        <w:tc>
          <w:tcPr>
            <w:tcW w:w="4031" w:type="dxa"/>
            <w:vAlign w:val="center"/>
          </w:tcPr>
          <w:p>
            <w:pPr>
              <w:rPr>
                <w:rFonts w:ascii="Arial" w:hAnsi="Arial" w:cs="Arial"/>
                <w:color w:val="000000"/>
                <w:sz w:val="18"/>
                <w:szCs w:val="18"/>
              </w:rPr>
            </w:pPr>
            <w:r>
              <w:rPr>
                <w:rFonts w:hint="eastAsia" w:ascii="Arial" w:hAnsi="Arial" w:cs="Arial"/>
                <w:color w:val="000000"/>
                <w:sz w:val="18"/>
                <w:szCs w:val="18"/>
              </w:rPr>
              <w:t>2020年11月10日</w:t>
            </w:r>
          </w:p>
        </w:tc>
        <w:tc>
          <w:tcPr>
            <w:tcW w:w="1292" w:type="dxa"/>
            <w:vAlign w:val="center"/>
          </w:tcPr>
          <w:p>
            <w:pPr>
              <w:spacing w:line="360" w:lineRule="auto"/>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9</w:t>
            </w:r>
          </w:p>
        </w:tc>
        <w:tc>
          <w:tcPr>
            <w:tcW w:w="1731"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2020年12月</w:t>
            </w:r>
          </w:p>
        </w:tc>
        <w:tc>
          <w:tcPr>
            <w:tcW w:w="160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首期预售证</w:t>
            </w:r>
          </w:p>
        </w:tc>
        <w:tc>
          <w:tcPr>
            <w:tcW w:w="4031" w:type="dxa"/>
            <w:vAlign w:val="center"/>
          </w:tcPr>
          <w:p>
            <w:pPr>
              <w:rPr>
                <w:rFonts w:ascii="Arial" w:hAnsi="Arial" w:cs="Arial"/>
                <w:color w:val="000000"/>
                <w:sz w:val="18"/>
                <w:szCs w:val="18"/>
              </w:rPr>
            </w:pPr>
            <w:r>
              <w:rPr>
                <w:rFonts w:hint="eastAsia" w:ascii="Arial" w:hAnsi="Arial" w:cs="Arial"/>
                <w:color w:val="000000"/>
                <w:sz w:val="18"/>
                <w:szCs w:val="18"/>
              </w:rPr>
              <w:t>1.2020年11月10日（宜宾市翠屏区天柏组团ZB07-01地块云锦一期）云锦一期1#楼；</w:t>
            </w:r>
          </w:p>
          <w:p>
            <w:pPr>
              <w:rPr>
                <w:rFonts w:ascii="Arial" w:hAnsi="Arial" w:cs="Arial"/>
                <w:color w:val="000000"/>
                <w:sz w:val="18"/>
                <w:szCs w:val="18"/>
              </w:rPr>
            </w:pPr>
            <w:r>
              <w:rPr>
                <w:rFonts w:hint="eastAsia" w:ascii="Arial" w:hAnsi="Arial" w:cs="Arial"/>
                <w:color w:val="000000"/>
                <w:sz w:val="18"/>
                <w:szCs w:val="18"/>
              </w:rPr>
              <w:t>2.2020年12月31日（宜宾市翠屏区天柏组团ZB07-01地块云锦一期）云锦一期2#楼；</w:t>
            </w:r>
          </w:p>
          <w:p>
            <w:pPr>
              <w:rPr>
                <w:rFonts w:ascii="Arial" w:hAnsi="Arial" w:cs="Arial"/>
                <w:color w:val="000000"/>
                <w:sz w:val="18"/>
                <w:szCs w:val="18"/>
              </w:rPr>
            </w:pPr>
            <w:r>
              <w:rPr>
                <w:rFonts w:hint="eastAsia" w:ascii="Arial" w:hAnsi="Arial" w:cs="Arial"/>
                <w:color w:val="000000"/>
                <w:sz w:val="18"/>
                <w:szCs w:val="18"/>
              </w:rPr>
              <w:t>3.2020年11年10日（宜宾市翠屏区天柏组团ZB07-01地块云锦一期）云锦一期3#楼；</w:t>
            </w:r>
          </w:p>
        </w:tc>
        <w:tc>
          <w:tcPr>
            <w:tcW w:w="1292"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10</w:t>
            </w:r>
          </w:p>
        </w:tc>
        <w:tc>
          <w:tcPr>
            <w:tcW w:w="1731"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2020年12月</w:t>
            </w:r>
          </w:p>
        </w:tc>
        <w:tc>
          <w:tcPr>
            <w:tcW w:w="1609"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开盘</w:t>
            </w:r>
          </w:p>
        </w:tc>
        <w:tc>
          <w:tcPr>
            <w:tcW w:w="4031" w:type="dxa"/>
            <w:vAlign w:val="center"/>
          </w:tcPr>
          <w:p>
            <w:pPr>
              <w:rPr>
                <w:rFonts w:ascii="Arial" w:hAnsi="Arial" w:cs="Arial"/>
                <w:color w:val="000000"/>
                <w:sz w:val="18"/>
                <w:szCs w:val="18"/>
              </w:rPr>
            </w:pPr>
            <w:r>
              <w:rPr>
                <w:rFonts w:hint="eastAsia" w:ascii="Arial" w:hAnsi="Arial" w:cs="Arial"/>
                <w:color w:val="000000"/>
                <w:sz w:val="18"/>
                <w:szCs w:val="18"/>
              </w:rPr>
              <w:t>2020年10月17日</w:t>
            </w:r>
          </w:p>
        </w:tc>
        <w:tc>
          <w:tcPr>
            <w:tcW w:w="1292" w:type="dxa"/>
            <w:vAlign w:val="center"/>
          </w:tcPr>
          <w:p>
            <w:pPr>
              <w:spacing w:line="360" w:lineRule="auto"/>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11</w:t>
            </w:r>
          </w:p>
        </w:tc>
        <w:tc>
          <w:tcPr>
            <w:tcW w:w="1731"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2021年6月（首批次），2023年3月（最后批次）</w:t>
            </w:r>
          </w:p>
        </w:tc>
        <w:tc>
          <w:tcPr>
            <w:tcW w:w="160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结构封顶</w:t>
            </w:r>
          </w:p>
        </w:tc>
        <w:tc>
          <w:tcPr>
            <w:tcW w:w="4031" w:type="dxa"/>
            <w:vAlign w:val="center"/>
          </w:tcPr>
          <w:p>
            <w:pPr>
              <w:rPr>
                <w:rFonts w:ascii="Arial" w:hAnsi="Arial" w:cs="Arial"/>
                <w:color w:val="000000"/>
                <w:sz w:val="18"/>
                <w:szCs w:val="18"/>
              </w:rPr>
            </w:pPr>
            <w:r>
              <w:rPr>
                <w:rFonts w:hint="eastAsia" w:ascii="Arial" w:hAnsi="Arial" w:cs="Arial"/>
                <w:color w:val="000000"/>
                <w:sz w:val="18"/>
                <w:szCs w:val="18"/>
              </w:rPr>
              <w:t>实际工程进度：云锦一期：1#楼14层底板施工；2#楼15层墙柱施工；3#楼10层底板施工；4#楼10层底板施工；5#楼14层底板施工；6#楼11层底板施工；7#楼4层底板施工；中庭地库顶板封闭完成30%，基础完成80%，负一层完成钢筋模板完成50%。云锦二期和云锦三期暂无进度。</w:t>
            </w:r>
          </w:p>
        </w:tc>
        <w:tc>
          <w:tcPr>
            <w:tcW w:w="1292" w:type="dxa"/>
            <w:vAlign w:val="center"/>
          </w:tcPr>
          <w:p>
            <w:pPr>
              <w:jc w:val="both"/>
              <w:rPr>
                <w:rFonts w:ascii="Arial" w:hAnsi="Arial" w:cs="Arial"/>
                <w:color w:val="000000"/>
                <w:sz w:val="18"/>
                <w:szCs w:val="18"/>
              </w:rPr>
            </w:pPr>
            <w:r>
              <w:rPr>
                <w:rFonts w:hint="eastAsia" w:ascii="Arial" w:hAnsi="Arial" w:cs="Arial"/>
                <w:color w:val="000000"/>
                <w:sz w:val="18"/>
                <w:szCs w:val="18"/>
              </w:rPr>
              <w:t>工程实际进度比尽调中经营计划延迟，主要原因是疫情、工程款支付延迟导致工程进度缓慢，项目公司的今年计划：云锦一期所有主体楼栋全部封顶，云锦二期代建广场园林绿化部分施工，云锦三期报规完成。</w:t>
            </w:r>
          </w:p>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12</w:t>
            </w:r>
          </w:p>
        </w:tc>
        <w:tc>
          <w:tcPr>
            <w:tcW w:w="1731"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2022年10月（首批次），2023年12月（最后批次）</w:t>
            </w:r>
          </w:p>
        </w:tc>
        <w:tc>
          <w:tcPr>
            <w:tcW w:w="160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竣工备案证</w:t>
            </w:r>
          </w:p>
        </w:tc>
        <w:tc>
          <w:tcPr>
            <w:tcW w:w="4031" w:type="dxa"/>
            <w:vAlign w:val="center"/>
          </w:tcPr>
          <w:p>
            <w:pPr>
              <w:rPr>
                <w:rFonts w:ascii="Arial" w:hAnsi="Arial" w:cs="Arial"/>
                <w:color w:val="000000"/>
                <w:sz w:val="18"/>
                <w:szCs w:val="18"/>
              </w:rPr>
            </w:pPr>
          </w:p>
        </w:tc>
        <w:tc>
          <w:tcPr>
            <w:tcW w:w="1292"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13</w:t>
            </w:r>
          </w:p>
        </w:tc>
        <w:tc>
          <w:tcPr>
            <w:tcW w:w="1731"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2022年12月（首批次），2024年6月（最后批次）</w:t>
            </w:r>
          </w:p>
        </w:tc>
        <w:tc>
          <w:tcPr>
            <w:tcW w:w="160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交付证</w:t>
            </w:r>
          </w:p>
        </w:tc>
        <w:tc>
          <w:tcPr>
            <w:tcW w:w="4031" w:type="dxa"/>
            <w:vAlign w:val="center"/>
          </w:tcPr>
          <w:p>
            <w:pPr>
              <w:rPr>
                <w:rFonts w:ascii="Arial" w:hAnsi="Arial" w:cs="Arial"/>
                <w:color w:val="000000"/>
                <w:sz w:val="18"/>
                <w:szCs w:val="18"/>
              </w:rPr>
            </w:pPr>
          </w:p>
        </w:tc>
        <w:tc>
          <w:tcPr>
            <w:tcW w:w="1292" w:type="dxa"/>
            <w:vAlign w:val="center"/>
          </w:tcPr>
          <w:p>
            <w:pPr>
              <w:jc w:val="center"/>
              <w:textAlignment w:val="center"/>
              <w:rPr>
                <w:rFonts w:ascii="Arial" w:hAnsi="Arial" w:cs="Arial"/>
                <w:color w:val="000000"/>
                <w:sz w:val="18"/>
                <w:szCs w:val="18"/>
                <w:lang w:bidi="ar"/>
              </w:rPr>
            </w:pPr>
          </w:p>
        </w:tc>
      </w:tr>
    </w:tbl>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3.2对赌节点达成情况</w:t>
      </w:r>
    </w:p>
    <w:tbl>
      <w:tblPr>
        <w:tblStyle w:val="19"/>
        <w:tblW w:w="93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510"/>
        <w:gridCol w:w="2370"/>
        <w:gridCol w:w="2310"/>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blHeader/>
        </w:trPr>
        <w:tc>
          <w:tcPr>
            <w:tcW w:w="846" w:type="dxa"/>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序号</w:t>
            </w:r>
          </w:p>
        </w:tc>
        <w:tc>
          <w:tcPr>
            <w:tcW w:w="2510" w:type="dxa"/>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时间节点</w:t>
            </w:r>
          </w:p>
        </w:tc>
        <w:tc>
          <w:tcPr>
            <w:tcW w:w="2370" w:type="dxa"/>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对赌要求</w:t>
            </w:r>
          </w:p>
        </w:tc>
        <w:tc>
          <w:tcPr>
            <w:tcW w:w="2310" w:type="dxa"/>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实际达成情况</w:t>
            </w:r>
          </w:p>
        </w:tc>
        <w:tc>
          <w:tcPr>
            <w:tcW w:w="1271" w:type="dxa"/>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应对方案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仿宋" w:hAnsi="仿宋" w:eastAsia="仿宋" w:cs="宋体"/>
                <w:b/>
                <w:bCs/>
                <w:sz w:val="28"/>
                <w:szCs w:val="28"/>
              </w:rPr>
            </w:pPr>
            <w:r>
              <w:rPr>
                <w:rFonts w:hint="eastAsia" w:ascii="Arial" w:hAnsi="Arial" w:cs="Arial"/>
                <w:sz w:val="18"/>
                <w:szCs w:val="18"/>
              </w:rPr>
              <w:t>1</w:t>
            </w:r>
          </w:p>
        </w:tc>
        <w:tc>
          <w:tcPr>
            <w:tcW w:w="2510" w:type="dxa"/>
            <w:vAlign w:val="center"/>
          </w:tcPr>
          <w:p>
            <w:pPr>
              <w:jc w:val="center"/>
              <w:textAlignment w:val="center"/>
              <w:rPr>
                <w:rFonts w:ascii="宋体" w:hAnsi="宋体" w:cs="宋体"/>
                <w:sz w:val="18"/>
                <w:szCs w:val="18"/>
              </w:rPr>
            </w:pPr>
            <w:r>
              <w:rPr>
                <w:rFonts w:hint="eastAsia" w:ascii="Arial" w:hAnsi="Arial" w:cs="Arial"/>
                <w:color w:val="000000"/>
                <w:sz w:val="18"/>
                <w:szCs w:val="18"/>
                <w:lang w:bidi="ar"/>
              </w:rPr>
              <w:t>2020年10月30日</w:t>
            </w:r>
          </w:p>
        </w:tc>
        <w:tc>
          <w:tcPr>
            <w:tcW w:w="237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lang w:bidi="ar"/>
              </w:rPr>
              <w:t>取得首期四证</w:t>
            </w:r>
          </w:p>
        </w:tc>
        <w:tc>
          <w:tcPr>
            <w:tcW w:w="231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lang w:bidi="ar"/>
              </w:rPr>
              <w:t>已完成</w:t>
            </w:r>
          </w:p>
        </w:tc>
        <w:tc>
          <w:tcPr>
            <w:tcW w:w="1271" w:type="dxa"/>
          </w:tcPr>
          <w:p>
            <w:pPr>
              <w:spacing w:line="360" w:lineRule="auto"/>
              <w:jc w:val="center"/>
              <w:rPr>
                <w:rFonts w:ascii="仿宋" w:hAnsi="仿宋" w:eastAsia="仿宋"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tabs>
                <w:tab w:val="left" w:pos="301"/>
              </w:tabs>
              <w:spacing w:line="360" w:lineRule="auto"/>
              <w:rPr>
                <w:rFonts w:ascii="仿宋" w:hAnsi="仿宋" w:eastAsia="仿宋" w:cs="宋体"/>
                <w:b/>
                <w:bCs/>
                <w:sz w:val="28"/>
                <w:szCs w:val="28"/>
              </w:rPr>
            </w:pPr>
            <w:r>
              <w:rPr>
                <w:rFonts w:hint="eastAsia" w:ascii="Arial" w:hAnsi="Arial" w:cs="Arial"/>
                <w:sz w:val="18"/>
                <w:szCs w:val="18"/>
              </w:rPr>
              <w:tab/>
            </w:r>
            <w:r>
              <w:rPr>
                <w:rFonts w:hint="eastAsia" w:ascii="Arial" w:hAnsi="Arial" w:cs="Arial"/>
                <w:sz w:val="18"/>
                <w:szCs w:val="18"/>
              </w:rPr>
              <w:t>2</w:t>
            </w:r>
          </w:p>
        </w:tc>
        <w:tc>
          <w:tcPr>
            <w:tcW w:w="251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lang w:bidi="ar"/>
              </w:rPr>
              <w:t>2020年11月10日</w:t>
            </w:r>
          </w:p>
        </w:tc>
        <w:tc>
          <w:tcPr>
            <w:tcW w:w="237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lang w:bidi="ar"/>
              </w:rPr>
              <w:t>达到首期预售形象进度</w:t>
            </w:r>
          </w:p>
        </w:tc>
        <w:tc>
          <w:tcPr>
            <w:tcW w:w="2310" w:type="dxa"/>
            <w:vAlign w:val="center"/>
          </w:tcPr>
          <w:p>
            <w:pPr>
              <w:jc w:val="center"/>
              <w:textAlignment w:val="center"/>
              <w:rPr>
                <w:rFonts w:ascii="宋体" w:hAnsi="宋体" w:cs="宋体"/>
                <w:sz w:val="18"/>
                <w:szCs w:val="18"/>
              </w:rPr>
            </w:pPr>
            <w:r>
              <w:rPr>
                <w:rFonts w:hint="eastAsia" w:ascii="Arial" w:hAnsi="Arial" w:cs="Arial"/>
                <w:color w:val="000000"/>
                <w:sz w:val="18"/>
                <w:szCs w:val="18"/>
                <w:lang w:bidi="ar"/>
              </w:rPr>
              <w:t>已完成</w:t>
            </w:r>
          </w:p>
        </w:tc>
        <w:tc>
          <w:tcPr>
            <w:tcW w:w="1271" w:type="dxa"/>
          </w:tcPr>
          <w:p>
            <w:pPr>
              <w:spacing w:line="360" w:lineRule="auto"/>
              <w:rPr>
                <w:rFonts w:ascii="仿宋" w:hAnsi="仿宋" w:eastAsia="仿宋"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仿宋" w:hAnsi="仿宋" w:eastAsia="仿宋" w:cs="宋体"/>
                <w:b/>
                <w:bCs/>
                <w:sz w:val="28"/>
                <w:szCs w:val="28"/>
              </w:rPr>
            </w:pPr>
            <w:r>
              <w:rPr>
                <w:rFonts w:hint="eastAsia" w:ascii="Arial" w:hAnsi="Arial" w:cs="Arial"/>
                <w:sz w:val="18"/>
                <w:szCs w:val="18"/>
              </w:rPr>
              <w:t>3</w:t>
            </w:r>
          </w:p>
        </w:tc>
        <w:tc>
          <w:tcPr>
            <w:tcW w:w="251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lang w:bidi="ar"/>
              </w:rPr>
              <w:t>2020年12月20日</w:t>
            </w:r>
          </w:p>
        </w:tc>
        <w:tc>
          <w:tcPr>
            <w:tcW w:w="237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lang w:bidi="ar"/>
              </w:rPr>
              <w:t>取得首期预售许可证</w:t>
            </w:r>
          </w:p>
        </w:tc>
        <w:tc>
          <w:tcPr>
            <w:tcW w:w="2310" w:type="dxa"/>
            <w:vAlign w:val="center"/>
          </w:tcPr>
          <w:p>
            <w:pPr>
              <w:jc w:val="center"/>
              <w:textAlignment w:val="center"/>
              <w:rPr>
                <w:rFonts w:ascii="宋体" w:hAnsi="宋体" w:cs="宋体"/>
                <w:sz w:val="18"/>
                <w:szCs w:val="18"/>
              </w:rPr>
            </w:pPr>
            <w:r>
              <w:rPr>
                <w:rFonts w:hint="eastAsia" w:ascii="Arial" w:hAnsi="Arial" w:cs="Arial"/>
                <w:color w:val="000000"/>
                <w:sz w:val="18"/>
                <w:szCs w:val="18"/>
                <w:lang w:bidi="ar"/>
              </w:rPr>
              <w:t>已取得商品房预售许可证（ZB07-01地块云锦一期1#楼、2#楼和3#楼）</w:t>
            </w:r>
          </w:p>
        </w:tc>
        <w:tc>
          <w:tcPr>
            <w:tcW w:w="1271" w:type="dxa"/>
          </w:tcPr>
          <w:p>
            <w:pPr>
              <w:spacing w:line="360" w:lineRule="auto"/>
              <w:rPr>
                <w:rFonts w:ascii="仿宋" w:hAnsi="仿宋" w:eastAsia="仿宋"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仿宋" w:hAnsi="仿宋" w:eastAsia="仿宋" w:cs="宋体"/>
                <w:b/>
                <w:bCs/>
                <w:sz w:val="28"/>
                <w:szCs w:val="28"/>
              </w:rPr>
            </w:pPr>
            <w:r>
              <w:rPr>
                <w:rFonts w:hint="eastAsia" w:ascii="Arial" w:hAnsi="Arial" w:cs="Arial"/>
                <w:sz w:val="18"/>
                <w:szCs w:val="18"/>
              </w:rPr>
              <w:t>4</w:t>
            </w:r>
          </w:p>
        </w:tc>
        <w:tc>
          <w:tcPr>
            <w:tcW w:w="25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2021年12月31日</w:t>
            </w:r>
          </w:p>
        </w:tc>
        <w:tc>
          <w:tcPr>
            <w:tcW w:w="237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lang w:bidi="ar"/>
              </w:rPr>
              <w:t>首期主体结构封顶</w:t>
            </w:r>
          </w:p>
        </w:tc>
        <w:tc>
          <w:tcPr>
            <w:tcW w:w="2310" w:type="dxa"/>
            <w:vAlign w:val="center"/>
          </w:tcPr>
          <w:p>
            <w:pPr>
              <w:jc w:val="center"/>
              <w:textAlignment w:val="center"/>
              <w:rPr>
                <w:rFonts w:ascii="宋体" w:hAnsi="宋体" w:cs="宋体"/>
                <w:sz w:val="18"/>
                <w:szCs w:val="18"/>
              </w:rPr>
            </w:pPr>
          </w:p>
        </w:tc>
        <w:tc>
          <w:tcPr>
            <w:tcW w:w="1271" w:type="dxa"/>
          </w:tcPr>
          <w:p>
            <w:pPr>
              <w:spacing w:line="360" w:lineRule="auto"/>
              <w:rPr>
                <w:rFonts w:ascii="仿宋" w:hAnsi="仿宋" w:eastAsia="仿宋"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仿宋" w:hAnsi="仿宋" w:eastAsia="仿宋" w:cs="宋体"/>
                <w:b/>
                <w:bCs/>
                <w:sz w:val="28"/>
                <w:szCs w:val="28"/>
              </w:rPr>
            </w:pPr>
            <w:r>
              <w:rPr>
                <w:rFonts w:hint="eastAsia" w:ascii="Arial" w:hAnsi="Arial" w:cs="Arial"/>
                <w:sz w:val="18"/>
                <w:szCs w:val="18"/>
              </w:rPr>
              <w:t>5</w:t>
            </w:r>
          </w:p>
        </w:tc>
        <w:tc>
          <w:tcPr>
            <w:tcW w:w="25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信托计划存续满12个月</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（2022年4月1日）</w:t>
            </w:r>
          </w:p>
        </w:tc>
        <w:tc>
          <w:tcPr>
            <w:tcW w:w="237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lang w:bidi="ar"/>
              </w:rPr>
              <w:t>全盘住宅销售去化30%</w:t>
            </w:r>
          </w:p>
        </w:tc>
        <w:tc>
          <w:tcPr>
            <w:tcW w:w="2310" w:type="dxa"/>
            <w:vAlign w:val="center"/>
          </w:tcPr>
          <w:p>
            <w:pPr>
              <w:jc w:val="center"/>
              <w:textAlignment w:val="center"/>
              <w:rPr>
                <w:rFonts w:ascii="宋体" w:hAnsi="宋体" w:cs="宋体"/>
                <w:sz w:val="18"/>
                <w:szCs w:val="18"/>
              </w:rPr>
            </w:pPr>
          </w:p>
        </w:tc>
        <w:tc>
          <w:tcPr>
            <w:tcW w:w="1271" w:type="dxa"/>
          </w:tcPr>
          <w:p>
            <w:pPr>
              <w:spacing w:line="360" w:lineRule="auto"/>
              <w:rPr>
                <w:rFonts w:ascii="仿宋" w:hAnsi="仿宋" w:eastAsia="仿宋"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仿宋" w:hAnsi="仿宋" w:eastAsia="仿宋" w:cs="宋体"/>
                <w:b/>
                <w:bCs/>
                <w:sz w:val="28"/>
                <w:szCs w:val="28"/>
              </w:rPr>
            </w:pPr>
            <w:r>
              <w:rPr>
                <w:rFonts w:hint="eastAsia" w:ascii="Arial" w:hAnsi="Arial" w:cs="Arial"/>
                <w:sz w:val="18"/>
                <w:szCs w:val="18"/>
              </w:rPr>
              <w:t>6</w:t>
            </w:r>
          </w:p>
        </w:tc>
        <w:tc>
          <w:tcPr>
            <w:tcW w:w="25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信托计划存续满18个月</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（2022年10月1日）</w:t>
            </w:r>
          </w:p>
        </w:tc>
        <w:tc>
          <w:tcPr>
            <w:tcW w:w="237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lang w:bidi="ar"/>
              </w:rPr>
              <w:t>全盘住宅销售去化60%</w:t>
            </w:r>
          </w:p>
        </w:tc>
        <w:tc>
          <w:tcPr>
            <w:tcW w:w="2310" w:type="dxa"/>
            <w:vAlign w:val="center"/>
          </w:tcPr>
          <w:p>
            <w:pPr>
              <w:jc w:val="center"/>
              <w:textAlignment w:val="center"/>
              <w:rPr>
                <w:rFonts w:ascii="宋体" w:hAnsi="宋体" w:cs="宋体"/>
                <w:sz w:val="18"/>
                <w:szCs w:val="18"/>
              </w:rPr>
            </w:pPr>
          </w:p>
        </w:tc>
        <w:tc>
          <w:tcPr>
            <w:tcW w:w="1271" w:type="dxa"/>
          </w:tcPr>
          <w:p>
            <w:pPr>
              <w:spacing w:line="360" w:lineRule="auto"/>
              <w:rPr>
                <w:rFonts w:ascii="仿宋" w:hAnsi="仿宋" w:eastAsia="仿宋" w:cs="宋体"/>
                <w:b/>
                <w:bCs/>
                <w:sz w:val="28"/>
                <w:szCs w:val="28"/>
              </w:rPr>
            </w:pPr>
          </w:p>
        </w:tc>
      </w:tr>
    </w:tbl>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（4）其他增信或风控措施落实</w:t>
      </w:r>
      <w:bookmarkEnd w:id="4"/>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无。</w:t>
      </w:r>
    </w:p>
    <w:p>
      <w:pPr>
        <w:widowControl w:val="0"/>
        <w:spacing w:line="480" w:lineRule="auto"/>
        <w:ind w:firstLine="420" w:firstLineChars="200"/>
        <w:jc w:val="both"/>
        <w:rPr>
          <w:rFonts w:ascii="Arial" w:hAnsi="Arial" w:cs="Arial"/>
          <w:kern w:val="44"/>
          <w:sz w:val="21"/>
          <w:szCs w:val="21"/>
        </w:rPr>
      </w:pPr>
      <w:bookmarkStart w:id="5" w:name="_Toc18879"/>
      <w:r>
        <w:rPr>
          <w:rFonts w:hint="eastAsia" w:ascii="Arial" w:hAnsi="Arial" w:cs="Arial"/>
          <w:kern w:val="44"/>
          <w:sz w:val="21"/>
          <w:szCs w:val="21"/>
        </w:rPr>
        <w:t>（5）销售情况</w:t>
      </w:r>
      <w:bookmarkEnd w:id="5"/>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本月收到销售回款26,341,404.91元，开盘609 套房源，已售356套，合同总价为301,358,715.00元，销售回款为304,893,611.55元(销售回款说明：1.减去进场后已知退房款；2.最终数字含诚意金等收款）。</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（6）四证审批：本月提交云锦一期6#楼预售许可证申请资料。</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（7）工程进度：首批推盘区最高施工至15层。</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（8）资金收支：</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SPV公司本月流入17,884,795.92元，其中宜宾骏继洪骥置业有限责任公司投入17,850,000.00元，存现240.00元，结息34,555.92元；本周流出28,215,197.10元，其中常州世茂房地产有限公司分配28,195,000.00元（其中：17,850,000.00元按比例7:3分配30%即5,355,000.00元给常州世茂；常州世茂向SPV公司借款22,840,000.00元，均已通过中航决策审批），财务费用1,072.10元，税费19,125.00元；SPV所有账户余额11,003.55元，其中受限资金0元。</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公司本月流入54,729,486.63元，其中销售回款26,341,404.91元，通过宜宾佳鑫建筑工程有限责任公司盘活预售资金回款28,000,000.00元，宜宾市住房公积金管理中心公积金贷款保证金缴款有误退回24,000.00元，结息364,081.72元；本月流出76,243,752.31元，其中开发费用279,290.00元，建安费用11,077,773.97元，营建成本26,000.00元，管理费用355,716.29元，营销费用387,092.28元，财务费用984.00元，税费908,895.77元，退房款40,000.00元，公积金贷款保证金168,000.00元，宜宾佳鑫建筑工程有限责任公司盘活预售资金出28,000,000.00元，成都金座置业有限公司分配17</w:t>
      </w:r>
      <w:r>
        <w:rPr>
          <w:rFonts w:ascii="Arial" w:hAnsi="Arial" w:cs="Arial"/>
          <w:kern w:val="44"/>
          <w:sz w:val="21"/>
          <w:szCs w:val="21"/>
        </w:rPr>
        <w:t>,</w:t>
      </w:r>
      <w:r>
        <w:rPr>
          <w:rFonts w:hint="eastAsia" w:ascii="Arial" w:hAnsi="Arial" w:cs="Arial"/>
          <w:kern w:val="44"/>
          <w:sz w:val="21"/>
          <w:szCs w:val="21"/>
        </w:rPr>
        <w:t>150</w:t>
      </w:r>
      <w:r>
        <w:rPr>
          <w:rFonts w:ascii="Arial" w:hAnsi="Arial" w:cs="Arial"/>
          <w:kern w:val="44"/>
          <w:sz w:val="21"/>
          <w:szCs w:val="21"/>
        </w:rPr>
        <w:t>,</w:t>
      </w:r>
      <w:r>
        <w:rPr>
          <w:rFonts w:hint="eastAsia" w:ascii="Arial" w:hAnsi="Arial" w:cs="Arial"/>
          <w:kern w:val="44"/>
          <w:sz w:val="21"/>
          <w:szCs w:val="21"/>
        </w:rPr>
        <w:t>000.00元，成都信茂涵置业有限公司分配17,850,000.00元；项目公司所有账户余额为87,120,250.16，其中受限资金78,765,892.72元。</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（9）成本合约</w:t>
      </w:r>
    </w:p>
    <w:p>
      <w:pPr>
        <w:pStyle w:val="2"/>
        <w:spacing w:line="360" w:lineRule="auto"/>
        <w:rPr>
          <w:rFonts w:ascii="Arial" w:hAnsi="Arial" w:cs="Arial"/>
          <w:kern w:val="44"/>
          <w:szCs w:val="21"/>
        </w:rPr>
      </w:pPr>
      <w:r>
        <w:rPr>
          <w:rFonts w:hint="eastAsia" w:ascii="Arial" w:hAnsi="Arial" w:cs="Arial"/>
          <w:kern w:val="44"/>
          <w:szCs w:val="21"/>
        </w:rPr>
        <w:t>本月签订开发成本类合同1份，开发成本累计合同金额(含无合同已发生成本)1,179,658,600.29元，占开发成本总预算的1,953,280,000.00元60.39%，开发成本累计支付867,039,692.75元，占开发成本总预算的44.39%。</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（10）项目开发贷及其他融资</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公司已提供三月份报表显示累计兑付的商业承兑汇票共计金额26,622,936.95元明细（为商业承兑汇票金额与保理金额），截至6月30日未兑付的商业承兑汇票总额为20,112,090.14元，项目公司提供的明细台账累计未兑付的商业承兑汇票金额为8,561,634.25元，保理金额为11,550,455.89元。</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（11）其他重大事件及存在的风险情况披露：</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1）项目公司未提供全部工程合同完整资料。</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2）2021年06月07日，开立SPV公司中信银行泸州分行营业部一般户，已交接最后一道复核盾。</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3）2021年06月11日，开立SPV公司成都农商银行高新支行一般户，已交接最后一道复核盾。</w:t>
      </w:r>
    </w:p>
    <w:p>
      <w:pPr>
        <w:pStyle w:val="2"/>
        <w:rPr>
          <w:rFonts w:ascii="Arial" w:hAnsi="Arial" w:cs="Arial"/>
          <w:kern w:val="44"/>
          <w:szCs w:val="21"/>
        </w:rPr>
        <w:sectPr>
          <w:footerReference r:id="rId6" w:type="default"/>
          <w:pgSz w:w="11906" w:h="16838"/>
          <w:pgMar w:top="1134" w:right="1134" w:bottom="1134" w:left="1134" w:header="851" w:footer="992" w:gutter="0"/>
          <w:pgNumType w:start="1"/>
          <w:cols w:space="425" w:num="1"/>
          <w:docGrid w:type="linesAndChars" w:linePitch="326" w:charSpace="0"/>
        </w:sectPr>
      </w:pPr>
    </w:p>
    <w:p>
      <w:pPr>
        <w:jc w:val="center"/>
        <w:rPr>
          <w:rFonts w:ascii="宋体" w:hAnsi="宋体" w:cs="宋体"/>
          <w:b/>
          <w:bCs/>
          <w:sz w:val="21"/>
          <w:szCs w:val="21"/>
        </w:rPr>
      </w:pPr>
      <w:bookmarkStart w:id="6" w:name="_Toc12000"/>
      <w:r>
        <w:rPr>
          <w:rFonts w:hint="eastAsia" w:ascii="宋体" w:hAnsi="宋体" w:cs="宋体"/>
          <w:b/>
          <w:bCs/>
          <w:sz w:val="21"/>
          <w:szCs w:val="21"/>
        </w:rPr>
        <w:t>中航信托•天启【2020】565号宜宾站前广场项目</w:t>
      </w:r>
      <w:bookmarkEnd w:id="6"/>
    </w:p>
    <w:p>
      <w:pPr>
        <w:jc w:val="center"/>
        <w:rPr>
          <w:rFonts w:ascii="宋体" w:hAnsi="宋体" w:cs="宋体"/>
          <w:b/>
          <w:bCs/>
          <w:sz w:val="21"/>
          <w:szCs w:val="21"/>
        </w:rPr>
      </w:pPr>
      <w:bookmarkStart w:id="7" w:name="_Toc32234"/>
      <w:r>
        <w:rPr>
          <w:rFonts w:hint="eastAsia" w:ascii="宋体" w:hAnsi="宋体" w:cs="宋体"/>
          <w:b/>
          <w:bCs/>
          <w:sz w:val="21"/>
          <w:szCs w:val="21"/>
        </w:rPr>
        <w:t>监管月报</w:t>
      </w:r>
      <w:bookmarkEnd w:id="7"/>
    </w:p>
    <w:p>
      <w:pPr>
        <w:pStyle w:val="3"/>
        <w:keepNext w:val="0"/>
        <w:keepLines w:val="0"/>
        <w:spacing w:before="300" w:after="300" w:line="360" w:lineRule="exact"/>
        <w:jc w:val="left"/>
        <w:rPr>
          <w:rFonts w:ascii="Arial" w:hAnsi="Arial" w:eastAsia="宋体" w:cs="Arial"/>
          <w:bCs/>
          <w:color w:val="000000"/>
          <w:sz w:val="24"/>
          <w:szCs w:val="24"/>
        </w:rPr>
      </w:pPr>
      <w:bookmarkStart w:id="8" w:name="_Toc30775"/>
      <w:bookmarkStart w:id="9" w:name="_Toc66115195"/>
      <w:bookmarkStart w:id="10" w:name="_Toc13609"/>
      <w:r>
        <w:rPr>
          <w:rFonts w:hint="eastAsia" w:ascii="Arial" w:hAnsi="Arial" w:eastAsia="宋体" w:cs="Arial"/>
          <w:bCs/>
          <w:color w:val="000000"/>
          <w:sz w:val="24"/>
          <w:szCs w:val="24"/>
        </w:rPr>
        <w:t>一、项目基本情况介绍</w:t>
      </w:r>
      <w:bookmarkEnd w:id="8"/>
      <w:bookmarkEnd w:id="9"/>
      <w:bookmarkEnd w:id="10"/>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1.项目公司即宜宾骏继洪骥置业有限责任公司由成都信茂涵置业有限公司与成都金座置业有限公司分别持股51%、49%。</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成都信茂涵置业有限公司成立于2018年09月13日，现法定代表人徐杨，注册资本30,000万元，注册地址为成都市成华区猛追湾横街99号29层2924号。唯一股东为成都世茂新城房地产开发有限公司。2019年7月30日，公司唯一股东变更为常州世茂房地产有限公司。公司100%股东为常州世茂，向上穿透世茂集团控有成都信茂涵100%股权。2021年1月27日，股东变更为常州世茂房地产有限公司和深圳航宜投资合伙企业（有限合伙），其中常州世茂房地产有限公司持股51%（对应注册资本为15,300.00万元），深圳航宜投资合伙企业（有限合伙）持股49%（对应注册资本为14,700.00万元）。</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成都金座置业有限公司成立于2010年11月24日，现法定代表人洪金界，注册资本10,000万元，注册地址为成都市武侯区临江西路1号1幢1单元锦江国际写字楼10楼。成都金座置业有限公司控股股东为洪金界，持股90%。</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2.标的项目现对外推广名“宜宾站前广场项目”，坐落于宜宾市翠屏区天柏组团ZB07-01地块、ZB07-04地块、ZB07-05地块、ZB07-06-02地块、ZB07-06-03地块、ZB07-08地块。紧邻宜宾火车站、西门汽车客运站，同时项目地块紧临金沙江，具有江景资源优势。项目紧邻城市主干道翠柏路，周边主次支路发达。周边交通、医疗及教育配套极为成熟。用地性质均为商业居住混合用地用地，总用地面积ZB07-01地块33671平方米、ZB07-04地块2782平方米、ZB07-05地块2971平方米、ZB07-06-02地块2807平方米、ZB07-06-03地块3187平方米、ZB07-08地块19430平方米，总规划建筑面积337967平方米，其中计容建筑面积249669平方米、不计容建筑面积88298平方米，容积率3.85，建筑密度20%，绿地率30%。高层204770㎡、LOFT 22804㎡、商业15200㎡、公共配套6894㎡。</w:t>
      </w:r>
    </w:p>
    <w:p>
      <w:r>
        <w:rPr>
          <w:rFonts w:hint="eastAsia" w:ascii="Arial" w:hAnsi="Arial" w:cs="Arial"/>
          <w:kern w:val="44"/>
          <w:sz w:val="21"/>
          <w:szCs w:val="21"/>
        </w:rPr>
        <w:br w:type="page"/>
      </w:r>
    </w:p>
    <w:tbl>
      <w:tblPr>
        <w:tblStyle w:val="18"/>
        <w:tblW w:w="6780" w:type="dxa"/>
        <w:jc w:val="center"/>
        <w:tblLayout w:type="fixed"/>
        <w:tblCellMar>
          <w:top w:w="0" w:type="dxa"/>
          <w:left w:w="0" w:type="dxa"/>
          <w:bottom w:w="0" w:type="dxa"/>
          <w:right w:w="0" w:type="dxa"/>
        </w:tblCellMar>
      </w:tblPr>
      <w:tblGrid>
        <w:gridCol w:w="1682"/>
        <w:gridCol w:w="1396"/>
        <w:gridCol w:w="2213"/>
        <w:gridCol w:w="1489"/>
      </w:tblGrid>
      <w:tr>
        <w:tblPrEx>
          <w:tblCellMar>
            <w:top w:w="0" w:type="dxa"/>
            <w:left w:w="0" w:type="dxa"/>
            <w:bottom w:w="0" w:type="dxa"/>
            <w:right w:w="0" w:type="dxa"/>
          </w:tblCellMar>
        </w:tblPrEx>
        <w:trPr>
          <w:trHeight w:val="270" w:hRule="atLeast"/>
          <w:jc w:val="center"/>
        </w:trPr>
        <w:tc>
          <w:tcPr>
            <w:tcW w:w="307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项目</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设计数值</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计量单位</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建设用地面积</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64,848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总建筑面积</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337,967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其中</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地上建筑面积</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249,669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地下建筑面积</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88,299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地上可售面积</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242,774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其中</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高层</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Arial" w:hAnsi="Arial" w:cs="Arial"/>
                <w:bCs/>
                <w:sz w:val="18"/>
                <w:szCs w:val="18"/>
                <w:lang w:bidi="ar"/>
              </w:rPr>
            </w:pPr>
            <w:r>
              <w:rPr>
                <w:rFonts w:hint="eastAsia" w:ascii="Arial" w:hAnsi="Arial" w:cs="Arial"/>
                <w:bCs/>
                <w:sz w:val="18"/>
                <w:szCs w:val="18"/>
                <w:lang w:bidi="ar"/>
              </w:rPr>
              <w:t>204,770</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LOFT</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Arial" w:hAnsi="Arial" w:cs="Arial"/>
                <w:bCs/>
                <w:sz w:val="18"/>
                <w:szCs w:val="18"/>
                <w:lang w:bidi="ar"/>
              </w:rPr>
            </w:pPr>
            <w:r>
              <w:rPr>
                <w:rFonts w:hint="eastAsia" w:ascii="Arial" w:hAnsi="Arial" w:cs="Arial"/>
                <w:bCs/>
                <w:sz w:val="18"/>
                <w:szCs w:val="18"/>
                <w:lang w:bidi="ar"/>
              </w:rPr>
              <w:t>22,804</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商业</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Arial" w:hAnsi="Arial" w:cs="Arial"/>
                <w:bCs/>
                <w:sz w:val="18"/>
                <w:szCs w:val="18"/>
                <w:lang w:bidi="ar"/>
              </w:rPr>
            </w:pPr>
            <w:r>
              <w:rPr>
                <w:rFonts w:hint="eastAsia" w:ascii="Arial" w:hAnsi="Arial" w:cs="Arial"/>
                <w:bCs/>
                <w:sz w:val="18"/>
                <w:szCs w:val="18"/>
                <w:lang w:bidi="ar"/>
              </w:rPr>
              <w:t>15,200</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公共配套</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Arial" w:hAnsi="Arial" w:cs="Arial"/>
                <w:bCs/>
                <w:sz w:val="18"/>
                <w:szCs w:val="18"/>
                <w:lang w:bidi="ar"/>
              </w:rPr>
            </w:pPr>
            <w:r>
              <w:rPr>
                <w:rFonts w:hint="eastAsia" w:ascii="Arial" w:hAnsi="Arial" w:cs="Arial"/>
                <w:bCs/>
                <w:sz w:val="18"/>
                <w:szCs w:val="18"/>
                <w:lang w:bidi="ar"/>
              </w:rPr>
              <w:t>6,894</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地下车库</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69,166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总计容建筑面积</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249,669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容积率</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3.85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建筑密度</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20%</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绿地率</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停车位</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1976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个</w:t>
            </w:r>
          </w:p>
        </w:tc>
      </w:tr>
    </w:tbl>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其中：一期占地约50亩，7栋高层建筑（≤100米），效果图及经济指标如下：</w:t>
      </w:r>
    </w:p>
    <w:p>
      <w:pPr>
        <w:pStyle w:val="2"/>
        <w:jc w:val="center"/>
        <w:rPr>
          <w:rFonts w:ascii="Times New Roman"/>
        </w:rPr>
      </w:pPr>
      <w:r>
        <w:rPr>
          <w:rFonts w:ascii="Times New Roman"/>
        </w:rPr>
        <w:drawing>
          <wp:inline distT="0" distB="0" distL="0" distR="0">
            <wp:extent cx="2781300" cy="3086100"/>
            <wp:effectExtent l="0" t="0" r="7620" b="7620"/>
            <wp:docPr id="14399" name="图片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 name="图片 14399"/>
                    <pic:cNvPicPr>
                      <a:picLocks noChangeAspect="1"/>
                    </pic:cNvPicPr>
                  </pic:nvPicPr>
                  <pic:blipFill>
                    <a:blip r:embed="rId9" cstate="print"/>
                    <a:stretch>
                      <a:fillRect/>
                    </a:stretch>
                  </pic:blipFill>
                  <pic:spPr>
                    <a:xfrm>
                      <a:off x="0" y="0"/>
                      <a:ext cx="2781300" cy="3086100"/>
                    </a:xfrm>
                    <a:prstGeom prst="rect">
                      <a:avLst/>
                    </a:prstGeom>
                  </pic:spPr>
                </pic:pic>
              </a:graphicData>
            </a:graphic>
          </wp:inline>
        </w:drawing>
      </w:r>
      <w:r>
        <w:rPr>
          <w:rFonts w:ascii="Times New Roman"/>
        </w:rPr>
        <w:drawing>
          <wp:inline distT="0" distB="0" distL="0" distR="0">
            <wp:extent cx="2362835" cy="3077210"/>
            <wp:effectExtent l="0" t="0" r="14605" b="127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0" cstate="print"/>
                    <a:stretch>
                      <a:fillRect/>
                    </a:stretch>
                  </pic:blipFill>
                  <pic:spPr>
                    <a:xfrm>
                      <a:off x="0" y="0"/>
                      <a:ext cx="2362835" cy="3077210"/>
                    </a:xfrm>
                    <a:prstGeom prst="rect">
                      <a:avLst/>
                    </a:prstGeom>
                  </pic:spPr>
                </pic:pic>
              </a:graphicData>
            </a:graphic>
          </wp:inline>
        </w:drawing>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项目处于老城区中坝片区，板块处于发展成熟阶段，在保证与竞品相同功能情况下控面积及总价，本项目一期户型设计为：高层户型面积在80-110㎡（三房为主）、LOFT户型面积在40-60㎡。</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注：（上述指标从尽调报告中获取）</w:t>
      </w:r>
    </w:p>
    <w:p>
      <w:pPr>
        <w:rPr>
          <w:rFonts w:ascii="Arial" w:hAnsi="Arial" w:cs="Arial"/>
          <w:bCs/>
          <w:color w:val="000000"/>
          <w:highlight w:val="green"/>
        </w:rPr>
      </w:pPr>
      <w:bookmarkStart w:id="11" w:name="_Toc20100"/>
      <w:bookmarkStart w:id="12" w:name="_Toc66115196"/>
      <w:bookmarkStart w:id="13" w:name="_Toc2240"/>
      <w:r>
        <w:rPr>
          <w:rFonts w:hint="eastAsia" w:ascii="Arial" w:hAnsi="Arial" w:cs="Arial"/>
          <w:bCs/>
          <w:color w:val="000000"/>
          <w:highlight w:val="green"/>
        </w:rPr>
        <w:br w:type="page"/>
      </w:r>
    </w:p>
    <w:p>
      <w:pPr>
        <w:pStyle w:val="3"/>
        <w:keepNext w:val="0"/>
        <w:keepLines w:val="0"/>
        <w:spacing w:before="300" w:after="300" w:line="360" w:lineRule="exact"/>
        <w:jc w:val="left"/>
        <w:rPr>
          <w:rFonts w:ascii="Arial" w:hAnsi="Arial" w:eastAsia="宋体" w:cs="Arial"/>
          <w:bCs/>
          <w:color w:val="000000"/>
          <w:sz w:val="24"/>
          <w:szCs w:val="24"/>
        </w:rPr>
      </w:pPr>
      <w:r>
        <w:rPr>
          <w:rFonts w:hint="eastAsia" w:ascii="Arial" w:hAnsi="Arial" w:eastAsia="宋体" w:cs="Arial"/>
          <w:bCs/>
          <w:color w:val="000000"/>
          <w:sz w:val="24"/>
          <w:szCs w:val="24"/>
        </w:rPr>
        <w:t>二、信托资金使用情况</w:t>
      </w:r>
      <w:bookmarkEnd w:id="11"/>
      <w:bookmarkEnd w:id="12"/>
      <w:bookmarkEnd w:id="13"/>
    </w:p>
    <w:tbl>
      <w:tblPr>
        <w:tblStyle w:val="18"/>
        <w:tblW w:w="92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269"/>
        <w:gridCol w:w="1560"/>
        <w:gridCol w:w="1516"/>
        <w:gridCol w:w="1697"/>
        <w:gridCol w:w="994"/>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jc w:val="center"/>
        </w:trPr>
        <w:tc>
          <w:tcPr>
            <w:tcW w:w="620" w:type="dxa"/>
            <w:vAlign w:val="center"/>
          </w:tcPr>
          <w:p>
            <w:pPr>
              <w:jc w:val="center"/>
              <w:textAlignment w:val="center"/>
              <w:rPr>
                <w:rFonts w:ascii="Arial" w:hAnsi="Arial" w:cs="Arial"/>
                <w:b/>
                <w:bCs/>
                <w:color w:val="000000"/>
                <w:sz w:val="18"/>
                <w:szCs w:val="18"/>
                <w:lang w:bidi="ar"/>
              </w:rPr>
            </w:pPr>
            <w:bookmarkStart w:id="14" w:name="_Toc66115197"/>
            <w:r>
              <w:rPr>
                <w:rFonts w:hint="eastAsia" w:ascii="Arial" w:hAnsi="Arial" w:cs="Arial"/>
                <w:b/>
                <w:bCs/>
                <w:color w:val="000000"/>
                <w:sz w:val="18"/>
                <w:szCs w:val="18"/>
                <w:lang w:bidi="ar"/>
              </w:rPr>
              <w:t>序号</w:t>
            </w:r>
          </w:p>
        </w:tc>
        <w:tc>
          <w:tcPr>
            <w:tcW w:w="1269"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时间</w:t>
            </w:r>
          </w:p>
        </w:tc>
        <w:tc>
          <w:tcPr>
            <w:tcW w:w="1560"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信托出资金额</w:t>
            </w:r>
          </w:p>
        </w:tc>
        <w:tc>
          <w:tcPr>
            <w:tcW w:w="1516"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信托累计</w:t>
            </w:r>
          </w:p>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出资金额</w:t>
            </w:r>
          </w:p>
        </w:tc>
        <w:tc>
          <w:tcPr>
            <w:tcW w:w="1697"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已使用金额</w:t>
            </w:r>
          </w:p>
        </w:tc>
        <w:tc>
          <w:tcPr>
            <w:tcW w:w="994"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用途</w:t>
            </w:r>
          </w:p>
        </w:tc>
        <w:tc>
          <w:tcPr>
            <w:tcW w:w="1570"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2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w:t>
            </w:r>
          </w:p>
        </w:tc>
        <w:tc>
          <w:tcPr>
            <w:tcW w:w="126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2021-4-2</w:t>
            </w:r>
          </w:p>
        </w:tc>
        <w:tc>
          <w:tcPr>
            <w:tcW w:w="156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39,800,000.00 </w:t>
            </w:r>
          </w:p>
        </w:tc>
        <w:tc>
          <w:tcPr>
            <w:tcW w:w="1516"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39,800,000.00 </w:t>
            </w:r>
          </w:p>
        </w:tc>
        <w:tc>
          <w:tcPr>
            <w:tcW w:w="169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39,800,000.00 </w:t>
            </w:r>
          </w:p>
        </w:tc>
        <w:tc>
          <w:tcPr>
            <w:tcW w:w="994"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股东投入</w:t>
            </w:r>
          </w:p>
        </w:tc>
        <w:tc>
          <w:tcPr>
            <w:tcW w:w="157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2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w:t>
            </w:r>
          </w:p>
        </w:tc>
        <w:tc>
          <w:tcPr>
            <w:tcW w:w="126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2021-4-6</w:t>
            </w:r>
          </w:p>
        </w:tc>
        <w:tc>
          <w:tcPr>
            <w:tcW w:w="156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80,100,000.00 </w:t>
            </w:r>
          </w:p>
        </w:tc>
        <w:tc>
          <w:tcPr>
            <w:tcW w:w="1516"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119,900,000.00 </w:t>
            </w:r>
          </w:p>
        </w:tc>
        <w:tc>
          <w:tcPr>
            <w:tcW w:w="169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119,900,000.00 </w:t>
            </w:r>
          </w:p>
        </w:tc>
        <w:tc>
          <w:tcPr>
            <w:tcW w:w="994"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股东投入</w:t>
            </w:r>
          </w:p>
        </w:tc>
        <w:tc>
          <w:tcPr>
            <w:tcW w:w="157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2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3</w:t>
            </w:r>
          </w:p>
        </w:tc>
        <w:tc>
          <w:tcPr>
            <w:tcW w:w="126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2021-4-9</w:t>
            </w:r>
          </w:p>
        </w:tc>
        <w:tc>
          <w:tcPr>
            <w:tcW w:w="156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25,600,000.00 </w:t>
            </w:r>
          </w:p>
        </w:tc>
        <w:tc>
          <w:tcPr>
            <w:tcW w:w="1516"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145,500,000.00 </w:t>
            </w:r>
          </w:p>
        </w:tc>
        <w:tc>
          <w:tcPr>
            <w:tcW w:w="169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145,500,000.00 </w:t>
            </w:r>
          </w:p>
        </w:tc>
        <w:tc>
          <w:tcPr>
            <w:tcW w:w="994"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股东投入</w:t>
            </w:r>
          </w:p>
        </w:tc>
        <w:tc>
          <w:tcPr>
            <w:tcW w:w="157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2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4</w:t>
            </w:r>
          </w:p>
        </w:tc>
        <w:tc>
          <w:tcPr>
            <w:tcW w:w="126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2021-4-16</w:t>
            </w:r>
          </w:p>
        </w:tc>
        <w:tc>
          <w:tcPr>
            <w:tcW w:w="156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71,000,000.00 </w:t>
            </w:r>
          </w:p>
        </w:tc>
        <w:tc>
          <w:tcPr>
            <w:tcW w:w="1516"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216,500,000.00 </w:t>
            </w:r>
          </w:p>
        </w:tc>
        <w:tc>
          <w:tcPr>
            <w:tcW w:w="169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145,500,000.00 </w:t>
            </w:r>
          </w:p>
        </w:tc>
        <w:tc>
          <w:tcPr>
            <w:tcW w:w="994"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股东投入</w:t>
            </w:r>
          </w:p>
        </w:tc>
        <w:tc>
          <w:tcPr>
            <w:tcW w:w="157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71,000,000.00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2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5</w:t>
            </w:r>
          </w:p>
        </w:tc>
        <w:tc>
          <w:tcPr>
            <w:tcW w:w="126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2021-4-16</w:t>
            </w:r>
          </w:p>
        </w:tc>
        <w:tc>
          <w:tcPr>
            <w:tcW w:w="156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1,500,000.00 </w:t>
            </w:r>
          </w:p>
        </w:tc>
        <w:tc>
          <w:tcPr>
            <w:tcW w:w="1516"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218,000,000.00 </w:t>
            </w:r>
          </w:p>
        </w:tc>
        <w:tc>
          <w:tcPr>
            <w:tcW w:w="169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218,000,000.00 </w:t>
            </w:r>
          </w:p>
        </w:tc>
        <w:tc>
          <w:tcPr>
            <w:tcW w:w="994"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股东投入</w:t>
            </w:r>
          </w:p>
        </w:tc>
        <w:tc>
          <w:tcPr>
            <w:tcW w:w="157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2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6</w:t>
            </w:r>
          </w:p>
        </w:tc>
        <w:tc>
          <w:tcPr>
            <w:tcW w:w="126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2021-4-20</w:t>
            </w:r>
          </w:p>
        </w:tc>
        <w:tc>
          <w:tcPr>
            <w:tcW w:w="156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62,000,000.00 </w:t>
            </w:r>
          </w:p>
        </w:tc>
        <w:tc>
          <w:tcPr>
            <w:tcW w:w="1516"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280,000,000.00 </w:t>
            </w:r>
          </w:p>
        </w:tc>
        <w:tc>
          <w:tcPr>
            <w:tcW w:w="169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280,000,000.00 </w:t>
            </w:r>
          </w:p>
        </w:tc>
        <w:tc>
          <w:tcPr>
            <w:tcW w:w="994"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股东投入</w:t>
            </w:r>
          </w:p>
        </w:tc>
        <w:tc>
          <w:tcPr>
            <w:tcW w:w="157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20"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7</w:t>
            </w:r>
          </w:p>
        </w:tc>
        <w:tc>
          <w:tcPr>
            <w:tcW w:w="1269"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合计</w:t>
            </w:r>
          </w:p>
        </w:tc>
        <w:tc>
          <w:tcPr>
            <w:tcW w:w="1560"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 xml:space="preserve">280,000,000.00 </w:t>
            </w:r>
          </w:p>
        </w:tc>
        <w:tc>
          <w:tcPr>
            <w:tcW w:w="1516" w:type="dxa"/>
            <w:vAlign w:val="center"/>
          </w:tcPr>
          <w:p>
            <w:pPr>
              <w:jc w:val="center"/>
              <w:textAlignment w:val="center"/>
              <w:rPr>
                <w:rFonts w:ascii="Arial" w:hAnsi="Arial" w:cs="Arial"/>
                <w:b/>
                <w:bCs/>
                <w:color w:val="000000"/>
                <w:sz w:val="18"/>
                <w:szCs w:val="18"/>
                <w:lang w:bidi="ar"/>
              </w:rPr>
            </w:pPr>
          </w:p>
        </w:tc>
        <w:tc>
          <w:tcPr>
            <w:tcW w:w="1697" w:type="dxa"/>
            <w:vAlign w:val="center"/>
          </w:tcPr>
          <w:p>
            <w:pPr>
              <w:jc w:val="center"/>
              <w:textAlignment w:val="center"/>
              <w:rPr>
                <w:rFonts w:ascii="Arial" w:hAnsi="Arial" w:cs="Arial"/>
                <w:b/>
                <w:bCs/>
                <w:color w:val="000000"/>
                <w:sz w:val="18"/>
                <w:szCs w:val="18"/>
                <w:lang w:bidi="ar"/>
              </w:rPr>
            </w:pPr>
          </w:p>
        </w:tc>
        <w:tc>
          <w:tcPr>
            <w:tcW w:w="994" w:type="dxa"/>
            <w:vAlign w:val="center"/>
          </w:tcPr>
          <w:p>
            <w:pPr>
              <w:jc w:val="center"/>
              <w:textAlignment w:val="center"/>
              <w:rPr>
                <w:rFonts w:ascii="Arial" w:hAnsi="Arial" w:cs="Arial"/>
                <w:b/>
                <w:bCs/>
                <w:color w:val="000000"/>
                <w:sz w:val="18"/>
                <w:szCs w:val="18"/>
                <w:lang w:bidi="ar"/>
              </w:rPr>
            </w:pPr>
          </w:p>
        </w:tc>
        <w:tc>
          <w:tcPr>
            <w:tcW w:w="1570" w:type="dxa"/>
            <w:vAlign w:val="center"/>
          </w:tcPr>
          <w:p>
            <w:pPr>
              <w:jc w:val="center"/>
              <w:textAlignment w:val="center"/>
              <w:rPr>
                <w:rFonts w:ascii="Arial" w:hAnsi="Arial" w:cs="Arial"/>
                <w:b/>
                <w:bCs/>
                <w:color w:val="000000"/>
                <w:sz w:val="18"/>
                <w:szCs w:val="18"/>
                <w:lang w:bidi="ar"/>
              </w:rPr>
            </w:pPr>
          </w:p>
        </w:tc>
      </w:tr>
    </w:tbl>
    <w:p>
      <w:pPr>
        <w:pStyle w:val="3"/>
        <w:keepNext w:val="0"/>
        <w:keepLines w:val="0"/>
        <w:spacing w:before="300" w:after="300" w:line="360" w:lineRule="exact"/>
        <w:jc w:val="left"/>
        <w:rPr>
          <w:rFonts w:ascii="Arial" w:hAnsi="Arial" w:eastAsia="宋体" w:cs="Arial"/>
          <w:bCs/>
          <w:color w:val="000000"/>
          <w:sz w:val="24"/>
          <w:szCs w:val="24"/>
        </w:rPr>
      </w:pPr>
      <w:bookmarkStart w:id="15" w:name="_Toc157"/>
      <w:bookmarkStart w:id="16" w:name="_Toc26476"/>
      <w:r>
        <w:rPr>
          <w:rFonts w:hint="eastAsia" w:ascii="Arial" w:hAnsi="Arial" w:eastAsia="宋体" w:cs="Arial"/>
          <w:bCs/>
          <w:color w:val="000000"/>
          <w:sz w:val="24"/>
          <w:szCs w:val="24"/>
        </w:rPr>
        <w:t>三、项目证件办理情况</w:t>
      </w:r>
      <w:bookmarkEnd w:id="14"/>
      <w:bookmarkEnd w:id="15"/>
      <w:bookmarkEnd w:id="16"/>
    </w:p>
    <w:p>
      <w:pPr>
        <w:jc w:val="center"/>
        <w:rPr>
          <w:rFonts w:ascii="宋体" w:hAnsi="宋体" w:cs="宋体"/>
          <w:b/>
          <w:bCs/>
          <w:color w:val="000000"/>
          <w:sz w:val="21"/>
          <w:szCs w:val="21"/>
        </w:rPr>
      </w:pPr>
      <w:bookmarkStart w:id="17" w:name="_Toc32138"/>
      <w:r>
        <w:rPr>
          <w:rFonts w:hint="eastAsia" w:ascii="宋体" w:hAnsi="宋体" w:cs="宋体"/>
          <w:b/>
          <w:bCs/>
          <w:color w:val="000000"/>
          <w:sz w:val="21"/>
          <w:szCs w:val="21"/>
        </w:rPr>
        <w:t>表二：项目五证办理情况</w:t>
      </w:r>
      <w:bookmarkEnd w:id="17"/>
    </w:p>
    <w:tbl>
      <w:tblPr>
        <w:tblStyle w:val="18"/>
        <w:tblW w:w="9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1080"/>
        <w:gridCol w:w="3810"/>
        <w:gridCol w:w="2807"/>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973"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序号</w:t>
            </w:r>
          </w:p>
        </w:tc>
        <w:tc>
          <w:tcPr>
            <w:tcW w:w="1080"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证件名称</w:t>
            </w:r>
          </w:p>
        </w:tc>
        <w:tc>
          <w:tcPr>
            <w:tcW w:w="3810"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取证日期</w:t>
            </w:r>
          </w:p>
        </w:tc>
        <w:tc>
          <w:tcPr>
            <w:tcW w:w="2807"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证书编号</w:t>
            </w:r>
          </w:p>
        </w:tc>
        <w:tc>
          <w:tcPr>
            <w:tcW w:w="885"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73" w:type="dxa"/>
            <w:vMerge w:val="restart"/>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1</w:t>
            </w:r>
          </w:p>
        </w:tc>
        <w:tc>
          <w:tcPr>
            <w:tcW w:w="1080" w:type="dxa"/>
            <w:vMerge w:val="restart"/>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w:t>
            </w: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2020年09月27日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川（2020）宜宾市不动产权第0015637号（33671㎡）</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2020年10月10日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(宜宾市翠屏区天柏组团ZB07-04地块)</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川（2020）宜宾市不动产权第0015991号（2782㎡）</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2020年10月10日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(宜宾市翠屏区天柏组团ZB07-05地块)</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川（2020）宜宾市不动产权第0015992号（2971㎡）</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2020年10月10日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(宜宾市翠屏区天柏组团ZB07-06-02地块)</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川（2020）宜宾市不动产权第0015993号（2807㎡）</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9"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2020年10月10日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(宜宾市翠屏区天柏组团ZB07-06-03地块)</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川（2020）宜宾市不动产权第0015994号（3187㎡）</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2020年10月10日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(宜宾市翠屏区天柏组团ZB07-08地块)</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川（2020）宜宾市不动产权第0016043号（19430㎡）</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73"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2</w:t>
            </w:r>
          </w:p>
        </w:tc>
        <w:tc>
          <w:tcPr>
            <w:tcW w:w="108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建设用地规划许可证</w:t>
            </w: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2020年06月05日</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511502202000013</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（ZB07-01地块33671㎡ZB07-04地块2782㎡ZB07-05地块2971㎡ZB07-06-02地块2807㎡ZB07-06-03地块3187㎡ZB07-08地块19430㎡）</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73"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3</w:t>
            </w:r>
          </w:p>
        </w:tc>
        <w:tc>
          <w:tcPr>
            <w:tcW w:w="108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建设工程规划许可证</w:t>
            </w: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2020年08月14日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云锦一期）</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建字第511502202000036号</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（134684㎡）</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Merge w:val="restart"/>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4</w:t>
            </w:r>
          </w:p>
        </w:tc>
        <w:tc>
          <w:tcPr>
            <w:tcW w:w="1080" w:type="dxa"/>
            <w:vMerge w:val="restart"/>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建筑工程施工许可证</w:t>
            </w: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2020年09月10日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（宜宾市天柏组团中坝片区</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站前广场ZB07-01地块</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云锦一期一批次1#、2#、3#、4#、1#门卫及电商服务，2#门卫及地下室）</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511502202009100101</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（99953.33㎡）</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2020年12月18日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（宜宾市天柏组团中坝片区站前广场ZB07-01地块云锦一期二批次5#、6#、7#、地下室）</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511502202012180101</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（80955.44㎡）</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Merge w:val="restart"/>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5</w:t>
            </w:r>
          </w:p>
        </w:tc>
        <w:tc>
          <w:tcPr>
            <w:tcW w:w="1080" w:type="dxa"/>
            <w:vMerge w:val="restart"/>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商品房预售许可证</w:t>
            </w: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2020年11月10日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ZB07-01地块云锦一期）</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（2020）房预售证第20032号</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（20264.23㎡）</w:t>
            </w:r>
          </w:p>
        </w:tc>
        <w:tc>
          <w:tcPr>
            <w:tcW w:w="88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云锦一期1#楼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2020年12月31日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ZB07-01地块云锦一期）</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（2020）房预售证第20048号</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（20264.23㎡）</w:t>
            </w:r>
          </w:p>
        </w:tc>
        <w:tc>
          <w:tcPr>
            <w:tcW w:w="88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云锦一期2#楼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2020年11年10日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ZB07-01地块云锦一期）</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（2020）房预售证第20044号</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（19681.46㎡）</w:t>
            </w:r>
          </w:p>
        </w:tc>
        <w:tc>
          <w:tcPr>
            <w:tcW w:w="88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云锦一期3#楼</w:t>
            </w:r>
          </w:p>
        </w:tc>
      </w:tr>
    </w:tbl>
    <w:p>
      <w:pPr>
        <w:widowControl w:val="0"/>
        <w:spacing w:line="480" w:lineRule="auto"/>
        <w:jc w:val="both"/>
        <w:rPr>
          <w:rFonts w:ascii="Arial" w:hAnsi="Arial" w:cs="Arial"/>
          <w:kern w:val="44"/>
          <w:sz w:val="21"/>
          <w:szCs w:val="21"/>
        </w:rPr>
      </w:pPr>
      <w:r>
        <w:rPr>
          <w:rFonts w:hint="eastAsia" w:ascii="Arial" w:hAnsi="Arial" w:cs="Arial"/>
          <w:kern w:val="44"/>
          <w:sz w:val="21"/>
          <w:szCs w:val="21"/>
        </w:rPr>
        <w:t>说明：以上证书均存放在共管保险柜。</w:t>
      </w:r>
    </w:p>
    <w:p>
      <w:pPr>
        <w:pStyle w:val="3"/>
        <w:keepNext w:val="0"/>
        <w:keepLines w:val="0"/>
        <w:spacing w:before="300" w:after="300" w:line="360" w:lineRule="exact"/>
        <w:jc w:val="left"/>
        <w:rPr>
          <w:rFonts w:ascii="Arial" w:hAnsi="Arial" w:eastAsia="宋体" w:cs="Arial"/>
          <w:bCs/>
          <w:color w:val="000000"/>
          <w:sz w:val="24"/>
          <w:szCs w:val="24"/>
        </w:rPr>
      </w:pPr>
      <w:bookmarkStart w:id="18" w:name="_Toc27011"/>
      <w:bookmarkStart w:id="19" w:name="_Toc25607"/>
      <w:bookmarkStart w:id="20" w:name="_Toc66115198"/>
      <w:r>
        <w:rPr>
          <w:rFonts w:hint="eastAsia" w:ascii="Arial" w:hAnsi="Arial" w:eastAsia="宋体" w:cs="Arial"/>
          <w:bCs/>
          <w:color w:val="000000"/>
          <w:sz w:val="24"/>
          <w:szCs w:val="24"/>
        </w:rPr>
        <w:t>四、项目开发建设情况</w:t>
      </w:r>
      <w:bookmarkEnd w:id="18"/>
      <w:bookmarkEnd w:id="19"/>
      <w:bookmarkEnd w:id="20"/>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项目全周期计划：项目共分三期开发建设，于2020年8月开始施工，计划于2024年12月项目全部完工。今年整体计划：云锦一期所有主体楼栋全部封顶，云锦二期代建广场园林绿化部分施工</w:t>
      </w:r>
      <w:r>
        <w:rPr>
          <w:rFonts w:hint="eastAsia" w:ascii="Arial" w:hAnsi="Arial" w:cs="Arial"/>
          <w:kern w:val="44"/>
          <w:sz w:val="21"/>
          <w:szCs w:val="21"/>
          <w:lang w:eastAsia="zh-CN"/>
        </w:rPr>
        <w:t>，</w:t>
      </w:r>
      <w:r>
        <w:rPr>
          <w:rFonts w:hint="eastAsia" w:ascii="Arial" w:hAnsi="Arial" w:cs="Arial"/>
          <w:kern w:val="44"/>
          <w:sz w:val="21"/>
          <w:szCs w:val="21"/>
        </w:rPr>
        <w:t>云锦三期报规完成。</w:t>
      </w:r>
    </w:p>
    <w:p>
      <w:pPr>
        <w:spacing w:line="480" w:lineRule="auto"/>
        <w:ind w:firstLine="420" w:firstLineChars="200"/>
        <w:rPr>
          <w:rFonts w:ascii="Arial" w:hAnsi="Arial" w:cs="Arial"/>
          <w:kern w:val="44"/>
          <w:sz w:val="21"/>
          <w:szCs w:val="21"/>
        </w:rPr>
      </w:pPr>
      <w:r>
        <w:rPr>
          <w:rFonts w:hint="eastAsia" w:ascii="Arial" w:hAnsi="Arial" w:cs="Arial"/>
          <w:kern w:val="44"/>
          <w:sz w:val="21"/>
          <w:szCs w:val="21"/>
        </w:rPr>
        <w:t>目前项目现场施工情况如下：云锦一期：1#楼14层底板施工；2#楼15层墙柱施工；3#楼10层底板施工；4#楼10层底板施工；5#楼14层底板施工；6#楼11层底板施工；7#楼4层底板施工；中庭地库顶板封闭完成30%，基础完成80%，负一层完成钢筋模板完成50%。云锦二期和云锦三期暂无进度。</w:t>
      </w:r>
    </w:p>
    <w:p>
      <w:pPr>
        <w:jc w:val="center"/>
        <w:rPr>
          <w:rFonts w:ascii="宋体" w:hAnsi="宋体" w:cs="宋体"/>
          <w:b/>
          <w:bCs/>
          <w:sz w:val="21"/>
          <w:szCs w:val="21"/>
        </w:rPr>
      </w:pPr>
      <w:bookmarkStart w:id="21" w:name="_Toc5107"/>
      <w:r>
        <w:rPr>
          <w:rFonts w:hint="eastAsia" w:ascii="宋体" w:hAnsi="宋体" w:cs="宋体"/>
          <w:b/>
          <w:bCs/>
          <w:color w:val="000000"/>
          <w:sz w:val="21"/>
          <w:szCs w:val="21"/>
        </w:rPr>
        <w:t>表三：</w:t>
      </w:r>
      <w:r>
        <w:rPr>
          <w:rFonts w:hint="eastAsia" w:ascii="宋体" w:hAnsi="宋体" w:cs="宋体"/>
          <w:b/>
          <w:bCs/>
          <w:sz w:val="21"/>
          <w:szCs w:val="21"/>
        </w:rPr>
        <w:t>项目施工进度计划</w:t>
      </w:r>
      <w:bookmarkEnd w:id="21"/>
    </w:p>
    <w:p>
      <w:pPr>
        <w:jc w:val="center"/>
        <w:rPr>
          <w:rFonts w:ascii="宋体" w:hAnsi="宋体" w:cs="宋体"/>
          <w:b/>
          <w:bCs/>
          <w:color w:val="000000"/>
          <w:sz w:val="21"/>
          <w:szCs w:val="21"/>
        </w:rPr>
      </w:pPr>
    </w:p>
    <w:tbl>
      <w:tblPr>
        <w:tblStyle w:val="18"/>
        <w:tblW w:w="8958" w:type="dxa"/>
        <w:tblInd w:w="323" w:type="dxa"/>
        <w:tblLayout w:type="fixed"/>
        <w:tblCellMar>
          <w:top w:w="0" w:type="dxa"/>
          <w:left w:w="108" w:type="dxa"/>
          <w:bottom w:w="0" w:type="dxa"/>
          <w:right w:w="108" w:type="dxa"/>
        </w:tblCellMar>
      </w:tblPr>
      <w:tblGrid>
        <w:gridCol w:w="792"/>
        <w:gridCol w:w="1709"/>
        <w:gridCol w:w="1740"/>
        <w:gridCol w:w="2247"/>
        <w:gridCol w:w="2470"/>
      </w:tblGrid>
      <w:tr>
        <w:tblPrEx>
          <w:tblCellMar>
            <w:top w:w="0" w:type="dxa"/>
            <w:left w:w="108" w:type="dxa"/>
            <w:bottom w:w="0" w:type="dxa"/>
            <w:right w:w="108" w:type="dxa"/>
          </w:tblCellMar>
        </w:tblPrEx>
        <w:trPr>
          <w:trHeight w:val="360" w:hRule="atLeast"/>
          <w:tblHeader/>
        </w:trPr>
        <w:tc>
          <w:tcPr>
            <w:tcW w:w="8958" w:type="dxa"/>
            <w:gridSpan w:val="5"/>
            <w:tcBorders>
              <w:top w:val="single" w:color="auto" w:sz="8" w:space="0"/>
              <w:left w:val="single" w:color="auto" w:sz="8" w:space="0"/>
              <w:bottom w:val="single" w:color="auto" w:sz="8" w:space="0"/>
              <w:right w:val="single" w:color="000000" w:sz="8" w:space="0"/>
            </w:tcBorders>
            <w:shd w:val="clear" w:color="auto" w:fill="auto"/>
            <w:noWrap/>
            <w:vAlign w:val="center"/>
          </w:tcPr>
          <w:p>
            <w:pPr>
              <w:jc w:val="center"/>
              <w:rPr>
                <w:rFonts w:ascii="宋体" w:hAnsi="宋体" w:cs="宋体"/>
                <w:b/>
                <w:bCs/>
                <w:color w:val="000000"/>
              </w:rPr>
            </w:pPr>
            <w:r>
              <w:rPr>
                <w:rFonts w:hint="eastAsia" w:ascii="宋体" w:hAnsi="宋体" w:cs="宋体"/>
                <w:b/>
              </w:rPr>
              <w:t>中航信托•天启【2020】565号宜宾站前广场项目</w:t>
            </w:r>
            <w:r>
              <w:rPr>
                <w:rFonts w:hint="eastAsia" w:ascii="宋体" w:hAnsi="宋体" w:cs="宋体"/>
                <w:b/>
                <w:bCs/>
                <w:color w:val="000000"/>
              </w:rPr>
              <w:t>工程进度</w:t>
            </w:r>
          </w:p>
        </w:tc>
      </w:tr>
      <w:tr>
        <w:tblPrEx>
          <w:tblCellMar>
            <w:top w:w="0" w:type="dxa"/>
            <w:left w:w="108" w:type="dxa"/>
            <w:bottom w:w="0" w:type="dxa"/>
            <w:right w:w="108" w:type="dxa"/>
          </w:tblCellMar>
        </w:tblPrEx>
        <w:trPr>
          <w:trHeight w:val="290" w:hRule="atLeast"/>
          <w:tblHeader/>
        </w:trPr>
        <w:tc>
          <w:tcPr>
            <w:tcW w:w="792" w:type="dxa"/>
            <w:vMerge w:val="restart"/>
            <w:tcBorders>
              <w:top w:val="nil"/>
              <w:left w:val="single" w:color="auto" w:sz="8" w:space="0"/>
              <w:bottom w:val="single" w:color="000000" w:sz="8" w:space="0"/>
              <w:right w:val="single" w:color="auto" w:sz="8" w:space="0"/>
            </w:tcBorders>
            <w:shd w:val="clear" w:color="auto" w:fill="auto"/>
            <w:noWrap/>
            <w:vAlign w:val="center"/>
          </w:tcPr>
          <w:p>
            <w:pPr>
              <w:jc w:val="center"/>
              <w:rPr>
                <w:rFonts w:ascii="宋体" w:hAnsi="宋体" w:cs="宋体"/>
                <w:b/>
                <w:bCs/>
                <w:color w:val="000000"/>
              </w:rPr>
            </w:pPr>
            <w:r>
              <w:rPr>
                <w:rFonts w:hint="eastAsia" w:ascii="宋体" w:hAnsi="宋体" w:cs="宋体"/>
                <w:b/>
                <w:bCs/>
                <w:color w:val="000000"/>
              </w:rPr>
              <w:t>序号</w:t>
            </w:r>
          </w:p>
        </w:tc>
        <w:tc>
          <w:tcPr>
            <w:tcW w:w="1709" w:type="dxa"/>
            <w:vMerge w:val="restart"/>
            <w:tcBorders>
              <w:top w:val="nil"/>
              <w:left w:val="single" w:color="auto" w:sz="8" w:space="0"/>
              <w:bottom w:val="single" w:color="000000" w:sz="8" w:space="0"/>
              <w:right w:val="single" w:color="auto" w:sz="8" w:space="0"/>
            </w:tcBorders>
            <w:shd w:val="clear" w:color="auto" w:fill="auto"/>
            <w:noWrap/>
            <w:vAlign w:val="center"/>
          </w:tcPr>
          <w:p>
            <w:pPr>
              <w:jc w:val="center"/>
              <w:rPr>
                <w:rFonts w:ascii="宋体" w:hAnsi="宋体" w:cs="宋体"/>
                <w:b/>
                <w:bCs/>
                <w:color w:val="000000"/>
              </w:rPr>
            </w:pPr>
            <w:r>
              <w:rPr>
                <w:rFonts w:hint="eastAsia" w:ascii="宋体" w:hAnsi="宋体" w:cs="宋体"/>
                <w:b/>
                <w:bCs/>
                <w:color w:val="000000"/>
              </w:rPr>
              <w:t>楼栋</w:t>
            </w:r>
          </w:p>
        </w:tc>
        <w:tc>
          <w:tcPr>
            <w:tcW w:w="6457" w:type="dxa"/>
            <w:gridSpan w:val="3"/>
            <w:tcBorders>
              <w:top w:val="single" w:color="auto" w:sz="8" w:space="0"/>
              <w:left w:val="nil"/>
              <w:bottom w:val="single" w:color="auto" w:sz="8" w:space="0"/>
              <w:right w:val="single" w:color="000000" w:sz="8" w:space="0"/>
            </w:tcBorders>
            <w:shd w:val="clear" w:color="auto" w:fill="auto"/>
            <w:noWrap/>
            <w:vAlign w:val="center"/>
          </w:tcPr>
          <w:p>
            <w:pPr>
              <w:jc w:val="center"/>
              <w:rPr>
                <w:rFonts w:ascii="宋体" w:hAnsi="宋体" w:cs="宋体"/>
                <w:b/>
                <w:bCs/>
                <w:color w:val="000000"/>
              </w:rPr>
            </w:pPr>
            <w:r>
              <w:rPr>
                <w:rFonts w:hint="eastAsia" w:ascii="宋体" w:hAnsi="宋体" w:cs="宋体"/>
                <w:b/>
                <w:bCs/>
                <w:color w:val="000000"/>
              </w:rPr>
              <w:t>进度情况</w:t>
            </w:r>
          </w:p>
        </w:tc>
      </w:tr>
      <w:tr>
        <w:tblPrEx>
          <w:tblCellMar>
            <w:top w:w="0" w:type="dxa"/>
            <w:left w:w="108" w:type="dxa"/>
            <w:bottom w:w="0" w:type="dxa"/>
            <w:right w:w="108" w:type="dxa"/>
          </w:tblCellMar>
        </w:tblPrEx>
        <w:trPr>
          <w:trHeight w:val="290" w:hRule="atLeast"/>
          <w:tblHeader/>
        </w:trPr>
        <w:tc>
          <w:tcPr>
            <w:tcW w:w="792" w:type="dxa"/>
            <w:vMerge w:val="continue"/>
            <w:tcBorders>
              <w:top w:val="nil"/>
              <w:left w:val="single" w:color="auto" w:sz="8" w:space="0"/>
              <w:bottom w:val="single" w:color="000000" w:sz="8" w:space="0"/>
              <w:right w:val="single" w:color="auto" w:sz="8" w:space="0"/>
            </w:tcBorders>
            <w:vAlign w:val="center"/>
          </w:tcPr>
          <w:p>
            <w:pPr>
              <w:jc w:val="center"/>
              <w:rPr>
                <w:rFonts w:ascii="宋体" w:hAnsi="宋体" w:cs="宋体"/>
                <w:b/>
                <w:bCs/>
                <w:color w:val="000000"/>
              </w:rPr>
            </w:pPr>
          </w:p>
        </w:tc>
        <w:tc>
          <w:tcPr>
            <w:tcW w:w="1709" w:type="dxa"/>
            <w:vMerge w:val="continue"/>
            <w:tcBorders>
              <w:top w:val="nil"/>
              <w:left w:val="single" w:color="auto" w:sz="8" w:space="0"/>
              <w:bottom w:val="single" w:color="auto" w:sz="8" w:space="0"/>
              <w:right w:val="single" w:color="auto" w:sz="8" w:space="0"/>
            </w:tcBorders>
            <w:vAlign w:val="center"/>
          </w:tcPr>
          <w:p>
            <w:pPr>
              <w:jc w:val="center"/>
              <w:rPr>
                <w:rFonts w:ascii="宋体" w:hAnsi="宋体" w:cs="宋体"/>
                <w:b/>
                <w:bCs/>
                <w:color w:val="000000"/>
              </w:rPr>
            </w:pPr>
          </w:p>
        </w:tc>
        <w:tc>
          <w:tcPr>
            <w:tcW w:w="1740" w:type="dxa"/>
            <w:tcBorders>
              <w:top w:val="nil"/>
              <w:left w:val="nil"/>
              <w:bottom w:val="single" w:color="auto" w:sz="8" w:space="0"/>
              <w:right w:val="single" w:color="auto" w:sz="8" w:space="0"/>
            </w:tcBorders>
            <w:shd w:val="clear" w:color="auto" w:fill="auto"/>
            <w:noWrap/>
            <w:vAlign w:val="center"/>
          </w:tcPr>
          <w:p>
            <w:pPr>
              <w:jc w:val="center"/>
              <w:textAlignment w:val="center"/>
              <w:rPr>
                <w:rFonts w:ascii="Arial" w:hAnsi="Arial" w:cs="Arial"/>
                <w:sz w:val="18"/>
                <w:szCs w:val="18"/>
              </w:rPr>
            </w:pPr>
            <w:r>
              <w:rPr>
                <w:rFonts w:hint="eastAsia" w:ascii="宋体" w:hAnsi="宋体" w:cs="宋体"/>
                <w:b/>
                <w:bCs/>
                <w:color w:val="000000"/>
              </w:rPr>
              <w:t>上月完成</w:t>
            </w:r>
          </w:p>
        </w:tc>
        <w:tc>
          <w:tcPr>
            <w:tcW w:w="2247"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b/>
                <w:bCs/>
                <w:color w:val="000000"/>
              </w:rPr>
            </w:pPr>
            <w:r>
              <w:rPr>
                <w:rFonts w:hint="eastAsia" w:ascii="宋体" w:hAnsi="宋体" w:cs="宋体"/>
                <w:b/>
                <w:bCs/>
                <w:color w:val="000000"/>
              </w:rPr>
              <w:t>本月进度</w:t>
            </w:r>
          </w:p>
        </w:tc>
        <w:tc>
          <w:tcPr>
            <w:tcW w:w="2470"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b/>
                <w:bCs/>
                <w:color w:val="000000"/>
              </w:rPr>
            </w:pPr>
            <w:r>
              <w:rPr>
                <w:rFonts w:hint="eastAsia" w:ascii="宋体" w:hAnsi="宋体" w:cs="宋体"/>
                <w:b/>
                <w:bCs/>
                <w:color w:val="000000"/>
              </w:rPr>
              <w:t>下月计划</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1</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云锦一期1#楼</w:t>
            </w:r>
          </w:p>
        </w:tc>
        <w:tc>
          <w:tcPr>
            <w:tcW w:w="174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13层结构施工</w:t>
            </w:r>
          </w:p>
        </w:tc>
        <w:tc>
          <w:tcPr>
            <w:tcW w:w="224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14层底板施工</w:t>
            </w:r>
          </w:p>
        </w:tc>
        <w:tc>
          <w:tcPr>
            <w:tcW w:w="2470" w:type="dxa"/>
            <w:tcBorders>
              <w:top w:val="nil"/>
              <w:left w:val="nil"/>
              <w:bottom w:val="single" w:color="auto" w:sz="8" w:space="0"/>
              <w:right w:val="single" w:color="auto" w:sz="8"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18层结构施工</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2</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云锦一期2#楼</w:t>
            </w:r>
          </w:p>
        </w:tc>
        <w:tc>
          <w:tcPr>
            <w:tcW w:w="174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13层墙柱结构浇筑</w:t>
            </w:r>
          </w:p>
        </w:tc>
        <w:tc>
          <w:tcPr>
            <w:tcW w:w="224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15层墙柱施工</w:t>
            </w:r>
          </w:p>
        </w:tc>
        <w:tc>
          <w:tcPr>
            <w:tcW w:w="2470" w:type="dxa"/>
            <w:tcBorders>
              <w:top w:val="nil"/>
              <w:left w:val="nil"/>
              <w:bottom w:val="single" w:color="auto" w:sz="8" w:space="0"/>
              <w:right w:val="single" w:color="auto" w:sz="8"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19层墙柱结构浇筑</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3</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云锦一期3#楼</w:t>
            </w:r>
          </w:p>
        </w:tc>
        <w:tc>
          <w:tcPr>
            <w:tcW w:w="174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9层梁板施工</w:t>
            </w:r>
          </w:p>
        </w:tc>
        <w:tc>
          <w:tcPr>
            <w:tcW w:w="224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10层底板施工</w:t>
            </w:r>
          </w:p>
        </w:tc>
        <w:tc>
          <w:tcPr>
            <w:tcW w:w="2470" w:type="dxa"/>
            <w:tcBorders>
              <w:top w:val="nil"/>
              <w:left w:val="nil"/>
              <w:bottom w:val="single" w:color="auto" w:sz="8" w:space="0"/>
              <w:right w:val="single" w:color="auto" w:sz="8"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14层梁板施工</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4</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云锦一期4#楼</w:t>
            </w:r>
          </w:p>
        </w:tc>
        <w:tc>
          <w:tcPr>
            <w:tcW w:w="174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8层墙柱结构施工</w:t>
            </w:r>
          </w:p>
        </w:tc>
        <w:tc>
          <w:tcPr>
            <w:tcW w:w="224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10层底板施工</w:t>
            </w:r>
          </w:p>
        </w:tc>
        <w:tc>
          <w:tcPr>
            <w:tcW w:w="2470" w:type="dxa"/>
            <w:tcBorders>
              <w:top w:val="nil"/>
              <w:left w:val="nil"/>
              <w:bottom w:val="single" w:color="auto" w:sz="8" w:space="0"/>
              <w:right w:val="single" w:color="auto" w:sz="8"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14层墙柱结构施工</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5</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云锦一期5#楼</w:t>
            </w:r>
          </w:p>
        </w:tc>
        <w:tc>
          <w:tcPr>
            <w:tcW w:w="174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10层墙柱施工</w:t>
            </w:r>
          </w:p>
        </w:tc>
        <w:tc>
          <w:tcPr>
            <w:tcW w:w="224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14层底板施工</w:t>
            </w:r>
          </w:p>
        </w:tc>
        <w:tc>
          <w:tcPr>
            <w:tcW w:w="2470" w:type="dxa"/>
            <w:tcBorders>
              <w:top w:val="nil"/>
              <w:left w:val="nil"/>
              <w:bottom w:val="single" w:color="auto" w:sz="8" w:space="0"/>
              <w:right w:val="single" w:color="auto" w:sz="8"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18层墙柱施工</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6</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云锦一期6#楼</w:t>
            </w:r>
          </w:p>
        </w:tc>
        <w:tc>
          <w:tcPr>
            <w:tcW w:w="174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6层墙柱结构施工</w:t>
            </w:r>
          </w:p>
        </w:tc>
        <w:tc>
          <w:tcPr>
            <w:tcW w:w="224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11层底板施工</w:t>
            </w:r>
          </w:p>
        </w:tc>
        <w:tc>
          <w:tcPr>
            <w:tcW w:w="2470" w:type="dxa"/>
            <w:tcBorders>
              <w:top w:val="nil"/>
              <w:left w:val="nil"/>
              <w:bottom w:val="single" w:color="auto" w:sz="8" w:space="0"/>
              <w:right w:val="single" w:color="auto" w:sz="8"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15层墙柱结构施工</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7</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云锦一期7#楼</w:t>
            </w:r>
          </w:p>
        </w:tc>
        <w:tc>
          <w:tcPr>
            <w:tcW w:w="174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1层结构施工</w:t>
            </w:r>
          </w:p>
        </w:tc>
        <w:tc>
          <w:tcPr>
            <w:tcW w:w="224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4层底板施工</w:t>
            </w:r>
          </w:p>
        </w:tc>
        <w:tc>
          <w:tcPr>
            <w:tcW w:w="2470" w:type="dxa"/>
            <w:tcBorders>
              <w:top w:val="nil"/>
              <w:left w:val="nil"/>
              <w:bottom w:val="single" w:color="auto" w:sz="8" w:space="0"/>
              <w:right w:val="single" w:color="auto" w:sz="8"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7层结构施工</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8</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云锦一期地下室</w:t>
            </w:r>
          </w:p>
        </w:tc>
        <w:tc>
          <w:tcPr>
            <w:tcW w:w="174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地下室整体底板钢筋施工完成50%，负一层结构施工20%</w:t>
            </w:r>
          </w:p>
        </w:tc>
        <w:tc>
          <w:tcPr>
            <w:tcW w:w="224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中庭地库顶板封闭完成30%，基础完成80%，负一层完成钢筋模板完成50%</w:t>
            </w:r>
          </w:p>
        </w:tc>
        <w:tc>
          <w:tcPr>
            <w:tcW w:w="2470" w:type="dxa"/>
            <w:tcBorders>
              <w:top w:val="nil"/>
              <w:left w:val="nil"/>
              <w:bottom w:val="single" w:color="auto" w:sz="8" w:space="0"/>
              <w:right w:val="single" w:color="auto" w:sz="8"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中庭地下室基础完成90%，顶板封闭完成60%</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9</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云锦二期</w:t>
            </w:r>
          </w:p>
        </w:tc>
        <w:tc>
          <w:tcPr>
            <w:tcW w:w="174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暂无进度</w:t>
            </w:r>
          </w:p>
        </w:tc>
        <w:tc>
          <w:tcPr>
            <w:tcW w:w="224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暂无进度</w:t>
            </w:r>
          </w:p>
        </w:tc>
        <w:tc>
          <w:tcPr>
            <w:tcW w:w="2470" w:type="dxa"/>
            <w:tcBorders>
              <w:top w:val="nil"/>
              <w:left w:val="nil"/>
              <w:bottom w:val="single" w:color="auto" w:sz="8" w:space="0"/>
              <w:right w:val="single" w:color="auto" w:sz="8"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暂无施工计划</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10</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云锦三期</w:t>
            </w:r>
          </w:p>
        </w:tc>
        <w:tc>
          <w:tcPr>
            <w:tcW w:w="174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暂无进度</w:t>
            </w:r>
          </w:p>
        </w:tc>
        <w:tc>
          <w:tcPr>
            <w:tcW w:w="224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暂无进度</w:t>
            </w:r>
          </w:p>
        </w:tc>
        <w:tc>
          <w:tcPr>
            <w:tcW w:w="2470" w:type="dxa"/>
            <w:tcBorders>
              <w:top w:val="nil"/>
              <w:left w:val="nil"/>
              <w:bottom w:val="single" w:color="auto" w:sz="8" w:space="0"/>
              <w:right w:val="single" w:color="auto" w:sz="8"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暂无施工计划</w:t>
            </w:r>
          </w:p>
        </w:tc>
      </w:tr>
    </w:tbl>
    <w:p>
      <w:pPr>
        <w:ind w:firstLine="420" w:firstLineChars="200"/>
        <w:rPr>
          <w:rFonts w:ascii="宋体" w:hAnsi="宋体" w:cs="宋体"/>
          <w:bCs/>
          <w:sz w:val="21"/>
          <w:szCs w:val="21"/>
        </w:rPr>
      </w:pPr>
    </w:p>
    <w:p>
      <w:pPr>
        <w:pStyle w:val="3"/>
        <w:keepNext w:val="0"/>
        <w:keepLines w:val="0"/>
        <w:spacing w:before="300" w:after="300" w:line="360" w:lineRule="exact"/>
        <w:jc w:val="left"/>
        <w:rPr>
          <w:rFonts w:ascii="Arial" w:hAnsi="Arial" w:eastAsia="宋体" w:cs="Arial"/>
          <w:bCs/>
          <w:color w:val="000000"/>
          <w:sz w:val="24"/>
          <w:szCs w:val="24"/>
        </w:rPr>
      </w:pPr>
      <w:bookmarkStart w:id="22" w:name="_Toc10364"/>
      <w:bookmarkStart w:id="23" w:name="_Toc23579"/>
      <w:bookmarkStart w:id="24" w:name="_Toc66115199"/>
      <w:r>
        <w:rPr>
          <w:rFonts w:hint="eastAsia" w:ascii="Arial" w:hAnsi="Arial" w:eastAsia="宋体" w:cs="Arial"/>
          <w:bCs/>
          <w:color w:val="000000"/>
          <w:sz w:val="24"/>
          <w:szCs w:val="24"/>
        </w:rPr>
        <w:t>五、项目合同及成本执行情况</w:t>
      </w:r>
      <w:bookmarkEnd w:id="22"/>
      <w:bookmarkEnd w:id="23"/>
      <w:bookmarkEnd w:id="24"/>
    </w:p>
    <w:p>
      <w:pPr>
        <w:widowControl w:val="0"/>
        <w:spacing w:line="480" w:lineRule="auto"/>
        <w:ind w:firstLine="420" w:firstLineChars="200"/>
        <w:jc w:val="both"/>
        <w:rPr>
          <w:rFonts w:ascii="Arial" w:hAnsi="Arial" w:cs="Arial"/>
          <w:kern w:val="44"/>
          <w:sz w:val="21"/>
          <w:szCs w:val="21"/>
        </w:rPr>
      </w:pPr>
      <w:bookmarkStart w:id="25" w:name="_Toc21159"/>
      <w:r>
        <w:rPr>
          <w:rFonts w:hint="eastAsia" w:ascii="Arial" w:hAnsi="Arial" w:cs="Arial"/>
          <w:kern w:val="44"/>
          <w:sz w:val="21"/>
          <w:szCs w:val="21"/>
        </w:rPr>
        <w:t>截至2021年6月30日，项目总计已签订合同 156份，已签订合同总价1,170,699,890.19元，已支付856,182,470.82元，合同付款百分比为73.13%。</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截至2021年6月30日，项目已支付成本（费用）金额</w:t>
      </w:r>
      <w:r>
        <w:rPr>
          <w:rFonts w:ascii="Arial" w:hAnsi="Arial" w:cs="Arial"/>
          <w:kern w:val="44"/>
          <w:sz w:val="21"/>
          <w:szCs w:val="21"/>
        </w:rPr>
        <w:t>893,433,518.63</w:t>
      </w:r>
      <w:r>
        <w:rPr>
          <w:rFonts w:hint="eastAsia" w:ascii="Arial" w:hAnsi="Arial" w:cs="Arial"/>
          <w:kern w:val="44"/>
          <w:sz w:val="21"/>
          <w:szCs w:val="21"/>
        </w:rPr>
        <w:t>元 ，其中土地成本792,554,747.04元，开发费用</w:t>
      </w:r>
      <w:r>
        <w:rPr>
          <w:rFonts w:ascii="Arial" w:hAnsi="Arial" w:cs="Arial"/>
          <w:kern w:val="44"/>
          <w:sz w:val="21"/>
          <w:szCs w:val="21"/>
        </w:rPr>
        <w:t>21,737,708.60</w:t>
      </w:r>
      <w:r>
        <w:rPr>
          <w:rFonts w:hint="eastAsia" w:ascii="Arial" w:hAnsi="Arial" w:cs="Arial"/>
          <w:kern w:val="44"/>
          <w:sz w:val="21"/>
          <w:szCs w:val="21"/>
        </w:rPr>
        <w:t>元，建安费用</w:t>
      </w:r>
      <w:r>
        <w:rPr>
          <w:rFonts w:ascii="Arial" w:hAnsi="Arial" w:cs="Arial"/>
          <w:kern w:val="44"/>
          <w:sz w:val="21"/>
          <w:szCs w:val="21"/>
        </w:rPr>
        <w:t>52,161,795.26</w:t>
      </w:r>
      <w:r>
        <w:rPr>
          <w:rFonts w:hint="eastAsia" w:ascii="Arial" w:hAnsi="Arial" w:cs="Arial"/>
          <w:kern w:val="44"/>
          <w:sz w:val="21"/>
          <w:szCs w:val="21"/>
        </w:rPr>
        <w:t>元，营建成本</w:t>
      </w:r>
      <w:r>
        <w:rPr>
          <w:rFonts w:ascii="Arial" w:hAnsi="Arial" w:cs="Arial"/>
          <w:kern w:val="44"/>
          <w:sz w:val="21"/>
          <w:szCs w:val="21"/>
        </w:rPr>
        <w:t>585,441.85</w:t>
      </w:r>
      <w:r>
        <w:rPr>
          <w:rFonts w:hint="eastAsia" w:ascii="Arial" w:hAnsi="Arial" w:cs="Arial"/>
          <w:kern w:val="44"/>
          <w:sz w:val="21"/>
          <w:szCs w:val="21"/>
        </w:rPr>
        <w:t>元，管理费用</w:t>
      </w:r>
      <w:r>
        <w:rPr>
          <w:rFonts w:ascii="Arial" w:hAnsi="Arial" w:cs="Arial"/>
          <w:kern w:val="44"/>
          <w:sz w:val="21"/>
          <w:szCs w:val="21"/>
        </w:rPr>
        <w:t>4,668,017.80</w:t>
      </w:r>
      <w:r>
        <w:rPr>
          <w:rFonts w:hint="eastAsia" w:ascii="Arial" w:hAnsi="Arial" w:cs="Arial"/>
          <w:kern w:val="44"/>
          <w:sz w:val="21"/>
          <w:szCs w:val="21"/>
        </w:rPr>
        <w:t>元，财务费用</w:t>
      </w:r>
      <w:r>
        <w:rPr>
          <w:rFonts w:ascii="Arial" w:hAnsi="Arial" w:cs="Arial"/>
          <w:kern w:val="44"/>
          <w:sz w:val="21"/>
          <w:szCs w:val="21"/>
        </w:rPr>
        <w:t>-740,785.83</w:t>
      </w:r>
      <w:r>
        <w:rPr>
          <w:rFonts w:hint="eastAsia" w:ascii="Arial" w:hAnsi="Arial" w:cs="Arial"/>
          <w:kern w:val="44"/>
          <w:sz w:val="21"/>
          <w:szCs w:val="21"/>
        </w:rPr>
        <w:t>元，销售费用</w:t>
      </w:r>
      <w:r>
        <w:rPr>
          <w:rFonts w:ascii="Arial" w:hAnsi="Arial" w:cs="Arial"/>
          <w:kern w:val="44"/>
          <w:sz w:val="21"/>
          <w:szCs w:val="21"/>
        </w:rPr>
        <w:t>4,461,089.75</w:t>
      </w:r>
      <w:r>
        <w:rPr>
          <w:rFonts w:hint="eastAsia" w:ascii="Arial" w:hAnsi="Arial" w:cs="Arial"/>
          <w:kern w:val="44"/>
          <w:sz w:val="21"/>
          <w:szCs w:val="21"/>
        </w:rPr>
        <w:t>元，税费</w:t>
      </w:r>
      <w:r>
        <w:rPr>
          <w:rFonts w:ascii="Arial" w:hAnsi="Arial" w:cs="Arial"/>
          <w:kern w:val="44"/>
          <w:sz w:val="21"/>
          <w:szCs w:val="21"/>
        </w:rPr>
        <w:t>17,453,318.24</w:t>
      </w:r>
      <w:r>
        <w:rPr>
          <w:rFonts w:hint="eastAsia" w:ascii="Arial" w:hAnsi="Arial" w:cs="Arial"/>
          <w:kern w:val="44"/>
          <w:sz w:val="21"/>
          <w:szCs w:val="21"/>
        </w:rPr>
        <w:t>元，其他支出</w:t>
      </w:r>
      <w:r>
        <w:rPr>
          <w:rFonts w:ascii="Arial" w:hAnsi="Arial" w:cs="Arial"/>
          <w:kern w:val="44"/>
          <w:sz w:val="21"/>
          <w:szCs w:val="21"/>
        </w:rPr>
        <w:t xml:space="preserve">552,185.92 </w:t>
      </w:r>
      <w:r>
        <w:rPr>
          <w:rFonts w:hint="eastAsia" w:ascii="Arial" w:hAnsi="Arial" w:cs="Arial"/>
          <w:kern w:val="44"/>
          <w:sz w:val="21"/>
          <w:szCs w:val="21"/>
        </w:rPr>
        <w:t>元。</w:t>
      </w:r>
    </w:p>
    <w:p>
      <w:pPr>
        <w:widowControl w:val="0"/>
        <w:spacing w:line="480" w:lineRule="auto"/>
        <w:ind w:firstLine="420" w:firstLineChars="200"/>
        <w:jc w:val="center"/>
        <w:rPr>
          <w:rFonts w:ascii="宋体" w:hAnsi="宋体" w:cs="宋体"/>
          <w:b/>
          <w:bCs/>
          <w:sz w:val="21"/>
          <w:szCs w:val="21"/>
        </w:rPr>
      </w:pPr>
      <w:r>
        <w:rPr>
          <w:rFonts w:hint="eastAsia" w:ascii="宋体" w:hAnsi="宋体" w:cs="宋体"/>
          <w:b/>
          <w:bCs/>
          <w:color w:val="000000"/>
          <w:sz w:val="21"/>
          <w:szCs w:val="21"/>
        </w:rPr>
        <w:t>表四：</w:t>
      </w:r>
      <w:r>
        <w:rPr>
          <w:rFonts w:hint="eastAsia" w:ascii="宋体" w:hAnsi="宋体" w:cs="宋体"/>
          <w:b/>
          <w:bCs/>
          <w:sz w:val="21"/>
          <w:szCs w:val="21"/>
        </w:rPr>
        <w:t>项目成本执行情况</w:t>
      </w:r>
      <w:bookmarkEnd w:id="25"/>
    </w:p>
    <w:tbl>
      <w:tblPr>
        <w:tblStyle w:val="18"/>
        <w:tblW w:w="9690" w:type="dxa"/>
        <w:tblInd w:w="40" w:type="dxa"/>
        <w:tblBorders>
          <w:top w:val="double" w:color="auto" w:sz="6" w:space="0"/>
          <w:left w:val="none" w:color="auto" w:sz="0" w:space="0"/>
          <w:bottom w:val="double" w:color="auto" w:sz="6"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00"/>
        <w:gridCol w:w="1305"/>
        <w:gridCol w:w="915"/>
        <w:gridCol w:w="1755"/>
        <w:gridCol w:w="1911"/>
        <w:gridCol w:w="1555"/>
        <w:gridCol w:w="1649"/>
      </w:tblGrid>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4" w:hRule="atLeast"/>
          <w:tblHeader/>
        </w:trPr>
        <w:tc>
          <w:tcPr>
            <w:tcW w:w="600" w:type="dxa"/>
            <w:tcBorders>
              <w:top w:val="single" w:color="auto" w:sz="4" w:space="0"/>
              <w:lef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305" w:type="dxa"/>
            <w:tcBorders>
              <w:top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类别</w:t>
            </w:r>
          </w:p>
        </w:tc>
        <w:tc>
          <w:tcPr>
            <w:tcW w:w="915" w:type="dxa"/>
            <w:tcBorders>
              <w:top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合同</w:t>
            </w:r>
          </w:p>
          <w:p>
            <w:pPr>
              <w:jc w:val="center"/>
              <w:rPr>
                <w:rFonts w:ascii="Arial" w:hAnsi="Arial" w:cs="Arial"/>
                <w:b/>
                <w:bCs/>
                <w:color w:val="000000"/>
                <w:sz w:val="18"/>
                <w:szCs w:val="18"/>
              </w:rPr>
            </w:pPr>
            <w:r>
              <w:rPr>
                <w:rFonts w:ascii="Arial" w:hAnsi="Arial" w:cs="Arial"/>
                <w:b/>
                <w:bCs/>
                <w:color w:val="000000"/>
                <w:sz w:val="18"/>
                <w:szCs w:val="18"/>
              </w:rPr>
              <w:t>份数</w:t>
            </w:r>
          </w:p>
        </w:tc>
        <w:tc>
          <w:tcPr>
            <w:tcW w:w="1755" w:type="dxa"/>
            <w:tcBorders>
              <w:top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目标成本</w:t>
            </w:r>
            <w:r>
              <w:rPr>
                <w:rFonts w:hint="eastAsia" w:ascii="Arial" w:hAnsi="Arial" w:cs="Arial"/>
                <w:b/>
                <w:bCs/>
                <w:color w:val="000000"/>
                <w:sz w:val="18"/>
                <w:szCs w:val="18"/>
              </w:rPr>
              <w:t>（元）</w:t>
            </w:r>
          </w:p>
        </w:tc>
        <w:tc>
          <w:tcPr>
            <w:tcW w:w="1911" w:type="dxa"/>
            <w:tcBorders>
              <w:top w:val="single" w:color="auto"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已发生成本（合同金额+已发生的无合同成本）</w:t>
            </w:r>
          </w:p>
        </w:tc>
        <w:tc>
          <w:tcPr>
            <w:tcW w:w="1555" w:type="dxa"/>
            <w:tcBorders>
              <w:top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累计付款（元）</w:t>
            </w:r>
          </w:p>
        </w:tc>
        <w:tc>
          <w:tcPr>
            <w:tcW w:w="1649" w:type="dxa"/>
            <w:tcBorders>
              <w:top w:val="single" w:color="auto" w:sz="4" w:space="0"/>
              <w:right w:val="single" w:color="auto" w:sz="4" w:space="0"/>
            </w:tcBorders>
            <w:vAlign w:val="center"/>
          </w:tcPr>
          <w:p>
            <w:pPr>
              <w:jc w:val="center"/>
              <w:rPr>
                <w:rFonts w:ascii="Arial" w:hAnsi="Arial" w:cs="Arial"/>
                <w:b/>
                <w:bCs/>
                <w:color w:val="000000"/>
                <w:sz w:val="18"/>
                <w:szCs w:val="18"/>
              </w:rPr>
            </w:pPr>
            <w:r>
              <w:rPr>
                <w:rFonts w:hint="eastAsia" w:ascii="Arial" w:hAnsi="Arial" w:cs="Arial"/>
                <w:b/>
                <w:bCs/>
                <w:color w:val="000000"/>
                <w:sz w:val="18"/>
                <w:szCs w:val="18"/>
              </w:rPr>
              <w:t>成本发生占比（已发生成本/目标成本）</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2" w:hRule="atLeast"/>
        </w:trPr>
        <w:tc>
          <w:tcPr>
            <w:tcW w:w="600" w:type="dxa"/>
            <w:tcBorders>
              <w:lef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1</w:t>
            </w:r>
          </w:p>
        </w:tc>
        <w:tc>
          <w:tcPr>
            <w:tcW w:w="1305" w:type="dxa"/>
            <w:shd w:val="clear" w:color="auto" w:fill="auto"/>
            <w:vAlign w:val="center"/>
          </w:tcPr>
          <w:p>
            <w:pPr>
              <w:jc w:val="center"/>
              <w:textAlignment w:val="center"/>
              <w:rPr>
                <w:rFonts w:ascii="Arial" w:hAnsi="Arial" w:cs="Arial"/>
                <w:color w:val="000000"/>
                <w:kern w:val="2"/>
                <w:sz w:val="18"/>
                <w:szCs w:val="18"/>
                <w:lang w:bidi="ar"/>
              </w:rPr>
            </w:pPr>
            <w:r>
              <w:rPr>
                <w:rFonts w:ascii="Arial" w:hAnsi="Arial" w:cs="Arial"/>
                <w:color w:val="000000"/>
                <w:sz w:val="18"/>
                <w:szCs w:val="18"/>
                <w:lang w:bidi="ar"/>
              </w:rPr>
              <w:t>土地合同</w:t>
            </w:r>
          </w:p>
        </w:tc>
        <w:tc>
          <w:tcPr>
            <w:tcW w:w="91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755" w:type="dxa"/>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797,280,000.00</w:t>
            </w:r>
          </w:p>
        </w:tc>
        <w:tc>
          <w:tcPr>
            <w:tcW w:w="1911" w:type="dxa"/>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797,280,233.08 </w:t>
            </w:r>
          </w:p>
        </w:tc>
        <w:tc>
          <w:tcPr>
            <w:tcW w:w="1555" w:type="dxa"/>
            <w:tcBorders>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792,554,747.04 </w:t>
            </w:r>
          </w:p>
        </w:tc>
        <w:tc>
          <w:tcPr>
            <w:tcW w:w="1649" w:type="dxa"/>
            <w:tcBorders>
              <w:right w:val="single" w:color="auto" w:sz="4" w:space="0"/>
            </w:tcBorders>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100.00%</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600" w:type="dxa"/>
            <w:tcBorders>
              <w:lef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w:t>
            </w:r>
          </w:p>
        </w:tc>
        <w:tc>
          <w:tcPr>
            <w:tcW w:w="1305" w:type="dxa"/>
            <w:shd w:val="clear" w:color="auto" w:fill="auto"/>
            <w:vAlign w:val="center"/>
          </w:tcPr>
          <w:p>
            <w:pPr>
              <w:jc w:val="center"/>
              <w:textAlignment w:val="center"/>
              <w:rPr>
                <w:rFonts w:ascii="Arial" w:hAnsi="Arial" w:cs="Arial"/>
                <w:color w:val="000000"/>
                <w:kern w:val="2"/>
                <w:sz w:val="18"/>
                <w:szCs w:val="18"/>
                <w:lang w:bidi="ar"/>
              </w:rPr>
            </w:pPr>
            <w:r>
              <w:rPr>
                <w:rFonts w:hint="eastAsia" w:ascii="Arial" w:hAnsi="Arial" w:cs="Arial"/>
                <w:color w:val="000000"/>
                <w:sz w:val="18"/>
                <w:szCs w:val="18"/>
                <w:lang w:bidi="ar"/>
              </w:rPr>
              <w:t>开发费用</w:t>
            </w:r>
          </w:p>
        </w:tc>
        <w:tc>
          <w:tcPr>
            <w:tcW w:w="91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33</w:t>
            </w:r>
          </w:p>
        </w:tc>
        <w:tc>
          <w:tcPr>
            <w:tcW w:w="1755" w:type="dxa"/>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72,190,000.00</w:t>
            </w:r>
          </w:p>
        </w:tc>
        <w:tc>
          <w:tcPr>
            <w:tcW w:w="1911" w:type="dxa"/>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28,752,164.20 </w:t>
            </w:r>
          </w:p>
        </w:tc>
        <w:tc>
          <w:tcPr>
            <w:tcW w:w="1555" w:type="dxa"/>
            <w:tcBorders>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21,737,708.60 </w:t>
            </w:r>
          </w:p>
        </w:tc>
        <w:tc>
          <w:tcPr>
            <w:tcW w:w="1649" w:type="dxa"/>
            <w:tcBorders>
              <w:right w:val="single" w:color="auto" w:sz="4" w:space="0"/>
            </w:tcBorders>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39.83%</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600" w:type="dxa"/>
            <w:tcBorders>
              <w:lef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3</w:t>
            </w:r>
          </w:p>
        </w:tc>
        <w:tc>
          <w:tcPr>
            <w:tcW w:w="1305" w:type="dxa"/>
            <w:shd w:val="clear" w:color="auto" w:fill="auto"/>
            <w:vAlign w:val="center"/>
          </w:tcPr>
          <w:p>
            <w:pPr>
              <w:jc w:val="center"/>
              <w:textAlignment w:val="center"/>
              <w:rPr>
                <w:rFonts w:ascii="Arial" w:hAnsi="Arial" w:cs="Arial"/>
                <w:color w:val="000000"/>
                <w:kern w:val="2"/>
                <w:sz w:val="18"/>
                <w:szCs w:val="18"/>
                <w:lang w:bidi="ar"/>
              </w:rPr>
            </w:pPr>
            <w:r>
              <w:rPr>
                <w:rFonts w:hint="eastAsia" w:ascii="Arial" w:hAnsi="Arial" w:cs="Arial"/>
                <w:color w:val="000000"/>
                <w:sz w:val="18"/>
                <w:szCs w:val="18"/>
                <w:lang w:bidi="ar"/>
              </w:rPr>
              <w:t>建安费用</w:t>
            </w:r>
          </w:p>
        </w:tc>
        <w:tc>
          <w:tcPr>
            <w:tcW w:w="91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21</w:t>
            </w:r>
          </w:p>
        </w:tc>
        <w:tc>
          <w:tcPr>
            <w:tcW w:w="1755" w:type="dxa"/>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1,067,930,000.00</w:t>
            </w:r>
          </w:p>
        </w:tc>
        <w:tc>
          <w:tcPr>
            <w:tcW w:w="1911" w:type="dxa"/>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352,115,690.45 </w:t>
            </w:r>
          </w:p>
        </w:tc>
        <w:tc>
          <w:tcPr>
            <w:tcW w:w="1555" w:type="dxa"/>
            <w:tcBorders>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52,161,795.26 </w:t>
            </w:r>
          </w:p>
        </w:tc>
        <w:tc>
          <w:tcPr>
            <w:tcW w:w="1649" w:type="dxa"/>
            <w:tcBorders>
              <w:right w:val="single" w:color="auto" w:sz="4" w:space="0"/>
            </w:tcBorders>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32.97%</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600" w:type="dxa"/>
            <w:tcBorders>
              <w:lef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4</w:t>
            </w:r>
          </w:p>
        </w:tc>
        <w:tc>
          <w:tcPr>
            <w:tcW w:w="1305" w:type="dxa"/>
            <w:shd w:val="clear" w:color="auto" w:fill="auto"/>
            <w:vAlign w:val="center"/>
          </w:tcPr>
          <w:p>
            <w:pPr>
              <w:jc w:val="center"/>
              <w:textAlignment w:val="center"/>
              <w:rPr>
                <w:rFonts w:ascii="Arial" w:hAnsi="Arial" w:cs="Arial"/>
                <w:color w:val="000000"/>
                <w:kern w:val="2"/>
                <w:sz w:val="18"/>
                <w:szCs w:val="18"/>
                <w:lang w:bidi="ar"/>
              </w:rPr>
            </w:pPr>
            <w:r>
              <w:rPr>
                <w:rFonts w:hint="eastAsia" w:ascii="Arial" w:hAnsi="Arial" w:cs="Arial"/>
                <w:color w:val="000000"/>
                <w:sz w:val="18"/>
                <w:szCs w:val="18"/>
                <w:lang w:bidi="ar"/>
              </w:rPr>
              <w:t>营建成本</w:t>
            </w:r>
          </w:p>
        </w:tc>
        <w:tc>
          <w:tcPr>
            <w:tcW w:w="91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755" w:type="dxa"/>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15,880,000.00</w:t>
            </w:r>
          </w:p>
        </w:tc>
        <w:tc>
          <w:tcPr>
            <w:tcW w:w="1911" w:type="dxa"/>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1,510,512.56 </w:t>
            </w:r>
          </w:p>
        </w:tc>
        <w:tc>
          <w:tcPr>
            <w:tcW w:w="1555" w:type="dxa"/>
            <w:tcBorders>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585,441.85 </w:t>
            </w:r>
          </w:p>
        </w:tc>
        <w:tc>
          <w:tcPr>
            <w:tcW w:w="1649" w:type="dxa"/>
            <w:tcBorders>
              <w:right w:val="single" w:color="auto" w:sz="4" w:space="0"/>
            </w:tcBorders>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9.51%</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600" w:type="dxa"/>
            <w:tcBorders>
              <w:lef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5</w:t>
            </w:r>
          </w:p>
        </w:tc>
        <w:tc>
          <w:tcPr>
            <w:tcW w:w="1305" w:type="dxa"/>
            <w:shd w:val="clear" w:color="auto" w:fill="auto"/>
            <w:vAlign w:val="center"/>
          </w:tcPr>
          <w:p>
            <w:pPr>
              <w:jc w:val="center"/>
              <w:textAlignment w:val="center"/>
              <w:rPr>
                <w:rFonts w:ascii="Arial" w:hAnsi="Arial" w:cs="Arial"/>
                <w:color w:val="000000"/>
                <w:kern w:val="2"/>
                <w:sz w:val="18"/>
                <w:szCs w:val="18"/>
                <w:lang w:bidi="ar"/>
              </w:rPr>
            </w:pPr>
            <w:r>
              <w:rPr>
                <w:rFonts w:hint="eastAsia" w:ascii="Arial" w:hAnsi="Arial" w:cs="Arial"/>
                <w:color w:val="000000"/>
                <w:sz w:val="18"/>
                <w:szCs w:val="18"/>
                <w:lang w:bidi="ar"/>
              </w:rPr>
              <w:t>开发成本小计</w:t>
            </w:r>
          </w:p>
        </w:tc>
        <w:tc>
          <w:tcPr>
            <w:tcW w:w="91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56</w:t>
            </w:r>
          </w:p>
        </w:tc>
        <w:tc>
          <w:tcPr>
            <w:tcW w:w="1755" w:type="dxa"/>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1,953,280,000.00</w:t>
            </w:r>
          </w:p>
        </w:tc>
        <w:tc>
          <w:tcPr>
            <w:tcW w:w="1911"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1,179,658,600.29 </w:t>
            </w:r>
          </w:p>
        </w:tc>
        <w:tc>
          <w:tcPr>
            <w:tcW w:w="1555" w:type="dxa"/>
            <w:tcBorders>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867,039,692.75 </w:t>
            </w:r>
          </w:p>
        </w:tc>
        <w:tc>
          <w:tcPr>
            <w:tcW w:w="1649" w:type="dxa"/>
            <w:tcBorders>
              <w:right w:val="single" w:color="auto" w:sz="4" w:space="0"/>
            </w:tcBorders>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60.39%</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600" w:type="dxa"/>
            <w:tcBorders>
              <w:lef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6</w:t>
            </w:r>
          </w:p>
        </w:tc>
        <w:tc>
          <w:tcPr>
            <w:tcW w:w="1305" w:type="dxa"/>
            <w:shd w:val="clear" w:color="auto" w:fill="auto"/>
            <w:vAlign w:val="center"/>
          </w:tcPr>
          <w:p>
            <w:pPr>
              <w:jc w:val="center"/>
              <w:textAlignment w:val="center"/>
              <w:rPr>
                <w:rFonts w:ascii="Arial" w:hAnsi="Arial" w:cs="Arial"/>
                <w:color w:val="000000"/>
                <w:kern w:val="2"/>
                <w:sz w:val="18"/>
                <w:szCs w:val="18"/>
                <w:lang w:bidi="ar"/>
              </w:rPr>
            </w:pPr>
            <w:r>
              <w:rPr>
                <w:rFonts w:hint="eastAsia" w:ascii="Arial" w:hAnsi="Arial" w:cs="Arial"/>
                <w:color w:val="000000"/>
                <w:sz w:val="18"/>
                <w:szCs w:val="18"/>
                <w:lang w:bidi="ar"/>
              </w:rPr>
              <w:t>管理费用</w:t>
            </w:r>
          </w:p>
        </w:tc>
        <w:tc>
          <w:tcPr>
            <w:tcW w:w="91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755" w:type="dxa"/>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71,070,000.00</w:t>
            </w:r>
          </w:p>
        </w:tc>
        <w:tc>
          <w:tcPr>
            <w:tcW w:w="1911"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4,737,189.80 </w:t>
            </w:r>
          </w:p>
        </w:tc>
        <w:tc>
          <w:tcPr>
            <w:tcW w:w="1555" w:type="dxa"/>
            <w:tcBorders>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4,668,017.80 </w:t>
            </w:r>
          </w:p>
        </w:tc>
        <w:tc>
          <w:tcPr>
            <w:tcW w:w="1649" w:type="dxa"/>
            <w:tcBorders>
              <w:right w:val="single" w:color="auto" w:sz="4" w:space="0"/>
            </w:tcBorders>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6.67%</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600" w:type="dxa"/>
            <w:tcBorders>
              <w:lef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7</w:t>
            </w:r>
          </w:p>
        </w:tc>
        <w:tc>
          <w:tcPr>
            <w:tcW w:w="1305" w:type="dxa"/>
            <w:shd w:val="clear" w:color="auto" w:fill="auto"/>
            <w:vAlign w:val="center"/>
          </w:tcPr>
          <w:p>
            <w:pPr>
              <w:jc w:val="center"/>
              <w:textAlignment w:val="center"/>
              <w:rPr>
                <w:rFonts w:ascii="Arial" w:hAnsi="Arial" w:cs="Arial"/>
                <w:color w:val="000000"/>
                <w:kern w:val="2"/>
                <w:sz w:val="18"/>
                <w:szCs w:val="18"/>
                <w:lang w:bidi="ar"/>
              </w:rPr>
            </w:pPr>
            <w:r>
              <w:rPr>
                <w:rFonts w:hint="eastAsia" w:ascii="Arial" w:hAnsi="Arial" w:cs="Arial"/>
                <w:color w:val="000000"/>
                <w:sz w:val="18"/>
                <w:szCs w:val="18"/>
                <w:lang w:bidi="ar"/>
              </w:rPr>
              <w:t>财务费用</w:t>
            </w:r>
          </w:p>
        </w:tc>
        <w:tc>
          <w:tcPr>
            <w:tcW w:w="91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c>
          <w:tcPr>
            <w:tcW w:w="1755" w:type="dxa"/>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0.00</w:t>
            </w:r>
          </w:p>
        </w:tc>
        <w:tc>
          <w:tcPr>
            <w:tcW w:w="1911"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-740,785.83 </w:t>
            </w:r>
          </w:p>
        </w:tc>
        <w:tc>
          <w:tcPr>
            <w:tcW w:w="1555" w:type="dxa"/>
            <w:tcBorders>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-740,785.83 </w:t>
            </w:r>
          </w:p>
        </w:tc>
        <w:tc>
          <w:tcPr>
            <w:tcW w:w="1649" w:type="dxa"/>
            <w:tcBorders>
              <w:right w:val="single" w:color="auto" w:sz="4" w:space="0"/>
            </w:tcBorders>
          </w:tcPr>
          <w:p>
            <w:pPr>
              <w:jc w:val="center"/>
              <w:textAlignment w:val="center"/>
              <w:rPr>
                <w:rFonts w:ascii="Arial" w:hAnsi="Arial" w:cs="Arial"/>
                <w:color w:val="000000"/>
                <w:sz w:val="18"/>
                <w:szCs w:val="18"/>
                <w:lang w:bidi="ar"/>
              </w:rPr>
            </w:pP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600" w:type="dxa"/>
            <w:tcBorders>
              <w:lef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8</w:t>
            </w:r>
          </w:p>
        </w:tc>
        <w:tc>
          <w:tcPr>
            <w:tcW w:w="1305" w:type="dxa"/>
            <w:shd w:val="clear" w:color="auto" w:fill="auto"/>
            <w:vAlign w:val="center"/>
          </w:tcPr>
          <w:p>
            <w:pPr>
              <w:jc w:val="center"/>
              <w:textAlignment w:val="center"/>
              <w:rPr>
                <w:rFonts w:ascii="Arial" w:hAnsi="Arial" w:cs="Arial"/>
                <w:color w:val="000000"/>
                <w:kern w:val="2"/>
                <w:sz w:val="18"/>
                <w:szCs w:val="18"/>
                <w:lang w:bidi="ar"/>
              </w:rPr>
            </w:pPr>
            <w:r>
              <w:rPr>
                <w:rFonts w:hint="eastAsia" w:ascii="Arial" w:hAnsi="Arial" w:cs="Arial"/>
                <w:color w:val="000000"/>
                <w:sz w:val="18"/>
                <w:szCs w:val="18"/>
                <w:lang w:bidi="ar"/>
              </w:rPr>
              <w:t>销售费用</w:t>
            </w:r>
          </w:p>
        </w:tc>
        <w:tc>
          <w:tcPr>
            <w:tcW w:w="91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97</w:t>
            </w:r>
          </w:p>
        </w:tc>
        <w:tc>
          <w:tcPr>
            <w:tcW w:w="1755" w:type="dxa"/>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47,380,000.00</w:t>
            </w:r>
          </w:p>
        </w:tc>
        <w:tc>
          <w:tcPr>
            <w:tcW w:w="1911"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6,290,429.58 </w:t>
            </w:r>
          </w:p>
        </w:tc>
        <w:tc>
          <w:tcPr>
            <w:tcW w:w="1555" w:type="dxa"/>
            <w:tcBorders>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4,461,089.75 </w:t>
            </w:r>
          </w:p>
        </w:tc>
        <w:tc>
          <w:tcPr>
            <w:tcW w:w="1649" w:type="dxa"/>
            <w:tcBorders>
              <w:right w:val="single" w:color="auto" w:sz="4" w:space="0"/>
            </w:tcBorders>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13.28%</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2" w:hRule="atLeast"/>
        </w:trPr>
        <w:tc>
          <w:tcPr>
            <w:tcW w:w="600" w:type="dxa"/>
            <w:tcBorders>
              <w:lef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9</w:t>
            </w:r>
          </w:p>
        </w:tc>
        <w:tc>
          <w:tcPr>
            <w:tcW w:w="1305" w:type="dxa"/>
            <w:shd w:val="clear" w:color="auto" w:fill="auto"/>
            <w:vAlign w:val="center"/>
          </w:tcPr>
          <w:p>
            <w:pPr>
              <w:jc w:val="center"/>
              <w:textAlignment w:val="center"/>
              <w:rPr>
                <w:rFonts w:ascii="Arial" w:hAnsi="Arial" w:cs="Arial"/>
                <w:color w:val="000000"/>
                <w:kern w:val="2"/>
                <w:sz w:val="18"/>
                <w:szCs w:val="18"/>
                <w:lang w:bidi="ar"/>
              </w:rPr>
            </w:pPr>
            <w:r>
              <w:rPr>
                <w:rFonts w:ascii="Arial" w:hAnsi="Arial" w:cs="Arial"/>
                <w:color w:val="000000"/>
                <w:sz w:val="18"/>
                <w:szCs w:val="18"/>
                <w:lang w:bidi="ar"/>
              </w:rPr>
              <w:t>税费</w:t>
            </w:r>
          </w:p>
        </w:tc>
        <w:tc>
          <w:tcPr>
            <w:tcW w:w="91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c>
          <w:tcPr>
            <w:tcW w:w="1755" w:type="dxa"/>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220,000,000.00</w:t>
            </w:r>
          </w:p>
        </w:tc>
        <w:tc>
          <w:tcPr>
            <w:tcW w:w="1911"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17,453,318.24 </w:t>
            </w:r>
          </w:p>
        </w:tc>
        <w:tc>
          <w:tcPr>
            <w:tcW w:w="1555" w:type="dxa"/>
            <w:tcBorders>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17,453,318.24 </w:t>
            </w:r>
          </w:p>
        </w:tc>
        <w:tc>
          <w:tcPr>
            <w:tcW w:w="1649" w:type="dxa"/>
            <w:tcBorders>
              <w:right w:val="single" w:color="auto" w:sz="4" w:space="0"/>
            </w:tcBorders>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7.93%</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3" w:hRule="atLeast"/>
        </w:trPr>
        <w:tc>
          <w:tcPr>
            <w:tcW w:w="600" w:type="dxa"/>
            <w:tcBorders>
              <w:left w:val="single" w:color="auto" w:sz="4" w:space="0"/>
              <w:bottom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10</w:t>
            </w:r>
          </w:p>
        </w:tc>
        <w:tc>
          <w:tcPr>
            <w:tcW w:w="1305" w:type="dxa"/>
            <w:tcBorders>
              <w:bottom w:val="single" w:color="auto" w:sz="4" w:space="0"/>
            </w:tcBorders>
            <w:shd w:val="clear" w:color="auto" w:fill="auto"/>
            <w:vAlign w:val="center"/>
          </w:tcPr>
          <w:p>
            <w:pPr>
              <w:jc w:val="center"/>
              <w:textAlignment w:val="center"/>
              <w:rPr>
                <w:rFonts w:ascii="Arial" w:hAnsi="Arial" w:cs="Arial"/>
                <w:color w:val="000000"/>
                <w:kern w:val="2"/>
                <w:sz w:val="18"/>
                <w:szCs w:val="18"/>
                <w:lang w:bidi="ar"/>
              </w:rPr>
            </w:pPr>
            <w:r>
              <w:rPr>
                <w:rFonts w:hint="eastAsia" w:ascii="Arial" w:hAnsi="Arial" w:cs="Arial"/>
                <w:color w:val="000000"/>
                <w:sz w:val="18"/>
                <w:szCs w:val="18"/>
                <w:lang w:bidi="ar"/>
              </w:rPr>
              <w:t>其他支出</w:t>
            </w:r>
          </w:p>
        </w:tc>
        <w:tc>
          <w:tcPr>
            <w:tcW w:w="915" w:type="dxa"/>
            <w:tcBorders>
              <w:bottom w:val="single" w:color="auto"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c>
          <w:tcPr>
            <w:tcW w:w="1755" w:type="dxa"/>
            <w:tcBorders>
              <w:bottom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0.00</w:t>
            </w:r>
          </w:p>
        </w:tc>
        <w:tc>
          <w:tcPr>
            <w:tcW w:w="1911" w:type="dxa"/>
            <w:tcBorders>
              <w:bottom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552,185.92 </w:t>
            </w:r>
          </w:p>
        </w:tc>
        <w:tc>
          <w:tcPr>
            <w:tcW w:w="1555" w:type="dxa"/>
            <w:tcBorders>
              <w:bottom w:val="single" w:color="auto" w:sz="4" w:space="0"/>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552,185.92 </w:t>
            </w:r>
          </w:p>
        </w:tc>
        <w:tc>
          <w:tcPr>
            <w:tcW w:w="1649" w:type="dxa"/>
            <w:tcBorders>
              <w:bottom w:val="single" w:color="auto" w:sz="4" w:space="0"/>
              <w:right w:val="single" w:color="auto" w:sz="4" w:space="0"/>
            </w:tcBorders>
          </w:tcPr>
          <w:p>
            <w:pPr>
              <w:jc w:val="center"/>
              <w:textAlignment w:val="center"/>
              <w:rPr>
                <w:rFonts w:ascii="Arial" w:hAnsi="Arial" w:cs="Arial"/>
                <w:color w:val="000000"/>
                <w:sz w:val="18"/>
                <w:szCs w:val="18"/>
                <w:lang w:bidi="ar"/>
              </w:rPr>
            </w:pP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3" w:hRule="atLeast"/>
        </w:trPr>
        <w:tc>
          <w:tcPr>
            <w:tcW w:w="600" w:type="dxa"/>
            <w:tcBorders>
              <w:left w:val="single" w:color="auto" w:sz="4" w:space="0"/>
              <w:bottom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11</w:t>
            </w:r>
          </w:p>
        </w:tc>
        <w:tc>
          <w:tcPr>
            <w:tcW w:w="1305" w:type="dxa"/>
            <w:tcBorders>
              <w:bottom w:val="single" w:color="auto" w:sz="4" w:space="0"/>
            </w:tcBorders>
            <w:shd w:val="clear" w:color="auto" w:fill="auto"/>
            <w:vAlign w:val="center"/>
          </w:tcPr>
          <w:p>
            <w:pPr>
              <w:jc w:val="center"/>
              <w:textAlignment w:val="center"/>
              <w:rPr>
                <w:rFonts w:ascii="Arial" w:hAnsi="Arial" w:cs="Arial"/>
                <w:color w:val="000000"/>
                <w:kern w:val="2"/>
                <w:sz w:val="18"/>
                <w:szCs w:val="18"/>
                <w:lang w:bidi="ar"/>
              </w:rPr>
            </w:pPr>
            <w:r>
              <w:rPr>
                <w:rFonts w:ascii="Arial" w:hAnsi="Arial" w:cs="Arial"/>
                <w:color w:val="000000"/>
                <w:sz w:val="18"/>
                <w:szCs w:val="18"/>
                <w:lang w:bidi="ar"/>
              </w:rPr>
              <w:t>合计</w:t>
            </w:r>
          </w:p>
        </w:tc>
        <w:tc>
          <w:tcPr>
            <w:tcW w:w="915" w:type="dxa"/>
            <w:tcBorders>
              <w:bottom w:val="single" w:color="auto"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156</w:t>
            </w:r>
          </w:p>
        </w:tc>
        <w:tc>
          <w:tcPr>
            <w:tcW w:w="1755" w:type="dxa"/>
            <w:tcBorders>
              <w:bottom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hint="eastAsia" w:ascii="Arial" w:hAnsi="Arial" w:cs="Arial"/>
                <w:color w:val="000000"/>
                <w:sz w:val="18"/>
                <w:szCs w:val="18"/>
                <w:lang w:bidi="ar"/>
              </w:rPr>
              <w:t>2,291,730,000.00</w:t>
            </w:r>
          </w:p>
        </w:tc>
        <w:tc>
          <w:tcPr>
            <w:tcW w:w="1911" w:type="dxa"/>
            <w:tcBorders>
              <w:bottom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1,207,950,938.00 </w:t>
            </w:r>
          </w:p>
        </w:tc>
        <w:tc>
          <w:tcPr>
            <w:tcW w:w="1555" w:type="dxa"/>
            <w:tcBorders>
              <w:bottom w:val="single" w:color="auto" w:sz="4" w:space="0"/>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893,433,518.63 </w:t>
            </w:r>
          </w:p>
        </w:tc>
        <w:tc>
          <w:tcPr>
            <w:tcW w:w="1649" w:type="dxa"/>
            <w:tcBorders>
              <w:bottom w:val="single" w:color="auto" w:sz="4" w:space="0"/>
              <w:right w:val="single" w:color="auto" w:sz="4" w:space="0"/>
            </w:tcBorders>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52.71%</w:t>
            </w:r>
          </w:p>
        </w:tc>
      </w:tr>
    </w:tbl>
    <w:p>
      <w:pPr>
        <w:pStyle w:val="3"/>
        <w:keepNext w:val="0"/>
        <w:keepLines w:val="0"/>
        <w:spacing w:before="300" w:after="300" w:line="360" w:lineRule="exact"/>
        <w:jc w:val="left"/>
        <w:rPr>
          <w:rFonts w:ascii="Arial" w:hAnsi="Arial" w:eastAsia="宋体" w:cs="Arial"/>
          <w:bCs/>
          <w:color w:val="000000"/>
          <w:sz w:val="24"/>
          <w:szCs w:val="24"/>
        </w:rPr>
      </w:pPr>
      <w:bookmarkStart w:id="26" w:name="_Toc66115200"/>
      <w:bookmarkStart w:id="27" w:name="_Toc13499"/>
      <w:bookmarkStart w:id="28" w:name="_Toc24614"/>
      <w:r>
        <w:rPr>
          <w:rFonts w:hint="eastAsia" w:ascii="Arial" w:hAnsi="Arial" w:eastAsia="宋体" w:cs="Arial"/>
          <w:bCs/>
          <w:color w:val="000000"/>
          <w:sz w:val="24"/>
          <w:szCs w:val="24"/>
        </w:rPr>
        <w:t>六、项目销售情况统计</w:t>
      </w:r>
      <w:bookmarkEnd w:id="26"/>
      <w:bookmarkEnd w:id="27"/>
      <w:bookmarkEnd w:id="28"/>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1.项目推盘情况</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项目于2020年10月17日首次开盘住宅203套（20,264.23㎡），于2020年12月5日推盘203套（19,681.46㎡），于2021年4月23日推盘203套（20,264.23㎡）截至本报告日累计开盘609套（60,209.92㎡）。</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2.销售去化情况</w:t>
      </w:r>
    </w:p>
    <w:p>
      <w:pPr>
        <w:widowControl w:val="0"/>
        <w:spacing w:line="480" w:lineRule="auto"/>
        <w:ind w:firstLine="420" w:firstLineChars="200"/>
        <w:jc w:val="both"/>
        <w:rPr>
          <w:rFonts w:ascii="Arial" w:hAnsi="Arial" w:cs="Arial"/>
          <w:kern w:val="44"/>
          <w:sz w:val="21"/>
          <w:szCs w:val="21"/>
        </w:rPr>
      </w:pPr>
      <w:bookmarkStart w:id="29" w:name="_Toc23067"/>
      <w:r>
        <w:rPr>
          <w:rFonts w:hint="eastAsia" w:ascii="Arial" w:hAnsi="Arial" w:cs="Arial"/>
          <w:kern w:val="44"/>
          <w:sz w:val="21"/>
          <w:szCs w:val="21"/>
        </w:rPr>
        <w:t>本月：2021年6月共计销售37套，销售合同金额30,083,911.00元，回款26,341,404.91元；</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累计：累计销售面积</w:t>
      </w:r>
      <w:r>
        <w:rPr>
          <w:rFonts w:ascii="Arial" w:hAnsi="Arial" w:cs="Arial"/>
          <w:kern w:val="44"/>
          <w:sz w:val="21"/>
          <w:szCs w:val="21"/>
        </w:rPr>
        <w:t>35,349.79</w:t>
      </w:r>
      <w:r>
        <w:rPr>
          <w:rFonts w:hint="eastAsia" w:ascii="Arial" w:hAnsi="Arial" w:cs="Arial"/>
          <w:kern w:val="44"/>
          <w:sz w:val="21"/>
          <w:szCs w:val="21"/>
        </w:rPr>
        <w:t>㎡，销售356套，合同总价为301,358,715.00元，回款额为305,063,611.55元，去化率58.71%。如下：</w:t>
      </w:r>
    </w:p>
    <w:tbl>
      <w:tblPr>
        <w:tblStyle w:val="18"/>
        <w:tblW w:w="9284" w:type="dxa"/>
        <w:jc w:val="center"/>
        <w:tblLayout w:type="fixed"/>
        <w:tblCellMar>
          <w:top w:w="0" w:type="dxa"/>
          <w:left w:w="108" w:type="dxa"/>
          <w:bottom w:w="0" w:type="dxa"/>
          <w:right w:w="108" w:type="dxa"/>
        </w:tblCellMar>
      </w:tblPr>
      <w:tblGrid>
        <w:gridCol w:w="1381"/>
        <w:gridCol w:w="808"/>
        <w:gridCol w:w="2276"/>
        <w:gridCol w:w="2629"/>
        <w:gridCol w:w="2190"/>
      </w:tblGrid>
      <w:tr>
        <w:tblPrEx>
          <w:tblCellMar>
            <w:top w:w="0" w:type="dxa"/>
            <w:left w:w="108" w:type="dxa"/>
            <w:bottom w:w="0" w:type="dxa"/>
            <w:right w:w="108" w:type="dxa"/>
          </w:tblCellMar>
        </w:tblPrEx>
        <w:trPr>
          <w:trHeight w:val="280" w:hRule="atLeast"/>
          <w:jc w:val="center"/>
        </w:trPr>
        <w:tc>
          <w:tcPr>
            <w:tcW w:w="138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项目名称</w:t>
            </w:r>
          </w:p>
        </w:tc>
        <w:tc>
          <w:tcPr>
            <w:tcW w:w="7903" w:type="dxa"/>
            <w:gridSpan w:val="4"/>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Cs/>
                <w:sz w:val="18"/>
                <w:szCs w:val="18"/>
                <w:lang w:bidi="ar"/>
              </w:rPr>
            </w:pPr>
            <w:r>
              <w:rPr>
                <w:rFonts w:ascii="Arial" w:hAnsi="Arial" w:cs="Arial"/>
                <w:bCs/>
                <w:sz w:val="18"/>
                <w:szCs w:val="18"/>
                <w:lang w:bidi="ar"/>
              </w:rPr>
              <w:t>2021</w:t>
            </w:r>
            <w:r>
              <w:rPr>
                <w:rFonts w:hint="eastAsia" w:ascii="Arial" w:hAnsi="Arial" w:cs="Arial"/>
                <w:bCs/>
                <w:sz w:val="18"/>
                <w:szCs w:val="18"/>
                <w:lang w:bidi="ar"/>
              </w:rPr>
              <w:t>年</w:t>
            </w:r>
            <w:r>
              <w:rPr>
                <w:rFonts w:ascii="Arial" w:hAnsi="Arial" w:cs="Arial"/>
                <w:bCs/>
                <w:sz w:val="18"/>
                <w:szCs w:val="18"/>
                <w:lang w:bidi="ar"/>
              </w:rPr>
              <w:t>6</w:t>
            </w:r>
            <w:r>
              <w:rPr>
                <w:rFonts w:hint="eastAsia" w:ascii="Arial" w:hAnsi="Arial" w:cs="Arial"/>
                <w:bCs/>
                <w:sz w:val="18"/>
                <w:szCs w:val="18"/>
                <w:lang w:bidi="ar"/>
              </w:rPr>
              <w:t>月销售、回款情况</w:t>
            </w:r>
          </w:p>
        </w:tc>
      </w:tr>
      <w:tr>
        <w:tblPrEx>
          <w:tblCellMar>
            <w:top w:w="0" w:type="dxa"/>
            <w:left w:w="108" w:type="dxa"/>
            <w:bottom w:w="0" w:type="dxa"/>
            <w:right w:w="108" w:type="dxa"/>
          </w:tblCellMar>
        </w:tblPrEx>
        <w:trPr>
          <w:trHeight w:val="326" w:hRule="atLeast"/>
          <w:jc w:val="center"/>
        </w:trPr>
        <w:tc>
          <w:tcPr>
            <w:tcW w:w="1381"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宜宾站前</w:t>
            </w:r>
          </w:p>
          <w:p>
            <w:pPr>
              <w:jc w:val="center"/>
              <w:rPr>
                <w:rFonts w:ascii="Arial" w:hAnsi="Arial" w:cs="Arial"/>
                <w:bCs/>
                <w:sz w:val="18"/>
                <w:szCs w:val="18"/>
                <w:lang w:bidi="ar"/>
              </w:rPr>
            </w:pPr>
            <w:r>
              <w:rPr>
                <w:rFonts w:hint="eastAsia" w:ascii="Arial" w:hAnsi="Arial" w:cs="Arial"/>
                <w:bCs/>
                <w:sz w:val="18"/>
                <w:szCs w:val="18"/>
                <w:lang w:bidi="ar"/>
              </w:rPr>
              <w:t>广场项目</w:t>
            </w:r>
          </w:p>
          <w:p>
            <w:pPr>
              <w:jc w:val="center"/>
              <w:rPr>
                <w:rFonts w:ascii="Arial" w:hAnsi="Arial" w:cs="Arial"/>
                <w:bCs/>
                <w:sz w:val="18"/>
                <w:szCs w:val="18"/>
                <w:lang w:bidi="ar"/>
              </w:rPr>
            </w:pPr>
            <w:r>
              <w:rPr>
                <w:rFonts w:hint="eastAsia" w:ascii="Arial" w:hAnsi="Arial" w:cs="Arial"/>
                <w:bCs/>
                <w:sz w:val="18"/>
                <w:szCs w:val="18"/>
                <w:lang w:bidi="ar"/>
              </w:rPr>
              <w:t>云锦一期</w:t>
            </w:r>
          </w:p>
        </w:tc>
        <w:tc>
          <w:tcPr>
            <w:tcW w:w="80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套数</w:t>
            </w:r>
          </w:p>
        </w:tc>
        <w:tc>
          <w:tcPr>
            <w:tcW w:w="2276"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销售面积</w:t>
            </w:r>
          </w:p>
        </w:tc>
        <w:tc>
          <w:tcPr>
            <w:tcW w:w="262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销售额</w:t>
            </w:r>
          </w:p>
        </w:tc>
        <w:tc>
          <w:tcPr>
            <w:tcW w:w="219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回款额</w:t>
            </w:r>
          </w:p>
        </w:tc>
      </w:tr>
      <w:tr>
        <w:tblPrEx>
          <w:tblCellMar>
            <w:top w:w="0" w:type="dxa"/>
            <w:left w:w="108" w:type="dxa"/>
            <w:bottom w:w="0" w:type="dxa"/>
            <w:right w:w="108" w:type="dxa"/>
          </w:tblCellMar>
        </w:tblPrEx>
        <w:trPr>
          <w:trHeight w:val="326" w:hRule="atLeast"/>
          <w:jc w:val="center"/>
        </w:trPr>
        <w:tc>
          <w:tcPr>
            <w:tcW w:w="1381"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p>
        </w:tc>
        <w:tc>
          <w:tcPr>
            <w:tcW w:w="808"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p>
        </w:tc>
        <w:tc>
          <w:tcPr>
            <w:tcW w:w="2276"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p>
        </w:tc>
        <w:tc>
          <w:tcPr>
            <w:tcW w:w="2629"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p>
        </w:tc>
        <w:tc>
          <w:tcPr>
            <w:tcW w:w="2190"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280" w:hRule="atLeast"/>
          <w:jc w:val="center"/>
        </w:trPr>
        <w:tc>
          <w:tcPr>
            <w:tcW w:w="1381"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p>
        </w:tc>
        <w:tc>
          <w:tcPr>
            <w:tcW w:w="808"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sz w:val="18"/>
                <w:szCs w:val="18"/>
                <w:lang w:bidi="ar"/>
              </w:rPr>
            </w:pPr>
            <w:r>
              <w:rPr>
                <w:rFonts w:ascii="Arial" w:hAnsi="Arial" w:cs="Arial"/>
                <w:bCs/>
                <w:sz w:val="18"/>
                <w:szCs w:val="18"/>
                <w:lang w:bidi="ar"/>
              </w:rPr>
              <w:t>37</w:t>
            </w:r>
          </w:p>
        </w:tc>
        <w:tc>
          <w:tcPr>
            <w:tcW w:w="2276"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 xml:space="preserve">3,547.84 </w:t>
            </w:r>
          </w:p>
        </w:tc>
        <w:tc>
          <w:tcPr>
            <w:tcW w:w="2629"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 xml:space="preserve">30,083,911.00 </w:t>
            </w:r>
          </w:p>
        </w:tc>
        <w:tc>
          <w:tcPr>
            <w:tcW w:w="21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 xml:space="preserve">26,341,404.91 </w:t>
            </w:r>
          </w:p>
        </w:tc>
      </w:tr>
      <w:tr>
        <w:tblPrEx>
          <w:tblCellMar>
            <w:top w:w="0" w:type="dxa"/>
            <w:left w:w="108" w:type="dxa"/>
            <w:bottom w:w="0" w:type="dxa"/>
            <w:right w:w="108" w:type="dxa"/>
          </w:tblCellMar>
        </w:tblPrEx>
        <w:trPr>
          <w:trHeight w:val="290" w:hRule="atLeast"/>
          <w:jc w:val="center"/>
        </w:trPr>
        <w:tc>
          <w:tcPr>
            <w:tcW w:w="1381"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p>
        </w:tc>
        <w:tc>
          <w:tcPr>
            <w:tcW w:w="7903" w:type="dxa"/>
            <w:gridSpan w:val="4"/>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累计销售、回款情况</w:t>
            </w:r>
          </w:p>
        </w:tc>
      </w:tr>
      <w:tr>
        <w:tblPrEx>
          <w:tblCellMar>
            <w:top w:w="0" w:type="dxa"/>
            <w:left w:w="108" w:type="dxa"/>
            <w:bottom w:w="0" w:type="dxa"/>
            <w:right w:w="108" w:type="dxa"/>
          </w:tblCellMar>
        </w:tblPrEx>
        <w:trPr>
          <w:trHeight w:val="326" w:hRule="atLeast"/>
          <w:jc w:val="center"/>
        </w:trPr>
        <w:tc>
          <w:tcPr>
            <w:tcW w:w="1381"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p>
        </w:tc>
        <w:tc>
          <w:tcPr>
            <w:tcW w:w="80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套数</w:t>
            </w:r>
          </w:p>
        </w:tc>
        <w:tc>
          <w:tcPr>
            <w:tcW w:w="2276"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销售面积</w:t>
            </w:r>
          </w:p>
        </w:tc>
        <w:tc>
          <w:tcPr>
            <w:tcW w:w="262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销售额(元)</w:t>
            </w:r>
          </w:p>
        </w:tc>
        <w:tc>
          <w:tcPr>
            <w:tcW w:w="219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回款额(元)</w:t>
            </w:r>
          </w:p>
        </w:tc>
      </w:tr>
      <w:tr>
        <w:tblPrEx>
          <w:tblCellMar>
            <w:top w:w="0" w:type="dxa"/>
            <w:left w:w="108" w:type="dxa"/>
            <w:bottom w:w="0" w:type="dxa"/>
            <w:right w:w="108" w:type="dxa"/>
          </w:tblCellMar>
        </w:tblPrEx>
        <w:trPr>
          <w:trHeight w:val="326" w:hRule="atLeast"/>
          <w:jc w:val="center"/>
        </w:trPr>
        <w:tc>
          <w:tcPr>
            <w:tcW w:w="1381"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p>
        </w:tc>
        <w:tc>
          <w:tcPr>
            <w:tcW w:w="808"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p>
        </w:tc>
        <w:tc>
          <w:tcPr>
            <w:tcW w:w="2276"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p>
        </w:tc>
        <w:tc>
          <w:tcPr>
            <w:tcW w:w="2629"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p>
        </w:tc>
        <w:tc>
          <w:tcPr>
            <w:tcW w:w="2190"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280" w:hRule="atLeast"/>
          <w:jc w:val="center"/>
        </w:trPr>
        <w:tc>
          <w:tcPr>
            <w:tcW w:w="1381"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p>
        </w:tc>
        <w:tc>
          <w:tcPr>
            <w:tcW w:w="808"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356</w:t>
            </w:r>
          </w:p>
        </w:tc>
        <w:tc>
          <w:tcPr>
            <w:tcW w:w="2276"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sz w:val="18"/>
                <w:szCs w:val="18"/>
                <w:lang w:bidi="ar"/>
              </w:rPr>
            </w:pPr>
            <w:r>
              <w:rPr>
                <w:rFonts w:ascii="Arial" w:hAnsi="Arial" w:cs="Arial"/>
                <w:bCs/>
                <w:sz w:val="18"/>
                <w:szCs w:val="18"/>
                <w:lang w:bidi="ar"/>
              </w:rPr>
              <w:t xml:space="preserve">35,349.79 </w:t>
            </w:r>
          </w:p>
        </w:tc>
        <w:tc>
          <w:tcPr>
            <w:tcW w:w="2629"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 xml:space="preserve">301,358,715.00 </w:t>
            </w:r>
          </w:p>
        </w:tc>
        <w:tc>
          <w:tcPr>
            <w:tcW w:w="21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 xml:space="preserve">305,063,611.55 </w:t>
            </w:r>
          </w:p>
        </w:tc>
      </w:tr>
    </w:tbl>
    <w:p>
      <w:pPr>
        <w:pStyle w:val="2"/>
        <w:ind w:firstLine="0" w:firstLineChars="0"/>
      </w:pP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累计销售明细</w:t>
      </w:r>
    </w:p>
    <w:tbl>
      <w:tblPr>
        <w:tblStyle w:val="18"/>
        <w:tblW w:w="943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03"/>
        <w:gridCol w:w="1359"/>
        <w:gridCol w:w="1110"/>
        <w:gridCol w:w="1977"/>
        <w:gridCol w:w="1977"/>
        <w:gridCol w:w="140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2" w:hRule="atLeast"/>
          <w:tblHeader/>
          <w:jc w:val="center"/>
        </w:trPr>
        <w:tc>
          <w:tcPr>
            <w:tcW w:w="1603" w:type="dxa"/>
            <w:vMerge w:val="restart"/>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hint="eastAsia" w:ascii="Arial" w:hAnsi="Arial" w:cs="Arial"/>
                <w:bCs/>
                <w:sz w:val="18"/>
                <w:szCs w:val="18"/>
                <w:lang w:bidi="ar"/>
              </w:rPr>
              <w:t>期间</w:t>
            </w: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hint="eastAsia" w:ascii="Arial" w:hAnsi="Arial" w:cs="Arial"/>
                <w:bCs/>
                <w:sz w:val="18"/>
                <w:szCs w:val="18"/>
                <w:lang w:bidi="ar"/>
              </w:rPr>
              <w:t>业态</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hint="eastAsia" w:ascii="Arial" w:hAnsi="Arial" w:cs="Arial"/>
                <w:bCs/>
                <w:sz w:val="18"/>
                <w:szCs w:val="18"/>
                <w:lang w:bidi="ar"/>
              </w:rPr>
              <w:t>套数</w:t>
            </w:r>
          </w:p>
        </w:tc>
        <w:tc>
          <w:tcPr>
            <w:tcW w:w="1977" w:type="dxa"/>
            <w:tcBorders>
              <w:top w:val="single" w:color="auto" w:sz="8" w:space="0"/>
              <w:left w:val="single" w:color="auto" w:sz="8" w:space="0"/>
              <w:right w:val="single" w:color="auto" w:sz="8"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销售面积（㎡）</w:t>
            </w:r>
          </w:p>
        </w:tc>
        <w:tc>
          <w:tcPr>
            <w:tcW w:w="197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销售额（元）</w:t>
            </w:r>
          </w:p>
        </w:tc>
        <w:tc>
          <w:tcPr>
            <w:tcW w:w="1405"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均价(元/㎡，车位：元/套)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restart"/>
            <w:tcBorders>
              <w:top w:val="single" w:color="auto" w:sz="8" w:space="0"/>
              <w:left w:val="single" w:color="auto" w:sz="8" w:space="0"/>
              <w:bottom w:val="single" w:color="auto" w:sz="8" w:space="0"/>
              <w:right w:val="single" w:color="auto" w:sz="8"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截止2021年</w:t>
            </w:r>
          </w:p>
          <w:p>
            <w:pPr>
              <w:jc w:val="center"/>
              <w:rPr>
                <w:rFonts w:ascii="Arial" w:hAnsi="Arial" w:cs="Arial"/>
                <w:bCs/>
                <w:sz w:val="18"/>
                <w:szCs w:val="18"/>
                <w:lang w:bidi="ar"/>
              </w:rPr>
            </w:pPr>
            <w:r>
              <w:rPr>
                <w:rFonts w:hint="eastAsia" w:ascii="Arial" w:hAnsi="Arial" w:cs="Arial"/>
                <w:bCs/>
                <w:sz w:val="18"/>
                <w:szCs w:val="18"/>
                <w:lang w:bidi="ar"/>
              </w:rPr>
              <w:t>3月底</w:t>
            </w: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r>
              <w:rPr>
                <w:rFonts w:hint="eastAsia" w:ascii="Arial" w:hAnsi="Arial" w:cs="Arial"/>
                <w:bCs/>
                <w:sz w:val="18"/>
                <w:szCs w:val="18"/>
                <w:lang w:bidi="ar"/>
              </w:rPr>
              <w:t>住宅</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262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26,275.06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224,799,502.00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8,555.62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vAlign w:val="center"/>
          </w:tcPr>
          <w:p>
            <w:pPr>
              <w:jc w:val="center"/>
              <w:rPr>
                <w:rFonts w:ascii="Arial" w:hAnsi="Arial" w:cs="Arial"/>
                <w:bCs/>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r>
              <w:rPr>
                <w:rFonts w:hint="eastAsia" w:ascii="Arial" w:hAnsi="Arial" w:cs="Arial"/>
                <w:bCs/>
                <w:sz w:val="18"/>
                <w:szCs w:val="18"/>
                <w:lang w:bidi="ar"/>
              </w:rPr>
              <w:t>商业</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vAlign w:val="center"/>
          </w:tcPr>
          <w:p>
            <w:pPr>
              <w:jc w:val="center"/>
              <w:rPr>
                <w:rFonts w:ascii="Arial" w:hAnsi="Arial" w:cs="Arial"/>
                <w:bCs/>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r>
              <w:rPr>
                <w:rFonts w:hint="eastAsia" w:ascii="Arial" w:hAnsi="Arial" w:cs="Arial"/>
                <w:bCs/>
                <w:sz w:val="18"/>
                <w:szCs w:val="18"/>
                <w:lang w:bidi="ar"/>
              </w:rPr>
              <w:t>写字楼</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3" w:hRule="atLeast"/>
          <w:jc w:val="center"/>
        </w:trPr>
        <w:tc>
          <w:tcPr>
            <w:tcW w:w="160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Arial" w:hAnsi="Arial" w:cs="Arial"/>
                <w:bCs/>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r>
              <w:rPr>
                <w:rFonts w:hint="eastAsia" w:ascii="Arial" w:hAnsi="Arial" w:cs="Arial"/>
                <w:bCs/>
                <w:sz w:val="18"/>
                <w:szCs w:val="18"/>
                <w:lang w:bidi="ar"/>
              </w:rPr>
              <w:t>合计</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262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26,275.06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224,799,502.00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8,555.62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restart"/>
            <w:tcBorders>
              <w:top w:val="single" w:color="auto" w:sz="8" w:space="0"/>
              <w:left w:val="single" w:color="auto" w:sz="8" w:space="0"/>
              <w:bottom w:val="single" w:color="auto" w:sz="8" w:space="0"/>
              <w:right w:val="single" w:color="auto" w:sz="8" w:space="0"/>
            </w:tcBorders>
            <w:vAlign w:val="center"/>
          </w:tcPr>
          <w:p>
            <w:pPr>
              <w:jc w:val="center"/>
              <w:rPr>
                <w:rFonts w:ascii="Arial" w:hAnsi="Arial" w:cs="Arial"/>
                <w:bCs/>
                <w:sz w:val="18"/>
                <w:szCs w:val="18"/>
                <w:lang w:bidi="ar"/>
              </w:rPr>
            </w:pPr>
            <w:r>
              <w:rPr>
                <w:rFonts w:ascii="Arial" w:hAnsi="Arial" w:cs="Arial"/>
                <w:bCs/>
                <w:sz w:val="18"/>
                <w:szCs w:val="18"/>
                <w:lang w:bidi="ar"/>
              </w:rPr>
              <w:t>2021年4月</w:t>
            </w: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r>
              <w:rPr>
                <w:rFonts w:hint="eastAsia" w:ascii="Arial" w:hAnsi="Arial" w:cs="Arial"/>
                <w:bCs/>
                <w:sz w:val="18"/>
                <w:szCs w:val="18"/>
                <w:lang w:bidi="ar"/>
              </w:rPr>
              <w:t>住宅</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31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3,039.67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25,509,604.00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8,392.23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vAlign w:val="center"/>
          </w:tcPr>
          <w:p>
            <w:pPr>
              <w:jc w:val="center"/>
              <w:rPr>
                <w:rFonts w:ascii="Arial" w:hAnsi="Arial" w:cs="Arial"/>
                <w:bCs/>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r>
              <w:rPr>
                <w:rFonts w:hint="eastAsia" w:ascii="Arial" w:hAnsi="Arial" w:cs="Arial"/>
                <w:bCs/>
                <w:sz w:val="18"/>
                <w:szCs w:val="18"/>
                <w:lang w:bidi="ar"/>
              </w:rPr>
              <w:t>商业</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vAlign w:val="center"/>
          </w:tcPr>
          <w:p>
            <w:pPr>
              <w:jc w:val="center"/>
              <w:rPr>
                <w:rFonts w:ascii="Arial" w:hAnsi="Arial" w:cs="Arial"/>
                <w:bCs/>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r>
              <w:rPr>
                <w:rFonts w:hint="eastAsia" w:ascii="Arial" w:hAnsi="Arial" w:cs="Arial"/>
                <w:bCs/>
                <w:sz w:val="18"/>
                <w:szCs w:val="18"/>
                <w:lang w:bidi="ar"/>
              </w:rPr>
              <w:t>写字楼</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r>
              <w:rPr>
                <w:rFonts w:hint="eastAsia" w:ascii="Arial" w:hAnsi="Arial" w:cs="Arial"/>
                <w:bCs/>
                <w:sz w:val="18"/>
                <w:szCs w:val="18"/>
                <w:lang w:bidi="ar"/>
              </w:rPr>
              <w:t>合计</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31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3,039.67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25,509,604.00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8,392.23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restart"/>
            <w:tcBorders>
              <w:top w:val="single" w:color="auto" w:sz="8" w:space="0"/>
              <w:left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2021年5月</w:t>
            </w: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r>
              <w:rPr>
                <w:rFonts w:hint="eastAsia" w:ascii="Arial" w:hAnsi="Arial" w:cs="Arial"/>
                <w:bCs/>
                <w:sz w:val="18"/>
                <w:szCs w:val="18"/>
                <w:lang w:bidi="ar"/>
              </w:rPr>
              <w:t>住宅</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26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2,487.22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20,965,698.00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8,429.37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r>
              <w:rPr>
                <w:rFonts w:hint="eastAsia" w:ascii="Arial" w:hAnsi="Arial" w:cs="Arial"/>
                <w:bCs/>
                <w:sz w:val="18"/>
                <w:szCs w:val="18"/>
                <w:lang w:bidi="ar"/>
              </w:rPr>
              <w:t>商业</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93" w:hRule="atLeast"/>
          <w:jc w:val="center"/>
        </w:trPr>
        <w:tc>
          <w:tcPr>
            <w:tcW w:w="1603" w:type="dxa"/>
            <w:vMerge w:val="continue"/>
            <w:tcBorders>
              <w:left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r>
              <w:rPr>
                <w:rFonts w:hint="eastAsia" w:ascii="Arial" w:hAnsi="Arial" w:cs="Arial"/>
                <w:bCs/>
                <w:sz w:val="18"/>
                <w:szCs w:val="18"/>
                <w:lang w:bidi="ar"/>
              </w:rPr>
              <w:t>写字楼</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r>
              <w:rPr>
                <w:rFonts w:hint="eastAsia" w:ascii="Arial" w:hAnsi="Arial" w:cs="Arial"/>
                <w:bCs/>
                <w:sz w:val="18"/>
                <w:szCs w:val="18"/>
                <w:lang w:bidi="ar"/>
              </w:rPr>
              <w:t>合计</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26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2,487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20,965,698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8,429.37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restart"/>
            <w:tcBorders>
              <w:left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2021年</w:t>
            </w:r>
            <w:r>
              <w:rPr>
                <w:rFonts w:hint="eastAsia" w:ascii="Arial" w:hAnsi="Arial" w:cs="Arial"/>
                <w:bCs/>
                <w:sz w:val="18"/>
                <w:szCs w:val="18"/>
                <w:lang w:bidi="ar"/>
              </w:rPr>
              <w:t>6</w:t>
            </w:r>
            <w:r>
              <w:rPr>
                <w:rFonts w:ascii="Arial" w:hAnsi="Arial" w:cs="Arial"/>
                <w:bCs/>
                <w:sz w:val="18"/>
                <w:szCs w:val="18"/>
                <w:lang w:bidi="ar"/>
              </w:rPr>
              <w:t>月</w:t>
            </w: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r>
              <w:rPr>
                <w:rFonts w:hint="eastAsia" w:ascii="Arial" w:hAnsi="Arial" w:cs="Arial"/>
                <w:bCs/>
                <w:sz w:val="18"/>
                <w:szCs w:val="18"/>
                <w:lang w:bidi="ar"/>
              </w:rPr>
              <w:t>住宅</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37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3,547.84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30,083,911.00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8,479.50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r>
              <w:rPr>
                <w:rFonts w:hint="eastAsia" w:ascii="Arial" w:hAnsi="Arial" w:cs="Arial"/>
                <w:bCs/>
                <w:sz w:val="18"/>
                <w:szCs w:val="18"/>
                <w:lang w:bidi="ar"/>
              </w:rPr>
              <w:t>商业</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r>
              <w:rPr>
                <w:rFonts w:hint="eastAsia" w:ascii="Arial" w:hAnsi="Arial" w:cs="Arial"/>
                <w:bCs/>
                <w:sz w:val="18"/>
                <w:szCs w:val="18"/>
                <w:lang w:bidi="ar"/>
              </w:rPr>
              <w:t>写字楼</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r>
              <w:rPr>
                <w:rFonts w:hint="eastAsia" w:ascii="Arial" w:hAnsi="Arial" w:cs="Arial"/>
                <w:bCs/>
                <w:sz w:val="18"/>
                <w:szCs w:val="18"/>
                <w:lang w:bidi="ar"/>
              </w:rPr>
              <w:t>合计</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37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3,548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30,083,911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8,479.50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restart"/>
            <w:tcBorders>
              <w:left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hint="eastAsia" w:ascii="Arial" w:hAnsi="Arial" w:cs="Arial"/>
                <w:bCs/>
                <w:sz w:val="18"/>
                <w:szCs w:val="18"/>
                <w:lang w:bidi="ar"/>
              </w:rPr>
              <w:t>合计</w:t>
            </w: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r>
              <w:rPr>
                <w:rFonts w:hint="eastAsia" w:ascii="Arial" w:hAnsi="Arial" w:cs="Arial"/>
                <w:bCs/>
                <w:sz w:val="18"/>
                <w:szCs w:val="18"/>
                <w:lang w:bidi="ar"/>
              </w:rPr>
              <w:t>住宅</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hint="eastAsia" w:ascii="Arial" w:hAnsi="Arial" w:cs="Arial"/>
                <w:bCs/>
                <w:sz w:val="18"/>
                <w:szCs w:val="18"/>
                <w:lang w:bidi="ar"/>
              </w:rPr>
              <w:t xml:space="preserve">356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hint="eastAsia" w:ascii="Arial" w:hAnsi="Arial" w:cs="Arial"/>
                <w:bCs/>
                <w:sz w:val="18"/>
                <w:szCs w:val="18"/>
                <w:lang w:bidi="ar"/>
              </w:rPr>
              <w:t xml:space="preserve">35,350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hint="eastAsia" w:ascii="Arial" w:hAnsi="Arial" w:cs="Arial"/>
                <w:bCs/>
                <w:sz w:val="18"/>
                <w:szCs w:val="18"/>
                <w:lang w:bidi="ar"/>
              </w:rPr>
              <w:t xml:space="preserve">301,358,715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8,525.05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r>
              <w:rPr>
                <w:rFonts w:hint="eastAsia" w:ascii="Arial" w:hAnsi="Arial" w:cs="Arial"/>
                <w:bCs/>
                <w:sz w:val="18"/>
                <w:szCs w:val="18"/>
                <w:lang w:bidi="ar"/>
              </w:rPr>
              <w:t>商业</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hint="eastAsia" w:ascii="Arial" w:hAnsi="Arial" w:cs="Arial"/>
                <w:bCs/>
                <w:sz w:val="18"/>
                <w:szCs w:val="18"/>
                <w:lang w:bidi="ar"/>
              </w:rPr>
              <w:t xml:space="preserve">0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hint="eastAsia" w:ascii="Arial" w:hAnsi="Arial" w:cs="Arial"/>
                <w:bCs/>
                <w:sz w:val="18"/>
                <w:szCs w:val="18"/>
                <w:lang w:bidi="ar"/>
              </w:rPr>
              <w:t xml:space="preserve">0.00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hint="eastAsia" w:ascii="Arial" w:hAnsi="Arial" w:cs="Arial"/>
                <w:bCs/>
                <w:sz w:val="18"/>
                <w:szCs w:val="18"/>
                <w:lang w:bidi="ar"/>
              </w:rPr>
              <w:t xml:space="preserve">0.00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r>
              <w:rPr>
                <w:rFonts w:hint="eastAsia" w:ascii="Arial" w:hAnsi="Arial" w:cs="Arial"/>
                <w:bCs/>
                <w:sz w:val="18"/>
                <w:szCs w:val="18"/>
                <w:lang w:bidi="ar"/>
              </w:rPr>
              <w:t>写字楼</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hint="eastAsia" w:ascii="Arial" w:hAnsi="Arial" w:cs="Arial"/>
                <w:bCs/>
                <w:sz w:val="18"/>
                <w:szCs w:val="18"/>
                <w:lang w:bidi="ar"/>
              </w:rPr>
              <w:t xml:space="preserve">0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hint="eastAsia" w:ascii="Arial" w:hAnsi="Arial" w:cs="Arial"/>
                <w:bCs/>
                <w:sz w:val="18"/>
                <w:szCs w:val="18"/>
                <w:lang w:bidi="ar"/>
              </w:rPr>
              <w:t xml:space="preserve">0.00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hint="eastAsia" w:ascii="Arial" w:hAnsi="Arial" w:cs="Arial"/>
                <w:bCs/>
                <w:sz w:val="18"/>
                <w:szCs w:val="18"/>
                <w:lang w:bidi="ar"/>
              </w:rPr>
              <w:t xml:space="preserve">0.00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r>
              <w:rPr>
                <w:rFonts w:hint="eastAsia" w:ascii="Arial" w:hAnsi="Arial" w:cs="Arial"/>
                <w:bCs/>
                <w:sz w:val="18"/>
                <w:szCs w:val="18"/>
                <w:lang w:bidi="ar"/>
              </w:rPr>
              <w:t>总计</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hint="eastAsia" w:ascii="Arial" w:hAnsi="Arial" w:cs="Arial"/>
                <w:bCs/>
                <w:sz w:val="18"/>
                <w:szCs w:val="18"/>
                <w:lang w:bidi="ar"/>
              </w:rPr>
              <w:t xml:space="preserve">356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hint="eastAsia" w:ascii="Arial" w:hAnsi="Arial" w:cs="Arial"/>
                <w:bCs/>
                <w:sz w:val="18"/>
                <w:szCs w:val="18"/>
                <w:lang w:bidi="ar"/>
              </w:rPr>
              <w:t xml:space="preserve">35,349.79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hint="eastAsia" w:ascii="Arial" w:hAnsi="Arial" w:cs="Arial"/>
                <w:bCs/>
                <w:sz w:val="18"/>
                <w:szCs w:val="18"/>
                <w:lang w:bidi="ar"/>
              </w:rPr>
              <w:t xml:space="preserve">301,358,715.00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ascii="Arial" w:hAnsi="Arial" w:cs="Arial"/>
                <w:bCs/>
                <w:sz w:val="18"/>
                <w:szCs w:val="18"/>
                <w:lang w:bidi="ar"/>
              </w:rPr>
              <w:t xml:space="preserve">8,525.05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restart"/>
            <w:tcBorders>
              <w:left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hint="eastAsia" w:ascii="Arial" w:hAnsi="Arial" w:cs="Arial"/>
                <w:bCs/>
                <w:sz w:val="18"/>
                <w:szCs w:val="18"/>
                <w:lang w:bidi="ar"/>
              </w:rPr>
              <w:t>去化率</w:t>
            </w: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r>
              <w:rPr>
                <w:rFonts w:hint="eastAsia" w:ascii="Arial" w:hAnsi="Arial" w:cs="Arial"/>
                <w:bCs/>
                <w:sz w:val="18"/>
                <w:szCs w:val="18"/>
                <w:lang w:bidi="ar"/>
              </w:rPr>
              <w:t>住宅</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hint="eastAsia" w:ascii="Arial" w:hAnsi="Arial" w:cs="Arial"/>
                <w:bCs/>
                <w:sz w:val="18"/>
                <w:szCs w:val="18"/>
                <w:lang w:bidi="ar"/>
              </w:rPr>
              <w:t>58.71%</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r>
              <w:rPr>
                <w:rFonts w:hint="eastAsia" w:ascii="Arial" w:hAnsi="Arial" w:cs="Arial"/>
                <w:bCs/>
                <w:sz w:val="18"/>
                <w:szCs w:val="18"/>
                <w:lang w:bidi="ar"/>
              </w:rPr>
              <w:t>商业</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r>
              <w:rPr>
                <w:rFonts w:hint="eastAsia" w:ascii="Arial" w:hAnsi="Arial" w:cs="Arial"/>
                <w:bCs/>
                <w:sz w:val="18"/>
                <w:szCs w:val="18"/>
                <w:lang w:bidi="ar"/>
              </w:rPr>
              <w:t>写字楼</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bottom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jc w:val="center"/>
              <w:rPr>
                <w:rFonts w:ascii="Arial" w:hAnsi="Arial" w:cs="Arial"/>
                <w:bCs/>
                <w:sz w:val="18"/>
                <w:szCs w:val="18"/>
                <w:lang w:bidi="ar"/>
              </w:rPr>
            </w:pPr>
            <w:r>
              <w:rPr>
                <w:rFonts w:hint="eastAsia" w:ascii="Arial" w:hAnsi="Arial" w:cs="Arial"/>
                <w:bCs/>
                <w:sz w:val="18"/>
                <w:szCs w:val="18"/>
                <w:lang w:bidi="ar"/>
              </w:rPr>
              <w:t>总计</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r>
              <w:rPr>
                <w:rFonts w:hint="eastAsia" w:ascii="Arial" w:hAnsi="Arial" w:cs="Arial"/>
                <w:bCs/>
                <w:sz w:val="18"/>
                <w:szCs w:val="18"/>
                <w:lang w:bidi="ar"/>
              </w:rPr>
              <w:t>58.71%</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Arial" w:hAnsi="Arial" w:cs="Arial"/>
                <w:bCs/>
                <w:sz w:val="18"/>
                <w:szCs w:val="18"/>
                <w:lang w:bidi="ar"/>
              </w:rPr>
            </w:pPr>
          </w:p>
        </w:tc>
      </w:tr>
    </w:tbl>
    <w:p>
      <w:pPr>
        <w:pStyle w:val="2"/>
        <w:ind w:firstLine="0" w:firstLineChars="0"/>
      </w:pPr>
    </w:p>
    <w:bookmarkEnd w:id="29"/>
    <w:p>
      <w:pPr>
        <w:widowControl w:val="0"/>
        <w:spacing w:line="480" w:lineRule="auto"/>
        <w:ind w:firstLine="420" w:firstLineChars="200"/>
        <w:jc w:val="both"/>
        <w:rPr>
          <w:rFonts w:ascii="Arial" w:hAnsi="Arial" w:cs="Arial"/>
          <w:kern w:val="44"/>
          <w:sz w:val="21"/>
          <w:szCs w:val="21"/>
        </w:rPr>
      </w:pPr>
      <w:bookmarkStart w:id="30" w:name="_Toc14354"/>
      <w:r>
        <w:rPr>
          <w:rFonts w:hint="eastAsia" w:ascii="Arial" w:hAnsi="Arial" w:cs="Arial"/>
          <w:kern w:val="44"/>
          <w:sz w:val="21"/>
          <w:szCs w:val="21"/>
        </w:rPr>
        <w:t>3.动态货值</w:t>
      </w:r>
      <w:bookmarkEnd w:id="30"/>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宜宾站前广场项目总建筑面积337,967.00㎡，可售面积242,774.00㎡，已售房源面积</w:t>
      </w:r>
      <w:r>
        <w:rPr>
          <w:rFonts w:ascii="Arial" w:hAnsi="Arial" w:cs="Arial"/>
          <w:kern w:val="44"/>
          <w:sz w:val="21"/>
          <w:szCs w:val="21"/>
        </w:rPr>
        <w:t xml:space="preserve">35,349.79 </w:t>
      </w:r>
      <w:r>
        <w:rPr>
          <w:rFonts w:hint="eastAsia" w:ascii="Arial" w:hAnsi="Arial" w:cs="Arial"/>
          <w:kern w:val="44"/>
          <w:sz w:val="21"/>
          <w:szCs w:val="21"/>
        </w:rPr>
        <w:t>㎡，预计总货值</w:t>
      </w:r>
      <w:r>
        <w:rPr>
          <w:rFonts w:ascii="Arial" w:hAnsi="Arial" w:cs="Arial"/>
          <w:kern w:val="44"/>
          <w:sz w:val="21"/>
          <w:szCs w:val="21"/>
        </w:rPr>
        <w:t xml:space="preserve">2,664,371,469.85 </w:t>
      </w:r>
      <w:r>
        <w:rPr>
          <w:rFonts w:hint="eastAsia" w:ascii="Arial" w:hAnsi="Arial" w:cs="Arial"/>
          <w:kern w:val="44"/>
          <w:sz w:val="21"/>
          <w:szCs w:val="21"/>
        </w:rPr>
        <w:t>元，已售</w:t>
      </w:r>
      <w:r>
        <w:rPr>
          <w:rFonts w:ascii="Arial" w:hAnsi="Arial" w:cs="Arial"/>
          <w:kern w:val="44"/>
          <w:sz w:val="21"/>
          <w:szCs w:val="21"/>
        </w:rPr>
        <w:t xml:space="preserve">301,358,715.00 </w:t>
      </w:r>
      <w:r>
        <w:rPr>
          <w:rFonts w:hint="eastAsia" w:ascii="Arial" w:hAnsi="Arial" w:cs="Arial"/>
          <w:kern w:val="44"/>
          <w:sz w:val="21"/>
          <w:szCs w:val="21"/>
        </w:rPr>
        <w:t>元，剩余货值2,363,012,754.85元。</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动态总货值</w:t>
      </w:r>
      <w:r>
        <w:rPr>
          <w:rFonts w:ascii="Arial" w:hAnsi="Arial" w:cs="Arial"/>
          <w:kern w:val="44"/>
          <w:sz w:val="21"/>
          <w:szCs w:val="21"/>
        </w:rPr>
        <w:t xml:space="preserve">2,664,371,469.85 </w:t>
      </w:r>
      <w:r>
        <w:rPr>
          <w:rFonts w:hint="eastAsia" w:ascii="Arial" w:hAnsi="Arial" w:cs="Arial"/>
          <w:kern w:val="44"/>
          <w:sz w:val="21"/>
          <w:szCs w:val="21"/>
        </w:rPr>
        <w:t>元=已售合同金额</w:t>
      </w:r>
      <w:r>
        <w:rPr>
          <w:rFonts w:ascii="Arial" w:hAnsi="Arial" w:cs="Arial"/>
          <w:kern w:val="44"/>
          <w:sz w:val="21"/>
          <w:szCs w:val="21"/>
        </w:rPr>
        <w:t xml:space="preserve">301,358,715.00 </w:t>
      </w:r>
      <w:r>
        <w:rPr>
          <w:rFonts w:hint="eastAsia" w:ascii="Arial" w:hAnsi="Arial" w:cs="Arial"/>
          <w:kern w:val="44"/>
          <w:sz w:val="21"/>
          <w:szCs w:val="21"/>
        </w:rPr>
        <w:t>元+已开盘未售房源备案金额</w:t>
      </w:r>
      <w:r>
        <w:rPr>
          <w:rFonts w:ascii="Arial" w:hAnsi="Arial" w:cs="Arial"/>
          <w:kern w:val="44"/>
          <w:sz w:val="21"/>
          <w:szCs w:val="21"/>
        </w:rPr>
        <w:t xml:space="preserve">243,256,372.05 </w:t>
      </w:r>
      <w:r>
        <w:rPr>
          <w:rFonts w:hint="eastAsia" w:ascii="Arial" w:hAnsi="Arial" w:cs="Arial"/>
          <w:kern w:val="44"/>
          <w:sz w:val="21"/>
          <w:szCs w:val="21"/>
        </w:rPr>
        <w:t>元+未开盘房源计划（商业计划）</w:t>
      </w:r>
      <w:r>
        <w:rPr>
          <w:rFonts w:ascii="Arial" w:hAnsi="Arial" w:cs="Arial"/>
          <w:kern w:val="44"/>
          <w:sz w:val="21"/>
          <w:szCs w:val="21"/>
        </w:rPr>
        <w:t xml:space="preserve">2,119,756,382.80 </w:t>
      </w:r>
      <w:r>
        <w:rPr>
          <w:rFonts w:hint="eastAsia" w:ascii="Arial" w:hAnsi="Arial" w:cs="Arial"/>
          <w:kern w:val="44"/>
          <w:sz w:val="21"/>
          <w:szCs w:val="21"/>
        </w:rPr>
        <w:t>元。</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剩余货值2,363,012,754.85元=已开盘未售房源备案金额</w:t>
      </w:r>
      <w:r>
        <w:rPr>
          <w:rFonts w:ascii="Arial" w:hAnsi="Arial" w:cs="Arial"/>
          <w:kern w:val="44"/>
          <w:sz w:val="21"/>
          <w:szCs w:val="21"/>
        </w:rPr>
        <w:t xml:space="preserve">243,256,372.05 </w:t>
      </w:r>
      <w:r>
        <w:rPr>
          <w:rFonts w:hint="eastAsia" w:ascii="Arial" w:hAnsi="Arial" w:cs="Arial"/>
          <w:kern w:val="44"/>
          <w:sz w:val="21"/>
          <w:szCs w:val="21"/>
        </w:rPr>
        <w:t>元+未开盘房源计划（商业计划）</w:t>
      </w:r>
      <w:r>
        <w:rPr>
          <w:rFonts w:ascii="Arial" w:hAnsi="Arial" w:cs="Arial"/>
          <w:kern w:val="44"/>
          <w:sz w:val="21"/>
          <w:szCs w:val="21"/>
        </w:rPr>
        <w:t xml:space="preserve">2,119,756,382.80 </w:t>
      </w:r>
      <w:r>
        <w:rPr>
          <w:rFonts w:hint="eastAsia" w:ascii="Arial" w:hAnsi="Arial" w:cs="Arial"/>
          <w:kern w:val="44"/>
          <w:sz w:val="21"/>
          <w:szCs w:val="21"/>
        </w:rPr>
        <w:t>元。</w:t>
      </w:r>
    </w:p>
    <w:p>
      <w:pPr>
        <w:rPr>
          <w:rFonts w:ascii="宋体" w:hAnsi="宋体" w:cs="宋体"/>
          <w:b/>
          <w:sz w:val="21"/>
          <w:szCs w:val="21"/>
        </w:rPr>
      </w:pPr>
      <w:bookmarkStart w:id="31" w:name="_Toc23829"/>
      <w:r>
        <w:rPr>
          <w:rFonts w:hint="eastAsia" w:ascii="宋体" w:hAnsi="宋体" w:cs="宋体"/>
          <w:b/>
          <w:sz w:val="21"/>
          <w:szCs w:val="21"/>
        </w:rPr>
        <w:br w:type="page"/>
      </w:r>
    </w:p>
    <w:p>
      <w:pPr>
        <w:jc w:val="center"/>
        <w:rPr>
          <w:rFonts w:ascii="宋体" w:hAnsi="宋体" w:cs="宋体"/>
          <w:b/>
          <w:sz w:val="21"/>
          <w:szCs w:val="21"/>
        </w:rPr>
      </w:pPr>
      <w:r>
        <w:rPr>
          <w:rFonts w:hint="eastAsia" w:ascii="宋体" w:hAnsi="宋体" w:cs="宋体"/>
          <w:b/>
          <w:sz w:val="21"/>
          <w:szCs w:val="21"/>
        </w:rPr>
        <w:t>表六：动态货值情况</w:t>
      </w:r>
      <w:bookmarkEnd w:id="31"/>
    </w:p>
    <w:tbl>
      <w:tblPr>
        <w:tblStyle w:val="18"/>
        <w:tblW w:w="9552" w:type="dxa"/>
        <w:tblInd w:w="119" w:type="dxa"/>
        <w:tblLayout w:type="fixed"/>
        <w:tblCellMar>
          <w:top w:w="0" w:type="dxa"/>
          <w:left w:w="108" w:type="dxa"/>
          <w:bottom w:w="0" w:type="dxa"/>
          <w:right w:w="108" w:type="dxa"/>
        </w:tblCellMar>
      </w:tblPr>
      <w:tblGrid>
        <w:gridCol w:w="2361"/>
        <w:gridCol w:w="2319"/>
        <w:gridCol w:w="2484"/>
        <w:gridCol w:w="2388"/>
      </w:tblGrid>
      <w:tr>
        <w:tblPrEx>
          <w:tblCellMar>
            <w:top w:w="0" w:type="dxa"/>
            <w:left w:w="108" w:type="dxa"/>
            <w:bottom w:w="0" w:type="dxa"/>
            <w:right w:w="108" w:type="dxa"/>
          </w:tblCellMar>
        </w:tblPrEx>
        <w:trPr>
          <w:trHeight w:val="1000" w:hRule="atLeast"/>
        </w:trPr>
        <w:tc>
          <w:tcPr>
            <w:tcW w:w="23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动态货值(元)(A)</w:t>
            </w:r>
            <w:r>
              <w:rPr>
                <w:rFonts w:hint="eastAsia" w:ascii="Arial" w:hAnsi="Arial" w:cs="Arial"/>
                <w:color w:val="000000"/>
                <w:kern w:val="2"/>
                <w:sz w:val="18"/>
                <w:szCs w:val="18"/>
                <w:lang w:bidi="ar"/>
              </w:rPr>
              <w:br w:type="textWrapping"/>
            </w:r>
            <w:r>
              <w:rPr>
                <w:rFonts w:hint="eastAsia" w:ascii="Arial" w:hAnsi="Arial" w:cs="Arial"/>
                <w:color w:val="000000"/>
                <w:kern w:val="2"/>
                <w:sz w:val="18"/>
                <w:szCs w:val="18"/>
                <w:lang w:bidi="ar"/>
              </w:rPr>
              <w:t>A=B+C+D</w:t>
            </w:r>
          </w:p>
        </w:tc>
        <w:tc>
          <w:tcPr>
            <w:tcW w:w="2319" w:type="dxa"/>
            <w:tcBorders>
              <w:top w:val="single" w:color="auto" w:sz="4" w:space="0"/>
              <w:left w:val="nil"/>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已售房屋合同额（B）</w:t>
            </w:r>
          </w:p>
        </w:tc>
        <w:tc>
          <w:tcPr>
            <w:tcW w:w="2484" w:type="dxa"/>
            <w:tcBorders>
              <w:top w:val="single" w:color="auto" w:sz="4" w:space="0"/>
              <w:left w:val="nil"/>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已取得预售证的</w:t>
            </w:r>
          </w:p>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未售房屋货值（C)</w:t>
            </w:r>
          </w:p>
        </w:tc>
        <w:tc>
          <w:tcPr>
            <w:tcW w:w="2388" w:type="dxa"/>
            <w:tcBorders>
              <w:top w:val="single" w:color="auto" w:sz="4" w:space="0"/>
              <w:left w:val="nil"/>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未取得预售证房屋预计货值(D)</w:t>
            </w:r>
          </w:p>
        </w:tc>
      </w:tr>
      <w:tr>
        <w:tblPrEx>
          <w:tblCellMar>
            <w:top w:w="0" w:type="dxa"/>
            <w:left w:w="108" w:type="dxa"/>
            <w:bottom w:w="0" w:type="dxa"/>
            <w:right w:w="108" w:type="dxa"/>
          </w:tblCellMar>
        </w:tblPrEx>
        <w:trPr>
          <w:trHeight w:val="700" w:hRule="atLeast"/>
        </w:trPr>
        <w:tc>
          <w:tcPr>
            <w:tcW w:w="2361"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2,664,371,469.85 </w:t>
            </w:r>
          </w:p>
        </w:tc>
        <w:tc>
          <w:tcPr>
            <w:tcW w:w="2319"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301,358,715.00 </w:t>
            </w:r>
          </w:p>
        </w:tc>
        <w:tc>
          <w:tcPr>
            <w:tcW w:w="2484"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243,256,372.05 </w:t>
            </w:r>
          </w:p>
        </w:tc>
        <w:tc>
          <w:tcPr>
            <w:tcW w:w="2388"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2,119,756,382.80 </w:t>
            </w:r>
          </w:p>
        </w:tc>
      </w:tr>
      <w:tr>
        <w:tblPrEx>
          <w:tblCellMar>
            <w:top w:w="0" w:type="dxa"/>
            <w:left w:w="108" w:type="dxa"/>
            <w:bottom w:w="0" w:type="dxa"/>
            <w:right w:w="108" w:type="dxa"/>
          </w:tblCellMar>
        </w:tblPrEx>
        <w:trPr>
          <w:trHeight w:val="1000" w:hRule="atLeast"/>
        </w:trPr>
        <w:tc>
          <w:tcPr>
            <w:tcW w:w="2361" w:type="dxa"/>
            <w:tcBorders>
              <w:top w:val="nil"/>
              <w:left w:val="single" w:color="auto" w:sz="4" w:space="0"/>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总面积（平米）（不计算车库）</w:t>
            </w:r>
          </w:p>
        </w:tc>
        <w:tc>
          <w:tcPr>
            <w:tcW w:w="2319" w:type="dxa"/>
            <w:tcBorders>
              <w:top w:val="nil"/>
              <w:left w:val="nil"/>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已售面积</w:t>
            </w:r>
          </w:p>
        </w:tc>
        <w:tc>
          <w:tcPr>
            <w:tcW w:w="2484" w:type="dxa"/>
            <w:tcBorders>
              <w:top w:val="nil"/>
              <w:left w:val="nil"/>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已取得预售证的未售面积</w:t>
            </w:r>
          </w:p>
        </w:tc>
        <w:tc>
          <w:tcPr>
            <w:tcW w:w="2388" w:type="dxa"/>
            <w:tcBorders>
              <w:top w:val="nil"/>
              <w:left w:val="nil"/>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未取得预售证面积</w:t>
            </w:r>
          </w:p>
        </w:tc>
      </w:tr>
      <w:tr>
        <w:tblPrEx>
          <w:tblCellMar>
            <w:top w:w="0" w:type="dxa"/>
            <w:left w:w="108" w:type="dxa"/>
            <w:bottom w:w="0" w:type="dxa"/>
            <w:right w:w="108" w:type="dxa"/>
          </w:tblCellMar>
        </w:tblPrEx>
        <w:trPr>
          <w:trHeight w:val="1000" w:hRule="atLeast"/>
        </w:trPr>
        <w:tc>
          <w:tcPr>
            <w:tcW w:w="2361"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242,774.00 </w:t>
            </w:r>
          </w:p>
        </w:tc>
        <w:tc>
          <w:tcPr>
            <w:tcW w:w="2319"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35,349.79 </w:t>
            </w:r>
          </w:p>
        </w:tc>
        <w:tc>
          <w:tcPr>
            <w:tcW w:w="2484"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24,860.13 </w:t>
            </w:r>
          </w:p>
        </w:tc>
        <w:tc>
          <w:tcPr>
            <w:tcW w:w="2388"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182,564.08 </w:t>
            </w:r>
          </w:p>
        </w:tc>
      </w:tr>
    </w:tbl>
    <w:p>
      <w:pPr>
        <w:pStyle w:val="3"/>
        <w:keepNext w:val="0"/>
        <w:keepLines w:val="0"/>
        <w:spacing w:before="300" w:after="300" w:line="360" w:lineRule="exact"/>
        <w:jc w:val="left"/>
        <w:rPr>
          <w:rFonts w:ascii="Arial" w:hAnsi="Arial" w:eastAsia="宋体" w:cs="Arial"/>
          <w:bCs/>
          <w:color w:val="000000"/>
          <w:sz w:val="24"/>
          <w:szCs w:val="24"/>
        </w:rPr>
      </w:pPr>
      <w:bookmarkStart w:id="32" w:name="_Toc11579"/>
      <w:bookmarkStart w:id="33" w:name="_Toc66115201"/>
      <w:bookmarkStart w:id="34" w:name="_Toc30153"/>
      <w:r>
        <w:rPr>
          <w:rFonts w:hint="eastAsia" w:ascii="Arial" w:hAnsi="Arial" w:eastAsia="宋体" w:cs="Arial"/>
          <w:bCs/>
          <w:color w:val="000000"/>
          <w:sz w:val="24"/>
          <w:szCs w:val="24"/>
        </w:rPr>
        <w:t>七、项目银行账户情况</w:t>
      </w:r>
      <w:bookmarkEnd w:id="32"/>
      <w:bookmarkEnd w:id="33"/>
      <w:bookmarkEnd w:id="34"/>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截至2021年6月30日，SPV公司资金账户余额为11,003.55元，其中可用资金余额11,003.55元，项目公司资金账户余额为87,120,250.16 元，其中可用资金余额8,354,357.44元，各账户余额见下表：</w:t>
      </w:r>
    </w:p>
    <w:p>
      <w:pPr>
        <w:jc w:val="center"/>
        <w:rPr>
          <w:rFonts w:ascii="宋体" w:hAnsi="宋体" w:cs="宋体"/>
          <w:b/>
          <w:bCs/>
          <w:color w:val="000000"/>
          <w:sz w:val="21"/>
          <w:szCs w:val="21"/>
        </w:rPr>
      </w:pPr>
      <w:bookmarkStart w:id="35" w:name="_Toc1831"/>
      <w:r>
        <w:rPr>
          <w:rFonts w:hint="eastAsia" w:ascii="宋体" w:hAnsi="宋体" w:cs="宋体"/>
          <w:b/>
          <w:bCs/>
          <w:color w:val="000000"/>
          <w:sz w:val="21"/>
          <w:szCs w:val="21"/>
        </w:rPr>
        <w:t>表七：SPV公司</w:t>
      </w:r>
      <w:r>
        <w:rPr>
          <w:rFonts w:hint="eastAsia" w:ascii="宋体" w:hAnsi="宋体" w:cs="宋体"/>
          <w:b/>
          <w:bCs/>
          <w:sz w:val="21"/>
          <w:szCs w:val="21"/>
        </w:rPr>
        <w:t>银行账户基本情况</w:t>
      </w:r>
      <w:bookmarkEnd w:id="35"/>
    </w:p>
    <w:tbl>
      <w:tblPr>
        <w:tblStyle w:val="18"/>
        <w:tblW w:w="9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589"/>
        <w:gridCol w:w="1431"/>
        <w:gridCol w:w="1143"/>
        <w:gridCol w:w="882"/>
        <w:gridCol w:w="809"/>
        <w:gridCol w:w="880"/>
        <w:gridCol w:w="1433"/>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623"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序号</w:t>
            </w:r>
          </w:p>
        </w:tc>
        <w:tc>
          <w:tcPr>
            <w:tcW w:w="1589"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开户行</w:t>
            </w:r>
          </w:p>
        </w:tc>
        <w:tc>
          <w:tcPr>
            <w:tcW w:w="1431"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账号</w:t>
            </w:r>
          </w:p>
        </w:tc>
        <w:tc>
          <w:tcPr>
            <w:tcW w:w="1143"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账户性质</w:t>
            </w:r>
          </w:p>
        </w:tc>
        <w:tc>
          <w:tcPr>
            <w:tcW w:w="882"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预留印鉴明细</w:t>
            </w:r>
          </w:p>
        </w:tc>
        <w:tc>
          <w:tcPr>
            <w:tcW w:w="809"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是否开通网银</w:t>
            </w:r>
          </w:p>
        </w:tc>
        <w:tc>
          <w:tcPr>
            <w:tcW w:w="880"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是否开通结算卡等其他功能</w:t>
            </w:r>
          </w:p>
        </w:tc>
        <w:tc>
          <w:tcPr>
            <w:tcW w:w="1433"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月末账户余额（元）</w:t>
            </w:r>
          </w:p>
        </w:tc>
        <w:tc>
          <w:tcPr>
            <w:tcW w:w="1055" w:type="dxa"/>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其他（支票、汇票等）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23"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w:t>
            </w:r>
          </w:p>
        </w:tc>
        <w:tc>
          <w:tcPr>
            <w:tcW w:w="158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中国银行成都科华街支行</w:t>
            </w:r>
          </w:p>
        </w:tc>
        <w:tc>
          <w:tcPr>
            <w:tcW w:w="1431" w:type="dxa"/>
            <w:vAlign w:val="center"/>
          </w:tcPr>
          <w:p>
            <w:pP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130711887990</w:t>
            </w:r>
          </w:p>
        </w:tc>
        <w:tc>
          <w:tcPr>
            <w:tcW w:w="1143"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基本户</w:t>
            </w:r>
          </w:p>
        </w:tc>
        <w:tc>
          <w:tcPr>
            <w:tcW w:w="882"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80"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33" w:type="dxa"/>
            <w:vAlign w:val="center"/>
          </w:tcPr>
          <w:p>
            <w:pPr>
              <w:jc w:val="right"/>
              <w:textAlignment w:val="center"/>
              <w:rPr>
                <w:rFonts w:ascii="Arial" w:hAnsi="Arial" w:cs="Arial"/>
                <w:bCs/>
                <w:color w:val="000000"/>
                <w:kern w:val="2"/>
                <w:sz w:val="18"/>
                <w:szCs w:val="18"/>
                <w:lang w:bidi="ar"/>
              </w:rPr>
            </w:pPr>
            <w:r>
              <w:rPr>
                <w:rFonts w:ascii="Arial" w:hAnsi="Arial" w:cs="Arial"/>
                <w:bCs/>
                <w:color w:val="000000"/>
                <w:kern w:val="2"/>
                <w:sz w:val="18"/>
                <w:szCs w:val="18"/>
                <w:lang w:bidi="ar"/>
              </w:rPr>
              <w:t xml:space="preserve">9,313.56 </w:t>
            </w:r>
          </w:p>
        </w:tc>
        <w:tc>
          <w:tcPr>
            <w:tcW w:w="1055"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23"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w:t>
            </w:r>
          </w:p>
        </w:tc>
        <w:tc>
          <w:tcPr>
            <w:tcW w:w="158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中信银行</w:t>
            </w:r>
          </w:p>
          <w:p>
            <w:pPr>
              <w:jc w:val="center"/>
              <w:textAlignment w:val="center"/>
              <w:rPr>
                <w:rFonts w:ascii="Arial" w:hAnsi="Arial" w:cs="Arial"/>
                <w:bCs/>
                <w:color w:val="000000"/>
                <w:kern w:val="2"/>
                <w:sz w:val="18"/>
                <w:szCs w:val="18"/>
                <w:lang w:bidi="ar"/>
              </w:rPr>
            </w:pPr>
            <w:r>
              <w:rPr>
                <w:rFonts w:hint="eastAsia" w:ascii="Arial" w:hAnsi="Arial" w:cs="Arial"/>
                <w:color w:val="000000"/>
                <w:sz w:val="18"/>
                <w:szCs w:val="18"/>
                <w:lang w:bidi="ar"/>
              </w:rPr>
              <w:t>泸州分行营业部</w:t>
            </w:r>
          </w:p>
        </w:tc>
        <w:tc>
          <w:tcPr>
            <w:tcW w:w="1431" w:type="dxa"/>
            <w:vAlign w:val="center"/>
          </w:tcPr>
          <w:p>
            <w:pPr>
              <w:textAlignment w:val="center"/>
              <w:rPr>
                <w:rFonts w:ascii="Arial" w:hAnsi="Arial" w:cs="Arial"/>
                <w:bCs/>
                <w:color w:val="000000"/>
                <w:kern w:val="2"/>
                <w:sz w:val="18"/>
                <w:szCs w:val="18"/>
                <w:lang w:bidi="ar"/>
              </w:rPr>
            </w:pPr>
            <w:r>
              <w:rPr>
                <w:rFonts w:hint="eastAsia" w:ascii="Arial" w:hAnsi="Arial" w:cs="Arial"/>
                <w:color w:val="000000"/>
                <w:sz w:val="18"/>
                <w:szCs w:val="18"/>
                <w:lang w:bidi="ar"/>
              </w:rPr>
              <w:t>8111001012200756429</w:t>
            </w:r>
          </w:p>
        </w:tc>
        <w:tc>
          <w:tcPr>
            <w:tcW w:w="1143" w:type="dxa"/>
            <w:vAlign w:val="center"/>
          </w:tcPr>
          <w:p>
            <w:pPr>
              <w:jc w:val="center"/>
              <w:textAlignment w:val="center"/>
              <w:rPr>
                <w:rFonts w:ascii="Arial" w:hAnsi="Arial" w:cs="Arial"/>
                <w:bCs/>
                <w:color w:val="000000"/>
                <w:kern w:val="2"/>
                <w:sz w:val="18"/>
                <w:szCs w:val="18"/>
                <w:lang w:bidi="ar"/>
              </w:rPr>
            </w:pPr>
            <w:r>
              <w:rPr>
                <w:rFonts w:hint="eastAsia" w:ascii="Arial" w:hAnsi="Arial" w:cs="Arial"/>
                <w:color w:val="000000"/>
                <w:sz w:val="18"/>
                <w:szCs w:val="18"/>
                <w:lang w:bidi="ar"/>
              </w:rPr>
              <w:t>一般户</w:t>
            </w:r>
          </w:p>
        </w:tc>
        <w:tc>
          <w:tcPr>
            <w:tcW w:w="882"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80"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33" w:type="dxa"/>
            <w:vAlign w:val="center"/>
          </w:tcPr>
          <w:p>
            <w:pPr>
              <w:jc w:val="right"/>
              <w:textAlignment w:val="center"/>
              <w:rPr>
                <w:rFonts w:ascii="Arial" w:hAnsi="Arial" w:cs="Arial"/>
                <w:bCs/>
                <w:color w:val="000000"/>
                <w:kern w:val="2"/>
                <w:sz w:val="18"/>
                <w:szCs w:val="18"/>
                <w:lang w:bidi="ar"/>
              </w:rPr>
            </w:pPr>
            <w:r>
              <w:rPr>
                <w:rFonts w:ascii="Arial" w:hAnsi="Arial" w:cs="Arial"/>
                <w:bCs/>
                <w:color w:val="000000"/>
                <w:kern w:val="2"/>
                <w:sz w:val="18"/>
                <w:szCs w:val="18"/>
                <w:lang w:bidi="ar"/>
              </w:rPr>
              <w:t xml:space="preserve">189.99 </w:t>
            </w:r>
          </w:p>
        </w:tc>
        <w:tc>
          <w:tcPr>
            <w:tcW w:w="1055"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23"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w:t>
            </w:r>
          </w:p>
        </w:tc>
        <w:tc>
          <w:tcPr>
            <w:tcW w:w="158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成都农商行</w:t>
            </w:r>
          </w:p>
          <w:p>
            <w:pPr>
              <w:jc w:val="center"/>
              <w:textAlignment w:val="center"/>
              <w:rPr>
                <w:rFonts w:ascii="Arial" w:hAnsi="Arial" w:cs="Arial"/>
                <w:bCs/>
                <w:color w:val="000000"/>
                <w:kern w:val="2"/>
                <w:sz w:val="18"/>
                <w:szCs w:val="18"/>
                <w:lang w:bidi="ar"/>
              </w:rPr>
            </w:pPr>
            <w:r>
              <w:rPr>
                <w:rFonts w:hint="eastAsia" w:ascii="Arial" w:hAnsi="Arial" w:cs="Arial"/>
                <w:color w:val="000000"/>
                <w:sz w:val="18"/>
                <w:szCs w:val="18"/>
                <w:lang w:bidi="ar"/>
              </w:rPr>
              <w:t>高新支行</w:t>
            </w:r>
          </w:p>
        </w:tc>
        <w:tc>
          <w:tcPr>
            <w:tcW w:w="1431" w:type="dxa"/>
            <w:vAlign w:val="center"/>
          </w:tcPr>
          <w:p>
            <w:pPr>
              <w:textAlignment w:val="center"/>
              <w:rPr>
                <w:rFonts w:ascii="Arial" w:hAnsi="Arial" w:cs="Arial"/>
                <w:bCs/>
                <w:color w:val="000000"/>
                <w:kern w:val="2"/>
                <w:sz w:val="18"/>
                <w:szCs w:val="18"/>
                <w:lang w:bidi="ar"/>
              </w:rPr>
            </w:pPr>
            <w:r>
              <w:rPr>
                <w:rFonts w:hint="eastAsia" w:ascii="Arial" w:hAnsi="Arial" w:cs="Arial"/>
                <w:color w:val="000000"/>
                <w:sz w:val="18"/>
                <w:szCs w:val="18"/>
                <w:lang w:bidi="ar"/>
              </w:rPr>
              <w:t>1000030004096586</w:t>
            </w:r>
          </w:p>
        </w:tc>
        <w:tc>
          <w:tcPr>
            <w:tcW w:w="1143" w:type="dxa"/>
            <w:vAlign w:val="center"/>
          </w:tcPr>
          <w:p>
            <w:pPr>
              <w:jc w:val="center"/>
              <w:textAlignment w:val="center"/>
              <w:rPr>
                <w:rFonts w:ascii="Arial" w:hAnsi="Arial" w:cs="Arial"/>
                <w:bCs/>
                <w:color w:val="000000"/>
                <w:kern w:val="2"/>
                <w:sz w:val="18"/>
                <w:szCs w:val="18"/>
                <w:lang w:bidi="ar"/>
              </w:rPr>
            </w:pPr>
            <w:r>
              <w:rPr>
                <w:rFonts w:hint="eastAsia" w:ascii="Arial" w:hAnsi="Arial" w:cs="Arial"/>
                <w:color w:val="000000"/>
                <w:sz w:val="18"/>
                <w:szCs w:val="18"/>
                <w:lang w:bidi="ar"/>
              </w:rPr>
              <w:t>一般户</w:t>
            </w:r>
          </w:p>
        </w:tc>
        <w:tc>
          <w:tcPr>
            <w:tcW w:w="882"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80"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33" w:type="dxa"/>
            <w:vAlign w:val="center"/>
          </w:tcPr>
          <w:p>
            <w:pPr>
              <w:jc w:val="right"/>
              <w:textAlignment w:val="center"/>
              <w:rPr>
                <w:rFonts w:ascii="Arial" w:hAnsi="Arial" w:cs="Arial"/>
                <w:bCs/>
                <w:color w:val="000000"/>
                <w:kern w:val="2"/>
                <w:sz w:val="18"/>
                <w:szCs w:val="18"/>
                <w:lang w:bidi="ar"/>
              </w:rPr>
            </w:pPr>
            <w:r>
              <w:rPr>
                <w:rFonts w:ascii="Arial" w:hAnsi="Arial" w:cs="Arial"/>
                <w:bCs/>
                <w:color w:val="000000"/>
                <w:kern w:val="2"/>
                <w:sz w:val="18"/>
                <w:szCs w:val="18"/>
                <w:lang w:bidi="ar"/>
              </w:rPr>
              <w:t xml:space="preserve">1,500.00 </w:t>
            </w:r>
          </w:p>
        </w:tc>
        <w:tc>
          <w:tcPr>
            <w:tcW w:w="1055"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623"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w:t>
            </w:r>
          </w:p>
        </w:tc>
        <w:tc>
          <w:tcPr>
            <w:tcW w:w="6734" w:type="dxa"/>
            <w:gridSpan w:val="6"/>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合计</w:t>
            </w:r>
          </w:p>
        </w:tc>
        <w:tc>
          <w:tcPr>
            <w:tcW w:w="1433" w:type="dxa"/>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11,003.55 </w:t>
            </w:r>
          </w:p>
        </w:tc>
        <w:tc>
          <w:tcPr>
            <w:tcW w:w="1055" w:type="dxa"/>
            <w:vAlign w:val="center"/>
          </w:tcPr>
          <w:p>
            <w:pPr>
              <w:jc w:val="center"/>
              <w:textAlignment w:val="center"/>
              <w:rPr>
                <w:rFonts w:ascii="Arial" w:hAnsi="Arial" w:cs="Arial"/>
                <w:bCs/>
                <w:color w:val="000000"/>
                <w:kern w:val="2"/>
                <w:sz w:val="18"/>
                <w:szCs w:val="18"/>
                <w:lang w:bidi="ar"/>
              </w:rPr>
            </w:pPr>
          </w:p>
        </w:tc>
      </w:tr>
    </w:tbl>
    <w:p>
      <w:pPr>
        <w:jc w:val="center"/>
        <w:rPr>
          <w:rFonts w:ascii="宋体" w:hAnsi="宋体" w:cs="宋体"/>
          <w:b/>
          <w:bCs/>
          <w:color w:val="000000"/>
          <w:sz w:val="21"/>
          <w:szCs w:val="21"/>
        </w:rPr>
      </w:pPr>
      <w:bookmarkStart w:id="36" w:name="_Toc19446"/>
    </w:p>
    <w:p>
      <w:pPr>
        <w:rPr>
          <w:rFonts w:ascii="宋体" w:hAnsi="宋体" w:cs="宋体"/>
          <w:b/>
          <w:bCs/>
          <w:color w:val="000000"/>
          <w:sz w:val="21"/>
          <w:szCs w:val="21"/>
        </w:rPr>
      </w:pPr>
      <w:r>
        <w:rPr>
          <w:rFonts w:hint="eastAsia" w:ascii="宋体" w:hAnsi="宋体" w:cs="宋体"/>
          <w:b/>
          <w:bCs/>
          <w:color w:val="000000"/>
          <w:sz w:val="21"/>
          <w:szCs w:val="21"/>
        </w:rPr>
        <w:br w:type="page"/>
      </w:r>
    </w:p>
    <w:p>
      <w:pPr>
        <w:jc w:val="center"/>
        <w:rPr>
          <w:rFonts w:ascii="宋体" w:hAnsi="宋体" w:cs="宋体"/>
          <w:b/>
          <w:bCs/>
          <w:color w:val="000000"/>
          <w:sz w:val="21"/>
          <w:szCs w:val="21"/>
        </w:rPr>
      </w:pPr>
      <w:r>
        <w:rPr>
          <w:rFonts w:hint="eastAsia" w:ascii="宋体" w:hAnsi="宋体" w:cs="宋体"/>
          <w:b/>
          <w:bCs/>
          <w:color w:val="000000"/>
          <w:sz w:val="21"/>
          <w:szCs w:val="21"/>
        </w:rPr>
        <w:t>表七：项目公司</w:t>
      </w:r>
      <w:r>
        <w:rPr>
          <w:rFonts w:hint="eastAsia" w:ascii="宋体" w:hAnsi="宋体" w:cs="宋体"/>
          <w:b/>
          <w:bCs/>
          <w:sz w:val="21"/>
          <w:szCs w:val="21"/>
        </w:rPr>
        <w:t>银行账户基本情况</w:t>
      </w:r>
      <w:bookmarkEnd w:id="36"/>
    </w:p>
    <w:tbl>
      <w:tblPr>
        <w:tblStyle w:val="18"/>
        <w:tblW w:w="9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641"/>
        <w:gridCol w:w="1417"/>
        <w:gridCol w:w="1099"/>
        <w:gridCol w:w="897"/>
        <w:gridCol w:w="809"/>
        <w:gridCol w:w="878"/>
        <w:gridCol w:w="1471"/>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blHeader/>
          <w:jc w:val="center"/>
        </w:trPr>
        <w:tc>
          <w:tcPr>
            <w:tcW w:w="631"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序号</w:t>
            </w:r>
          </w:p>
        </w:tc>
        <w:tc>
          <w:tcPr>
            <w:tcW w:w="1641"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开户行</w:t>
            </w:r>
          </w:p>
        </w:tc>
        <w:tc>
          <w:tcPr>
            <w:tcW w:w="1417"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账号</w:t>
            </w:r>
          </w:p>
        </w:tc>
        <w:tc>
          <w:tcPr>
            <w:tcW w:w="1099"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账户性质</w:t>
            </w:r>
          </w:p>
        </w:tc>
        <w:tc>
          <w:tcPr>
            <w:tcW w:w="897"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预留印鉴明细</w:t>
            </w:r>
          </w:p>
        </w:tc>
        <w:tc>
          <w:tcPr>
            <w:tcW w:w="809"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是否开通网银</w:t>
            </w:r>
          </w:p>
        </w:tc>
        <w:tc>
          <w:tcPr>
            <w:tcW w:w="878"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是否开通结算卡等其他功能</w:t>
            </w:r>
          </w:p>
        </w:tc>
        <w:tc>
          <w:tcPr>
            <w:tcW w:w="1471"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月末账户余额（元）</w:t>
            </w:r>
          </w:p>
        </w:tc>
        <w:tc>
          <w:tcPr>
            <w:tcW w:w="991" w:type="dxa"/>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其他（支票、汇票等）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w:t>
            </w:r>
          </w:p>
        </w:tc>
        <w:tc>
          <w:tcPr>
            <w:tcW w:w="164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中国工商银行</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宜宾翠柏大道支行</w:t>
            </w:r>
          </w:p>
        </w:tc>
        <w:tc>
          <w:tcPr>
            <w:tcW w:w="1417" w:type="dxa"/>
            <w:vAlign w:val="center"/>
          </w:tcPr>
          <w:p>
            <w:pP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2314506209100058473</w:t>
            </w:r>
          </w:p>
        </w:tc>
        <w:tc>
          <w:tcPr>
            <w:tcW w:w="109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基本户</w:t>
            </w:r>
          </w:p>
        </w:tc>
        <w:tc>
          <w:tcPr>
            <w:tcW w:w="89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78"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71" w:type="dxa"/>
            <w:vAlign w:val="center"/>
          </w:tcPr>
          <w:p>
            <w:pPr>
              <w:jc w:val="right"/>
              <w:textAlignment w:val="center"/>
              <w:rPr>
                <w:rFonts w:ascii="Arial" w:hAnsi="Arial" w:cs="Arial"/>
                <w:bCs/>
                <w:color w:val="000000"/>
                <w:kern w:val="2"/>
                <w:sz w:val="18"/>
                <w:szCs w:val="18"/>
                <w:lang w:bidi="ar"/>
              </w:rPr>
            </w:pPr>
            <w:r>
              <w:rPr>
                <w:rFonts w:ascii="Arial" w:hAnsi="Arial" w:cs="Arial"/>
                <w:bCs/>
                <w:color w:val="000000"/>
                <w:kern w:val="2"/>
                <w:sz w:val="18"/>
                <w:szCs w:val="18"/>
                <w:lang w:bidi="ar"/>
              </w:rPr>
              <w:t xml:space="preserve">599,909.56 </w:t>
            </w:r>
          </w:p>
        </w:tc>
        <w:tc>
          <w:tcPr>
            <w:tcW w:w="99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w:t>
            </w:r>
          </w:p>
        </w:tc>
        <w:tc>
          <w:tcPr>
            <w:tcW w:w="164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中国建设银行</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宜宾翠屏支行</w:t>
            </w:r>
          </w:p>
        </w:tc>
        <w:tc>
          <w:tcPr>
            <w:tcW w:w="1417" w:type="dxa"/>
            <w:vAlign w:val="center"/>
          </w:tcPr>
          <w:p>
            <w:pP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51050172610800000904</w:t>
            </w:r>
          </w:p>
        </w:tc>
        <w:tc>
          <w:tcPr>
            <w:tcW w:w="109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预售资金</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监管账户</w:t>
            </w:r>
          </w:p>
        </w:tc>
        <w:tc>
          <w:tcPr>
            <w:tcW w:w="89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78"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71" w:type="dxa"/>
            <w:vAlign w:val="center"/>
          </w:tcPr>
          <w:p>
            <w:pPr>
              <w:jc w:val="right"/>
              <w:textAlignment w:val="center"/>
              <w:rPr>
                <w:rFonts w:ascii="Arial" w:hAnsi="Arial" w:cs="Arial"/>
                <w:bCs/>
                <w:color w:val="000000"/>
                <w:kern w:val="2"/>
                <w:sz w:val="18"/>
                <w:szCs w:val="18"/>
                <w:lang w:bidi="ar"/>
              </w:rPr>
            </w:pPr>
            <w:r>
              <w:rPr>
                <w:rFonts w:ascii="Arial" w:hAnsi="Arial" w:cs="Arial"/>
                <w:bCs/>
                <w:color w:val="000000"/>
                <w:kern w:val="2"/>
                <w:sz w:val="18"/>
                <w:szCs w:val="18"/>
                <w:lang w:bidi="ar"/>
              </w:rPr>
              <w:t xml:space="preserve">78,765,892.72 </w:t>
            </w:r>
          </w:p>
        </w:tc>
        <w:tc>
          <w:tcPr>
            <w:tcW w:w="99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w:t>
            </w:r>
          </w:p>
        </w:tc>
        <w:tc>
          <w:tcPr>
            <w:tcW w:w="164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中国农业银行</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宜宾翠屏支行</w:t>
            </w:r>
          </w:p>
        </w:tc>
        <w:tc>
          <w:tcPr>
            <w:tcW w:w="1417" w:type="dxa"/>
            <w:vAlign w:val="center"/>
          </w:tcPr>
          <w:p>
            <w:pP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22470201040022852</w:t>
            </w:r>
          </w:p>
        </w:tc>
        <w:tc>
          <w:tcPr>
            <w:tcW w:w="109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一般户</w:t>
            </w:r>
          </w:p>
        </w:tc>
        <w:tc>
          <w:tcPr>
            <w:tcW w:w="89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78"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71" w:type="dxa"/>
            <w:vAlign w:val="center"/>
          </w:tcPr>
          <w:p>
            <w:pPr>
              <w:jc w:val="right"/>
              <w:textAlignment w:val="center"/>
              <w:rPr>
                <w:rFonts w:ascii="Arial" w:hAnsi="Arial" w:cs="Arial"/>
                <w:bCs/>
                <w:color w:val="000000"/>
                <w:kern w:val="2"/>
                <w:sz w:val="18"/>
                <w:szCs w:val="18"/>
                <w:lang w:bidi="ar"/>
              </w:rPr>
            </w:pPr>
            <w:r>
              <w:rPr>
                <w:rFonts w:ascii="Arial" w:hAnsi="Arial" w:cs="Arial"/>
                <w:bCs/>
                <w:color w:val="000000"/>
                <w:kern w:val="2"/>
                <w:sz w:val="18"/>
                <w:szCs w:val="18"/>
                <w:lang w:bidi="ar"/>
              </w:rPr>
              <w:t xml:space="preserve">810,505.48 </w:t>
            </w:r>
          </w:p>
        </w:tc>
        <w:tc>
          <w:tcPr>
            <w:tcW w:w="99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w:t>
            </w:r>
          </w:p>
        </w:tc>
        <w:tc>
          <w:tcPr>
            <w:tcW w:w="164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中国建设银行</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宜宾翠屏支行</w:t>
            </w:r>
          </w:p>
        </w:tc>
        <w:tc>
          <w:tcPr>
            <w:tcW w:w="1417" w:type="dxa"/>
            <w:vAlign w:val="center"/>
          </w:tcPr>
          <w:p>
            <w:pP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51050172610800000895</w:t>
            </w:r>
          </w:p>
        </w:tc>
        <w:tc>
          <w:tcPr>
            <w:tcW w:w="109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一般户</w:t>
            </w:r>
          </w:p>
        </w:tc>
        <w:tc>
          <w:tcPr>
            <w:tcW w:w="89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78"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71" w:type="dxa"/>
            <w:vAlign w:val="center"/>
          </w:tcPr>
          <w:p>
            <w:pPr>
              <w:jc w:val="right"/>
              <w:textAlignment w:val="center"/>
              <w:rPr>
                <w:rFonts w:ascii="Arial" w:hAnsi="Arial" w:cs="Arial"/>
                <w:bCs/>
                <w:color w:val="000000"/>
                <w:kern w:val="2"/>
                <w:sz w:val="18"/>
                <w:szCs w:val="18"/>
                <w:lang w:bidi="ar"/>
              </w:rPr>
            </w:pPr>
            <w:r>
              <w:rPr>
                <w:rFonts w:ascii="Arial" w:hAnsi="Arial" w:cs="Arial"/>
                <w:bCs/>
                <w:color w:val="000000"/>
                <w:kern w:val="2"/>
                <w:sz w:val="18"/>
                <w:szCs w:val="18"/>
                <w:lang w:bidi="ar"/>
              </w:rPr>
              <w:t xml:space="preserve">6,912,163.59 </w:t>
            </w:r>
          </w:p>
        </w:tc>
        <w:tc>
          <w:tcPr>
            <w:tcW w:w="99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w:t>
            </w:r>
          </w:p>
        </w:tc>
        <w:tc>
          <w:tcPr>
            <w:tcW w:w="164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中国银行</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宜宾翠柏支行</w:t>
            </w:r>
          </w:p>
        </w:tc>
        <w:tc>
          <w:tcPr>
            <w:tcW w:w="1417" w:type="dxa"/>
            <w:vAlign w:val="center"/>
          </w:tcPr>
          <w:p>
            <w:pP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115868581512</w:t>
            </w:r>
          </w:p>
        </w:tc>
        <w:tc>
          <w:tcPr>
            <w:tcW w:w="109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一般户</w:t>
            </w:r>
          </w:p>
        </w:tc>
        <w:tc>
          <w:tcPr>
            <w:tcW w:w="89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78"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71" w:type="dxa"/>
            <w:vAlign w:val="center"/>
          </w:tcPr>
          <w:p>
            <w:pPr>
              <w:jc w:val="right"/>
              <w:textAlignment w:val="center"/>
              <w:rPr>
                <w:rFonts w:ascii="Arial" w:hAnsi="Arial" w:cs="Arial"/>
                <w:bCs/>
                <w:color w:val="000000"/>
                <w:kern w:val="2"/>
                <w:sz w:val="18"/>
                <w:szCs w:val="18"/>
                <w:lang w:bidi="ar"/>
              </w:rPr>
            </w:pPr>
            <w:r>
              <w:rPr>
                <w:rFonts w:ascii="Arial" w:hAnsi="Arial" w:cs="Arial"/>
                <w:bCs/>
                <w:color w:val="000000"/>
                <w:kern w:val="2"/>
                <w:sz w:val="18"/>
                <w:szCs w:val="18"/>
                <w:lang w:bidi="ar"/>
              </w:rPr>
              <w:t xml:space="preserve">2,781.45 </w:t>
            </w:r>
          </w:p>
        </w:tc>
        <w:tc>
          <w:tcPr>
            <w:tcW w:w="99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w:t>
            </w:r>
          </w:p>
        </w:tc>
        <w:tc>
          <w:tcPr>
            <w:tcW w:w="164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中信银行</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宜宾分行营业部</w:t>
            </w:r>
          </w:p>
        </w:tc>
        <w:tc>
          <w:tcPr>
            <w:tcW w:w="1417" w:type="dxa"/>
            <w:vAlign w:val="center"/>
          </w:tcPr>
          <w:p>
            <w:pP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8111001012900684397</w:t>
            </w:r>
          </w:p>
        </w:tc>
        <w:tc>
          <w:tcPr>
            <w:tcW w:w="109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一般户</w:t>
            </w:r>
          </w:p>
        </w:tc>
        <w:tc>
          <w:tcPr>
            <w:tcW w:w="89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78"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71" w:type="dxa"/>
            <w:vAlign w:val="center"/>
          </w:tcPr>
          <w:p>
            <w:pPr>
              <w:jc w:val="right"/>
              <w:textAlignment w:val="center"/>
              <w:rPr>
                <w:rFonts w:ascii="Arial" w:hAnsi="Arial" w:cs="Arial"/>
                <w:bCs/>
                <w:color w:val="000000"/>
                <w:kern w:val="2"/>
                <w:sz w:val="18"/>
                <w:szCs w:val="18"/>
                <w:lang w:bidi="ar"/>
              </w:rPr>
            </w:pPr>
            <w:r>
              <w:rPr>
                <w:rFonts w:ascii="Arial" w:hAnsi="Arial" w:cs="Arial"/>
                <w:bCs/>
                <w:color w:val="000000"/>
                <w:kern w:val="2"/>
                <w:sz w:val="18"/>
                <w:szCs w:val="18"/>
                <w:lang w:bidi="ar"/>
              </w:rPr>
              <w:t xml:space="preserve">25,572.89 </w:t>
            </w:r>
          </w:p>
        </w:tc>
        <w:tc>
          <w:tcPr>
            <w:tcW w:w="99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w:t>
            </w:r>
          </w:p>
        </w:tc>
        <w:tc>
          <w:tcPr>
            <w:tcW w:w="164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中国民生银行</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宜宾分行营业部</w:t>
            </w:r>
          </w:p>
        </w:tc>
        <w:tc>
          <w:tcPr>
            <w:tcW w:w="1417" w:type="dxa"/>
            <w:vAlign w:val="center"/>
          </w:tcPr>
          <w:p>
            <w:pP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632327658</w:t>
            </w:r>
          </w:p>
        </w:tc>
        <w:tc>
          <w:tcPr>
            <w:tcW w:w="109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一般户</w:t>
            </w:r>
          </w:p>
        </w:tc>
        <w:tc>
          <w:tcPr>
            <w:tcW w:w="89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78"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71" w:type="dxa"/>
            <w:vAlign w:val="center"/>
          </w:tcPr>
          <w:p>
            <w:pPr>
              <w:jc w:val="right"/>
              <w:textAlignment w:val="center"/>
              <w:rPr>
                <w:rFonts w:ascii="Arial" w:hAnsi="Arial" w:cs="Arial"/>
                <w:bCs/>
                <w:color w:val="000000"/>
                <w:kern w:val="2"/>
                <w:sz w:val="18"/>
                <w:szCs w:val="18"/>
                <w:lang w:bidi="ar"/>
              </w:rPr>
            </w:pPr>
            <w:r>
              <w:rPr>
                <w:rFonts w:ascii="Arial" w:hAnsi="Arial" w:cs="Arial"/>
                <w:bCs/>
                <w:color w:val="000000"/>
                <w:kern w:val="2"/>
                <w:sz w:val="18"/>
                <w:szCs w:val="18"/>
                <w:lang w:bidi="ar"/>
              </w:rPr>
              <w:t xml:space="preserve">2,803.48 </w:t>
            </w:r>
          </w:p>
        </w:tc>
        <w:tc>
          <w:tcPr>
            <w:tcW w:w="99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8</w:t>
            </w:r>
          </w:p>
        </w:tc>
        <w:tc>
          <w:tcPr>
            <w:tcW w:w="164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招商银行</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泸州分行</w:t>
            </w:r>
          </w:p>
        </w:tc>
        <w:tc>
          <w:tcPr>
            <w:tcW w:w="1417" w:type="dxa"/>
            <w:vAlign w:val="center"/>
          </w:tcPr>
          <w:p>
            <w:pP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830900346010301</w:t>
            </w:r>
          </w:p>
        </w:tc>
        <w:tc>
          <w:tcPr>
            <w:tcW w:w="109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一般户</w:t>
            </w:r>
          </w:p>
        </w:tc>
        <w:tc>
          <w:tcPr>
            <w:tcW w:w="89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78"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71" w:type="dxa"/>
            <w:vAlign w:val="center"/>
          </w:tcPr>
          <w:p>
            <w:pPr>
              <w:jc w:val="right"/>
              <w:textAlignment w:val="center"/>
              <w:rPr>
                <w:rFonts w:ascii="Arial" w:hAnsi="Arial" w:cs="Arial"/>
                <w:bCs/>
                <w:color w:val="000000"/>
                <w:kern w:val="2"/>
                <w:sz w:val="18"/>
                <w:szCs w:val="18"/>
                <w:lang w:bidi="ar"/>
              </w:rPr>
            </w:pPr>
            <w:r>
              <w:rPr>
                <w:rFonts w:ascii="Arial" w:hAnsi="Arial" w:cs="Arial"/>
                <w:bCs/>
                <w:color w:val="000000"/>
                <w:kern w:val="2"/>
                <w:sz w:val="18"/>
                <w:szCs w:val="18"/>
                <w:lang w:bidi="ar"/>
              </w:rPr>
              <w:t xml:space="preserve">620.99 </w:t>
            </w:r>
          </w:p>
        </w:tc>
        <w:tc>
          <w:tcPr>
            <w:tcW w:w="99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9</w:t>
            </w:r>
          </w:p>
        </w:tc>
        <w:tc>
          <w:tcPr>
            <w:tcW w:w="1641"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成都银行</w:t>
            </w:r>
          </w:p>
          <w:p>
            <w:pPr>
              <w:jc w:val="center"/>
              <w:textAlignment w:val="center"/>
              <w:rPr>
                <w:rFonts w:ascii="Arial" w:hAnsi="Arial" w:cs="Arial"/>
                <w:bCs/>
                <w:color w:val="000000"/>
                <w:kern w:val="2"/>
                <w:sz w:val="18"/>
                <w:szCs w:val="18"/>
                <w:lang w:bidi="ar"/>
              </w:rPr>
            </w:pPr>
            <w:r>
              <w:rPr>
                <w:rFonts w:hint="eastAsia" w:ascii="Arial" w:hAnsi="Arial" w:cs="Arial"/>
                <w:color w:val="000000"/>
                <w:sz w:val="18"/>
                <w:szCs w:val="18"/>
                <w:lang w:bidi="ar"/>
              </w:rPr>
              <w:t>宜宾分行</w:t>
            </w:r>
          </w:p>
        </w:tc>
        <w:tc>
          <w:tcPr>
            <w:tcW w:w="1417" w:type="dxa"/>
            <w:vAlign w:val="center"/>
          </w:tcPr>
          <w:p>
            <w:pPr>
              <w:textAlignment w:val="center"/>
              <w:rPr>
                <w:rFonts w:ascii="Arial" w:hAnsi="Arial" w:cs="Arial"/>
                <w:bCs/>
                <w:color w:val="000000"/>
                <w:kern w:val="2"/>
                <w:sz w:val="18"/>
                <w:szCs w:val="18"/>
                <w:lang w:bidi="ar"/>
              </w:rPr>
            </w:pPr>
            <w:r>
              <w:rPr>
                <w:rFonts w:hint="eastAsia" w:ascii="Arial" w:hAnsi="Arial" w:cs="Arial"/>
                <w:color w:val="000000"/>
                <w:sz w:val="18"/>
                <w:szCs w:val="18"/>
                <w:lang w:bidi="ar"/>
              </w:rPr>
              <w:t>1061300000865997</w:t>
            </w:r>
          </w:p>
        </w:tc>
        <w:tc>
          <w:tcPr>
            <w:tcW w:w="1099" w:type="dxa"/>
            <w:vAlign w:val="center"/>
          </w:tcPr>
          <w:p>
            <w:pPr>
              <w:jc w:val="center"/>
              <w:textAlignment w:val="center"/>
              <w:rPr>
                <w:rFonts w:ascii="Arial" w:hAnsi="Arial" w:cs="Arial"/>
                <w:bCs/>
                <w:color w:val="000000"/>
                <w:kern w:val="2"/>
                <w:sz w:val="18"/>
                <w:szCs w:val="18"/>
                <w:lang w:bidi="ar"/>
              </w:rPr>
            </w:pPr>
            <w:r>
              <w:rPr>
                <w:rFonts w:hint="eastAsia" w:ascii="Arial" w:hAnsi="Arial" w:cs="Arial"/>
                <w:color w:val="000000"/>
                <w:sz w:val="18"/>
                <w:szCs w:val="18"/>
                <w:lang w:bidi="ar"/>
              </w:rPr>
              <w:t>一般户</w:t>
            </w:r>
          </w:p>
        </w:tc>
        <w:tc>
          <w:tcPr>
            <w:tcW w:w="89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878"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71" w:type="dxa"/>
            <w:vAlign w:val="center"/>
          </w:tcPr>
          <w:p>
            <w:pPr>
              <w:jc w:val="right"/>
              <w:textAlignment w:val="center"/>
              <w:rPr>
                <w:rFonts w:ascii="Arial" w:hAnsi="Arial" w:cs="Arial"/>
                <w:bCs/>
                <w:color w:val="000000"/>
                <w:kern w:val="2"/>
                <w:sz w:val="18"/>
                <w:szCs w:val="18"/>
                <w:lang w:bidi="ar"/>
              </w:rPr>
            </w:pPr>
            <w:r>
              <w:rPr>
                <w:rFonts w:ascii="Arial" w:hAnsi="Arial" w:cs="Arial"/>
                <w:bCs/>
                <w:color w:val="000000"/>
                <w:kern w:val="2"/>
                <w:sz w:val="18"/>
                <w:szCs w:val="18"/>
                <w:lang w:bidi="ar"/>
              </w:rPr>
              <w:t xml:space="preserve">0.00 </w:t>
            </w:r>
          </w:p>
        </w:tc>
        <w:tc>
          <w:tcPr>
            <w:tcW w:w="99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10</w:t>
            </w:r>
          </w:p>
        </w:tc>
        <w:tc>
          <w:tcPr>
            <w:tcW w:w="6741" w:type="dxa"/>
            <w:gridSpan w:val="6"/>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合计</w:t>
            </w:r>
          </w:p>
        </w:tc>
        <w:tc>
          <w:tcPr>
            <w:tcW w:w="1471" w:type="dxa"/>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87,120,250.16 </w:t>
            </w:r>
          </w:p>
        </w:tc>
        <w:tc>
          <w:tcPr>
            <w:tcW w:w="991" w:type="dxa"/>
          </w:tcPr>
          <w:p>
            <w:pPr>
              <w:jc w:val="center"/>
              <w:textAlignment w:val="center"/>
              <w:rPr>
                <w:rFonts w:ascii="Arial" w:hAnsi="Arial" w:cs="Arial"/>
                <w:bCs/>
                <w:color w:val="000000"/>
                <w:kern w:val="2"/>
                <w:sz w:val="18"/>
                <w:szCs w:val="18"/>
                <w:lang w:bidi="ar"/>
              </w:rPr>
            </w:pPr>
          </w:p>
        </w:tc>
      </w:tr>
    </w:tbl>
    <w:p>
      <w:pPr>
        <w:widowControl w:val="0"/>
        <w:spacing w:line="480" w:lineRule="auto"/>
        <w:ind w:firstLine="360" w:firstLineChars="200"/>
        <w:jc w:val="both"/>
        <w:rPr>
          <w:rFonts w:ascii="Arial" w:hAnsi="Arial" w:cs="Arial"/>
          <w:kern w:val="44"/>
          <w:sz w:val="21"/>
          <w:szCs w:val="21"/>
        </w:rPr>
      </w:pPr>
      <w:r>
        <w:rPr>
          <w:rFonts w:hint="eastAsia" w:ascii="Arial" w:hAnsi="Arial" w:cs="Arial"/>
          <w:color w:val="000000"/>
          <w:sz w:val="18"/>
          <w:szCs w:val="18"/>
          <w:lang w:bidi="ar"/>
        </w:rPr>
        <w:t>（1）宜宾骏继洪骥置业有限责任公司成都银行宜宾分行未开通网银，无余额截图</w:t>
      </w:r>
      <w:r>
        <w:rPr>
          <w:rFonts w:hint="eastAsia" w:ascii="Arial" w:hAnsi="Arial" w:cs="Arial"/>
          <w:kern w:val="44"/>
          <w:sz w:val="21"/>
          <w:szCs w:val="21"/>
        </w:rPr>
        <w:t>。</w:t>
      </w:r>
    </w:p>
    <w:p>
      <w:pPr>
        <w:pStyle w:val="3"/>
        <w:keepNext w:val="0"/>
        <w:keepLines w:val="0"/>
        <w:spacing w:before="300" w:after="300" w:line="360" w:lineRule="exact"/>
        <w:jc w:val="left"/>
        <w:rPr>
          <w:rFonts w:ascii="Arial" w:hAnsi="Arial" w:eastAsia="宋体" w:cs="Arial"/>
          <w:bCs/>
          <w:color w:val="000000"/>
          <w:sz w:val="24"/>
          <w:szCs w:val="24"/>
        </w:rPr>
      </w:pPr>
      <w:bookmarkStart w:id="37" w:name="_Toc13388"/>
      <w:bookmarkStart w:id="38" w:name="_Toc66115202"/>
      <w:bookmarkStart w:id="39" w:name="_Toc29261"/>
      <w:r>
        <w:rPr>
          <w:rFonts w:hint="eastAsia" w:ascii="Arial" w:hAnsi="Arial" w:eastAsia="宋体" w:cs="Arial"/>
          <w:bCs/>
          <w:color w:val="000000"/>
          <w:sz w:val="24"/>
          <w:szCs w:val="24"/>
        </w:rPr>
        <w:t>八、资金收支情况</w:t>
      </w:r>
      <w:bookmarkEnd w:id="37"/>
      <w:bookmarkEnd w:id="38"/>
      <w:bookmarkEnd w:id="39"/>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1.资金收入</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本月SPV公司资金收入17,884,795.92元，明细如下：</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本月项目公司资金收入54,729,486.63元，明细如下：</w:t>
      </w:r>
    </w:p>
    <w:p>
      <w:pPr>
        <w:spacing w:line="360" w:lineRule="auto"/>
        <w:jc w:val="center"/>
        <w:rPr>
          <w:rFonts w:ascii="Arial" w:hAnsi="Arial" w:cs="Arial"/>
          <w:b/>
          <w:sz w:val="21"/>
          <w:szCs w:val="21"/>
        </w:rPr>
      </w:pPr>
      <w:bookmarkStart w:id="40" w:name="_Toc5988"/>
      <w:r>
        <w:rPr>
          <w:rFonts w:ascii="Arial" w:hAnsi="Arial" w:cs="Arial"/>
          <w:b/>
          <w:sz w:val="21"/>
          <w:szCs w:val="21"/>
        </w:rPr>
        <w:t>表</w:t>
      </w:r>
      <w:r>
        <w:rPr>
          <w:rFonts w:hint="eastAsia" w:ascii="Arial" w:hAnsi="Arial" w:cs="Arial"/>
          <w:b/>
          <w:sz w:val="21"/>
          <w:szCs w:val="21"/>
        </w:rPr>
        <w:t>八</w:t>
      </w:r>
      <w:r>
        <w:rPr>
          <w:rFonts w:ascii="Arial" w:hAnsi="Arial" w:cs="Arial"/>
          <w:b/>
          <w:sz w:val="21"/>
          <w:szCs w:val="21"/>
        </w:rPr>
        <w:t>：</w:t>
      </w:r>
      <w:r>
        <w:rPr>
          <w:rFonts w:hint="eastAsia" w:ascii="Arial" w:hAnsi="Arial" w:cs="Arial"/>
          <w:b/>
          <w:sz w:val="21"/>
          <w:szCs w:val="21"/>
        </w:rPr>
        <w:t>SPV公司资金</w:t>
      </w:r>
      <w:r>
        <w:rPr>
          <w:rFonts w:ascii="Arial" w:hAnsi="Arial" w:cs="Arial"/>
          <w:b/>
          <w:sz w:val="21"/>
          <w:szCs w:val="21"/>
        </w:rPr>
        <w:t>收入情况</w:t>
      </w:r>
      <w:bookmarkEnd w:id="40"/>
    </w:p>
    <w:tbl>
      <w:tblPr>
        <w:tblStyle w:val="18"/>
        <w:tblW w:w="9931" w:type="dxa"/>
        <w:jc w:val="center"/>
        <w:tblLayout w:type="fixed"/>
        <w:tblCellMar>
          <w:top w:w="0" w:type="dxa"/>
          <w:left w:w="0" w:type="dxa"/>
          <w:bottom w:w="0" w:type="dxa"/>
          <w:right w:w="0" w:type="dxa"/>
        </w:tblCellMar>
      </w:tblPr>
      <w:tblGrid>
        <w:gridCol w:w="585"/>
        <w:gridCol w:w="1110"/>
        <w:gridCol w:w="2314"/>
        <w:gridCol w:w="1725"/>
        <w:gridCol w:w="1611"/>
        <w:gridCol w:w="2586"/>
      </w:tblGrid>
      <w:tr>
        <w:tblPrEx>
          <w:tblCellMar>
            <w:top w:w="0" w:type="dxa"/>
            <w:left w:w="0" w:type="dxa"/>
            <w:bottom w:w="0" w:type="dxa"/>
            <w:right w:w="0" w:type="dxa"/>
          </w:tblCellMar>
        </w:tblPrEx>
        <w:trPr>
          <w:trHeight w:val="403" w:hRule="atLeast"/>
          <w:tblHeader/>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3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2021-6-15</w:t>
            </w:r>
          </w:p>
        </w:tc>
        <w:tc>
          <w:tcPr>
            <w:tcW w:w="23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宜宾骏继洪骥</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置业有限责任公司</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股东分配</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15,300,000.00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成都信茂涵中国银行基本户130711887990</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2021-6-16</w:t>
            </w:r>
          </w:p>
        </w:tc>
        <w:tc>
          <w:tcPr>
            <w:tcW w:w="23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宜宾骏继洪骥</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置业有限责任公司</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股东分配</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2,550,000.00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成都信茂涵中国银行基本户130711887990</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2021-6-20</w:t>
            </w:r>
          </w:p>
        </w:tc>
        <w:tc>
          <w:tcPr>
            <w:tcW w:w="23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结息</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34,045.93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成都信茂涵中国银行基本户130711887990</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2021-6-21</w:t>
            </w:r>
          </w:p>
        </w:tc>
        <w:tc>
          <w:tcPr>
            <w:tcW w:w="23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结息</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509.99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信茂涵中信银行8111001012200756429</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2021-6-24</w:t>
            </w:r>
          </w:p>
        </w:tc>
        <w:tc>
          <w:tcPr>
            <w:tcW w:w="23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存现</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240.00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信茂涵农商行1000030004096586</w:t>
            </w:r>
          </w:p>
        </w:tc>
      </w:tr>
    </w:tbl>
    <w:p>
      <w:pPr>
        <w:spacing w:line="360" w:lineRule="auto"/>
        <w:jc w:val="both"/>
        <w:rPr>
          <w:rFonts w:ascii="Arial" w:hAnsi="Arial" w:cs="Arial"/>
          <w:b/>
          <w:sz w:val="21"/>
          <w:szCs w:val="21"/>
        </w:rPr>
      </w:pPr>
      <w:bookmarkStart w:id="41" w:name="_Toc17083"/>
    </w:p>
    <w:p>
      <w:pPr>
        <w:spacing w:line="360" w:lineRule="auto"/>
        <w:jc w:val="center"/>
        <w:rPr>
          <w:rFonts w:ascii="Arial" w:hAnsi="Arial" w:cs="Arial"/>
          <w:b/>
          <w:sz w:val="21"/>
          <w:szCs w:val="21"/>
        </w:rPr>
      </w:pPr>
      <w:r>
        <w:rPr>
          <w:rFonts w:ascii="Arial" w:hAnsi="Arial" w:cs="Arial"/>
          <w:b/>
          <w:sz w:val="21"/>
          <w:szCs w:val="21"/>
        </w:rPr>
        <w:t>表</w:t>
      </w:r>
      <w:r>
        <w:rPr>
          <w:rFonts w:hint="eastAsia" w:ascii="Arial" w:hAnsi="Arial" w:cs="Arial"/>
          <w:b/>
          <w:sz w:val="21"/>
          <w:szCs w:val="21"/>
        </w:rPr>
        <w:t>八</w:t>
      </w:r>
      <w:r>
        <w:rPr>
          <w:rFonts w:ascii="Arial" w:hAnsi="Arial" w:cs="Arial"/>
          <w:b/>
          <w:sz w:val="21"/>
          <w:szCs w:val="21"/>
        </w:rPr>
        <w:t>：</w:t>
      </w:r>
      <w:r>
        <w:rPr>
          <w:rFonts w:hint="eastAsia" w:ascii="Arial" w:hAnsi="Arial" w:cs="Arial"/>
          <w:b/>
          <w:sz w:val="21"/>
          <w:szCs w:val="21"/>
        </w:rPr>
        <w:t>项目公司资金</w:t>
      </w:r>
      <w:r>
        <w:rPr>
          <w:rFonts w:ascii="Arial" w:hAnsi="Arial" w:cs="Arial"/>
          <w:b/>
          <w:sz w:val="21"/>
          <w:szCs w:val="21"/>
        </w:rPr>
        <w:t>收入情况</w:t>
      </w:r>
      <w:bookmarkEnd w:id="41"/>
    </w:p>
    <w:tbl>
      <w:tblPr>
        <w:tblStyle w:val="18"/>
        <w:tblW w:w="9931" w:type="dxa"/>
        <w:jc w:val="center"/>
        <w:tblLayout w:type="fixed"/>
        <w:tblCellMar>
          <w:top w:w="0" w:type="dxa"/>
          <w:left w:w="0" w:type="dxa"/>
          <w:bottom w:w="0" w:type="dxa"/>
          <w:right w:w="0" w:type="dxa"/>
        </w:tblCellMar>
      </w:tblPr>
      <w:tblGrid>
        <w:gridCol w:w="585"/>
        <w:gridCol w:w="1110"/>
        <w:gridCol w:w="2285"/>
        <w:gridCol w:w="1732"/>
        <w:gridCol w:w="1633"/>
        <w:gridCol w:w="2586"/>
      </w:tblGrid>
      <w:tr>
        <w:tblPrEx>
          <w:tblCellMar>
            <w:top w:w="0" w:type="dxa"/>
            <w:left w:w="0" w:type="dxa"/>
            <w:bottom w:w="0" w:type="dxa"/>
            <w:right w:w="0" w:type="dxa"/>
          </w:tblCellMar>
        </w:tblPrEx>
        <w:trPr>
          <w:trHeight w:val="403" w:hRule="atLeast"/>
          <w:tblHeader/>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drawing>
                <wp:anchor distT="0" distB="0" distL="114300" distR="114300" simplePos="0" relativeHeight="25165926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38" name="TextBox_66"/>
                  <wp:cNvGraphicFramePr/>
                  <a:graphic xmlns:a="http://schemas.openxmlformats.org/drawingml/2006/main">
                    <a:graphicData uri="http://schemas.openxmlformats.org/drawingml/2006/picture">
                      <pic:pic xmlns:pic="http://schemas.openxmlformats.org/drawingml/2006/picture">
                        <pic:nvPicPr>
                          <pic:cNvPr id="338" name="TextBox_66"/>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39" name="TextBox_66_SpCnt_1"/>
                  <wp:cNvGraphicFramePr/>
                  <a:graphic xmlns:a="http://schemas.openxmlformats.org/drawingml/2006/main">
                    <a:graphicData uri="http://schemas.openxmlformats.org/drawingml/2006/picture">
                      <pic:pic xmlns:pic="http://schemas.openxmlformats.org/drawingml/2006/picture">
                        <pic:nvPicPr>
                          <pic:cNvPr id="339" name="TextBox_66_SpCnt_1"/>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40" name="TextBox_66_SpCnt_2"/>
                  <wp:cNvGraphicFramePr/>
                  <a:graphic xmlns:a="http://schemas.openxmlformats.org/drawingml/2006/main">
                    <a:graphicData uri="http://schemas.openxmlformats.org/drawingml/2006/picture">
                      <pic:pic xmlns:pic="http://schemas.openxmlformats.org/drawingml/2006/picture">
                        <pic:nvPicPr>
                          <pic:cNvPr id="340" name="TextBox_66_SpCnt_2"/>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6233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41" name="TextBox_66_SpCnt_3"/>
                  <wp:cNvGraphicFramePr/>
                  <a:graphic xmlns:a="http://schemas.openxmlformats.org/drawingml/2006/main">
                    <a:graphicData uri="http://schemas.openxmlformats.org/drawingml/2006/picture">
                      <pic:pic xmlns:pic="http://schemas.openxmlformats.org/drawingml/2006/picture">
                        <pic:nvPicPr>
                          <pic:cNvPr id="341" name="TextBox_66_SpCnt_3"/>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6336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42" name="TextBox_66_SpCnt_4"/>
                  <wp:cNvGraphicFramePr/>
                  <a:graphic xmlns:a="http://schemas.openxmlformats.org/drawingml/2006/main">
                    <a:graphicData uri="http://schemas.openxmlformats.org/drawingml/2006/picture">
                      <pic:pic xmlns:pic="http://schemas.openxmlformats.org/drawingml/2006/picture">
                        <pic:nvPicPr>
                          <pic:cNvPr id="342" name="TextBox_66_SpCnt_4"/>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6438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43" name="TextBox_66_SpCnt_5"/>
                  <wp:cNvGraphicFramePr/>
                  <a:graphic xmlns:a="http://schemas.openxmlformats.org/drawingml/2006/main">
                    <a:graphicData uri="http://schemas.openxmlformats.org/drawingml/2006/picture">
                      <pic:pic xmlns:pic="http://schemas.openxmlformats.org/drawingml/2006/picture">
                        <pic:nvPicPr>
                          <pic:cNvPr id="343" name="TextBox_66_SpCnt_5"/>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6540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44" name="TextBox_66_SpCnt_6"/>
                  <wp:cNvGraphicFramePr/>
                  <a:graphic xmlns:a="http://schemas.openxmlformats.org/drawingml/2006/main">
                    <a:graphicData uri="http://schemas.openxmlformats.org/drawingml/2006/picture">
                      <pic:pic xmlns:pic="http://schemas.openxmlformats.org/drawingml/2006/picture">
                        <pic:nvPicPr>
                          <pic:cNvPr id="344" name="TextBox_66_SpCnt_6"/>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6643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45" name="TextBox_66_SpCnt_7"/>
                  <wp:cNvGraphicFramePr/>
                  <a:graphic xmlns:a="http://schemas.openxmlformats.org/drawingml/2006/main">
                    <a:graphicData uri="http://schemas.openxmlformats.org/drawingml/2006/picture">
                      <pic:pic xmlns:pic="http://schemas.openxmlformats.org/drawingml/2006/picture">
                        <pic:nvPicPr>
                          <pic:cNvPr id="345" name="TextBox_66_SpCnt_7"/>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6745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46" name="TextBox_66_SpCnt_8"/>
                  <wp:cNvGraphicFramePr/>
                  <a:graphic xmlns:a="http://schemas.openxmlformats.org/drawingml/2006/main">
                    <a:graphicData uri="http://schemas.openxmlformats.org/drawingml/2006/picture">
                      <pic:pic xmlns:pic="http://schemas.openxmlformats.org/drawingml/2006/picture">
                        <pic:nvPicPr>
                          <pic:cNvPr id="346" name="TextBox_66_SpCnt_8"/>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6848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47" name="TextBox_66_SpCnt_9"/>
                  <wp:cNvGraphicFramePr/>
                  <a:graphic xmlns:a="http://schemas.openxmlformats.org/drawingml/2006/main">
                    <a:graphicData uri="http://schemas.openxmlformats.org/drawingml/2006/picture">
                      <pic:pic xmlns:pic="http://schemas.openxmlformats.org/drawingml/2006/picture">
                        <pic:nvPicPr>
                          <pic:cNvPr id="347" name="TextBox_66_SpCnt_9"/>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6950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48" name="TextBox_66_SpCnt_10"/>
                  <wp:cNvGraphicFramePr/>
                  <a:graphic xmlns:a="http://schemas.openxmlformats.org/drawingml/2006/main">
                    <a:graphicData uri="http://schemas.openxmlformats.org/drawingml/2006/picture">
                      <pic:pic xmlns:pic="http://schemas.openxmlformats.org/drawingml/2006/picture">
                        <pic:nvPicPr>
                          <pic:cNvPr id="348" name="TextBox_66_SpCnt_10"/>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7052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49" name="TextBox_66_SpCnt_11"/>
                  <wp:cNvGraphicFramePr/>
                  <a:graphic xmlns:a="http://schemas.openxmlformats.org/drawingml/2006/main">
                    <a:graphicData uri="http://schemas.openxmlformats.org/drawingml/2006/picture">
                      <pic:pic xmlns:pic="http://schemas.openxmlformats.org/drawingml/2006/picture">
                        <pic:nvPicPr>
                          <pic:cNvPr id="349" name="TextBox_66_SpCnt_11"/>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7155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50" name="TextBox_66_SpCnt_12"/>
                  <wp:cNvGraphicFramePr/>
                  <a:graphic xmlns:a="http://schemas.openxmlformats.org/drawingml/2006/main">
                    <a:graphicData uri="http://schemas.openxmlformats.org/drawingml/2006/picture">
                      <pic:pic xmlns:pic="http://schemas.openxmlformats.org/drawingml/2006/picture">
                        <pic:nvPicPr>
                          <pic:cNvPr id="350" name="TextBox_66_SpCnt_12"/>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7257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51" name="TextBox_66_SpCnt_13"/>
                  <wp:cNvGraphicFramePr/>
                  <a:graphic xmlns:a="http://schemas.openxmlformats.org/drawingml/2006/main">
                    <a:graphicData uri="http://schemas.openxmlformats.org/drawingml/2006/picture">
                      <pic:pic xmlns:pic="http://schemas.openxmlformats.org/drawingml/2006/picture">
                        <pic:nvPicPr>
                          <pic:cNvPr id="351" name="TextBox_66_SpCnt_13"/>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7360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52" name="TextBox_66_SpCnt_14"/>
                  <wp:cNvGraphicFramePr/>
                  <a:graphic xmlns:a="http://schemas.openxmlformats.org/drawingml/2006/main">
                    <a:graphicData uri="http://schemas.openxmlformats.org/drawingml/2006/picture">
                      <pic:pic xmlns:pic="http://schemas.openxmlformats.org/drawingml/2006/picture">
                        <pic:nvPicPr>
                          <pic:cNvPr id="352" name="TextBox_66_SpCnt_14"/>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7462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53" name="TextBox_66_SpCnt_15"/>
                  <wp:cNvGraphicFramePr/>
                  <a:graphic xmlns:a="http://schemas.openxmlformats.org/drawingml/2006/main">
                    <a:graphicData uri="http://schemas.openxmlformats.org/drawingml/2006/picture">
                      <pic:pic xmlns:pic="http://schemas.openxmlformats.org/drawingml/2006/picture">
                        <pic:nvPicPr>
                          <pic:cNvPr id="353" name="TextBox_66_SpCnt_15"/>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7564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54" name="TextBox_66_SpCnt_16"/>
                  <wp:cNvGraphicFramePr/>
                  <a:graphic xmlns:a="http://schemas.openxmlformats.org/drawingml/2006/main">
                    <a:graphicData uri="http://schemas.openxmlformats.org/drawingml/2006/picture">
                      <pic:pic xmlns:pic="http://schemas.openxmlformats.org/drawingml/2006/picture">
                        <pic:nvPicPr>
                          <pic:cNvPr id="354" name="TextBox_66_SpCnt_16"/>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7667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55" name="TextBox_66_SpCnt_17"/>
                  <wp:cNvGraphicFramePr/>
                  <a:graphic xmlns:a="http://schemas.openxmlformats.org/drawingml/2006/main">
                    <a:graphicData uri="http://schemas.openxmlformats.org/drawingml/2006/picture">
                      <pic:pic xmlns:pic="http://schemas.openxmlformats.org/drawingml/2006/picture">
                        <pic:nvPicPr>
                          <pic:cNvPr id="355" name="TextBox_66_SpCnt_17"/>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7769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56" name="TextBox_66_SpCnt_18"/>
                  <wp:cNvGraphicFramePr/>
                  <a:graphic xmlns:a="http://schemas.openxmlformats.org/drawingml/2006/main">
                    <a:graphicData uri="http://schemas.openxmlformats.org/drawingml/2006/picture">
                      <pic:pic xmlns:pic="http://schemas.openxmlformats.org/drawingml/2006/picture">
                        <pic:nvPicPr>
                          <pic:cNvPr id="356" name="TextBox_66_SpCnt_18"/>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7872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57" name="TextBox_66_SpCnt_19"/>
                  <wp:cNvGraphicFramePr/>
                  <a:graphic xmlns:a="http://schemas.openxmlformats.org/drawingml/2006/main">
                    <a:graphicData uri="http://schemas.openxmlformats.org/drawingml/2006/picture">
                      <pic:pic xmlns:pic="http://schemas.openxmlformats.org/drawingml/2006/picture">
                        <pic:nvPicPr>
                          <pic:cNvPr id="357" name="TextBox_66_SpCnt_19"/>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7974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58" name="TextBox_66_SpCnt_20"/>
                  <wp:cNvGraphicFramePr/>
                  <a:graphic xmlns:a="http://schemas.openxmlformats.org/drawingml/2006/main">
                    <a:graphicData uri="http://schemas.openxmlformats.org/drawingml/2006/picture">
                      <pic:pic xmlns:pic="http://schemas.openxmlformats.org/drawingml/2006/picture">
                        <pic:nvPicPr>
                          <pic:cNvPr id="358" name="TextBox_66_SpCnt_20"/>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8076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59" name="TextBox_66_SpCnt_21"/>
                  <wp:cNvGraphicFramePr/>
                  <a:graphic xmlns:a="http://schemas.openxmlformats.org/drawingml/2006/main">
                    <a:graphicData uri="http://schemas.openxmlformats.org/drawingml/2006/picture">
                      <pic:pic xmlns:pic="http://schemas.openxmlformats.org/drawingml/2006/picture">
                        <pic:nvPicPr>
                          <pic:cNvPr id="359" name="TextBox_66_SpCnt_21"/>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8179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60" name="TextBox_66_SpCnt_22"/>
                  <wp:cNvGraphicFramePr/>
                  <a:graphic xmlns:a="http://schemas.openxmlformats.org/drawingml/2006/main">
                    <a:graphicData uri="http://schemas.openxmlformats.org/drawingml/2006/picture">
                      <pic:pic xmlns:pic="http://schemas.openxmlformats.org/drawingml/2006/picture">
                        <pic:nvPicPr>
                          <pic:cNvPr id="360" name="TextBox_66_SpCnt_22"/>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8281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61" name="TextBox_66_SpCnt_23"/>
                  <wp:cNvGraphicFramePr/>
                  <a:graphic xmlns:a="http://schemas.openxmlformats.org/drawingml/2006/main">
                    <a:graphicData uri="http://schemas.openxmlformats.org/drawingml/2006/picture">
                      <pic:pic xmlns:pic="http://schemas.openxmlformats.org/drawingml/2006/picture">
                        <pic:nvPicPr>
                          <pic:cNvPr id="361" name="TextBox_66_SpCnt_23"/>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8384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62" name="TextBox_66_SpCnt_24"/>
                  <wp:cNvGraphicFramePr/>
                  <a:graphic xmlns:a="http://schemas.openxmlformats.org/drawingml/2006/main">
                    <a:graphicData uri="http://schemas.openxmlformats.org/drawingml/2006/picture">
                      <pic:pic xmlns:pic="http://schemas.openxmlformats.org/drawingml/2006/picture">
                        <pic:nvPicPr>
                          <pic:cNvPr id="362" name="TextBox_66_SpCnt_24"/>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8486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63" name="TextBox_66_SpCnt_25"/>
                  <wp:cNvGraphicFramePr/>
                  <a:graphic xmlns:a="http://schemas.openxmlformats.org/drawingml/2006/main">
                    <a:graphicData uri="http://schemas.openxmlformats.org/drawingml/2006/picture">
                      <pic:pic xmlns:pic="http://schemas.openxmlformats.org/drawingml/2006/picture">
                        <pic:nvPicPr>
                          <pic:cNvPr id="363" name="TextBox_66_SpCnt_25"/>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858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64" name="TextBox_66_SpCnt_26"/>
                  <wp:cNvGraphicFramePr/>
                  <a:graphic xmlns:a="http://schemas.openxmlformats.org/drawingml/2006/main">
                    <a:graphicData uri="http://schemas.openxmlformats.org/drawingml/2006/picture">
                      <pic:pic xmlns:pic="http://schemas.openxmlformats.org/drawingml/2006/picture">
                        <pic:nvPicPr>
                          <pic:cNvPr id="364" name="TextBox_66_SpCnt_26"/>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869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65" name="TextBox_66_SpCnt_27"/>
                  <wp:cNvGraphicFramePr/>
                  <a:graphic xmlns:a="http://schemas.openxmlformats.org/drawingml/2006/main">
                    <a:graphicData uri="http://schemas.openxmlformats.org/drawingml/2006/picture">
                      <pic:pic xmlns:pic="http://schemas.openxmlformats.org/drawingml/2006/picture">
                        <pic:nvPicPr>
                          <pic:cNvPr id="365" name="TextBox_66_SpCnt_27"/>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8793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66" name="TextBox_66_SpCnt_28"/>
                  <wp:cNvGraphicFramePr/>
                  <a:graphic xmlns:a="http://schemas.openxmlformats.org/drawingml/2006/main">
                    <a:graphicData uri="http://schemas.openxmlformats.org/drawingml/2006/picture">
                      <pic:pic xmlns:pic="http://schemas.openxmlformats.org/drawingml/2006/picture">
                        <pic:nvPicPr>
                          <pic:cNvPr id="366" name="TextBox_66_SpCnt_28"/>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8896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67" name="TextBox_66_SpCnt_29"/>
                  <wp:cNvGraphicFramePr/>
                  <a:graphic xmlns:a="http://schemas.openxmlformats.org/drawingml/2006/main">
                    <a:graphicData uri="http://schemas.openxmlformats.org/drawingml/2006/picture">
                      <pic:pic xmlns:pic="http://schemas.openxmlformats.org/drawingml/2006/picture">
                        <pic:nvPicPr>
                          <pic:cNvPr id="367" name="TextBox_66_SpCnt_29"/>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8998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68" name="TextBox_66_SpCnt_30"/>
                  <wp:cNvGraphicFramePr/>
                  <a:graphic xmlns:a="http://schemas.openxmlformats.org/drawingml/2006/main">
                    <a:graphicData uri="http://schemas.openxmlformats.org/drawingml/2006/picture">
                      <pic:pic xmlns:pic="http://schemas.openxmlformats.org/drawingml/2006/picture">
                        <pic:nvPicPr>
                          <pic:cNvPr id="368" name="TextBox_66_SpCnt_30"/>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9100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69" name="TextBox_66_SpCnt_31"/>
                  <wp:cNvGraphicFramePr/>
                  <a:graphic xmlns:a="http://schemas.openxmlformats.org/drawingml/2006/main">
                    <a:graphicData uri="http://schemas.openxmlformats.org/drawingml/2006/picture">
                      <pic:pic xmlns:pic="http://schemas.openxmlformats.org/drawingml/2006/picture">
                        <pic:nvPicPr>
                          <pic:cNvPr id="369" name="TextBox_66_SpCnt_31"/>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9203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70" name="TextBox_66_SpCnt_32"/>
                  <wp:cNvGraphicFramePr/>
                  <a:graphic xmlns:a="http://schemas.openxmlformats.org/drawingml/2006/main">
                    <a:graphicData uri="http://schemas.openxmlformats.org/drawingml/2006/picture">
                      <pic:pic xmlns:pic="http://schemas.openxmlformats.org/drawingml/2006/picture">
                        <pic:nvPicPr>
                          <pic:cNvPr id="370" name="TextBox_66_SpCnt_32"/>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9305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71" name="TextBox_66_SpCnt_33"/>
                  <wp:cNvGraphicFramePr/>
                  <a:graphic xmlns:a="http://schemas.openxmlformats.org/drawingml/2006/main">
                    <a:graphicData uri="http://schemas.openxmlformats.org/drawingml/2006/picture">
                      <pic:pic xmlns:pic="http://schemas.openxmlformats.org/drawingml/2006/picture">
                        <pic:nvPicPr>
                          <pic:cNvPr id="371" name="TextBox_66_SpCnt_33"/>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9408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72" name="TextBox_66_SpCnt_34"/>
                  <wp:cNvGraphicFramePr/>
                  <a:graphic xmlns:a="http://schemas.openxmlformats.org/drawingml/2006/main">
                    <a:graphicData uri="http://schemas.openxmlformats.org/drawingml/2006/picture">
                      <pic:pic xmlns:pic="http://schemas.openxmlformats.org/drawingml/2006/picture">
                        <pic:nvPicPr>
                          <pic:cNvPr id="372" name="TextBox_66_SpCnt_34"/>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9510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73" name="TextBox_66_SpCnt_35"/>
                  <wp:cNvGraphicFramePr/>
                  <a:graphic xmlns:a="http://schemas.openxmlformats.org/drawingml/2006/main">
                    <a:graphicData uri="http://schemas.openxmlformats.org/drawingml/2006/picture">
                      <pic:pic xmlns:pic="http://schemas.openxmlformats.org/drawingml/2006/picture">
                        <pic:nvPicPr>
                          <pic:cNvPr id="373" name="TextBox_66_SpCnt_35"/>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9612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74" name="TextBox_66_SpCnt_36"/>
                  <wp:cNvGraphicFramePr/>
                  <a:graphic xmlns:a="http://schemas.openxmlformats.org/drawingml/2006/main">
                    <a:graphicData uri="http://schemas.openxmlformats.org/drawingml/2006/picture">
                      <pic:pic xmlns:pic="http://schemas.openxmlformats.org/drawingml/2006/picture">
                        <pic:nvPicPr>
                          <pic:cNvPr id="374" name="TextBox_66_SpCnt_36"/>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9715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75" name="TextBox_66_SpCnt_37"/>
                  <wp:cNvGraphicFramePr/>
                  <a:graphic xmlns:a="http://schemas.openxmlformats.org/drawingml/2006/main">
                    <a:graphicData uri="http://schemas.openxmlformats.org/drawingml/2006/picture">
                      <pic:pic xmlns:pic="http://schemas.openxmlformats.org/drawingml/2006/picture">
                        <pic:nvPicPr>
                          <pic:cNvPr id="375" name="TextBox_66_SpCnt_37"/>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9817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76" name="TextBox_66_SpCnt_38"/>
                  <wp:cNvGraphicFramePr/>
                  <a:graphic xmlns:a="http://schemas.openxmlformats.org/drawingml/2006/main">
                    <a:graphicData uri="http://schemas.openxmlformats.org/drawingml/2006/picture">
                      <pic:pic xmlns:pic="http://schemas.openxmlformats.org/drawingml/2006/picture">
                        <pic:nvPicPr>
                          <pic:cNvPr id="376" name="TextBox_66_SpCnt_38"/>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69920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77" name="TextBox_66_SpCnt_39"/>
                  <wp:cNvGraphicFramePr/>
                  <a:graphic xmlns:a="http://schemas.openxmlformats.org/drawingml/2006/main">
                    <a:graphicData uri="http://schemas.openxmlformats.org/drawingml/2006/picture">
                      <pic:pic xmlns:pic="http://schemas.openxmlformats.org/drawingml/2006/picture">
                        <pic:nvPicPr>
                          <pic:cNvPr id="377" name="TextBox_66_SpCnt_39"/>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0022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78" name="TextBox_66_SpCnt_40"/>
                  <wp:cNvGraphicFramePr/>
                  <a:graphic xmlns:a="http://schemas.openxmlformats.org/drawingml/2006/main">
                    <a:graphicData uri="http://schemas.openxmlformats.org/drawingml/2006/picture">
                      <pic:pic xmlns:pic="http://schemas.openxmlformats.org/drawingml/2006/picture">
                        <pic:nvPicPr>
                          <pic:cNvPr id="378" name="TextBox_66_SpCnt_40"/>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0124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79" name="TextBox_66_SpCnt_41"/>
                  <wp:cNvGraphicFramePr/>
                  <a:graphic xmlns:a="http://schemas.openxmlformats.org/drawingml/2006/main">
                    <a:graphicData uri="http://schemas.openxmlformats.org/drawingml/2006/picture">
                      <pic:pic xmlns:pic="http://schemas.openxmlformats.org/drawingml/2006/picture">
                        <pic:nvPicPr>
                          <pic:cNvPr id="379" name="TextBox_66_SpCnt_41"/>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0227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80" name="TextBox_66_SpCnt_42"/>
                  <wp:cNvGraphicFramePr/>
                  <a:graphic xmlns:a="http://schemas.openxmlformats.org/drawingml/2006/main">
                    <a:graphicData uri="http://schemas.openxmlformats.org/drawingml/2006/picture">
                      <pic:pic xmlns:pic="http://schemas.openxmlformats.org/drawingml/2006/picture">
                        <pic:nvPicPr>
                          <pic:cNvPr id="380" name="TextBox_66_SpCnt_42"/>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0329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81" name="TextBox_66_SpCnt_43"/>
                  <wp:cNvGraphicFramePr/>
                  <a:graphic xmlns:a="http://schemas.openxmlformats.org/drawingml/2006/main">
                    <a:graphicData uri="http://schemas.openxmlformats.org/drawingml/2006/picture">
                      <pic:pic xmlns:pic="http://schemas.openxmlformats.org/drawingml/2006/picture">
                        <pic:nvPicPr>
                          <pic:cNvPr id="381" name="TextBox_66_SpCnt_43"/>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0432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82" name="TextBox_66_SpCnt_44"/>
                  <wp:cNvGraphicFramePr/>
                  <a:graphic xmlns:a="http://schemas.openxmlformats.org/drawingml/2006/main">
                    <a:graphicData uri="http://schemas.openxmlformats.org/drawingml/2006/picture">
                      <pic:pic xmlns:pic="http://schemas.openxmlformats.org/drawingml/2006/picture">
                        <pic:nvPicPr>
                          <pic:cNvPr id="382" name="TextBox_66_SpCnt_44"/>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0534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83" name="TextBox_66_SpCnt_45"/>
                  <wp:cNvGraphicFramePr/>
                  <a:graphic xmlns:a="http://schemas.openxmlformats.org/drawingml/2006/main">
                    <a:graphicData uri="http://schemas.openxmlformats.org/drawingml/2006/picture">
                      <pic:pic xmlns:pic="http://schemas.openxmlformats.org/drawingml/2006/picture">
                        <pic:nvPicPr>
                          <pic:cNvPr id="383" name="TextBox_66_SpCnt_45"/>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0636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84" name="TextBox_66_SpCnt_46"/>
                  <wp:cNvGraphicFramePr/>
                  <a:graphic xmlns:a="http://schemas.openxmlformats.org/drawingml/2006/main">
                    <a:graphicData uri="http://schemas.openxmlformats.org/drawingml/2006/picture">
                      <pic:pic xmlns:pic="http://schemas.openxmlformats.org/drawingml/2006/picture">
                        <pic:nvPicPr>
                          <pic:cNvPr id="384" name="TextBox_66_SpCnt_46"/>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0739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85" name="TextBox_66_SpCnt_47"/>
                  <wp:cNvGraphicFramePr/>
                  <a:graphic xmlns:a="http://schemas.openxmlformats.org/drawingml/2006/main">
                    <a:graphicData uri="http://schemas.openxmlformats.org/drawingml/2006/picture">
                      <pic:pic xmlns:pic="http://schemas.openxmlformats.org/drawingml/2006/picture">
                        <pic:nvPicPr>
                          <pic:cNvPr id="385" name="TextBox_66_SpCnt_47"/>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0841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86" name="TextBox_66_SpCnt_48"/>
                  <wp:cNvGraphicFramePr/>
                  <a:graphic xmlns:a="http://schemas.openxmlformats.org/drawingml/2006/main">
                    <a:graphicData uri="http://schemas.openxmlformats.org/drawingml/2006/picture">
                      <pic:pic xmlns:pic="http://schemas.openxmlformats.org/drawingml/2006/picture">
                        <pic:nvPicPr>
                          <pic:cNvPr id="386" name="TextBox_66_SpCnt_48"/>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0944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87" name="TextBox_66_SpCnt_49"/>
                  <wp:cNvGraphicFramePr/>
                  <a:graphic xmlns:a="http://schemas.openxmlformats.org/drawingml/2006/main">
                    <a:graphicData uri="http://schemas.openxmlformats.org/drawingml/2006/picture">
                      <pic:pic xmlns:pic="http://schemas.openxmlformats.org/drawingml/2006/picture">
                        <pic:nvPicPr>
                          <pic:cNvPr id="387" name="TextBox_66_SpCnt_49"/>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1046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88" name="TextBox_66_SpCnt_50"/>
                  <wp:cNvGraphicFramePr/>
                  <a:graphic xmlns:a="http://schemas.openxmlformats.org/drawingml/2006/main">
                    <a:graphicData uri="http://schemas.openxmlformats.org/drawingml/2006/picture">
                      <pic:pic xmlns:pic="http://schemas.openxmlformats.org/drawingml/2006/picture">
                        <pic:nvPicPr>
                          <pic:cNvPr id="388" name="TextBox_66_SpCnt_50"/>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114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89" name="TextBox_66_SpCnt_51"/>
                  <wp:cNvGraphicFramePr/>
                  <a:graphic xmlns:a="http://schemas.openxmlformats.org/drawingml/2006/main">
                    <a:graphicData uri="http://schemas.openxmlformats.org/drawingml/2006/picture">
                      <pic:pic xmlns:pic="http://schemas.openxmlformats.org/drawingml/2006/picture">
                        <pic:nvPicPr>
                          <pic:cNvPr id="389" name="TextBox_66_SpCnt_51"/>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125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90" name="TextBox_66_SpCnt_52"/>
                  <wp:cNvGraphicFramePr/>
                  <a:graphic xmlns:a="http://schemas.openxmlformats.org/drawingml/2006/main">
                    <a:graphicData uri="http://schemas.openxmlformats.org/drawingml/2006/picture">
                      <pic:pic xmlns:pic="http://schemas.openxmlformats.org/drawingml/2006/picture">
                        <pic:nvPicPr>
                          <pic:cNvPr id="390" name="TextBox_66_SpCnt_52"/>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1353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91" name="TextBox_66_SpCnt_53"/>
                  <wp:cNvGraphicFramePr/>
                  <a:graphic xmlns:a="http://schemas.openxmlformats.org/drawingml/2006/main">
                    <a:graphicData uri="http://schemas.openxmlformats.org/drawingml/2006/picture">
                      <pic:pic xmlns:pic="http://schemas.openxmlformats.org/drawingml/2006/picture">
                        <pic:nvPicPr>
                          <pic:cNvPr id="391" name="TextBox_66_SpCnt_53"/>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1456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92" name="TextBox_66_SpCnt_54"/>
                  <wp:cNvGraphicFramePr/>
                  <a:graphic xmlns:a="http://schemas.openxmlformats.org/drawingml/2006/main">
                    <a:graphicData uri="http://schemas.openxmlformats.org/drawingml/2006/picture">
                      <pic:pic xmlns:pic="http://schemas.openxmlformats.org/drawingml/2006/picture">
                        <pic:nvPicPr>
                          <pic:cNvPr id="392" name="TextBox_66_SpCnt_54"/>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1558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93" name="TextBox_66_SpCnt_55"/>
                  <wp:cNvGraphicFramePr/>
                  <a:graphic xmlns:a="http://schemas.openxmlformats.org/drawingml/2006/main">
                    <a:graphicData uri="http://schemas.openxmlformats.org/drawingml/2006/picture">
                      <pic:pic xmlns:pic="http://schemas.openxmlformats.org/drawingml/2006/picture">
                        <pic:nvPicPr>
                          <pic:cNvPr id="393" name="TextBox_66_SpCnt_55"/>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1660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94" name="TextBox_66_SpCnt_56"/>
                  <wp:cNvGraphicFramePr/>
                  <a:graphic xmlns:a="http://schemas.openxmlformats.org/drawingml/2006/main">
                    <a:graphicData uri="http://schemas.openxmlformats.org/drawingml/2006/picture">
                      <pic:pic xmlns:pic="http://schemas.openxmlformats.org/drawingml/2006/picture">
                        <pic:nvPicPr>
                          <pic:cNvPr id="394" name="TextBox_66_SpCnt_56"/>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1763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95" name="TextBox_66_SpCnt_57"/>
                  <wp:cNvGraphicFramePr/>
                  <a:graphic xmlns:a="http://schemas.openxmlformats.org/drawingml/2006/main">
                    <a:graphicData uri="http://schemas.openxmlformats.org/drawingml/2006/picture">
                      <pic:pic xmlns:pic="http://schemas.openxmlformats.org/drawingml/2006/picture">
                        <pic:nvPicPr>
                          <pic:cNvPr id="395" name="TextBox_66_SpCnt_57"/>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1865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96" name="TextBox_66_SpCnt_58"/>
                  <wp:cNvGraphicFramePr/>
                  <a:graphic xmlns:a="http://schemas.openxmlformats.org/drawingml/2006/main">
                    <a:graphicData uri="http://schemas.openxmlformats.org/drawingml/2006/picture">
                      <pic:pic xmlns:pic="http://schemas.openxmlformats.org/drawingml/2006/picture">
                        <pic:nvPicPr>
                          <pic:cNvPr id="396" name="TextBox_66_SpCnt_58"/>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1968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97" name="TextBox_66_SpCnt_59"/>
                  <wp:cNvGraphicFramePr/>
                  <a:graphic xmlns:a="http://schemas.openxmlformats.org/drawingml/2006/main">
                    <a:graphicData uri="http://schemas.openxmlformats.org/drawingml/2006/picture">
                      <pic:pic xmlns:pic="http://schemas.openxmlformats.org/drawingml/2006/picture">
                        <pic:nvPicPr>
                          <pic:cNvPr id="397" name="TextBox_66_SpCnt_59"/>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2070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98" name="TextBox_66_SpCnt_60"/>
                  <wp:cNvGraphicFramePr/>
                  <a:graphic xmlns:a="http://schemas.openxmlformats.org/drawingml/2006/main">
                    <a:graphicData uri="http://schemas.openxmlformats.org/drawingml/2006/picture">
                      <pic:pic xmlns:pic="http://schemas.openxmlformats.org/drawingml/2006/picture">
                        <pic:nvPicPr>
                          <pic:cNvPr id="398" name="TextBox_66_SpCnt_60"/>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2172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399" name="TextBox_66_SpCnt_61"/>
                  <wp:cNvGraphicFramePr/>
                  <a:graphic xmlns:a="http://schemas.openxmlformats.org/drawingml/2006/main">
                    <a:graphicData uri="http://schemas.openxmlformats.org/drawingml/2006/picture">
                      <pic:pic xmlns:pic="http://schemas.openxmlformats.org/drawingml/2006/picture">
                        <pic:nvPicPr>
                          <pic:cNvPr id="399" name="TextBox_66_SpCnt_61"/>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2275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00" name="TextBox_66_SpCnt_62"/>
                  <wp:cNvGraphicFramePr/>
                  <a:graphic xmlns:a="http://schemas.openxmlformats.org/drawingml/2006/main">
                    <a:graphicData uri="http://schemas.openxmlformats.org/drawingml/2006/picture">
                      <pic:pic xmlns:pic="http://schemas.openxmlformats.org/drawingml/2006/picture">
                        <pic:nvPicPr>
                          <pic:cNvPr id="400" name="TextBox_66_SpCnt_62"/>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2377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01" name="TextBox_66_SpCnt_63"/>
                  <wp:cNvGraphicFramePr/>
                  <a:graphic xmlns:a="http://schemas.openxmlformats.org/drawingml/2006/main">
                    <a:graphicData uri="http://schemas.openxmlformats.org/drawingml/2006/picture">
                      <pic:pic xmlns:pic="http://schemas.openxmlformats.org/drawingml/2006/picture">
                        <pic:nvPicPr>
                          <pic:cNvPr id="401" name="TextBox_66_SpCnt_63"/>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2480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02" name="TextBox_66_SpCnt_64"/>
                  <wp:cNvGraphicFramePr/>
                  <a:graphic xmlns:a="http://schemas.openxmlformats.org/drawingml/2006/main">
                    <a:graphicData uri="http://schemas.openxmlformats.org/drawingml/2006/picture">
                      <pic:pic xmlns:pic="http://schemas.openxmlformats.org/drawingml/2006/picture">
                        <pic:nvPicPr>
                          <pic:cNvPr id="402" name="TextBox_66_SpCnt_64"/>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2582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03" name="TextBox_66_SpCnt_65"/>
                  <wp:cNvGraphicFramePr/>
                  <a:graphic xmlns:a="http://schemas.openxmlformats.org/drawingml/2006/main">
                    <a:graphicData uri="http://schemas.openxmlformats.org/drawingml/2006/picture">
                      <pic:pic xmlns:pic="http://schemas.openxmlformats.org/drawingml/2006/picture">
                        <pic:nvPicPr>
                          <pic:cNvPr id="403" name="TextBox_66_SpCnt_65"/>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2684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04" name="TextBox_66_SpCnt_66"/>
                  <wp:cNvGraphicFramePr/>
                  <a:graphic xmlns:a="http://schemas.openxmlformats.org/drawingml/2006/main">
                    <a:graphicData uri="http://schemas.openxmlformats.org/drawingml/2006/picture">
                      <pic:pic xmlns:pic="http://schemas.openxmlformats.org/drawingml/2006/picture">
                        <pic:nvPicPr>
                          <pic:cNvPr id="404" name="TextBox_66_SpCnt_66"/>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2787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05" name="TextBox_66_SpCnt_67"/>
                  <wp:cNvGraphicFramePr/>
                  <a:graphic xmlns:a="http://schemas.openxmlformats.org/drawingml/2006/main">
                    <a:graphicData uri="http://schemas.openxmlformats.org/drawingml/2006/picture">
                      <pic:pic xmlns:pic="http://schemas.openxmlformats.org/drawingml/2006/picture">
                        <pic:nvPicPr>
                          <pic:cNvPr id="405" name="TextBox_66_SpCnt_67"/>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2889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06" name="TextBox_66_SpCnt_68"/>
                  <wp:cNvGraphicFramePr/>
                  <a:graphic xmlns:a="http://schemas.openxmlformats.org/drawingml/2006/main">
                    <a:graphicData uri="http://schemas.openxmlformats.org/drawingml/2006/picture">
                      <pic:pic xmlns:pic="http://schemas.openxmlformats.org/drawingml/2006/picture">
                        <pic:nvPicPr>
                          <pic:cNvPr id="406" name="TextBox_66_SpCnt_68"/>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2992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07" name="TextBox_66_SpCnt_69"/>
                  <wp:cNvGraphicFramePr/>
                  <a:graphic xmlns:a="http://schemas.openxmlformats.org/drawingml/2006/main">
                    <a:graphicData uri="http://schemas.openxmlformats.org/drawingml/2006/picture">
                      <pic:pic xmlns:pic="http://schemas.openxmlformats.org/drawingml/2006/picture">
                        <pic:nvPicPr>
                          <pic:cNvPr id="407" name="TextBox_66_SpCnt_69"/>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3094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08" name="TextBox_66_SpCnt_70"/>
                  <wp:cNvGraphicFramePr/>
                  <a:graphic xmlns:a="http://schemas.openxmlformats.org/drawingml/2006/main">
                    <a:graphicData uri="http://schemas.openxmlformats.org/drawingml/2006/picture">
                      <pic:pic xmlns:pic="http://schemas.openxmlformats.org/drawingml/2006/picture">
                        <pic:nvPicPr>
                          <pic:cNvPr id="408" name="TextBox_66_SpCnt_70"/>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3196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09" name="TextBox_66_SpCnt_71"/>
                  <wp:cNvGraphicFramePr/>
                  <a:graphic xmlns:a="http://schemas.openxmlformats.org/drawingml/2006/main">
                    <a:graphicData uri="http://schemas.openxmlformats.org/drawingml/2006/picture">
                      <pic:pic xmlns:pic="http://schemas.openxmlformats.org/drawingml/2006/picture">
                        <pic:nvPicPr>
                          <pic:cNvPr id="409" name="TextBox_66_SpCnt_71"/>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3299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10" name="TextBox_66_SpCnt_72"/>
                  <wp:cNvGraphicFramePr/>
                  <a:graphic xmlns:a="http://schemas.openxmlformats.org/drawingml/2006/main">
                    <a:graphicData uri="http://schemas.openxmlformats.org/drawingml/2006/picture">
                      <pic:pic xmlns:pic="http://schemas.openxmlformats.org/drawingml/2006/picture">
                        <pic:nvPicPr>
                          <pic:cNvPr id="410" name="TextBox_66_SpCnt_72"/>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3401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11" name="TextBox_66_SpCnt_73"/>
                  <wp:cNvGraphicFramePr/>
                  <a:graphic xmlns:a="http://schemas.openxmlformats.org/drawingml/2006/main">
                    <a:graphicData uri="http://schemas.openxmlformats.org/drawingml/2006/picture">
                      <pic:pic xmlns:pic="http://schemas.openxmlformats.org/drawingml/2006/picture">
                        <pic:nvPicPr>
                          <pic:cNvPr id="411" name="TextBox_66_SpCnt_73"/>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3504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12" name="TextBox_66_SpCnt_74"/>
                  <wp:cNvGraphicFramePr/>
                  <a:graphic xmlns:a="http://schemas.openxmlformats.org/drawingml/2006/main">
                    <a:graphicData uri="http://schemas.openxmlformats.org/drawingml/2006/picture">
                      <pic:pic xmlns:pic="http://schemas.openxmlformats.org/drawingml/2006/picture">
                        <pic:nvPicPr>
                          <pic:cNvPr id="412" name="TextBox_66_SpCnt_74"/>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3606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13" name="TextBox_66_SpCnt_75"/>
                  <wp:cNvGraphicFramePr/>
                  <a:graphic xmlns:a="http://schemas.openxmlformats.org/drawingml/2006/main">
                    <a:graphicData uri="http://schemas.openxmlformats.org/drawingml/2006/picture">
                      <pic:pic xmlns:pic="http://schemas.openxmlformats.org/drawingml/2006/picture">
                        <pic:nvPicPr>
                          <pic:cNvPr id="413" name="TextBox_66_SpCnt_75"/>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370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14" name="TextBox_66_SpCnt_76"/>
                  <wp:cNvGraphicFramePr/>
                  <a:graphic xmlns:a="http://schemas.openxmlformats.org/drawingml/2006/main">
                    <a:graphicData uri="http://schemas.openxmlformats.org/drawingml/2006/picture">
                      <pic:pic xmlns:pic="http://schemas.openxmlformats.org/drawingml/2006/picture">
                        <pic:nvPicPr>
                          <pic:cNvPr id="414" name="TextBox_66_SpCnt_76"/>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381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15" name="TextBox_66_SpCnt_77"/>
                  <wp:cNvGraphicFramePr/>
                  <a:graphic xmlns:a="http://schemas.openxmlformats.org/drawingml/2006/main">
                    <a:graphicData uri="http://schemas.openxmlformats.org/drawingml/2006/picture">
                      <pic:pic xmlns:pic="http://schemas.openxmlformats.org/drawingml/2006/picture">
                        <pic:nvPicPr>
                          <pic:cNvPr id="415" name="TextBox_66_SpCnt_77"/>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3913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16" name="TextBox_66_SpCnt_78"/>
                  <wp:cNvGraphicFramePr/>
                  <a:graphic xmlns:a="http://schemas.openxmlformats.org/drawingml/2006/main">
                    <a:graphicData uri="http://schemas.openxmlformats.org/drawingml/2006/picture">
                      <pic:pic xmlns:pic="http://schemas.openxmlformats.org/drawingml/2006/picture">
                        <pic:nvPicPr>
                          <pic:cNvPr id="416" name="TextBox_66_SpCnt_78"/>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4016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17" name="TextBox_66_SpCnt_79"/>
                  <wp:cNvGraphicFramePr/>
                  <a:graphic xmlns:a="http://schemas.openxmlformats.org/drawingml/2006/main">
                    <a:graphicData uri="http://schemas.openxmlformats.org/drawingml/2006/picture">
                      <pic:pic xmlns:pic="http://schemas.openxmlformats.org/drawingml/2006/picture">
                        <pic:nvPicPr>
                          <pic:cNvPr id="417" name="TextBox_66_SpCnt_79"/>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4118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18" name="TextBox_66_SpCnt_80"/>
                  <wp:cNvGraphicFramePr/>
                  <a:graphic xmlns:a="http://schemas.openxmlformats.org/drawingml/2006/main">
                    <a:graphicData uri="http://schemas.openxmlformats.org/drawingml/2006/picture">
                      <pic:pic xmlns:pic="http://schemas.openxmlformats.org/drawingml/2006/picture">
                        <pic:nvPicPr>
                          <pic:cNvPr id="418" name="TextBox_66_SpCnt_80"/>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4220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19" name="TextBox_66_SpCnt_81"/>
                  <wp:cNvGraphicFramePr/>
                  <a:graphic xmlns:a="http://schemas.openxmlformats.org/drawingml/2006/main">
                    <a:graphicData uri="http://schemas.openxmlformats.org/drawingml/2006/picture">
                      <pic:pic xmlns:pic="http://schemas.openxmlformats.org/drawingml/2006/picture">
                        <pic:nvPicPr>
                          <pic:cNvPr id="419" name="TextBox_66_SpCnt_81"/>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4323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20" name="TextBox_66_SpCnt_82"/>
                  <wp:cNvGraphicFramePr/>
                  <a:graphic xmlns:a="http://schemas.openxmlformats.org/drawingml/2006/main">
                    <a:graphicData uri="http://schemas.openxmlformats.org/drawingml/2006/picture">
                      <pic:pic xmlns:pic="http://schemas.openxmlformats.org/drawingml/2006/picture">
                        <pic:nvPicPr>
                          <pic:cNvPr id="420" name="TextBox_66_SpCnt_82"/>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4425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21" name="TextBox_66_SpCnt_83"/>
                  <wp:cNvGraphicFramePr/>
                  <a:graphic xmlns:a="http://schemas.openxmlformats.org/drawingml/2006/main">
                    <a:graphicData uri="http://schemas.openxmlformats.org/drawingml/2006/picture">
                      <pic:pic xmlns:pic="http://schemas.openxmlformats.org/drawingml/2006/picture">
                        <pic:nvPicPr>
                          <pic:cNvPr id="421" name="TextBox_66_SpCnt_83"/>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4528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22" name="TextBox_66_SpCnt_84"/>
                  <wp:cNvGraphicFramePr/>
                  <a:graphic xmlns:a="http://schemas.openxmlformats.org/drawingml/2006/main">
                    <a:graphicData uri="http://schemas.openxmlformats.org/drawingml/2006/picture">
                      <pic:pic xmlns:pic="http://schemas.openxmlformats.org/drawingml/2006/picture">
                        <pic:nvPicPr>
                          <pic:cNvPr id="422" name="TextBox_66_SpCnt_84"/>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4630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23" name="TextBox_66_SpCnt_85"/>
                  <wp:cNvGraphicFramePr/>
                  <a:graphic xmlns:a="http://schemas.openxmlformats.org/drawingml/2006/main">
                    <a:graphicData uri="http://schemas.openxmlformats.org/drawingml/2006/picture">
                      <pic:pic xmlns:pic="http://schemas.openxmlformats.org/drawingml/2006/picture">
                        <pic:nvPicPr>
                          <pic:cNvPr id="423" name="TextBox_66_SpCnt_85"/>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4732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24" name="TextBox_66_SpCnt_86"/>
                  <wp:cNvGraphicFramePr/>
                  <a:graphic xmlns:a="http://schemas.openxmlformats.org/drawingml/2006/main">
                    <a:graphicData uri="http://schemas.openxmlformats.org/drawingml/2006/picture">
                      <pic:pic xmlns:pic="http://schemas.openxmlformats.org/drawingml/2006/picture">
                        <pic:nvPicPr>
                          <pic:cNvPr id="424" name="TextBox_66_SpCnt_86"/>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4835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25" name="TextBox_66_SpCnt_87"/>
                  <wp:cNvGraphicFramePr/>
                  <a:graphic xmlns:a="http://schemas.openxmlformats.org/drawingml/2006/main">
                    <a:graphicData uri="http://schemas.openxmlformats.org/drawingml/2006/picture">
                      <pic:pic xmlns:pic="http://schemas.openxmlformats.org/drawingml/2006/picture">
                        <pic:nvPicPr>
                          <pic:cNvPr id="425" name="TextBox_66_SpCnt_87"/>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4937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26" name="TextBox_66_SpCnt_88"/>
                  <wp:cNvGraphicFramePr/>
                  <a:graphic xmlns:a="http://schemas.openxmlformats.org/drawingml/2006/main">
                    <a:graphicData uri="http://schemas.openxmlformats.org/drawingml/2006/picture">
                      <pic:pic xmlns:pic="http://schemas.openxmlformats.org/drawingml/2006/picture">
                        <pic:nvPicPr>
                          <pic:cNvPr id="426" name="TextBox_66_SpCnt_88"/>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5040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27" name="TextBox_66_SpCnt_89"/>
                  <wp:cNvGraphicFramePr/>
                  <a:graphic xmlns:a="http://schemas.openxmlformats.org/drawingml/2006/main">
                    <a:graphicData uri="http://schemas.openxmlformats.org/drawingml/2006/picture">
                      <pic:pic xmlns:pic="http://schemas.openxmlformats.org/drawingml/2006/picture">
                        <pic:nvPicPr>
                          <pic:cNvPr id="427" name="TextBox_66_SpCnt_89"/>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5142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28" name="TextBox_66_SpCnt_90"/>
                  <wp:cNvGraphicFramePr/>
                  <a:graphic xmlns:a="http://schemas.openxmlformats.org/drawingml/2006/main">
                    <a:graphicData uri="http://schemas.openxmlformats.org/drawingml/2006/picture">
                      <pic:pic xmlns:pic="http://schemas.openxmlformats.org/drawingml/2006/picture">
                        <pic:nvPicPr>
                          <pic:cNvPr id="428" name="TextBox_66_SpCnt_90"/>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5244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29" name="TextBox_66_SpCnt_91"/>
                  <wp:cNvGraphicFramePr/>
                  <a:graphic xmlns:a="http://schemas.openxmlformats.org/drawingml/2006/main">
                    <a:graphicData uri="http://schemas.openxmlformats.org/drawingml/2006/picture">
                      <pic:pic xmlns:pic="http://schemas.openxmlformats.org/drawingml/2006/picture">
                        <pic:nvPicPr>
                          <pic:cNvPr id="429" name="TextBox_66_SpCnt_91"/>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5347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30" name="TextBox_66_SpCnt_92"/>
                  <wp:cNvGraphicFramePr/>
                  <a:graphic xmlns:a="http://schemas.openxmlformats.org/drawingml/2006/main">
                    <a:graphicData uri="http://schemas.openxmlformats.org/drawingml/2006/picture">
                      <pic:pic xmlns:pic="http://schemas.openxmlformats.org/drawingml/2006/picture">
                        <pic:nvPicPr>
                          <pic:cNvPr id="430" name="TextBox_66_SpCnt_92"/>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5449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31" name="TextBox_66_SpCnt_93"/>
                  <wp:cNvGraphicFramePr/>
                  <a:graphic xmlns:a="http://schemas.openxmlformats.org/drawingml/2006/main">
                    <a:graphicData uri="http://schemas.openxmlformats.org/drawingml/2006/picture">
                      <pic:pic xmlns:pic="http://schemas.openxmlformats.org/drawingml/2006/picture">
                        <pic:nvPicPr>
                          <pic:cNvPr id="431" name="TextBox_66_SpCnt_93"/>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5552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32" name="TextBox_66_SpCnt_94"/>
                  <wp:cNvGraphicFramePr/>
                  <a:graphic xmlns:a="http://schemas.openxmlformats.org/drawingml/2006/main">
                    <a:graphicData uri="http://schemas.openxmlformats.org/drawingml/2006/picture">
                      <pic:pic xmlns:pic="http://schemas.openxmlformats.org/drawingml/2006/picture">
                        <pic:nvPicPr>
                          <pic:cNvPr id="432" name="TextBox_66_SpCnt_94"/>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5654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33" name="TextBox_66_SpCnt_95"/>
                  <wp:cNvGraphicFramePr/>
                  <a:graphic xmlns:a="http://schemas.openxmlformats.org/drawingml/2006/main">
                    <a:graphicData uri="http://schemas.openxmlformats.org/drawingml/2006/picture">
                      <pic:pic xmlns:pic="http://schemas.openxmlformats.org/drawingml/2006/picture">
                        <pic:nvPicPr>
                          <pic:cNvPr id="433" name="TextBox_66_SpCnt_95"/>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5756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34" name="TextBox_66_SpCnt_96"/>
                  <wp:cNvGraphicFramePr/>
                  <a:graphic xmlns:a="http://schemas.openxmlformats.org/drawingml/2006/main">
                    <a:graphicData uri="http://schemas.openxmlformats.org/drawingml/2006/picture">
                      <pic:pic xmlns:pic="http://schemas.openxmlformats.org/drawingml/2006/picture">
                        <pic:nvPicPr>
                          <pic:cNvPr id="434" name="TextBox_66_SpCnt_96"/>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5859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35" name="TextBox_66_SpCnt_97"/>
                  <wp:cNvGraphicFramePr/>
                  <a:graphic xmlns:a="http://schemas.openxmlformats.org/drawingml/2006/main">
                    <a:graphicData uri="http://schemas.openxmlformats.org/drawingml/2006/picture">
                      <pic:pic xmlns:pic="http://schemas.openxmlformats.org/drawingml/2006/picture">
                        <pic:nvPicPr>
                          <pic:cNvPr id="435" name="TextBox_66_SpCnt_97"/>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5961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36" name="TextBox_66_SpCnt_98"/>
                  <wp:cNvGraphicFramePr/>
                  <a:graphic xmlns:a="http://schemas.openxmlformats.org/drawingml/2006/main">
                    <a:graphicData uri="http://schemas.openxmlformats.org/drawingml/2006/picture">
                      <pic:pic xmlns:pic="http://schemas.openxmlformats.org/drawingml/2006/picture">
                        <pic:nvPicPr>
                          <pic:cNvPr id="436" name="TextBox_66_SpCnt_98"/>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6064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37" name="TextBox_66_SpCnt_99"/>
                  <wp:cNvGraphicFramePr/>
                  <a:graphic xmlns:a="http://schemas.openxmlformats.org/drawingml/2006/main">
                    <a:graphicData uri="http://schemas.openxmlformats.org/drawingml/2006/picture">
                      <pic:pic xmlns:pic="http://schemas.openxmlformats.org/drawingml/2006/picture">
                        <pic:nvPicPr>
                          <pic:cNvPr id="437" name="TextBox_66_SpCnt_99"/>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6166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38" name="TextBox_66_SpCnt_100"/>
                  <wp:cNvGraphicFramePr/>
                  <a:graphic xmlns:a="http://schemas.openxmlformats.org/drawingml/2006/main">
                    <a:graphicData uri="http://schemas.openxmlformats.org/drawingml/2006/picture">
                      <pic:pic xmlns:pic="http://schemas.openxmlformats.org/drawingml/2006/picture">
                        <pic:nvPicPr>
                          <pic:cNvPr id="438" name="TextBox_66_SpCnt_100"/>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626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39" name="TextBox_66_SpCnt_101"/>
                  <wp:cNvGraphicFramePr/>
                  <a:graphic xmlns:a="http://schemas.openxmlformats.org/drawingml/2006/main">
                    <a:graphicData uri="http://schemas.openxmlformats.org/drawingml/2006/picture">
                      <pic:pic xmlns:pic="http://schemas.openxmlformats.org/drawingml/2006/picture">
                        <pic:nvPicPr>
                          <pic:cNvPr id="439" name="TextBox_66_SpCnt_101"/>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637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40" name="TextBox_66_SpCnt_102"/>
                  <wp:cNvGraphicFramePr/>
                  <a:graphic xmlns:a="http://schemas.openxmlformats.org/drawingml/2006/main">
                    <a:graphicData uri="http://schemas.openxmlformats.org/drawingml/2006/picture">
                      <pic:pic xmlns:pic="http://schemas.openxmlformats.org/drawingml/2006/picture">
                        <pic:nvPicPr>
                          <pic:cNvPr id="440" name="TextBox_66_SpCnt_102"/>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6473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41" name="TextBox_66_SpCnt_103"/>
                  <wp:cNvGraphicFramePr/>
                  <a:graphic xmlns:a="http://schemas.openxmlformats.org/drawingml/2006/main">
                    <a:graphicData uri="http://schemas.openxmlformats.org/drawingml/2006/picture">
                      <pic:pic xmlns:pic="http://schemas.openxmlformats.org/drawingml/2006/picture">
                        <pic:nvPicPr>
                          <pic:cNvPr id="441" name="TextBox_66_SpCnt_103"/>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6576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42" name="TextBox_66_SpCnt_104"/>
                  <wp:cNvGraphicFramePr/>
                  <a:graphic xmlns:a="http://schemas.openxmlformats.org/drawingml/2006/main">
                    <a:graphicData uri="http://schemas.openxmlformats.org/drawingml/2006/picture">
                      <pic:pic xmlns:pic="http://schemas.openxmlformats.org/drawingml/2006/picture">
                        <pic:nvPicPr>
                          <pic:cNvPr id="442" name="TextBox_66_SpCnt_104"/>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6678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43" name="TextBox_66_SpCnt_105"/>
                  <wp:cNvGraphicFramePr/>
                  <a:graphic xmlns:a="http://schemas.openxmlformats.org/drawingml/2006/main">
                    <a:graphicData uri="http://schemas.openxmlformats.org/drawingml/2006/picture">
                      <pic:pic xmlns:pic="http://schemas.openxmlformats.org/drawingml/2006/picture">
                        <pic:nvPicPr>
                          <pic:cNvPr id="443" name="TextBox_66_SpCnt_105"/>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6780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44" name="TextBox_66_SpCnt_106"/>
                  <wp:cNvGraphicFramePr/>
                  <a:graphic xmlns:a="http://schemas.openxmlformats.org/drawingml/2006/main">
                    <a:graphicData uri="http://schemas.openxmlformats.org/drawingml/2006/picture">
                      <pic:pic xmlns:pic="http://schemas.openxmlformats.org/drawingml/2006/picture">
                        <pic:nvPicPr>
                          <pic:cNvPr id="444" name="TextBox_66_SpCnt_106"/>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6883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45" name="TextBox_66_SpCnt_107"/>
                  <wp:cNvGraphicFramePr/>
                  <a:graphic xmlns:a="http://schemas.openxmlformats.org/drawingml/2006/main">
                    <a:graphicData uri="http://schemas.openxmlformats.org/drawingml/2006/picture">
                      <pic:pic xmlns:pic="http://schemas.openxmlformats.org/drawingml/2006/picture">
                        <pic:nvPicPr>
                          <pic:cNvPr id="445" name="TextBox_66_SpCnt_107"/>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6985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46" name="TextBox_66_SpCnt_108"/>
                  <wp:cNvGraphicFramePr/>
                  <a:graphic xmlns:a="http://schemas.openxmlformats.org/drawingml/2006/main">
                    <a:graphicData uri="http://schemas.openxmlformats.org/drawingml/2006/picture">
                      <pic:pic xmlns:pic="http://schemas.openxmlformats.org/drawingml/2006/picture">
                        <pic:nvPicPr>
                          <pic:cNvPr id="446" name="TextBox_66_SpCnt_108"/>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7088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47" name="TextBox_66_SpCnt_109"/>
                  <wp:cNvGraphicFramePr/>
                  <a:graphic xmlns:a="http://schemas.openxmlformats.org/drawingml/2006/main">
                    <a:graphicData uri="http://schemas.openxmlformats.org/drawingml/2006/picture">
                      <pic:pic xmlns:pic="http://schemas.openxmlformats.org/drawingml/2006/picture">
                        <pic:nvPicPr>
                          <pic:cNvPr id="447" name="TextBox_66_SpCnt_109"/>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7190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48" name="TextBox_66_SpCnt_110"/>
                  <wp:cNvGraphicFramePr/>
                  <a:graphic xmlns:a="http://schemas.openxmlformats.org/drawingml/2006/main">
                    <a:graphicData uri="http://schemas.openxmlformats.org/drawingml/2006/picture">
                      <pic:pic xmlns:pic="http://schemas.openxmlformats.org/drawingml/2006/picture">
                        <pic:nvPicPr>
                          <pic:cNvPr id="448" name="TextBox_66_SpCnt_110"/>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7292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49" name="TextBox_66_SpCnt_111"/>
                  <wp:cNvGraphicFramePr/>
                  <a:graphic xmlns:a="http://schemas.openxmlformats.org/drawingml/2006/main">
                    <a:graphicData uri="http://schemas.openxmlformats.org/drawingml/2006/picture">
                      <pic:pic xmlns:pic="http://schemas.openxmlformats.org/drawingml/2006/picture">
                        <pic:nvPicPr>
                          <pic:cNvPr id="449" name="TextBox_66_SpCnt_111"/>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7395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50" name="TextBox_66_SpCnt_112"/>
                  <wp:cNvGraphicFramePr/>
                  <a:graphic xmlns:a="http://schemas.openxmlformats.org/drawingml/2006/main">
                    <a:graphicData uri="http://schemas.openxmlformats.org/drawingml/2006/picture">
                      <pic:pic xmlns:pic="http://schemas.openxmlformats.org/drawingml/2006/picture">
                        <pic:nvPicPr>
                          <pic:cNvPr id="450" name="TextBox_66_SpCnt_112"/>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7497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51" name="TextBox_66_SpCnt_113"/>
                  <wp:cNvGraphicFramePr/>
                  <a:graphic xmlns:a="http://schemas.openxmlformats.org/drawingml/2006/main">
                    <a:graphicData uri="http://schemas.openxmlformats.org/drawingml/2006/picture">
                      <pic:pic xmlns:pic="http://schemas.openxmlformats.org/drawingml/2006/picture">
                        <pic:nvPicPr>
                          <pic:cNvPr id="451" name="TextBox_66_SpCnt_113"/>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7600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52" name="TextBox_66_SpCnt_114"/>
                  <wp:cNvGraphicFramePr/>
                  <a:graphic xmlns:a="http://schemas.openxmlformats.org/drawingml/2006/main">
                    <a:graphicData uri="http://schemas.openxmlformats.org/drawingml/2006/picture">
                      <pic:pic xmlns:pic="http://schemas.openxmlformats.org/drawingml/2006/picture">
                        <pic:nvPicPr>
                          <pic:cNvPr id="452" name="TextBox_66_SpCnt_114"/>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7702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53" name="TextBox_66_SpCnt_115"/>
                  <wp:cNvGraphicFramePr/>
                  <a:graphic xmlns:a="http://schemas.openxmlformats.org/drawingml/2006/main">
                    <a:graphicData uri="http://schemas.openxmlformats.org/drawingml/2006/picture">
                      <pic:pic xmlns:pic="http://schemas.openxmlformats.org/drawingml/2006/picture">
                        <pic:nvPicPr>
                          <pic:cNvPr id="453" name="TextBox_66_SpCnt_115"/>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7804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54" name="TextBox_66_SpCnt_116"/>
                  <wp:cNvGraphicFramePr/>
                  <a:graphic xmlns:a="http://schemas.openxmlformats.org/drawingml/2006/main">
                    <a:graphicData uri="http://schemas.openxmlformats.org/drawingml/2006/picture">
                      <pic:pic xmlns:pic="http://schemas.openxmlformats.org/drawingml/2006/picture">
                        <pic:nvPicPr>
                          <pic:cNvPr id="454" name="TextBox_66_SpCnt_116"/>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7907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55" name="TextBox_66_SpCnt_117"/>
                  <wp:cNvGraphicFramePr/>
                  <a:graphic xmlns:a="http://schemas.openxmlformats.org/drawingml/2006/main">
                    <a:graphicData uri="http://schemas.openxmlformats.org/drawingml/2006/picture">
                      <pic:pic xmlns:pic="http://schemas.openxmlformats.org/drawingml/2006/picture">
                        <pic:nvPicPr>
                          <pic:cNvPr id="455" name="TextBox_66_SpCnt_117"/>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8009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56" name="TextBox_66_SpCnt_118"/>
                  <wp:cNvGraphicFramePr/>
                  <a:graphic xmlns:a="http://schemas.openxmlformats.org/drawingml/2006/main">
                    <a:graphicData uri="http://schemas.openxmlformats.org/drawingml/2006/picture">
                      <pic:pic xmlns:pic="http://schemas.openxmlformats.org/drawingml/2006/picture">
                        <pic:nvPicPr>
                          <pic:cNvPr id="456" name="TextBox_66_SpCnt_118"/>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8112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57" name="TextBox_66_SpCnt_119"/>
                  <wp:cNvGraphicFramePr/>
                  <a:graphic xmlns:a="http://schemas.openxmlformats.org/drawingml/2006/main">
                    <a:graphicData uri="http://schemas.openxmlformats.org/drawingml/2006/picture">
                      <pic:pic xmlns:pic="http://schemas.openxmlformats.org/drawingml/2006/picture">
                        <pic:nvPicPr>
                          <pic:cNvPr id="457" name="TextBox_66_SpCnt_119"/>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8214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58" name="TextBox_66_SpCnt_120"/>
                  <wp:cNvGraphicFramePr/>
                  <a:graphic xmlns:a="http://schemas.openxmlformats.org/drawingml/2006/main">
                    <a:graphicData uri="http://schemas.openxmlformats.org/drawingml/2006/picture">
                      <pic:pic xmlns:pic="http://schemas.openxmlformats.org/drawingml/2006/picture">
                        <pic:nvPicPr>
                          <pic:cNvPr id="458" name="TextBox_66_SpCnt_120"/>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8316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59" name="TextBox_66_SpCnt_121"/>
                  <wp:cNvGraphicFramePr/>
                  <a:graphic xmlns:a="http://schemas.openxmlformats.org/drawingml/2006/main">
                    <a:graphicData uri="http://schemas.openxmlformats.org/drawingml/2006/picture">
                      <pic:pic xmlns:pic="http://schemas.openxmlformats.org/drawingml/2006/picture">
                        <pic:nvPicPr>
                          <pic:cNvPr id="459" name="TextBox_66_SpCnt_121"/>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8419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60" name="TextBox_66_SpCnt_122"/>
                  <wp:cNvGraphicFramePr/>
                  <a:graphic xmlns:a="http://schemas.openxmlformats.org/drawingml/2006/main">
                    <a:graphicData uri="http://schemas.openxmlformats.org/drawingml/2006/picture">
                      <pic:pic xmlns:pic="http://schemas.openxmlformats.org/drawingml/2006/picture">
                        <pic:nvPicPr>
                          <pic:cNvPr id="460" name="TextBox_66_SpCnt_122"/>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8521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61" name="TextBox_66_SpCnt_123"/>
                  <wp:cNvGraphicFramePr/>
                  <a:graphic xmlns:a="http://schemas.openxmlformats.org/drawingml/2006/main">
                    <a:graphicData uri="http://schemas.openxmlformats.org/drawingml/2006/picture">
                      <pic:pic xmlns:pic="http://schemas.openxmlformats.org/drawingml/2006/picture">
                        <pic:nvPicPr>
                          <pic:cNvPr id="461" name="TextBox_66_SpCnt_123"/>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8624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62" name="TextBox_66_SpCnt_124"/>
                  <wp:cNvGraphicFramePr/>
                  <a:graphic xmlns:a="http://schemas.openxmlformats.org/drawingml/2006/main">
                    <a:graphicData uri="http://schemas.openxmlformats.org/drawingml/2006/picture">
                      <pic:pic xmlns:pic="http://schemas.openxmlformats.org/drawingml/2006/picture">
                        <pic:nvPicPr>
                          <pic:cNvPr id="462" name="TextBox_66_SpCnt_124"/>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8726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63" name="TextBox_66_SpCnt_125"/>
                  <wp:cNvGraphicFramePr/>
                  <a:graphic xmlns:a="http://schemas.openxmlformats.org/drawingml/2006/main">
                    <a:graphicData uri="http://schemas.openxmlformats.org/drawingml/2006/picture">
                      <pic:pic xmlns:pic="http://schemas.openxmlformats.org/drawingml/2006/picture">
                        <pic:nvPicPr>
                          <pic:cNvPr id="463" name="TextBox_66_SpCnt_125"/>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88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64" name="TextBox_66_SpCnt_126"/>
                  <wp:cNvGraphicFramePr/>
                  <a:graphic xmlns:a="http://schemas.openxmlformats.org/drawingml/2006/main">
                    <a:graphicData uri="http://schemas.openxmlformats.org/drawingml/2006/picture">
                      <pic:pic xmlns:pic="http://schemas.openxmlformats.org/drawingml/2006/picture">
                        <pic:nvPicPr>
                          <pic:cNvPr id="464" name="TextBox_66_SpCnt_126"/>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89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65" name="TextBox_66_SpCnt_127"/>
                  <wp:cNvGraphicFramePr/>
                  <a:graphic xmlns:a="http://schemas.openxmlformats.org/drawingml/2006/main">
                    <a:graphicData uri="http://schemas.openxmlformats.org/drawingml/2006/picture">
                      <pic:pic xmlns:pic="http://schemas.openxmlformats.org/drawingml/2006/picture">
                        <pic:nvPicPr>
                          <pic:cNvPr id="465" name="TextBox_66_SpCnt_127"/>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9033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66" name="TextBox_66_SpCnt_128"/>
                  <wp:cNvGraphicFramePr/>
                  <a:graphic xmlns:a="http://schemas.openxmlformats.org/drawingml/2006/main">
                    <a:graphicData uri="http://schemas.openxmlformats.org/drawingml/2006/picture">
                      <pic:pic xmlns:pic="http://schemas.openxmlformats.org/drawingml/2006/picture">
                        <pic:nvPicPr>
                          <pic:cNvPr id="466" name="TextBox_66_SpCnt_128"/>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9136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67" name="TextBox_66_SpCnt_129"/>
                  <wp:cNvGraphicFramePr/>
                  <a:graphic xmlns:a="http://schemas.openxmlformats.org/drawingml/2006/main">
                    <a:graphicData uri="http://schemas.openxmlformats.org/drawingml/2006/picture">
                      <pic:pic xmlns:pic="http://schemas.openxmlformats.org/drawingml/2006/picture">
                        <pic:nvPicPr>
                          <pic:cNvPr id="467" name="TextBox_66_SpCnt_129"/>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9238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68" name="TextBox_66_SpCnt_130"/>
                  <wp:cNvGraphicFramePr/>
                  <a:graphic xmlns:a="http://schemas.openxmlformats.org/drawingml/2006/main">
                    <a:graphicData uri="http://schemas.openxmlformats.org/drawingml/2006/picture">
                      <pic:pic xmlns:pic="http://schemas.openxmlformats.org/drawingml/2006/picture">
                        <pic:nvPicPr>
                          <pic:cNvPr id="468" name="TextBox_66_SpCnt_130"/>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9340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69" name="TextBox_66_SpCnt_131"/>
                  <wp:cNvGraphicFramePr/>
                  <a:graphic xmlns:a="http://schemas.openxmlformats.org/drawingml/2006/main">
                    <a:graphicData uri="http://schemas.openxmlformats.org/drawingml/2006/picture">
                      <pic:pic xmlns:pic="http://schemas.openxmlformats.org/drawingml/2006/picture">
                        <pic:nvPicPr>
                          <pic:cNvPr id="469" name="TextBox_66_SpCnt_131"/>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9443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70" name="TextBox_66_SpCnt_132"/>
                  <wp:cNvGraphicFramePr/>
                  <a:graphic xmlns:a="http://schemas.openxmlformats.org/drawingml/2006/main">
                    <a:graphicData uri="http://schemas.openxmlformats.org/drawingml/2006/picture">
                      <pic:pic xmlns:pic="http://schemas.openxmlformats.org/drawingml/2006/picture">
                        <pic:nvPicPr>
                          <pic:cNvPr id="470" name="TextBox_66_SpCnt_132"/>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9545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71" name="TextBox_66_SpCnt_133"/>
                  <wp:cNvGraphicFramePr/>
                  <a:graphic xmlns:a="http://schemas.openxmlformats.org/drawingml/2006/main">
                    <a:graphicData uri="http://schemas.openxmlformats.org/drawingml/2006/picture">
                      <pic:pic xmlns:pic="http://schemas.openxmlformats.org/drawingml/2006/picture">
                        <pic:nvPicPr>
                          <pic:cNvPr id="471" name="TextBox_66_SpCnt_133"/>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9648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72" name="TextBox_66_SpCnt_134"/>
                  <wp:cNvGraphicFramePr/>
                  <a:graphic xmlns:a="http://schemas.openxmlformats.org/drawingml/2006/main">
                    <a:graphicData uri="http://schemas.openxmlformats.org/drawingml/2006/picture">
                      <pic:pic xmlns:pic="http://schemas.openxmlformats.org/drawingml/2006/picture">
                        <pic:nvPicPr>
                          <pic:cNvPr id="472" name="TextBox_66_SpCnt_134"/>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9750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73" name="TextBox_66_SpCnt_135"/>
                  <wp:cNvGraphicFramePr/>
                  <a:graphic xmlns:a="http://schemas.openxmlformats.org/drawingml/2006/main">
                    <a:graphicData uri="http://schemas.openxmlformats.org/drawingml/2006/picture">
                      <pic:pic xmlns:pic="http://schemas.openxmlformats.org/drawingml/2006/picture">
                        <pic:nvPicPr>
                          <pic:cNvPr id="473" name="TextBox_66_SpCnt_135"/>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9852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74" name="TextBox_66_SpCnt_136"/>
                  <wp:cNvGraphicFramePr/>
                  <a:graphic xmlns:a="http://schemas.openxmlformats.org/drawingml/2006/main">
                    <a:graphicData uri="http://schemas.openxmlformats.org/drawingml/2006/picture">
                      <pic:pic xmlns:pic="http://schemas.openxmlformats.org/drawingml/2006/picture">
                        <pic:nvPicPr>
                          <pic:cNvPr id="474" name="TextBox_66_SpCnt_136"/>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79955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75" name="TextBox_66_SpCnt_137"/>
                  <wp:cNvGraphicFramePr/>
                  <a:graphic xmlns:a="http://schemas.openxmlformats.org/drawingml/2006/main">
                    <a:graphicData uri="http://schemas.openxmlformats.org/drawingml/2006/picture">
                      <pic:pic xmlns:pic="http://schemas.openxmlformats.org/drawingml/2006/picture">
                        <pic:nvPicPr>
                          <pic:cNvPr id="475" name="TextBox_66_SpCnt_137"/>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0057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76" name="TextBox_66_SpCnt_138"/>
                  <wp:cNvGraphicFramePr/>
                  <a:graphic xmlns:a="http://schemas.openxmlformats.org/drawingml/2006/main">
                    <a:graphicData uri="http://schemas.openxmlformats.org/drawingml/2006/picture">
                      <pic:pic xmlns:pic="http://schemas.openxmlformats.org/drawingml/2006/picture">
                        <pic:nvPicPr>
                          <pic:cNvPr id="476" name="TextBox_66_SpCnt_138"/>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0160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77" name="TextBox_66_SpCnt_139"/>
                  <wp:cNvGraphicFramePr/>
                  <a:graphic xmlns:a="http://schemas.openxmlformats.org/drawingml/2006/main">
                    <a:graphicData uri="http://schemas.openxmlformats.org/drawingml/2006/picture">
                      <pic:pic xmlns:pic="http://schemas.openxmlformats.org/drawingml/2006/picture">
                        <pic:nvPicPr>
                          <pic:cNvPr id="477" name="TextBox_66_SpCnt_139"/>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0262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78" name="TextBox_66_SpCnt_140"/>
                  <wp:cNvGraphicFramePr/>
                  <a:graphic xmlns:a="http://schemas.openxmlformats.org/drawingml/2006/main">
                    <a:graphicData uri="http://schemas.openxmlformats.org/drawingml/2006/picture">
                      <pic:pic xmlns:pic="http://schemas.openxmlformats.org/drawingml/2006/picture">
                        <pic:nvPicPr>
                          <pic:cNvPr id="478" name="TextBox_66_SpCnt_140"/>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0364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79" name="TextBox_66_SpCnt_141"/>
                  <wp:cNvGraphicFramePr/>
                  <a:graphic xmlns:a="http://schemas.openxmlformats.org/drawingml/2006/main">
                    <a:graphicData uri="http://schemas.openxmlformats.org/drawingml/2006/picture">
                      <pic:pic xmlns:pic="http://schemas.openxmlformats.org/drawingml/2006/picture">
                        <pic:nvPicPr>
                          <pic:cNvPr id="479" name="TextBox_66_SpCnt_141"/>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0467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80" name="TextBox_66_SpCnt_142"/>
                  <wp:cNvGraphicFramePr/>
                  <a:graphic xmlns:a="http://schemas.openxmlformats.org/drawingml/2006/main">
                    <a:graphicData uri="http://schemas.openxmlformats.org/drawingml/2006/picture">
                      <pic:pic xmlns:pic="http://schemas.openxmlformats.org/drawingml/2006/picture">
                        <pic:nvPicPr>
                          <pic:cNvPr id="480" name="TextBox_66_SpCnt_142"/>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0569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81" name="TextBox_66_SpCnt_143"/>
                  <wp:cNvGraphicFramePr/>
                  <a:graphic xmlns:a="http://schemas.openxmlformats.org/drawingml/2006/main">
                    <a:graphicData uri="http://schemas.openxmlformats.org/drawingml/2006/picture">
                      <pic:pic xmlns:pic="http://schemas.openxmlformats.org/drawingml/2006/picture">
                        <pic:nvPicPr>
                          <pic:cNvPr id="481" name="TextBox_66_SpCnt_143"/>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0672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82" name="TextBox_66_SpCnt_144"/>
                  <wp:cNvGraphicFramePr/>
                  <a:graphic xmlns:a="http://schemas.openxmlformats.org/drawingml/2006/main">
                    <a:graphicData uri="http://schemas.openxmlformats.org/drawingml/2006/picture">
                      <pic:pic xmlns:pic="http://schemas.openxmlformats.org/drawingml/2006/picture">
                        <pic:nvPicPr>
                          <pic:cNvPr id="482" name="TextBox_66_SpCnt_144"/>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0774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83" name="TextBox_66_SpCnt_145"/>
                  <wp:cNvGraphicFramePr/>
                  <a:graphic xmlns:a="http://schemas.openxmlformats.org/drawingml/2006/main">
                    <a:graphicData uri="http://schemas.openxmlformats.org/drawingml/2006/picture">
                      <pic:pic xmlns:pic="http://schemas.openxmlformats.org/drawingml/2006/picture">
                        <pic:nvPicPr>
                          <pic:cNvPr id="483" name="TextBox_66_SpCnt_145"/>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0876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84" name="TextBox_66_SpCnt_146"/>
                  <wp:cNvGraphicFramePr/>
                  <a:graphic xmlns:a="http://schemas.openxmlformats.org/drawingml/2006/main">
                    <a:graphicData uri="http://schemas.openxmlformats.org/drawingml/2006/picture">
                      <pic:pic xmlns:pic="http://schemas.openxmlformats.org/drawingml/2006/picture">
                        <pic:nvPicPr>
                          <pic:cNvPr id="484" name="TextBox_66_SpCnt_146"/>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0979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85" name="TextBox_66_SpCnt_147"/>
                  <wp:cNvGraphicFramePr/>
                  <a:graphic xmlns:a="http://schemas.openxmlformats.org/drawingml/2006/main">
                    <a:graphicData uri="http://schemas.openxmlformats.org/drawingml/2006/picture">
                      <pic:pic xmlns:pic="http://schemas.openxmlformats.org/drawingml/2006/picture">
                        <pic:nvPicPr>
                          <pic:cNvPr id="485" name="TextBox_66_SpCnt_147"/>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1081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86" name="TextBox_66_SpCnt_148"/>
                  <wp:cNvGraphicFramePr/>
                  <a:graphic xmlns:a="http://schemas.openxmlformats.org/drawingml/2006/main">
                    <a:graphicData uri="http://schemas.openxmlformats.org/drawingml/2006/picture">
                      <pic:pic xmlns:pic="http://schemas.openxmlformats.org/drawingml/2006/picture">
                        <pic:nvPicPr>
                          <pic:cNvPr id="486" name="TextBox_66_SpCnt_148"/>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1184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87" name="TextBox_66_SpCnt_149"/>
                  <wp:cNvGraphicFramePr/>
                  <a:graphic xmlns:a="http://schemas.openxmlformats.org/drawingml/2006/main">
                    <a:graphicData uri="http://schemas.openxmlformats.org/drawingml/2006/picture">
                      <pic:pic xmlns:pic="http://schemas.openxmlformats.org/drawingml/2006/picture">
                        <pic:nvPicPr>
                          <pic:cNvPr id="487" name="TextBox_66_SpCnt_149"/>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1286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88" name="TextBox_66_SpCnt_150"/>
                  <wp:cNvGraphicFramePr/>
                  <a:graphic xmlns:a="http://schemas.openxmlformats.org/drawingml/2006/main">
                    <a:graphicData uri="http://schemas.openxmlformats.org/drawingml/2006/picture">
                      <pic:pic xmlns:pic="http://schemas.openxmlformats.org/drawingml/2006/picture">
                        <pic:nvPicPr>
                          <pic:cNvPr id="488" name="TextBox_66_SpCnt_150"/>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138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89" name="TextBox_66_SpCnt_151"/>
                  <wp:cNvGraphicFramePr/>
                  <a:graphic xmlns:a="http://schemas.openxmlformats.org/drawingml/2006/main">
                    <a:graphicData uri="http://schemas.openxmlformats.org/drawingml/2006/picture">
                      <pic:pic xmlns:pic="http://schemas.openxmlformats.org/drawingml/2006/picture">
                        <pic:nvPicPr>
                          <pic:cNvPr id="489" name="TextBox_66_SpCnt_151"/>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149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90" name="TextBox_66_SpCnt_152"/>
                  <wp:cNvGraphicFramePr/>
                  <a:graphic xmlns:a="http://schemas.openxmlformats.org/drawingml/2006/main">
                    <a:graphicData uri="http://schemas.openxmlformats.org/drawingml/2006/picture">
                      <pic:pic xmlns:pic="http://schemas.openxmlformats.org/drawingml/2006/picture">
                        <pic:nvPicPr>
                          <pic:cNvPr id="490" name="TextBox_66_SpCnt_152"/>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1593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91" name="TextBox_66_SpCnt_153"/>
                  <wp:cNvGraphicFramePr/>
                  <a:graphic xmlns:a="http://schemas.openxmlformats.org/drawingml/2006/main">
                    <a:graphicData uri="http://schemas.openxmlformats.org/drawingml/2006/picture">
                      <pic:pic xmlns:pic="http://schemas.openxmlformats.org/drawingml/2006/picture">
                        <pic:nvPicPr>
                          <pic:cNvPr id="491" name="TextBox_66_SpCnt_153"/>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1696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92" name="TextBox_66_SpCnt_154"/>
                  <wp:cNvGraphicFramePr/>
                  <a:graphic xmlns:a="http://schemas.openxmlformats.org/drawingml/2006/main">
                    <a:graphicData uri="http://schemas.openxmlformats.org/drawingml/2006/picture">
                      <pic:pic xmlns:pic="http://schemas.openxmlformats.org/drawingml/2006/picture">
                        <pic:nvPicPr>
                          <pic:cNvPr id="492" name="TextBox_66_SpCnt_154"/>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1798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93" name="TextBox_66_SpCnt_155"/>
                  <wp:cNvGraphicFramePr/>
                  <a:graphic xmlns:a="http://schemas.openxmlformats.org/drawingml/2006/main">
                    <a:graphicData uri="http://schemas.openxmlformats.org/drawingml/2006/picture">
                      <pic:pic xmlns:pic="http://schemas.openxmlformats.org/drawingml/2006/picture">
                        <pic:nvPicPr>
                          <pic:cNvPr id="493" name="TextBox_66_SpCnt_155"/>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1900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94" name="TextBox_66_SpCnt_156"/>
                  <wp:cNvGraphicFramePr/>
                  <a:graphic xmlns:a="http://schemas.openxmlformats.org/drawingml/2006/main">
                    <a:graphicData uri="http://schemas.openxmlformats.org/drawingml/2006/picture">
                      <pic:pic xmlns:pic="http://schemas.openxmlformats.org/drawingml/2006/picture">
                        <pic:nvPicPr>
                          <pic:cNvPr id="494" name="TextBox_66_SpCnt_156"/>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2003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95" name="TextBox_66_SpCnt_157"/>
                  <wp:cNvGraphicFramePr/>
                  <a:graphic xmlns:a="http://schemas.openxmlformats.org/drawingml/2006/main">
                    <a:graphicData uri="http://schemas.openxmlformats.org/drawingml/2006/picture">
                      <pic:pic xmlns:pic="http://schemas.openxmlformats.org/drawingml/2006/picture">
                        <pic:nvPicPr>
                          <pic:cNvPr id="495" name="TextBox_66_SpCnt_157"/>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2105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96" name="TextBox_66_SpCnt_158"/>
                  <wp:cNvGraphicFramePr/>
                  <a:graphic xmlns:a="http://schemas.openxmlformats.org/drawingml/2006/main">
                    <a:graphicData uri="http://schemas.openxmlformats.org/drawingml/2006/picture">
                      <pic:pic xmlns:pic="http://schemas.openxmlformats.org/drawingml/2006/picture">
                        <pic:nvPicPr>
                          <pic:cNvPr id="496" name="TextBox_66_SpCnt_158"/>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2208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97" name="TextBox_66_SpCnt_159"/>
                  <wp:cNvGraphicFramePr/>
                  <a:graphic xmlns:a="http://schemas.openxmlformats.org/drawingml/2006/main">
                    <a:graphicData uri="http://schemas.openxmlformats.org/drawingml/2006/picture">
                      <pic:pic xmlns:pic="http://schemas.openxmlformats.org/drawingml/2006/picture">
                        <pic:nvPicPr>
                          <pic:cNvPr id="497" name="TextBox_66_SpCnt_159"/>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2310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98" name="TextBox_66_SpCnt_160"/>
                  <wp:cNvGraphicFramePr/>
                  <a:graphic xmlns:a="http://schemas.openxmlformats.org/drawingml/2006/main">
                    <a:graphicData uri="http://schemas.openxmlformats.org/drawingml/2006/picture">
                      <pic:pic xmlns:pic="http://schemas.openxmlformats.org/drawingml/2006/picture">
                        <pic:nvPicPr>
                          <pic:cNvPr id="498" name="TextBox_66_SpCnt_160"/>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2412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499" name="TextBox_66_SpCnt_161"/>
                  <wp:cNvGraphicFramePr/>
                  <a:graphic xmlns:a="http://schemas.openxmlformats.org/drawingml/2006/main">
                    <a:graphicData uri="http://schemas.openxmlformats.org/drawingml/2006/picture">
                      <pic:pic xmlns:pic="http://schemas.openxmlformats.org/drawingml/2006/picture">
                        <pic:nvPicPr>
                          <pic:cNvPr id="499" name="TextBox_66_SpCnt_161"/>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2515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00" name="TextBox_66_SpCnt_162"/>
                  <wp:cNvGraphicFramePr/>
                  <a:graphic xmlns:a="http://schemas.openxmlformats.org/drawingml/2006/main">
                    <a:graphicData uri="http://schemas.openxmlformats.org/drawingml/2006/picture">
                      <pic:pic xmlns:pic="http://schemas.openxmlformats.org/drawingml/2006/picture">
                        <pic:nvPicPr>
                          <pic:cNvPr id="500" name="TextBox_66_SpCnt_162"/>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2617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01" name="TextBox_66_SpCnt_163"/>
                  <wp:cNvGraphicFramePr/>
                  <a:graphic xmlns:a="http://schemas.openxmlformats.org/drawingml/2006/main">
                    <a:graphicData uri="http://schemas.openxmlformats.org/drawingml/2006/picture">
                      <pic:pic xmlns:pic="http://schemas.openxmlformats.org/drawingml/2006/picture">
                        <pic:nvPicPr>
                          <pic:cNvPr id="501" name="TextBox_66_SpCnt_163"/>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2720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02" name="TextBox_66_SpCnt_164"/>
                  <wp:cNvGraphicFramePr/>
                  <a:graphic xmlns:a="http://schemas.openxmlformats.org/drawingml/2006/main">
                    <a:graphicData uri="http://schemas.openxmlformats.org/drawingml/2006/picture">
                      <pic:pic xmlns:pic="http://schemas.openxmlformats.org/drawingml/2006/picture">
                        <pic:nvPicPr>
                          <pic:cNvPr id="502" name="TextBox_66_SpCnt_164"/>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2822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03" name="TextBox_66_SpCnt_165"/>
                  <wp:cNvGraphicFramePr/>
                  <a:graphic xmlns:a="http://schemas.openxmlformats.org/drawingml/2006/main">
                    <a:graphicData uri="http://schemas.openxmlformats.org/drawingml/2006/picture">
                      <pic:pic xmlns:pic="http://schemas.openxmlformats.org/drawingml/2006/picture">
                        <pic:nvPicPr>
                          <pic:cNvPr id="503" name="TextBox_66_SpCnt_165"/>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2924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04" name="TextBox_66_SpCnt_166"/>
                  <wp:cNvGraphicFramePr/>
                  <a:graphic xmlns:a="http://schemas.openxmlformats.org/drawingml/2006/main">
                    <a:graphicData uri="http://schemas.openxmlformats.org/drawingml/2006/picture">
                      <pic:pic xmlns:pic="http://schemas.openxmlformats.org/drawingml/2006/picture">
                        <pic:nvPicPr>
                          <pic:cNvPr id="504" name="TextBox_66_SpCnt_166"/>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3027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05" name="TextBox_66_SpCnt_167"/>
                  <wp:cNvGraphicFramePr/>
                  <a:graphic xmlns:a="http://schemas.openxmlformats.org/drawingml/2006/main">
                    <a:graphicData uri="http://schemas.openxmlformats.org/drawingml/2006/picture">
                      <pic:pic xmlns:pic="http://schemas.openxmlformats.org/drawingml/2006/picture">
                        <pic:nvPicPr>
                          <pic:cNvPr id="505" name="TextBox_66_SpCnt_167"/>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3129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06" name="TextBox_66_SpCnt_168"/>
                  <wp:cNvGraphicFramePr/>
                  <a:graphic xmlns:a="http://schemas.openxmlformats.org/drawingml/2006/main">
                    <a:graphicData uri="http://schemas.openxmlformats.org/drawingml/2006/picture">
                      <pic:pic xmlns:pic="http://schemas.openxmlformats.org/drawingml/2006/picture">
                        <pic:nvPicPr>
                          <pic:cNvPr id="506" name="TextBox_66_SpCnt_168"/>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3232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07" name="TextBox_66_SpCnt_169"/>
                  <wp:cNvGraphicFramePr/>
                  <a:graphic xmlns:a="http://schemas.openxmlformats.org/drawingml/2006/main">
                    <a:graphicData uri="http://schemas.openxmlformats.org/drawingml/2006/picture">
                      <pic:pic xmlns:pic="http://schemas.openxmlformats.org/drawingml/2006/picture">
                        <pic:nvPicPr>
                          <pic:cNvPr id="507" name="TextBox_66_SpCnt_169"/>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3334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08" name="TextBox_66_SpCnt_170"/>
                  <wp:cNvGraphicFramePr/>
                  <a:graphic xmlns:a="http://schemas.openxmlformats.org/drawingml/2006/main">
                    <a:graphicData uri="http://schemas.openxmlformats.org/drawingml/2006/picture">
                      <pic:pic xmlns:pic="http://schemas.openxmlformats.org/drawingml/2006/picture">
                        <pic:nvPicPr>
                          <pic:cNvPr id="508" name="TextBox_66_SpCnt_170"/>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3436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09" name="TextBox_66_SpCnt_171"/>
                  <wp:cNvGraphicFramePr/>
                  <a:graphic xmlns:a="http://schemas.openxmlformats.org/drawingml/2006/main">
                    <a:graphicData uri="http://schemas.openxmlformats.org/drawingml/2006/picture">
                      <pic:pic xmlns:pic="http://schemas.openxmlformats.org/drawingml/2006/picture">
                        <pic:nvPicPr>
                          <pic:cNvPr id="509" name="TextBox_66_SpCnt_171"/>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3539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10" name="TextBox_66_SpCnt_172"/>
                  <wp:cNvGraphicFramePr/>
                  <a:graphic xmlns:a="http://schemas.openxmlformats.org/drawingml/2006/main">
                    <a:graphicData uri="http://schemas.openxmlformats.org/drawingml/2006/picture">
                      <pic:pic xmlns:pic="http://schemas.openxmlformats.org/drawingml/2006/picture">
                        <pic:nvPicPr>
                          <pic:cNvPr id="510" name="TextBox_66_SpCnt_172"/>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3641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11" name="TextBox_66_SpCnt_173"/>
                  <wp:cNvGraphicFramePr/>
                  <a:graphic xmlns:a="http://schemas.openxmlformats.org/drawingml/2006/main">
                    <a:graphicData uri="http://schemas.openxmlformats.org/drawingml/2006/picture">
                      <pic:pic xmlns:pic="http://schemas.openxmlformats.org/drawingml/2006/picture">
                        <pic:nvPicPr>
                          <pic:cNvPr id="511" name="TextBox_66_SpCnt_173"/>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3744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12" name="TextBox_66_SpCnt_174"/>
                  <wp:cNvGraphicFramePr/>
                  <a:graphic xmlns:a="http://schemas.openxmlformats.org/drawingml/2006/main">
                    <a:graphicData uri="http://schemas.openxmlformats.org/drawingml/2006/picture">
                      <pic:pic xmlns:pic="http://schemas.openxmlformats.org/drawingml/2006/picture">
                        <pic:nvPicPr>
                          <pic:cNvPr id="512" name="TextBox_66_SpCnt_174"/>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3846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13" name="TextBox_66_SpCnt_175"/>
                  <wp:cNvGraphicFramePr/>
                  <a:graphic xmlns:a="http://schemas.openxmlformats.org/drawingml/2006/main">
                    <a:graphicData uri="http://schemas.openxmlformats.org/drawingml/2006/picture">
                      <pic:pic xmlns:pic="http://schemas.openxmlformats.org/drawingml/2006/picture">
                        <pic:nvPicPr>
                          <pic:cNvPr id="513" name="TextBox_66_SpCnt_175"/>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394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14" name="TextBox_66_SpCnt_176"/>
                  <wp:cNvGraphicFramePr/>
                  <a:graphic xmlns:a="http://schemas.openxmlformats.org/drawingml/2006/main">
                    <a:graphicData uri="http://schemas.openxmlformats.org/drawingml/2006/picture">
                      <pic:pic xmlns:pic="http://schemas.openxmlformats.org/drawingml/2006/picture">
                        <pic:nvPicPr>
                          <pic:cNvPr id="514" name="TextBox_66_SpCnt_176"/>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405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15" name="TextBox_66_SpCnt_177"/>
                  <wp:cNvGraphicFramePr/>
                  <a:graphic xmlns:a="http://schemas.openxmlformats.org/drawingml/2006/main">
                    <a:graphicData uri="http://schemas.openxmlformats.org/drawingml/2006/picture">
                      <pic:pic xmlns:pic="http://schemas.openxmlformats.org/drawingml/2006/picture">
                        <pic:nvPicPr>
                          <pic:cNvPr id="515" name="TextBox_66_SpCnt_177"/>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4153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16" name="TextBox_66_SpCnt_178"/>
                  <wp:cNvGraphicFramePr/>
                  <a:graphic xmlns:a="http://schemas.openxmlformats.org/drawingml/2006/main">
                    <a:graphicData uri="http://schemas.openxmlformats.org/drawingml/2006/picture">
                      <pic:pic xmlns:pic="http://schemas.openxmlformats.org/drawingml/2006/picture">
                        <pic:nvPicPr>
                          <pic:cNvPr id="516" name="TextBox_66_SpCnt_178"/>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4256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17" name="TextBox_66_SpCnt_179"/>
                  <wp:cNvGraphicFramePr/>
                  <a:graphic xmlns:a="http://schemas.openxmlformats.org/drawingml/2006/main">
                    <a:graphicData uri="http://schemas.openxmlformats.org/drawingml/2006/picture">
                      <pic:pic xmlns:pic="http://schemas.openxmlformats.org/drawingml/2006/picture">
                        <pic:nvPicPr>
                          <pic:cNvPr id="517" name="TextBox_66_SpCnt_179"/>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4358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18" name="TextBox_66_SpCnt_180"/>
                  <wp:cNvGraphicFramePr/>
                  <a:graphic xmlns:a="http://schemas.openxmlformats.org/drawingml/2006/main">
                    <a:graphicData uri="http://schemas.openxmlformats.org/drawingml/2006/picture">
                      <pic:pic xmlns:pic="http://schemas.openxmlformats.org/drawingml/2006/picture">
                        <pic:nvPicPr>
                          <pic:cNvPr id="518" name="TextBox_66_SpCnt_180"/>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4460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19" name="TextBox_66_SpCnt_181"/>
                  <wp:cNvGraphicFramePr/>
                  <a:graphic xmlns:a="http://schemas.openxmlformats.org/drawingml/2006/main">
                    <a:graphicData uri="http://schemas.openxmlformats.org/drawingml/2006/picture">
                      <pic:pic xmlns:pic="http://schemas.openxmlformats.org/drawingml/2006/picture">
                        <pic:nvPicPr>
                          <pic:cNvPr id="519" name="TextBox_66_SpCnt_181"/>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4563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20" name="TextBox_66_SpCnt_182"/>
                  <wp:cNvGraphicFramePr/>
                  <a:graphic xmlns:a="http://schemas.openxmlformats.org/drawingml/2006/main">
                    <a:graphicData uri="http://schemas.openxmlformats.org/drawingml/2006/picture">
                      <pic:pic xmlns:pic="http://schemas.openxmlformats.org/drawingml/2006/picture">
                        <pic:nvPicPr>
                          <pic:cNvPr id="520" name="TextBox_66_SpCnt_182"/>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4665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21" name="TextBox_66_SpCnt_183"/>
                  <wp:cNvGraphicFramePr/>
                  <a:graphic xmlns:a="http://schemas.openxmlformats.org/drawingml/2006/main">
                    <a:graphicData uri="http://schemas.openxmlformats.org/drawingml/2006/picture">
                      <pic:pic xmlns:pic="http://schemas.openxmlformats.org/drawingml/2006/picture">
                        <pic:nvPicPr>
                          <pic:cNvPr id="521" name="TextBox_66_SpCnt_183"/>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4768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22" name="TextBox_66_SpCnt_184"/>
                  <wp:cNvGraphicFramePr/>
                  <a:graphic xmlns:a="http://schemas.openxmlformats.org/drawingml/2006/main">
                    <a:graphicData uri="http://schemas.openxmlformats.org/drawingml/2006/picture">
                      <pic:pic xmlns:pic="http://schemas.openxmlformats.org/drawingml/2006/picture">
                        <pic:nvPicPr>
                          <pic:cNvPr id="522" name="TextBox_66_SpCnt_184"/>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4870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23" name="TextBox_66_SpCnt_185"/>
                  <wp:cNvGraphicFramePr/>
                  <a:graphic xmlns:a="http://schemas.openxmlformats.org/drawingml/2006/main">
                    <a:graphicData uri="http://schemas.openxmlformats.org/drawingml/2006/picture">
                      <pic:pic xmlns:pic="http://schemas.openxmlformats.org/drawingml/2006/picture">
                        <pic:nvPicPr>
                          <pic:cNvPr id="523" name="TextBox_66_SpCnt_185"/>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4972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24" name="TextBox_66_SpCnt_186"/>
                  <wp:cNvGraphicFramePr/>
                  <a:graphic xmlns:a="http://schemas.openxmlformats.org/drawingml/2006/main">
                    <a:graphicData uri="http://schemas.openxmlformats.org/drawingml/2006/picture">
                      <pic:pic xmlns:pic="http://schemas.openxmlformats.org/drawingml/2006/picture">
                        <pic:nvPicPr>
                          <pic:cNvPr id="524" name="TextBox_66_SpCnt_186"/>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5075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25" name="TextBox_66_SpCnt_187"/>
                  <wp:cNvGraphicFramePr/>
                  <a:graphic xmlns:a="http://schemas.openxmlformats.org/drawingml/2006/main">
                    <a:graphicData uri="http://schemas.openxmlformats.org/drawingml/2006/picture">
                      <pic:pic xmlns:pic="http://schemas.openxmlformats.org/drawingml/2006/picture">
                        <pic:nvPicPr>
                          <pic:cNvPr id="525" name="TextBox_66_SpCnt_187"/>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5177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26" name="TextBox_66_SpCnt_188"/>
                  <wp:cNvGraphicFramePr/>
                  <a:graphic xmlns:a="http://schemas.openxmlformats.org/drawingml/2006/main">
                    <a:graphicData uri="http://schemas.openxmlformats.org/drawingml/2006/picture">
                      <pic:pic xmlns:pic="http://schemas.openxmlformats.org/drawingml/2006/picture">
                        <pic:nvPicPr>
                          <pic:cNvPr id="526" name="TextBox_66_SpCnt_188"/>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5280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27" name="TextBox_66_SpCnt_189"/>
                  <wp:cNvGraphicFramePr/>
                  <a:graphic xmlns:a="http://schemas.openxmlformats.org/drawingml/2006/main">
                    <a:graphicData uri="http://schemas.openxmlformats.org/drawingml/2006/picture">
                      <pic:pic xmlns:pic="http://schemas.openxmlformats.org/drawingml/2006/picture">
                        <pic:nvPicPr>
                          <pic:cNvPr id="527" name="TextBox_66_SpCnt_189"/>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5382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28" name="TextBox_66_SpCnt_190"/>
                  <wp:cNvGraphicFramePr/>
                  <a:graphic xmlns:a="http://schemas.openxmlformats.org/drawingml/2006/main">
                    <a:graphicData uri="http://schemas.openxmlformats.org/drawingml/2006/picture">
                      <pic:pic xmlns:pic="http://schemas.openxmlformats.org/drawingml/2006/picture">
                        <pic:nvPicPr>
                          <pic:cNvPr id="528" name="TextBox_66_SpCnt_190"/>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5484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29" name="TextBox_66_SpCnt_191"/>
                  <wp:cNvGraphicFramePr/>
                  <a:graphic xmlns:a="http://schemas.openxmlformats.org/drawingml/2006/main">
                    <a:graphicData uri="http://schemas.openxmlformats.org/drawingml/2006/picture">
                      <pic:pic xmlns:pic="http://schemas.openxmlformats.org/drawingml/2006/picture">
                        <pic:nvPicPr>
                          <pic:cNvPr id="529" name="TextBox_66_SpCnt_191"/>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5587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30" name="TextBox_66_SpCnt_192"/>
                  <wp:cNvGraphicFramePr/>
                  <a:graphic xmlns:a="http://schemas.openxmlformats.org/drawingml/2006/main">
                    <a:graphicData uri="http://schemas.openxmlformats.org/drawingml/2006/picture">
                      <pic:pic xmlns:pic="http://schemas.openxmlformats.org/drawingml/2006/picture">
                        <pic:nvPicPr>
                          <pic:cNvPr id="530" name="TextBox_66_SpCnt_192"/>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5689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31" name="TextBox_66_SpCnt_193"/>
                  <wp:cNvGraphicFramePr/>
                  <a:graphic xmlns:a="http://schemas.openxmlformats.org/drawingml/2006/main">
                    <a:graphicData uri="http://schemas.openxmlformats.org/drawingml/2006/picture">
                      <pic:pic xmlns:pic="http://schemas.openxmlformats.org/drawingml/2006/picture">
                        <pic:nvPicPr>
                          <pic:cNvPr id="531" name="TextBox_66_SpCnt_193"/>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5792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32" name="TextBox_66_SpCnt_194"/>
                  <wp:cNvGraphicFramePr/>
                  <a:graphic xmlns:a="http://schemas.openxmlformats.org/drawingml/2006/main">
                    <a:graphicData uri="http://schemas.openxmlformats.org/drawingml/2006/picture">
                      <pic:pic xmlns:pic="http://schemas.openxmlformats.org/drawingml/2006/picture">
                        <pic:nvPicPr>
                          <pic:cNvPr id="532" name="TextBox_66_SpCnt_194"/>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5894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33" name="TextBox_66_SpCnt_195"/>
                  <wp:cNvGraphicFramePr/>
                  <a:graphic xmlns:a="http://schemas.openxmlformats.org/drawingml/2006/main">
                    <a:graphicData uri="http://schemas.openxmlformats.org/drawingml/2006/picture">
                      <pic:pic xmlns:pic="http://schemas.openxmlformats.org/drawingml/2006/picture">
                        <pic:nvPicPr>
                          <pic:cNvPr id="533" name="TextBox_66_SpCnt_195"/>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5996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34" name="TextBox_66_SpCnt_196"/>
                  <wp:cNvGraphicFramePr/>
                  <a:graphic xmlns:a="http://schemas.openxmlformats.org/drawingml/2006/main">
                    <a:graphicData uri="http://schemas.openxmlformats.org/drawingml/2006/picture">
                      <pic:pic xmlns:pic="http://schemas.openxmlformats.org/drawingml/2006/picture">
                        <pic:nvPicPr>
                          <pic:cNvPr id="534" name="TextBox_66_SpCnt_196"/>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6099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35" name="TextBox_66_SpCnt_197"/>
                  <wp:cNvGraphicFramePr/>
                  <a:graphic xmlns:a="http://schemas.openxmlformats.org/drawingml/2006/main">
                    <a:graphicData uri="http://schemas.openxmlformats.org/drawingml/2006/picture">
                      <pic:pic xmlns:pic="http://schemas.openxmlformats.org/drawingml/2006/picture">
                        <pic:nvPicPr>
                          <pic:cNvPr id="535" name="TextBox_66_SpCnt_197"/>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6201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36" name="TextBox_66_SpCnt_198"/>
                  <wp:cNvGraphicFramePr/>
                  <a:graphic xmlns:a="http://schemas.openxmlformats.org/drawingml/2006/main">
                    <a:graphicData uri="http://schemas.openxmlformats.org/drawingml/2006/picture">
                      <pic:pic xmlns:pic="http://schemas.openxmlformats.org/drawingml/2006/picture">
                        <pic:nvPicPr>
                          <pic:cNvPr id="536" name="TextBox_66_SpCnt_198"/>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6304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37" name="TextBox_66_SpCnt_199"/>
                  <wp:cNvGraphicFramePr/>
                  <a:graphic xmlns:a="http://schemas.openxmlformats.org/drawingml/2006/main">
                    <a:graphicData uri="http://schemas.openxmlformats.org/drawingml/2006/picture">
                      <pic:pic xmlns:pic="http://schemas.openxmlformats.org/drawingml/2006/picture">
                        <pic:nvPicPr>
                          <pic:cNvPr id="537" name="TextBox_66_SpCnt_199"/>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6406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38" name="TextBox_66_SpCnt_200"/>
                  <wp:cNvGraphicFramePr/>
                  <a:graphic xmlns:a="http://schemas.openxmlformats.org/drawingml/2006/main">
                    <a:graphicData uri="http://schemas.openxmlformats.org/drawingml/2006/picture">
                      <pic:pic xmlns:pic="http://schemas.openxmlformats.org/drawingml/2006/picture">
                        <pic:nvPicPr>
                          <pic:cNvPr id="538" name="TextBox_66_SpCnt_200"/>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650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39" name="TextBox_66_SpCnt_201"/>
                  <wp:cNvGraphicFramePr/>
                  <a:graphic xmlns:a="http://schemas.openxmlformats.org/drawingml/2006/main">
                    <a:graphicData uri="http://schemas.openxmlformats.org/drawingml/2006/picture">
                      <pic:pic xmlns:pic="http://schemas.openxmlformats.org/drawingml/2006/picture">
                        <pic:nvPicPr>
                          <pic:cNvPr id="539" name="TextBox_66_SpCnt_201"/>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661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40" name="TextBox_66_SpCnt_202"/>
                  <wp:cNvGraphicFramePr/>
                  <a:graphic xmlns:a="http://schemas.openxmlformats.org/drawingml/2006/main">
                    <a:graphicData uri="http://schemas.openxmlformats.org/drawingml/2006/picture">
                      <pic:pic xmlns:pic="http://schemas.openxmlformats.org/drawingml/2006/picture">
                        <pic:nvPicPr>
                          <pic:cNvPr id="540" name="TextBox_66_SpCnt_202"/>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6713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41" name="TextBox_66_SpCnt_203"/>
                  <wp:cNvGraphicFramePr/>
                  <a:graphic xmlns:a="http://schemas.openxmlformats.org/drawingml/2006/main">
                    <a:graphicData uri="http://schemas.openxmlformats.org/drawingml/2006/picture">
                      <pic:pic xmlns:pic="http://schemas.openxmlformats.org/drawingml/2006/picture">
                        <pic:nvPicPr>
                          <pic:cNvPr id="541" name="TextBox_66_SpCnt_203"/>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6816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42" name="TextBox_66_SpCnt_204"/>
                  <wp:cNvGraphicFramePr/>
                  <a:graphic xmlns:a="http://schemas.openxmlformats.org/drawingml/2006/main">
                    <a:graphicData uri="http://schemas.openxmlformats.org/drawingml/2006/picture">
                      <pic:pic xmlns:pic="http://schemas.openxmlformats.org/drawingml/2006/picture">
                        <pic:nvPicPr>
                          <pic:cNvPr id="542" name="TextBox_66_SpCnt_204"/>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6918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43" name="TextBox_66_SpCnt_205"/>
                  <wp:cNvGraphicFramePr/>
                  <a:graphic xmlns:a="http://schemas.openxmlformats.org/drawingml/2006/main">
                    <a:graphicData uri="http://schemas.openxmlformats.org/drawingml/2006/picture">
                      <pic:pic xmlns:pic="http://schemas.openxmlformats.org/drawingml/2006/picture">
                        <pic:nvPicPr>
                          <pic:cNvPr id="543" name="TextBox_66_SpCnt_205"/>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7020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44" name="TextBox_66_SpCnt_206"/>
                  <wp:cNvGraphicFramePr/>
                  <a:graphic xmlns:a="http://schemas.openxmlformats.org/drawingml/2006/main">
                    <a:graphicData uri="http://schemas.openxmlformats.org/drawingml/2006/picture">
                      <pic:pic xmlns:pic="http://schemas.openxmlformats.org/drawingml/2006/picture">
                        <pic:nvPicPr>
                          <pic:cNvPr id="544" name="TextBox_66_SpCnt_206"/>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7123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45" name="TextBox_66_SpCnt_207"/>
                  <wp:cNvGraphicFramePr/>
                  <a:graphic xmlns:a="http://schemas.openxmlformats.org/drawingml/2006/main">
                    <a:graphicData uri="http://schemas.openxmlformats.org/drawingml/2006/picture">
                      <pic:pic xmlns:pic="http://schemas.openxmlformats.org/drawingml/2006/picture">
                        <pic:nvPicPr>
                          <pic:cNvPr id="545" name="TextBox_66_SpCnt_207"/>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7225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46" name="TextBox_66_SpCnt_208"/>
                  <wp:cNvGraphicFramePr/>
                  <a:graphic xmlns:a="http://schemas.openxmlformats.org/drawingml/2006/main">
                    <a:graphicData uri="http://schemas.openxmlformats.org/drawingml/2006/picture">
                      <pic:pic xmlns:pic="http://schemas.openxmlformats.org/drawingml/2006/picture">
                        <pic:nvPicPr>
                          <pic:cNvPr id="546" name="TextBox_66_SpCnt_208"/>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7328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47" name="TextBox_66_SpCnt_209"/>
                  <wp:cNvGraphicFramePr/>
                  <a:graphic xmlns:a="http://schemas.openxmlformats.org/drawingml/2006/main">
                    <a:graphicData uri="http://schemas.openxmlformats.org/drawingml/2006/picture">
                      <pic:pic xmlns:pic="http://schemas.openxmlformats.org/drawingml/2006/picture">
                        <pic:nvPicPr>
                          <pic:cNvPr id="547" name="TextBox_66_SpCnt_209"/>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7430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48" name="TextBox_66_SpCnt_210"/>
                  <wp:cNvGraphicFramePr/>
                  <a:graphic xmlns:a="http://schemas.openxmlformats.org/drawingml/2006/main">
                    <a:graphicData uri="http://schemas.openxmlformats.org/drawingml/2006/picture">
                      <pic:pic xmlns:pic="http://schemas.openxmlformats.org/drawingml/2006/picture">
                        <pic:nvPicPr>
                          <pic:cNvPr id="548" name="TextBox_66_SpCnt_210"/>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7532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49" name="TextBox_66_SpCnt_211"/>
                  <wp:cNvGraphicFramePr/>
                  <a:graphic xmlns:a="http://schemas.openxmlformats.org/drawingml/2006/main">
                    <a:graphicData uri="http://schemas.openxmlformats.org/drawingml/2006/picture">
                      <pic:pic xmlns:pic="http://schemas.openxmlformats.org/drawingml/2006/picture">
                        <pic:nvPicPr>
                          <pic:cNvPr id="549" name="TextBox_66_SpCnt_211"/>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7635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50" name="TextBox_66_SpCnt_212"/>
                  <wp:cNvGraphicFramePr/>
                  <a:graphic xmlns:a="http://schemas.openxmlformats.org/drawingml/2006/main">
                    <a:graphicData uri="http://schemas.openxmlformats.org/drawingml/2006/picture">
                      <pic:pic xmlns:pic="http://schemas.openxmlformats.org/drawingml/2006/picture">
                        <pic:nvPicPr>
                          <pic:cNvPr id="550" name="TextBox_66_SpCnt_212"/>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7737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51" name="TextBox_66_SpCnt_213"/>
                  <wp:cNvGraphicFramePr/>
                  <a:graphic xmlns:a="http://schemas.openxmlformats.org/drawingml/2006/main">
                    <a:graphicData uri="http://schemas.openxmlformats.org/drawingml/2006/picture">
                      <pic:pic xmlns:pic="http://schemas.openxmlformats.org/drawingml/2006/picture">
                        <pic:nvPicPr>
                          <pic:cNvPr id="551" name="TextBox_66_SpCnt_213"/>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7840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52" name="TextBox_66_SpCnt_214"/>
                  <wp:cNvGraphicFramePr/>
                  <a:graphic xmlns:a="http://schemas.openxmlformats.org/drawingml/2006/main">
                    <a:graphicData uri="http://schemas.openxmlformats.org/drawingml/2006/picture">
                      <pic:pic xmlns:pic="http://schemas.openxmlformats.org/drawingml/2006/picture">
                        <pic:nvPicPr>
                          <pic:cNvPr id="552" name="TextBox_66_SpCnt_214"/>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7942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53" name="TextBox_66_SpCnt_215"/>
                  <wp:cNvGraphicFramePr/>
                  <a:graphic xmlns:a="http://schemas.openxmlformats.org/drawingml/2006/main">
                    <a:graphicData uri="http://schemas.openxmlformats.org/drawingml/2006/picture">
                      <pic:pic xmlns:pic="http://schemas.openxmlformats.org/drawingml/2006/picture">
                        <pic:nvPicPr>
                          <pic:cNvPr id="553" name="TextBox_66_SpCnt_215"/>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8044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54" name="TextBox_66_SpCnt_216"/>
                  <wp:cNvGraphicFramePr/>
                  <a:graphic xmlns:a="http://schemas.openxmlformats.org/drawingml/2006/main">
                    <a:graphicData uri="http://schemas.openxmlformats.org/drawingml/2006/picture">
                      <pic:pic xmlns:pic="http://schemas.openxmlformats.org/drawingml/2006/picture">
                        <pic:nvPicPr>
                          <pic:cNvPr id="554" name="TextBox_66_SpCnt_216"/>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8147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55" name="TextBox_66_SpCnt_217"/>
                  <wp:cNvGraphicFramePr/>
                  <a:graphic xmlns:a="http://schemas.openxmlformats.org/drawingml/2006/main">
                    <a:graphicData uri="http://schemas.openxmlformats.org/drawingml/2006/picture">
                      <pic:pic xmlns:pic="http://schemas.openxmlformats.org/drawingml/2006/picture">
                        <pic:nvPicPr>
                          <pic:cNvPr id="555" name="TextBox_66_SpCnt_217"/>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8249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56" name="TextBox_66_SpCnt_218"/>
                  <wp:cNvGraphicFramePr/>
                  <a:graphic xmlns:a="http://schemas.openxmlformats.org/drawingml/2006/main">
                    <a:graphicData uri="http://schemas.openxmlformats.org/drawingml/2006/picture">
                      <pic:pic xmlns:pic="http://schemas.openxmlformats.org/drawingml/2006/picture">
                        <pic:nvPicPr>
                          <pic:cNvPr id="556" name="TextBox_66_SpCnt_218"/>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8352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57" name="TextBox_66_SpCnt_219"/>
                  <wp:cNvGraphicFramePr/>
                  <a:graphic xmlns:a="http://schemas.openxmlformats.org/drawingml/2006/main">
                    <a:graphicData uri="http://schemas.openxmlformats.org/drawingml/2006/picture">
                      <pic:pic xmlns:pic="http://schemas.openxmlformats.org/drawingml/2006/picture">
                        <pic:nvPicPr>
                          <pic:cNvPr id="557" name="TextBox_66_SpCnt_219"/>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8454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58" name="TextBox_66_SpCnt_220"/>
                  <wp:cNvGraphicFramePr/>
                  <a:graphic xmlns:a="http://schemas.openxmlformats.org/drawingml/2006/main">
                    <a:graphicData uri="http://schemas.openxmlformats.org/drawingml/2006/picture">
                      <pic:pic xmlns:pic="http://schemas.openxmlformats.org/drawingml/2006/picture">
                        <pic:nvPicPr>
                          <pic:cNvPr id="558" name="TextBox_66_SpCnt_220"/>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8556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59" name="TextBox_66_SpCnt_221"/>
                  <wp:cNvGraphicFramePr/>
                  <a:graphic xmlns:a="http://schemas.openxmlformats.org/drawingml/2006/main">
                    <a:graphicData uri="http://schemas.openxmlformats.org/drawingml/2006/picture">
                      <pic:pic xmlns:pic="http://schemas.openxmlformats.org/drawingml/2006/picture">
                        <pic:nvPicPr>
                          <pic:cNvPr id="559" name="TextBox_66_SpCnt_221"/>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8659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60" name="TextBox_66_SpCnt_222"/>
                  <wp:cNvGraphicFramePr/>
                  <a:graphic xmlns:a="http://schemas.openxmlformats.org/drawingml/2006/main">
                    <a:graphicData uri="http://schemas.openxmlformats.org/drawingml/2006/picture">
                      <pic:pic xmlns:pic="http://schemas.openxmlformats.org/drawingml/2006/picture">
                        <pic:nvPicPr>
                          <pic:cNvPr id="560" name="TextBox_66_SpCnt_222"/>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8761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61" name="TextBox_66_SpCnt_223"/>
                  <wp:cNvGraphicFramePr/>
                  <a:graphic xmlns:a="http://schemas.openxmlformats.org/drawingml/2006/main">
                    <a:graphicData uri="http://schemas.openxmlformats.org/drawingml/2006/picture">
                      <pic:pic xmlns:pic="http://schemas.openxmlformats.org/drawingml/2006/picture">
                        <pic:nvPicPr>
                          <pic:cNvPr id="561" name="TextBox_66_SpCnt_223"/>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8864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62" name="TextBox_66_SpCnt_224"/>
                  <wp:cNvGraphicFramePr/>
                  <a:graphic xmlns:a="http://schemas.openxmlformats.org/drawingml/2006/main">
                    <a:graphicData uri="http://schemas.openxmlformats.org/drawingml/2006/picture">
                      <pic:pic xmlns:pic="http://schemas.openxmlformats.org/drawingml/2006/picture">
                        <pic:nvPicPr>
                          <pic:cNvPr id="562" name="TextBox_66_SpCnt_224"/>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8966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63" name="TextBox_66_SpCnt_225"/>
                  <wp:cNvGraphicFramePr/>
                  <a:graphic xmlns:a="http://schemas.openxmlformats.org/drawingml/2006/main">
                    <a:graphicData uri="http://schemas.openxmlformats.org/drawingml/2006/picture">
                      <pic:pic xmlns:pic="http://schemas.openxmlformats.org/drawingml/2006/picture">
                        <pic:nvPicPr>
                          <pic:cNvPr id="563" name="TextBox_66_SpCnt_225"/>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906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64" name="TextBox_66_SpCnt_226"/>
                  <wp:cNvGraphicFramePr/>
                  <a:graphic xmlns:a="http://schemas.openxmlformats.org/drawingml/2006/main">
                    <a:graphicData uri="http://schemas.openxmlformats.org/drawingml/2006/picture">
                      <pic:pic xmlns:pic="http://schemas.openxmlformats.org/drawingml/2006/picture">
                        <pic:nvPicPr>
                          <pic:cNvPr id="564" name="TextBox_66_SpCnt_226"/>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917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65" name="TextBox_66_SpCnt_227"/>
                  <wp:cNvGraphicFramePr/>
                  <a:graphic xmlns:a="http://schemas.openxmlformats.org/drawingml/2006/main">
                    <a:graphicData uri="http://schemas.openxmlformats.org/drawingml/2006/picture">
                      <pic:pic xmlns:pic="http://schemas.openxmlformats.org/drawingml/2006/picture">
                        <pic:nvPicPr>
                          <pic:cNvPr id="565" name="TextBox_66_SpCnt_227"/>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9273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66" name="TextBox_66_SpCnt_228"/>
                  <wp:cNvGraphicFramePr/>
                  <a:graphic xmlns:a="http://schemas.openxmlformats.org/drawingml/2006/main">
                    <a:graphicData uri="http://schemas.openxmlformats.org/drawingml/2006/picture">
                      <pic:pic xmlns:pic="http://schemas.openxmlformats.org/drawingml/2006/picture">
                        <pic:nvPicPr>
                          <pic:cNvPr id="566" name="TextBox_66_SpCnt_228"/>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9376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67" name="TextBox_66_SpCnt_229"/>
                  <wp:cNvGraphicFramePr/>
                  <a:graphic xmlns:a="http://schemas.openxmlformats.org/drawingml/2006/main">
                    <a:graphicData uri="http://schemas.openxmlformats.org/drawingml/2006/picture">
                      <pic:pic xmlns:pic="http://schemas.openxmlformats.org/drawingml/2006/picture">
                        <pic:nvPicPr>
                          <pic:cNvPr id="567" name="TextBox_66_SpCnt_229"/>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9478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68" name="TextBox_66_SpCnt_230"/>
                  <wp:cNvGraphicFramePr/>
                  <a:graphic xmlns:a="http://schemas.openxmlformats.org/drawingml/2006/main">
                    <a:graphicData uri="http://schemas.openxmlformats.org/drawingml/2006/picture">
                      <pic:pic xmlns:pic="http://schemas.openxmlformats.org/drawingml/2006/picture">
                        <pic:nvPicPr>
                          <pic:cNvPr id="568" name="TextBox_66_SpCnt_230"/>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9580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69" name="TextBox_66_SpCnt_231"/>
                  <wp:cNvGraphicFramePr/>
                  <a:graphic xmlns:a="http://schemas.openxmlformats.org/drawingml/2006/main">
                    <a:graphicData uri="http://schemas.openxmlformats.org/drawingml/2006/picture">
                      <pic:pic xmlns:pic="http://schemas.openxmlformats.org/drawingml/2006/picture">
                        <pic:nvPicPr>
                          <pic:cNvPr id="569" name="TextBox_66_SpCnt_231"/>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9683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70" name="TextBox_66_SpCnt_232"/>
                  <wp:cNvGraphicFramePr/>
                  <a:graphic xmlns:a="http://schemas.openxmlformats.org/drawingml/2006/main">
                    <a:graphicData uri="http://schemas.openxmlformats.org/drawingml/2006/picture">
                      <pic:pic xmlns:pic="http://schemas.openxmlformats.org/drawingml/2006/picture">
                        <pic:nvPicPr>
                          <pic:cNvPr id="570" name="TextBox_66_SpCnt_232"/>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9785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71" name="TextBox_66_SpCnt_233"/>
                  <wp:cNvGraphicFramePr/>
                  <a:graphic xmlns:a="http://schemas.openxmlformats.org/drawingml/2006/main">
                    <a:graphicData uri="http://schemas.openxmlformats.org/drawingml/2006/picture">
                      <pic:pic xmlns:pic="http://schemas.openxmlformats.org/drawingml/2006/picture">
                        <pic:nvPicPr>
                          <pic:cNvPr id="571" name="TextBox_66_SpCnt_233"/>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9888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72" name="TextBox_66_SpCnt_234"/>
                  <wp:cNvGraphicFramePr/>
                  <a:graphic xmlns:a="http://schemas.openxmlformats.org/drawingml/2006/main">
                    <a:graphicData uri="http://schemas.openxmlformats.org/drawingml/2006/picture">
                      <pic:pic xmlns:pic="http://schemas.openxmlformats.org/drawingml/2006/picture">
                        <pic:nvPicPr>
                          <pic:cNvPr id="572" name="TextBox_66_SpCnt_234"/>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89990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73" name="TextBox_66_SpCnt_235"/>
                  <wp:cNvGraphicFramePr/>
                  <a:graphic xmlns:a="http://schemas.openxmlformats.org/drawingml/2006/main">
                    <a:graphicData uri="http://schemas.openxmlformats.org/drawingml/2006/picture">
                      <pic:pic xmlns:pic="http://schemas.openxmlformats.org/drawingml/2006/picture">
                        <pic:nvPicPr>
                          <pic:cNvPr id="573" name="TextBox_66_SpCnt_235"/>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0092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74" name="TextBox_66_SpCnt_236"/>
                  <wp:cNvGraphicFramePr/>
                  <a:graphic xmlns:a="http://schemas.openxmlformats.org/drawingml/2006/main">
                    <a:graphicData uri="http://schemas.openxmlformats.org/drawingml/2006/picture">
                      <pic:pic xmlns:pic="http://schemas.openxmlformats.org/drawingml/2006/picture">
                        <pic:nvPicPr>
                          <pic:cNvPr id="574" name="TextBox_66_SpCnt_236"/>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0195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75" name="TextBox_66_SpCnt_237"/>
                  <wp:cNvGraphicFramePr/>
                  <a:graphic xmlns:a="http://schemas.openxmlformats.org/drawingml/2006/main">
                    <a:graphicData uri="http://schemas.openxmlformats.org/drawingml/2006/picture">
                      <pic:pic xmlns:pic="http://schemas.openxmlformats.org/drawingml/2006/picture">
                        <pic:nvPicPr>
                          <pic:cNvPr id="575" name="TextBox_66_SpCnt_237"/>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0297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76" name="TextBox_66_SpCnt_238"/>
                  <wp:cNvGraphicFramePr/>
                  <a:graphic xmlns:a="http://schemas.openxmlformats.org/drawingml/2006/main">
                    <a:graphicData uri="http://schemas.openxmlformats.org/drawingml/2006/picture">
                      <pic:pic xmlns:pic="http://schemas.openxmlformats.org/drawingml/2006/picture">
                        <pic:nvPicPr>
                          <pic:cNvPr id="576" name="TextBox_66_SpCnt_238"/>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0400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577" name="TextBox_66_SpCnt_239"/>
                  <wp:cNvGraphicFramePr/>
                  <a:graphic xmlns:a="http://schemas.openxmlformats.org/drawingml/2006/main">
                    <a:graphicData uri="http://schemas.openxmlformats.org/drawingml/2006/picture">
                      <pic:pic xmlns:pic="http://schemas.openxmlformats.org/drawingml/2006/picture">
                        <pic:nvPicPr>
                          <pic:cNvPr id="577" name="TextBox_66_SpCnt_239"/>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t>赵小丽</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410,000.00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赵渔江</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275,000.00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450,000.00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480,000.00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430,000.00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823,785.38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49,980.00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陈佳能</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2021-6-3</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385,599.00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2021-6-3</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其他应付过渡性款项-按揭贷款过渡账户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550,000.00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2021-6-3</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江义红</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蒋维维</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朱敏</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19,000.00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1,291,380.00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530,000.00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650,000.00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450,000.00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550,000.00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490,000.00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280,000.00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640,000.00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19,980.00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560,000.00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1,031,429.00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508,946.00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夏玉平</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160,000.00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谢明明</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宜宾佳鑫建筑工程有限责任公司</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往来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10,000,000.00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宜宾佳鑫建筑工程有限责任公司</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往来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8,000,000.00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1,459,652.00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张仁莉</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359,000.00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周志强</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宜宾佳鑫建筑工程有限责任公司</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往来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10,000,000.00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宜宾市住房公积金管理中心</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缴款有误</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24,000.00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1,171,071.00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王天琼</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个人住房公积金委托贷款资金-宜宾市公积金委托贷款资金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陈佳能</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陈佳能</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234,100.00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结息</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2.15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宜宾骏继民生银行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632327658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结息</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2.13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宜宾骏继中国银行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115868581512</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结息</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15,652.31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结息</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19,274.55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结息</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327,440.67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543,646.00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结息</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1,689.70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宜宾骏继中国农业银行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22470201040022852</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结息</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0.56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宜宾骏继招商</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830900346010301</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结息</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19.65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宜宾骏继中信银行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8111001012900684397</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李文薇</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270,000.00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彭跃雄</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390,000.00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647,968.00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2021-6-23</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217,180.00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650,000.00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480,000.00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290,000.00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266,000.00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180,000.00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440,000.00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280,000.00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180,000.00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徐涵雪</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1,671,274.00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张顺兵</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114,960.00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260,846.00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2021-6-30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250,000.00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2021-6-30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2021-6-30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260,000.00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2021-6-30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260,000.00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2021-6-30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2021-6-30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508,000.00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2021-6-30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282,608.53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r>
    </w:tbl>
    <w:p>
      <w:pPr>
        <w:ind w:firstLine="420" w:firstLineChars="200"/>
        <w:rPr>
          <w:rFonts w:ascii="宋体" w:hAnsi="宋体" w:cs="宋体"/>
          <w:bCs/>
          <w:sz w:val="21"/>
          <w:szCs w:val="21"/>
        </w:rPr>
      </w:pPr>
    </w:p>
    <w:p>
      <w:pPr>
        <w:widowControl w:val="0"/>
        <w:numPr>
          <w:ilvl w:val="0"/>
          <w:numId w:val="1"/>
        </w:numPr>
        <w:spacing w:line="480" w:lineRule="auto"/>
        <w:ind w:firstLine="420" w:firstLineChars="200"/>
        <w:jc w:val="both"/>
        <w:rPr>
          <w:rFonts w:ascii="Arial" w:hAnsi="Arial" w:cs="Arial"/>
          <w:kern w:val="44"/>
          <w:sz w:val="21"/>
          <w:szCs w:val="21"/>
        </w:rPr>
      </w:pPr>
      <w:bookmarkStart w:id="42" w:name="_Hlk68015253"/>
      <w:r>
        <w:rPr>
          <w:rFonts w:hint="eastAsia" w:ascii="Arial" w:hAnsi="Arial" w:cs="Arial"/>
          <w:kern w:val="44"/>
          <w:sz w:val="21"/>
          <w:szCs w:val="21"/>
        </w:rPr>
        <w:t>资金支出</w:t>
      </w:r>
      <w:bookmarkEnd w:id="42"/>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本月SPV公司资金支出28,215,197.10元，明细如下：</w:t>
      </w:r>
    </w:p>
    <w:p>
      <w:pPr>
        <w:widowControl w:val="0"/>
        <w:spacing w:line="480" w:lineRule="auto"/>
        <w:ind w:firstLine="420" w:firstLineChars="200"/>
        <w:jc w:val="both"/>
      </w:pPr>
      <w:r>
        <w:rPr>
          <w:rFonts w:hint="eastAsia" w:ascii="Arial" w:hAnsi="Arial" w:cs="Arial"/>
          <w:kern w:val="44"/>
          <w:sz w:val="21"/>
          <w:szCs w:val="21"/>
        </w:rPr>
        <w:t>本月项目公司资金支出76,243,752.31元，明细如下：</w:t>
      </w:r>
    </w:p>
    <w:p>
      <w:pPr>
        <w:jc w:val="center"/>
        <w:rPr>
          <w:rFonts w:ascii="宋体" w:hAnsi="宋体" w:cs="宋体"/>
          <w:b/>
          <w:bCs/>
          <w:sz w:val="21"/>
          <w:szCs w:val="21"/>
        </w:rPr>
      </w:pPr>
      <w:bookmarkStart w:id="43" w:name="_Toc2066"/>
      <w:r>
        <w:rPr>
          <w:rFonts w:hint="eastAsia" w:ascii="宋体" w:hAnsi="宋体" w:cs="宋体"/>
          <w:b/>
          <w:bCs/>
          <w:color w:val="000000"/>
          <w:sz w:val="21"/>
          <w:szCs w:val="21"/>
        </w:rPr>
        <w:t>表九：SPV公司</w:t>
      </w:r>
      <w:r>
        <w:rPr>
          <w:rFonts w:hint="eastAsia" w:ascii="宋体" w:hAnsi="宋体" w:cs="宋体"/>
          <w:b/>
          <w:bCs/>
          <w:sz w:val="21"/>
          <w:szCs w:val="21"/>
        </w:rPr>
        <w:t>资金支出情况</w:t>
      </w:r>
      <w:bookmarkEnd w:id="43"/>
    </w:p>
    <w:tbl>
      <w:tblPr>
        <w:tblStyle w:val="18"/>
        <w:tblW w:w="10054" w:type="dxa"/>
        <w:jc w:val="center"/>
        <w:tblLayout w:type="fixed"/>
        <w:tblCellMar>
          <w:top w:w="0" w:type="dxa"/>
          <w:left w:w="0" w:type="dxa"/>
          <w:bottom w:w="0" w:type="dxa"/>
          <w:right w:w="0" w:type="dxa"/>
        </w:tblCellMar>
      </w:tblPr>
      <w:tblGrid>
        <w:gridCol w:w="496"/>
        <w:gridCol w:w="968"/>
        <w:gridCol w:w="1272"/>
        <w:gridCol w:w="911"/>
        <w:gridCol w:w="1576"/>
        <w:gridCol w:w="2270"/>
        <w:gridCol w:w="983"/>
        <w:gridCol w:w="954"/>
        <w:gridCol w:w="624"/>
      </w:tblGrid>
      <w:tr>
        <w:tblPrEx>
          <w:tblCellMar>
            <w:top w:w="0" w:type="dxa"/>
            <w:left w:w="0" w:type="dxa"/>
            <w:bottom w:w="0" w:type="dxa"/>
            <w:right w:w="0" w:type="dxa"/>
          </w:tblCellMar>
        </w:tblPrEx>
        <w:trPr>
          <w:trHeight w:val="720" w:hRule="atLeast"/>
          <w:tblHeader/>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c>
          <w:tcPr>
            <w:tcW w:w="624" w:type="dxa"/>
            <w:tcBorders>
              <w:top w:val="single" w:color="000000" w:sz="4" w:space="0"/>
              <w:left w:val="single" w:color="000000" w:sz="4" w:space="0"/>
              <w:bottom w:val="single" w:color="000000" w:sz="4" w:space="0"/>
              <w:right w:val="single" w:color="000000" w:sz="4" w:space="0"/>
            </w:tcBorders>
          </w:tcPr>
          <w:p>
            <w:pPr>
              <w:jc w:val="center"/>
              <w:textAlignment w:val="center"/>
              <w:rPr>
                <w:rFonts w:ascii="Arial" w:hAnsi="Arial" w:cs="Arial"/>
                <w:b/>
                <w:color w:val="000000"/>
                <w:sz w:val="18"/>
                <w:szCs w:val="18"/>
              </w:rPr>
            </w:pPr>
            <w:r>
              <w:rPr>
                <w:rFonts w:hint="eastAsia" w:ascii="Arial" w:hAnsi="Arial" w:cs="Arial"/>
                <w:b/>
                <w:color w:val="000000"/>
                <w:sz w:val="18"/>
                <w:szCs w:val="18"/>
              </w:rPr>
              <w:t>备注</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国家金库成都市成华区支库（代理）</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实时缴税</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19,125.00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成都信茂涵中国银行基本户130711887990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税费</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成都信茂涵中国银行基本户130711887990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320.00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信茂涵中信银行8111001012200756429</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常州世茂房地产有限公司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划款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5,355,000.00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成都信茂涵中国银行基本户130711887990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107.10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成都信茂涵中国银行基本户130711887990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USBKEY工本费（企业）(手续费)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240.00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信茂涵农商行1000030004096586</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常州世茂房地产有限公司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划款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22,840,000.00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成都信茂涵中国银行基本户130711887990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成都信茂涵中国银行基本户130711887990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成都信茂涵中国银行基本户130711887990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bl>
    <w:p>
      <w:pPr>
        <w:jc w:val="center"/>
        <w:rPr>
          <w:rFonts w:ascii="宋体" w:hAnsi="宋体" w:cs="宋体"/>
          <w:b/>
          <w:bCs/>
          <w:color w:val="000000"/>
          <w:sz w:val="21"/>
          <w:szCs w:val="21"/>
        </w:rPr>
      </w:pPr>
    </w:p>
    <w:p>
      <w:pPr>
        <w:rPr>
          <w:rFonts w:ascii="宋体" w:hAnsi="宋体" w:cs="宋体"/>
          <w:b/>
          <w:bCs/>
          <w:color w:val="000000"/>
          <w:sz w:val="21"/>
          <w:szCs w:val="21"/>
        </w:rPr>
      </w:pPr>
      <w:r>
        <w:rPr>
          <w:rFonts w:hint="eastAsia" w:ascii="宋体" w:hAnsi="宋体" w:cs="宋体"/>
          <w:b/>
          <w:bCs/>
          <w:color w:val="000000"/>
          <w:sz w:val="21"/>
          <w:szCs w:val="21"/>
        </w:rPr>
        <w:br w:type="page"/>
      </w:r>
    </w:p>
    <w:p>
      <w:pPr>
        <w:jc w:val="center"/>
        <w:rPr>
          <w:rFonts w:ascii="宋体" w:hAnsi="宋体" w:cs="宋体"/>
          <w:b/>
          <w:bCs/>
          <w:sz w:val="21"/>
          <w:szCs w:val="21"/>
        </w:rPr>
      </w:pPr>
      <w:r>
        <w:rPr>
          <w:rFonts w:hint="eastAsia" w:ascii="宋体" w:hAnsi="宋体" w:cs="宋体"/>
          <w:b/>
          <w:bCs/>
          <w:color w:val="000000"/>
          <w:sz w:val="21"/>
          <w:szCs w:val="21"/>
        </w:rPr>
        <w:t>表九：项目公司</w:t>
      </w:r>
      <w:r>
        <w:rPr>
          <w:rFonts w:hint="eastAsia" w:ascii="宋体" w:hAnsi="宋体" w:cs="宋体"/>
          <w:b/>
          <w:bCs/>
          <w:sz w:val="21"/>
          <w:szCs w:val="21"/>
        </w:rPr>
        <w:t>资金支出情况</w:t>
      </w:r>
    </w:p>
    <w:tbl>
      <w:tblPr>
        <w:tblStyle w:val="18"/>
        <w:tblW w:w="10054" w:type="dxa"/>
        <w:jc w:val="center"/>
        <w:tblLayout w:type="fixed"/>
        <w:tblCellMar>
          <w:top w:w="0" w:type="dxa"/>
          <w:left w:w="0" w:type="dxa"/>
          <w:bottom w:w="0" w:type="dxa"/>
          <w:right w:w="0" w:type="dxa"/>
        </w:tblCellMar>
      </w:tblPr>
      <w:tblGrid>
        <w:gridCol w:w="496"/>
        <w:gridCol w:w="968"/>
        <w:gridCol w:w="1272"/>
        <w:gridCol w:w="911"/>
        <w:gridCol w:w="1576"/>
        <w:gridCol w:w="2270"/>
        <w:gridCol w:w="983"/>
        <w:gridCol w:w="954"/>
        <w:gridCol w:w="624"/>
      </w:tblGrid>
      <w:tr>
        <w:tblPrEx>
          <w:tblCellMar>
            <w:top w:w="0" w:type="dxa"/>
            <w:left w:w="0" w:type="dxa"/>
            <w:bottom w:w="0" w:type="dxa"/>
            <w:right w:w="0" w:type="dxa"/>
          </w:tblCellMar>
        </w:tblPrEx>
        <w:trPr>
          <w:trHeight w:val="720" w:hRule="atLeast"/>
          <w:tblHeader/>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委托方</w:t>
            </w:r>
          </w:p>
          <w:p>
            <w:pPr>
              <w:jc w:val="center"/>
              <w:textAlignment w:val="center"/>
              <w:rPr>
                <w:rFonts w:ascii="Arial" w:hAnsi="Arial" w:cs="Arial"/>
                <w:b/>
                <w:color w:val="000000"/>
                <w:sz w:val="18"/>
                <w:szCs w:val="18"/>
              </w:rPr>
            </w:pPr>
            <w:r>
              <w:rPr>
                <w:rFonts w:ascii="Arial" w:hAnsi="Arial" w:cs="Arial"/>
                <w:b/>
                <w:color w:val="000000"/>
                <w:sz w:val="18"/>
                <w:szCs w:val="18"/>
              </w:rPr>
              <w:t>审批方式</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color w:val="000000"/>
                <w:sz w:val="18"/>
                <w:szCs w:val="18"/>
              </w:rPr>
            </w:pPr>
            <w:r>
              <w:rPr>
                <w:rFonts w:hint="eastAsia" w:ascii="Arial" w:hAnsi="Arial" w:cs="Arial"/>
                <w:b/>
                <w:color w:val="000000"/>
                <w:sz w:val="18"/>
                <w:szCs w:val="18"/>
              </w:rPr>
              <w:t>备注</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drawing>
                <wp:anchor distT="0" distB="0" distL="114300" distR="114300" simplePos="0" relativeHeight="25190502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18" name="TextBox_66"/>
                  <wp:cNvGraphicFramePr/>
                  <a:graphic xmlns:a="http://schemas.openxmlformats.org/drawingml/2006/main">
                    <a:graphicData uri="http://schemas.openxmlformats.org/drawingml/2006/picture">
                      <pic:pic xmlns:pic="http://schemas.openxmlformats.org/drawingml/2006/picture">
                        <pic:nvPicPr>
                          <pic:cNvPr id="818" name="TextBox_66"/>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0604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19" name="TextBox_66_SpCnt_1"/>
                  <wp:cNvGraphicFramePr/>
                  <a:graphic xmlns:a="http://schemas.openxmlformats.org/drawingml/2006/main">
                    <a:graphicData uri="http://schemas.openxmlformats.org/drawingml/2006/picture">
                      <pic:pic xmlns:pic="http://schemas.openxmlformats.org/drawingml/2006/picture">
                        <pic:nvPicPr>
                          <pic:cNvPr id="819" name="TextBox_66_SpCnt_1"/>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0707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20" name="TextBox_66_SpCnt_2"/>
                  <wp:cNvGraphicFramePr/>
                  <a:graphic xmlns:a="http://schemas.openxmlformats.org/drawingml/2006/main">
                    <a:graphicData uri="http://schemas.openxmlformats.org/drawingml/2006/picture">
                      <pic:pic xmlns:pic="http://schemas.openxmlformats.org/drawingml/2006/picture">
                        <pic:nvPicPr>
                          <pic:cNvPr id="820" name="TextBox_66_SpCnt_2"/>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0809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21" name="TextBox_66_SpCnt_3"/>
                  <wp:cNvGraphicFramePr/>
                  <a:graphic xmlns:a="http://schemas.openxmlformats.org/drawingml/2006/main">
                    <a:graphicData uri="http://schemas.openxmlformats.org/drawingml/2006/picture">
                      <pic:pic xmlns:pic="http://schemas.openxmlformats.org/drawingml/2006/picture">
                        <pic:nvPicPr>
                          <pic:cNvPr id="821" name="TextBox_66_SpCnt_3"/>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0912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22" name="TextBox_66_SpCnt_4"/>
                  <wp:cNvGraphicFramePr/>
                  <a:graphic xmlns:a="http://schemas.openxmlformats.org/drawingml/2006/main">
                    <a:graphicData uri="http://schemas.openxmlformats.org/drawingml/2006/picture">
                      <pic:pic xmlns:pic="http://schemas.openxmlformats.org/drawingml/2006/picture">
                        <pic:nvPicPr>
                          <pic:cNvPr id="822" name="TextBox_66_SpCnt_4"/>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1014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23" name="TextBox_66_SpCnt_5"/>
                  <wp:cNvGraphicFramePr/>
                  <a:graphic xmlns:a="http://schemas.openxmlformats.org/drawingml/2006/main">
                    <a:graphicData uri="http://schemas.openxmlformats.org/drawingml/2006/picture">
                      <pic:pic xmlns:pic="http://schemas.openxmlformats.org/drawingml/2006/picture">
                        <pic:nvPicPr>
                          <pic:cNvPr id="823" name="TextBox_66_SpCnt_5"/>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1116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24" name="TextBox_66_SpCnt_6"/>
                  <wp:cNvGraphicFramePr/>
                  <a:graphic xmlns:a="http://schemas.openxmlformats.org/drawingml/2006/main">
                    <a:graphicData uri="http://schemas.openxmlformats.org/drawingml/2006/picture">
                      <pic:pic xmlns:pic="http://schemas.openxmlformats.org/drawingml/2006/picture">
                        <pic:nvPicPr>
                          <pic:cNvPr id="824" name="TextBox_66_SpCnt_6"/>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1219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25" name="TextBox_66_SpCnt_7"/>
                  <wp:cNvGraphicFramePr/>
                  <a:graphic xmlns:a="http://schemas.openxmlformats.org/drawingml/2006/main">
                    <a:graphicData uri="http://schemas.openxmlformats.org/drawingml/2006/picture">
                      <pic:pic xmlns:pic="http://schemas.openxmlformats.org/drawingml/2006/picture">
                        <pic:nvPicPr>
                          <pic:cNvPr id="825" name="TextBox_66_SpCnt_7"/>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1321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26" name="TextBox_66_SpCnt_8"/>
                  <wp:cNvGraphicFramePr/>
                  <a:graphic xmlns:a="http://schemas.openxmlformats.org/drawingml/2006/main">
                    <a:graphicData uri="http://schemas.openxmlformats.org/drawingml/2006/picture">
                      <pic:pic xmlns:pic="http://schemas.openxmlformats.org/drawingml/2006/picture">
                        <pic:nvPicPr>
                          <pic:cNvPr id="826" name="TextBox_66_SpCnt_8"/>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1424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27" name="TextBox_66_SpCnt_9"/>
                  <wp:cNvGraphicFramePr/>
                  <a:graphic xmlns:a="http://schemas.openxmlformats.org/drawingml/2006/main">
                    <a:graphicData uri="http://schemas.openxmlformats.org/drawingml/2006/picture">
                      <pic:pic xmlns:pic="http://schemas.openxmlformats.org/drawingml/2006/picture">
                        <pic:nvPicPr>
                          <pic:cNvPr id="827" name="TextBox_66_SpCnt_9"/>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1526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28" name="TextBox_66_SpCnt_10"/>
                  <wp:cNvGraphicFramePr/>
                  <a:graphic xmlns:a="http://schemas.openxmlformats.org/drawingml/2006/main">
                    <a:graphicData uri="http://schemas.openxmlformats.org/drawingml/2006/picture">
                      <pic:pic xmlns:pic="http://schemas.openxmlformats.org/drawingml/2006/picture">
                        <pic:nvPicPr>
                          <pic:cNvPr id="828" name="TextBox_66_SpCnt_10"/>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16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29" name="TextBox_66_SpCnt_11"/>
                  <wp:cNvGraphicFramePr/>
                  <a:graphic xmlns:a="http://schemas.openxmlformats.org/drawingml/2006/main">
                    <a:graphicData uri="http://schemas.openxmlformats.org/drawingml/2006/picture">
                      <pic:pic xmlns:pic="http://schemas.openxmlformats.org/drawingml/2006/picture">
                        <pic:nvPicPr>
                          <pic:cNvPr id="829" name="TextBox_66_SpCnt_11"/>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17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30" name="TextBox_66_SpCnt_12"/>
                  <wp:cNvGraphicFramePr/>
                  <a:graphic xmlns:a="http://schemas.openxmlformats.org/drawingml/2006/main">
                    <a:graphicData uri="http://schemas.openxmlformats.org/drawingml/2006/picture">
                      <pic:pic xmlns:pic="http://schemas.openxmlformats.org/drawingml/2006/picture">
                        <pic:nvPicPr>
                          <pic:cNvPr id="830" name="TextBox_66_SpCnt_12"/>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1833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31" name="TextBox_66_SpCnt_13"/>
                  <wp:cNvGraphicFramePr/>
                  <a:graphic xmlns:a="http://schemas.openxmlformats.org/drawingml/2006/main">
                    <a:graphicData uri="http://schemas.openxmlformats.org/drawingml/2006/picture">
                      <pic:pic xmlns:pic="http://schemas.openxmlformats.org/drawingml/2006/picture">
                        <pic:nvPicPr>
                          <pic:cNvPr id="831" name="TextBox_66_SpCnt_13"/>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1936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32" name="TextBox_66_SpCnt_14"/>
                  <wp:cNvGraphicFramePr/>
                  <a:graphic xmlns:a="http://schemas.openxmlformats.org/drawingml/2006/main">
                    <a:graphicData uri="http://schemas.openxmlformats.org/drawingml/2006/picture">
                      <pic:pic xmlns:pic="http://schemas.openxmlformats.org/drawingml/2006/picture">
                        <pic:nvPicPr>
                          <pic:cNvPr id="832" name="TextBox_66_SpCnt_14"/>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2038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33" name="TextBox_66_SpCnt_15"/>
                  <wp:cNvGraphicFramePr/>
                  <a:graphic xmlns:a="http://schemas.openxmlformats.org/drawingml/2006/main">
                    <a:graphicData uri="http://schemas.openxmlformats.org/drawingml/2006/picture">
                      <pic:pic xmlns:pic="http://schemas.openxmlformats.org/drawingml/2006/picture">
                        <pic:nvPicPr>
                          <pic:cNvPr id="833" name="TextBox_66_SpCnt_15"/>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2140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34" name="TextBox_66_SpCnt_16"/>
                  <wp:cNvGraphicFramePr/>
                  <a:graphic xmlns:a="http://schemas.openxmlformats.org/drawingml/2006/main">
                    <a:graphicData uri="http://schemas.openxmlformats.org/drawingml/2006/picture">
                      <pic:pic xmlns:pic="http://schemas.openxmlformats.org/drawingml/2006/picture">
                        <pic:nvPicPr>
                          <pic:cNvPr id="834" name="TextBox_66_SpCnt_16"/>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2243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35" name="TextBox_66_SpCnt_17"/>
                  <wp:cNvGraphicFramePr/>
                  <a:graphic xmlns:a="http://schemas.openxmlformats.org/drawingml/2006/main">
                    <a:graphicData uri="http://schemas.openxmlformats.org/drawingml/2006/picture">
                      <pic:pic xmlns:pic="http://schemas.openxmlformats.org/drawingml/2006/picture">
                        <pic:nvPicPr>
                          <pic:cNvPr id="835" name="TextBox_66_SpCnt_17"/>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2345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36" name="TextBox_66_SpCnt_18"/>
                  <wp:cNvGraphicFramePr/>
                  <a:graphic xmlns:a="http://schemas.openxmlformats.org/drawingml/2006/main">
                    <a:graphicData uri="http://schemas.openxmlformats.org/drawingml/2006/picture">
                      <pic:pic xmlns:pic="http://schemas.openxmlformats.org/drawingml/2006/picture">
                        <pic:nvPicPr>
                          <pic:cNvPr id="836" name="TextBox_66_SpCnt_18"/>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2448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37" name="TextBox_66_SpCnt_19"/>
                  <wp:cNvGraphicFramePr/>
                  <a:graphic xmlns:a="http://schemas.openxmlformats.org/drawingml/2006/main">
                    <a:graphicData uri="http://schemas.openxmlformats.org/drawingml/2006/picture">
                      <pic:pic xmlns:pic="http://schemas.openxmlformats.org/drawingml/2006/picture">
                        <pic:nvPicPr>
                          <pic:cNvPr id="837" name="TextBox_66_SpCnt_19"/>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2550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38" name="TextBox_66_SpCnt_20"/>
                  <wp:cNvGraphicFramePr/>
                  <a:graphic xmlns:a="http://schemas.openxmlformats.org/drawingml/2006/main">
                    <a:graphicData uri="http://schemas.openxmlformats.org/drawingml/2006/picture">
                      <pic:pic xmlns:pic="http://schemas.openxmlformats.org/drawingml/2006/picture">
                        <pic:nvPicPr>
                          <pic:cNvPr id="838" name="TextBox_66_SpCnt_20"/>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2652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39" name="TextBox_66_SpCnt_21"/>
                  <wp:cNvGraphicFramePr/>
                  <a:graphic xmlns:a="http://schemas.openxmlformats.org/drawingml/2006/main">
                    <a:graphicData uri="http://schemas.openxmlformats.org/drawingml/2006/picture">
                      <pic:pic xmlns:pic="http://schemas.openxmlformats.org/drawingml/2006/picture">
                        <pic:nvPicPr>
                          <pic:cNvPr id="839" name="TextBox_66_SpCnt_21"/>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2755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40" name="TextBox_66_SpCnt_22"/>
                  <wp:cNvGraphicFramePr/>
                  <a:graphic xmlns:a="http://schemas.openxmlformats.org/drawingml/2006/main">
                    <a:graphicData uri="http://schemas.openxmlformats.org/drawingml/2006/picture">
                      <pic:pic xmlns:pic="http://schemas.openxmlformats.org/drawingml/2006/picture">
                        <pic:nvPicPr>
                          <pic:cNvPr id="840" name="TextBox_66_SpCnt_22"/>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2857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41" name="TextBox_66_SpCnt_23"/>
                  <wp:cNvGraphicFramePr/>
                  <a:graphic xmlns:a="http://schemas.openxmlformats.org/drawingml/2006/main">
                    <a:graphicData uri="http://schemas.openxmlformats.org/drawingml/2006/picture">
                      <pic:pic xmlns:pic="http://schemas.openxmlformats.org/drawingml/2006/picture">
                        <pic:nvPicPr>
                          <pic:cNvPr id="841" name="TextBox_66_SpCnt_23"/>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2960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42" name="TextBox_66_SpCnt_24"/>
                  <wp:cNvGraphicFramePr/>
                  <a:graphic xmlns:a="http://schemas.openxmlformats.org/drawingml/2006/main">
                    <a:graphicData uri="http://schemas.openxmlformats.org/drawingml/2006/picture">
                      <pic:pic xmlns:pic="http://schemas.openxmlformats.org/drawingml/2006/picture">
                        <pic:nvPicPr>
                          <pic:cNvPr id="842" name="TextBox_66_SpCnt_24"/>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3062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43" name="TextBox_66_SpCnt_25"/>
                  <wp:cNvGraphicFramePr/>
                  <a:graphic xmlns:a="http://schemas.openxmlformats.org/drawingml/2006/main">
                    <a:graphicData uri="http://schemas.openxmlformats.org/drawingml/2006/picture">
                      <pic:pic xmlns:pic="http://schemas.openxmlformats.org/drawingml/2006/picture">
                        <pic:nvPicPr>
                          <pic:cNvPr id="843" name="TextBox_66_SpCnt_25"/>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3164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44" name="TextBox_66_SpCnt_26"/>
                  <wp:cNvGraphicFramePr/>
                  <a:graphic xmlns:a="http://schemas.openxmlformats.org/drawingml/2006/main">
                    <a:graphicData uri="http://schemas.openxmlformats.org/drawingml/2006/picture">
                      <pic:pic xmlns:pic="http://schemas.openxmlformats.org/drawingml/2006/picture">
                        <pic:nvPicPr>
                          <pic:cNvPr id="844" name="TextBox_66_SpCnt_26"/>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3267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45" name="TextBox_66_SpCnt_27"/>
                  <wp:cNvGraphicFramePr/>
                  <a:graphic xmlns:a="http://schemas.openxmlformats.org/drawingml/2006/main">
                    <a:graphicData uri="http://schemas.openxmlformats.org/drawingml/2006/picture">
                      <pic:pic xmlns:pic="http://schemas.openxmlformats.org/drawingml/2006/picture">
                        <pic:nvPicPr>
                          <pic:cNvPr id="845" name="TextBox_66_SpCnt_27"/>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3369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46" name="TextBox_66_SpCnt_28"/>
                  <wp:cNvGraphicFramePr/>
                  <a:graphic xmlns:a="http://schemas.openxmlformats.org/drawingml/2006/main">
                    <a:graphicData uri="http://schemas.openxmlformats.org/drawingml/2006/picture">
                      <pic:pic xmlns:pic="http://schemas.openxmlformats.org/drawingml/2006/picture">
                        <pic:nvPicPr>
                          <pic:cNvPr id="846" name="TextBox_66_SpCnt_28"/>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3472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47" name="TextBox_66_SpCnt_29"/>
                  <wp:cNvGraphicFramePr/>
                  <a:graphic xmlns:a="http://schemas.openxmlformats.org/drawingml/2006/main">
                    <a:graphicData uri="http://schemas.openxmlformats.org/drawingml/2006/picture">
                      <pic:pic xmlns:pic="http://schemas.openxmlformats.org/drawingml/2006/picture">
                        <pic:nvPicPr>
                          <pic:cNvPr id="847" name="TextBox_66_SpCnt_29"/>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3574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48" name="TextBox_66_SpCnt_30"/>
                  <wp:cNvGraphicFramePr/>
                  <a:graphic xmlns:a="http://schemas.openxmlformats.org/drawingml/2006/main">
                    <a:graphicData uri="http://schemas.openxmlformats.org/drawingml/2006/picture">
                      <pic:pic xmlns:pic="http://schemas.openxmlformats.org/drawingml/2006/picture">
                        <pic:nvPicPr>
                          <pic:cNvPr id="848" name="TextBox_66_SpCnt_30"/>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3676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49" name="TextBox_66_SpCnt_31"/>
                  <wp:cNvGraphicFramePr/>
                  <a:graphic xmlns:a="http://schemas.openxmlformats.org/drawingml/2006/main">
                    <a:graphicData uri="http://schemas.openxmlformats.org/drawingml/2006/picture">
                      <pic:pic xmlns:pic="http://schemas.openxmlformats.org/drawingml/2006/picture">
                        <pic:nvPicPr>
                          <pic:cNvPr id="849" name="TextBox_66_SpCnt_31"/>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3779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50" name="TextBox_66_SpCnt_32"/>
                  <wp:cNvGraphicFramePr/>
                  <a:graphic xmlns:a="http://schemas.openxmlformats.org/drawingml/2006/main">
                    <a:graphicData uri="http://schemas.openxmlformats.org/drawingml/2006/picture">
                      <pic:pic xmlns:pic="http://schemas.openxmlformats.org/drawingml/2006/picture">
                        <pic:nvPicPr>
                          <pic:cNvPr id="850" name="TextBox_66_SpCnt_32"/>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3881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51" name="TextBox_66_SpCnt_33"/>
                  <wp:cNvGraphicFramePr/>
                  <a:graphic xmlns:a="http://schemas.openxmlformats.org/drawingml/2006/main">
                    <a:graphicData uri="http://schemas.openxmlformats.org/drawingml/2006/picture">
                      <pic:pic xmlns:pic="http://schemas.openxmlformats.org/drawingml/2006/picture">
                        <pic:nvPicPr>
                          <pic:cNvPr id="851" name="TextBox_66_SpCnt_33"/>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3984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52" name="TextBox_66_SpCnt_34"/>
                  <wp:cNvGraphicFramePr/>
                  <a:graphic xmlns:a="http://schemas.openxmlformats.org/drawingml/2006/main">
                    <a:graphicData uri="http://schemas.openxmlformats.org/drawingml/2006/picture">
                      <pic:pic xmlns:pic="http://schemas.openxmlformats.org/drawingml/2006/picture">
                        <pic:nvPicPr>
                          <pic:cNvPr id="852" name="TextBox_66_SpCnt_34"/>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4086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53" name="TextBox_66_SpCnt_35"/>
                  <wp:cNvGraphicFramePr/>
                  <a:graphic xmlns:a="http://schemas.openxmlformats.org/drawingml/2006/main">
                    <a:graphicData uri="http://schemas.openxmlformats.org/drawingml/2006/picture">
                      <pic:pic xmlns:pic="http://schemas.openxmlformats.org/drawingml/2006/picture">
                        <pic:nvPicPr>
                          <pic:cNvPr id="853" name="TextBox_66_SpCnt_35"/>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418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54" name="TextBox_66_SpCnt_36"/>
                  <wp:cNvGraphicFramePr/>
                  <a:graphic xmlns:a="http://schemas.openxmlformats.org/drawingml/2006/main">
                    <a:graphicData uri="http://schemas.openxmlformats.org/drawingml/2006/picture">
                      <pic:pic xmlns:pic="http://schemas.openxmlformats.org/drawingml/2006/picture">
                        <pic:nvPicPr>
                          <pic:cNvPr id="854" name="TextBox_66_SpCnt_36"/>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429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55" name="TextBox_66_SpCnt_37"/>
                  <wp:cNvGraphicFramePr/>
                  <a:graphic xmlns:a="http://schemas.openxmlformats.org/drawingml/2006/main">
                    <a:graphicData uri="http://schemas.openxmlformats.org/drawingml/2006/picture">
                      <pic:pic xmlns:pic="http://schemas.openxmlformats.org/drawingml/2006/picture">
                        <pic:nvPicPr>
                          <pic:cNvPr id="855" name="TextBox_66_SpCnt_37"/>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4393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56" name="TextBox_66_SpCnt_38"/>
                  <wp:cNvGraphicFramePr/>
                  <a:graphic xmlns:a="http://schemas.openxmlformats.org/drawingml/2006/main">
                    <a:graphicData uri="http://schemas.openxmlformats.org/drawingml/2006/picture">
                      <pic:pic xmlns:pic="http://schemas.openxmlformats.org/drawingml/2006/picture">
                        <pic:nvPicPr>
                          <pic:cNvPr id="856" name="TextBox_66_SpCnt_38"/>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4496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57" name="TextBox_66_SpCnt_39"/>
                  <wp:cNvGraphicFramePr/>
                  <a:graphic xmlns:a="http://schemas.openxmlformats.org/drawingml/2006/main">
                    <a:graphicData uri="http://schemas.openxmlformats.org/drawingml/2006/picture">
                      <pic:pic xmlns:pic="http://schemas.openxmlformats.org/drawingml/2006/picture">
                        <pic:nvPicPr>
                          <pic:cNvPr id="857" name="TextBox_66_SpCnt_39"/>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4598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58" name="TextBox_66_SpCnt_40"/>
                  <wp:cNvGraphicFramePr/>
                  <a:graphic xmlns:a="http://schemas.openxmlformats.org/drawingml/2006/main">
                    <a:graphicData uri="http://schemas.openxmlformats.org/drawingml/2006/picture">
                      <pic:pic xmlns:pic="http://schemas.openxmlformats.org/drawingml/2006/picture">
                        <pic:nvPicPr>
                          <pic:cNvPr id="858" name="TextBox_66_SpCnt_40"/>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4700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59" name="TextBox_66_SpCnt_41"/>
                  <wp:cNvGraphicFramePr/>
                  <a:graphic xmlns:a="http://schemas.openxmlformats.org/drawingml/2006/main">
                    <a:graphicData uri="http://schemas.openxmlformats.org/drawingml/2006/picture">
                      <pic:pic xmlns:pic="http://schemas.openxmlformats.org/drawingml/2006/picture">
                        <pic:nvPicPr>
                          <pic:cNvPr id="859" name="TextBox_66_SpCnt_41"/>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4803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60" name="TextBox_66_SpCnt_42"/>
                  <wp:cNvGraphicFramePr/>
                  <a:graphic xmlns:a="http://schemas.openxmlformats.org/drawingml/2006/main">
                    <a:graphicData uri="http://schemas.openxmlformats.org/drawingml/2006/picture">
                      <pic:pic xmlns:pic="http://schemas.openxmlformats.org/drawingml/2006/picture">
                        <pic:nvPicPr>
                          <pic:cNvPr id="860" name="TextBox_66_SpCnt_42"/>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4905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61" name="TextBox_66_SpCnt_43"/>
                  <wp:cNvGraphicFramePr/>
                  <a:graphic xmlns:a="http://schemas.openxmlformats.org/drawingml/2006/main">
                    <a:graphicData uri="http://schemas.openxmlformats.org/drawingml/2006/picture">
                      <pic:pic xmlns:pic="http://schemas.openxmlformats.org/drawingml/2006/picture">
                        <pic:nvPicPr>
                          <pic:cNvPr id="861" name="TextBox_66_SpCnt_43"/>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5008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62" name="TextBox_66_SpCnt_44"/>
                  <wp:cNvGraphicFramePr/>
                  <a:graphic xmlns:a="http://schemas.openxmlformats.org/drawingml/2006/main">
                    <a:graphicData uri="http://schemas.openxmlformats.org/drawingml/2006/picture">
                      <pic:pic xmlns:pic="http://schemas.openxmlformats.org/drawingml/2006/picture">
                        <pic:nvPicPr>
                          <pic:cNvPr id="862" name="TextBox_66_SpCnt_44"/>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5110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63" name="TextBox_66_SpCnt_45"/>
                  <wp:cNvGraphicFramePr/>
                  <a:graphic xmlns:a="http://schemas.openxmlformats.org/drawingml/2006/main">
                    <a:graphicData uri="http://schemas.openxmlformats.org/drawingml/2006/picture">
                      <pic:pic xmlns:pic="http://schemas.openxmlformats.org/drawingml/2006/picture">
                        <pic:nvPicPr>
                          <pic:cNvPr id="863" name="TextBox_66_SpCnt_45"/>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5212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64" name="TextBox_66_SpCnt_46"/>
                  <wp:cNvGraphicFramePr/>
                  <a:graphic xmlns:a="http://schemas.openxmlformats.org/drawingml/2006/main">
                    <a:graphicData uri="http://schemas.openxmlformats.org/drawingml/2006/picture">
                      <pic:pic xmlns:pic="http://schemas.openxmlformats.org/drawingml/2006/picture">
                        <pic:nvPicPr>
                          <pic:cNvPr id="864" name="TextBox_66_SpCnt_46"/>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5315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65" name="TextBox_66_SpCnt_47"/>
                  <wp:cNvGraphicFramePr/>
                  <a:graphic xmlns:a="http://schemas.openxmlformats.org/drawingml/2006/main">
                    <a:graphicData uri="http://schemas.openxmlformats.org/drawingml/2006/picture">
                      <pic:pic xmlns:pic="http://schemas.openxmlformats.org/drawingml/2006/picture">
                        <pic:nvPicPr>
                          <pic:cNvPr id="865" name="TextBox_66_SpCnt_47"/>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5417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66" name="TextBox_66_SpCnt_48"/>
                  <wp:cNvGraphicFramePr/>
                  <a:graphic xmlns:a="http://schemas.openxmlformats.org/drawingml/2006/main">
                    <a:graphicData uri="http://schemas.openxmlformats.org/drawingml/2006/picture">
                      <pic:pic xmlns:pic="http://schemas.openxmlformats.org/drawingml/2006/picture">
                        <pic:nvPicPr>
                          <pic:cNvPr id="866" name="TextBox_66_SpCnt_48"/>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5520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67" name="TextBox_66_SpCnt_49"/>
                  <wp:cNvGraphicFramePr/>
                  <a:graphic xmlns:a="http://schemas.openxmlformats.org/drawingml/2006/main">
                    <a:graphicData uri="http://schemas.openxmlformats.org/drawingml/2006/picture">
                      <pic:pic xmlns:pic="http://schemas.openxmlformats.org/drawingml/2006/picture">
                        <pic:nvPicPr>
                          <pic:cNvPr id="867" name="TextBox_66_SpCnt_49"/>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5622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68" name="TextBox_66_SpCnt_50"/>
                  <wp:cNvGraphicFramePr/>
                  <a:graphic xmlns:a="http://schemas.openxmlformats.org/drawingml/2006/main">
                    <a:graphicData uri="http://schemas.openxmlformats.org/drawingml/2006/picture">
                      <pic:pic xmlns:pic="http://schemas.openxmlformats.org/drawingml/2006/picture">
                        <pic:nvPicPr>
                          <pic:cNvPr id="868" name="TextBox_66_SpCnt_50"/>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5724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69" name="TextBox_66_SpCnt_51"/>
                  <wp:cNvGraphicFramePr/>
                  <a:graphic xmlns:a="http://schemas.openxmlformats.org/drawingml/2006/main">
                    <a:graphicData uri="http://schemas.openxmlformats.org/drawingml/2006/picture">
                      <pic:pic xmlns:pic="http://schemas.openxmlformats.org/drawingml/2006/picture">
                        <pic:nvPicPr>
                          <pic:cNvPr id="869" name="TextBox_66_SpCnt_51"/>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5827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70" name="TextBox_66_SpCnt_52"/>
                  <wp:cNvGraphicFramePr/>
                  <a:graphic xmlns:a="http://schemas.openxmlformats.org/drawingml/2006/main">
                    <a:graphicData uri="http://schemas.openxmlformats.org/drawingml/2006/picture">
                      <pic:pic xmlns:pic="http://schemas.openxmlformats.org/drawingml/2006/picture">
                        <pic:nvPicPr>
                          <pic:cNvPr id="870" name="TextBox_66_SpCnt_52"/>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5929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71" name="TextBox_66_SpCnt_53"/>
                  <wp:cNvGraphicFramePr/>
                  <a:graphic xmlns:a="http://schemas.openxmlformats.org/drawingml/2006/main">
                    <a:graphicData uri="http://schemas.openxmlformats.org/drawingml/2006/picture">
                      <pic:pic xmlns:pic="http://schemas.openxmlformats.org/drawingml/2006/picture">
                        <pic:nvPicPr>
                          <pic:cNvPr id="871" name="TextBox_66_SpCnt_53"/>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6032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72" name="TextBox_66_SpCnt_54"/>
                  <wp:cNvGraphicFramePr/>
                  <a:graphic xmlns:a="http://schemas.openxmlformats.org/drawingml/2006/main">
                    <a:graphicData uri="http://schemas.openxmlformats.org/drawingml/2006/picture">
                      <pic:pic xmlns:pic="http://schemas.openxmlformats.org/drawingml/2006/picture">
                        <pic:nvPicPr>
                          <pic:cNvPr id="872" name="TextBox_66_SpCnt_54"/>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6134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73" name="TextBox_66_SpCnt_55"/>
                  <wp:cNvGraphicFramePr/>
                  <a:graphic xmlns:a="http://schemas.openxmlformats.org/drawingml/2006/main">
                    <a:graphicData uri="http://schemas.openxmlformats.org/drawingml/2006/picture">
                      <pic:pic xmlns:pic="http://schemas.openxmlformats.org/drawingml/2006/picture">
                        <pic:nvPicPr>
                          <pic:cNvPr id="873" name="TextBox_66_SpCnt_55"/>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6236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74" name="TextBox_66_SpCnt_56"/>
                  <wp:cNvGraphicFramePr/>
                  <a:graphic xmlns:a="http://schemas.openxmlformats.org/drawingml/2006/main">
                    <a:graphicData uri="http://schemas.openxmlformats.org/drawingml/2006/picture">
                      <pic:pic xmlns:pic="http://schemas.openxmlformats.org/drawingml/2006/picture">
                        <pic:nvPicPr>
                          <pic:cNvPr id="874" name="TextBox_66_SpCnt_56"/>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6339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75" name="TextBox_66_SpCnt_57"/>
                  <wp:cNvGraphicFramePr/>
                  <a:graphic xmlns:a="http://schemas.openxmlformats.org/drawingml/2006/main">
                    <a:graphicData uri="http://schemas.openxmlformats.org/drawingml/2006/picture">
                      <pic:pic xmlns:pic="http://schemas.openxmlformats.org/drawingml/2006/picture">
                        <pic:nvPicPr>
                          <pic:cNvPr id="875" name="TextBox_66_SpCnt_57"/>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6441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76" name="TextBox_66_SpCnt_58"/>
                  <wp:cNvGraphicFramePr/>
                  <a:graphic xmlns:a="http://schemas.openxmlformats.org/drawingml/2006/main">
                    <a:graphicData uri="http://schemas.openxmlformats.org/drawingml/2006/picture">
                      <pic:pic xmlns:pic="http://schemas.openxmlformats.org/drawingml/2006/picture">
                        <pic:nvPicPr>
                          <pic:cNvPr id="876" name="TextBox_66_SpCnt_58"/>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6544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77" name="TextBox_66_SpCnt_59"/>
                  <wp:cNvGraphicFramePr/>
                  <a:graphic xmlns:a="http://schemas.openxmlformats.org/drawingml/2006/main">
                    <a:graphicData uri="http://schemas.openxmlformats.org/drawingml/2006/picture">
                      <pic:pic xmlns:pic="http://schemas.openxmlformats.org/drawingml/2006/picture">
                        <pic:nvPicPr>
                          <pic:cNvPr id="877" name="TextBox_66_SpCnt_59"/>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6646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78" name="TextBox_66_SpCnt_60"/>
                  <wp:cNvGraphicFramePr/>
                  <a:graphic xmlns:a="http://schemas.openxmlformats.org/drawingml/2006/main">
                    <a:graphicData uri="http://schemas.openxmlformats.org/drawingml/2006/picture">
                      <pic:pic xmlns:pic="http://schemas.openxmlformats.org/drawingml/2006/picture">
                        <pic:nvPicPr>
                          <pic:cNvPr id="878" name="TextBox_66_SpCnt_60"/>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674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79" name="TextBox_66_SpCnt_61"/>
                  <wp:cNvGraphicFramePr/>
                  <a:graphic xmlns:a="http://schemas.openxmlformats.org/drawingml/2006/main">
                    <a:graphicData uri="http://schemas.openxmlformats.org/drawingml/2006/picture">
                      <pic:pic xmlns:pic="http://schemas.openxmlformats.org/drawingml/2006/picture">
                        <pic:nvPicPr>
                          <pic:cNvPr id="879" name="TextBox_66_SpCnt_61"/>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685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80" name="TextBox_66_SpCnt_62"/>
                  <wp:cNvGraphicFramePr/>
                  <a:graphic xmlns:a="http://schemas.openxmlformats.org/drawingml/2006/main">
                    <a:graphicData uri="http://schemas.openxmlformats.org/drawingml/2006/picture">
                      <pic:pic xmlns:pic="http://schemas.openxmlformats.org/drawingml/2006/picture">
                        <pic:nvPicPr>
                          <pic:cNvPr id="880" name="TextBox_66_SpCnt_62"/>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6953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81" name="TextBox_66_SpCnt_63"/>
                  <wp:cNvGraphicFramePr/>
                  <a:graphic xmlns:a="http://schemas.openxmlformats.org/drawingml/2006/main">
                    <a:graphicData uri="http://schemas.openxmlformats.org/drawingml/2006/picture">
                      <pic:pic xmlns:pic="http://schemas.openxmlformats.org/drawingml/2006/picture">
                        <pic:nvPicPr>
                          <pic:cNvPr id="881" name="TextBox_66_SpCnt_63"/>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7056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82" name="TextBox_66_SpCnt_64"/>
                  <wp:cNvGraphicFramePr/>
                  <a:graphic xmlns:a="http://schemas.openxmlformats.org/drawingml/2006/main">
                    <a:graphicData uri="http://schemas.openxmlformats.org/drawingml/2006/picture">
                      <pic:pic xmlns:pic="http://schemas.openxmlformats.org/drawingml/2006/picture">
                        <pic:nvPicPr>
                          <pic:cNvPr id="882" name="TextBox_66_SpCnt_64"/>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7158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83" name="TextBox_66_SpCnt_65"/>
                  <wp:cNvGraphicFramePr/>
                  <a:graphic xmlns:a="http://schemas.openxmlformats.org/drawingml/2006/main">
                    <a:graphicData uri="http://schemas.openxmlformats.org/drawingml/2006/picture">
                      <pic:pic xmlns:pic="http://schemas.openxmlformats.org/drawingml/2006/picture">
                        <pic:nvPicPr>
                          <pic:cNvPr id="883" name="TextBox_66_SpCnt_65"/>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7260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84" name="TextBox_66_SpCnt_66"/>
                  <wp:cNvGraphicFramePr/>
                  <a:graphic xmlns:a="http://schemas.openxmlformats.org/drawingml/2006/main">
                    <a:graphicData uri="http://schemas.openxmlformats.org/drawingml/2006/picture">
                      <pic:pic xmlns:pic="http://schemas.openxmlformats.org/drawingml/2006/picture">
                        <pic:nvPicPr>
                          <pic:cNvPr id="884" name="TextBox_66_SpCnt_66"/>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7363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85" name="TextBox_66_SpCnt_67"/>
                  <wp:cNvGraphicFramePr/>
                  <a:graphic xmlns:a="http://schemas.openxmlformats.org/drawingml/2006/main">
                    <a:graphicData uri="http://schemas.openxmlformats.org/drawingml/2006/picture">
                      <pic:pic xmlns:pic="http://schemas.openxmlformats.org/drawingml/2006/picture">
                        <pic:nvPicPr>
                          <pic:cNvPr id="885" name="TextBox_66_SpCnt_67"/>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7465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86" name="TextBox_66_SpCnt_68"/>
                  <wp:cNvGraphicFramePr/>
                  <a:graphic xmlns:a="http://schemas.openxmlformats.org/drawingml/2006/main">
                    <a:graphicData uri="http://schemas.openxmlformats.org/drawingml/2006/picture">
                      <pic:pic xmlns:pic="http://schemas.openxmlformats.org/drawingml/2006/picture">
                        <pic:nvPicPr>
                          <pic:cNvPr id="886" name="TextBox_66_SpCnt_68"/>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7568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87" name="TextBox_66_SpCnt_69"/>
                  <wp:cNvGraphicFramePr/>
                  <a:graphic xmlns:a="http://schemas.openxmlformats.org/drawingml/2006/main">
                    <a:graphicData uri="http://schemas.openxmlformats.org/drawingml/2006/picture">
                      <pic:pic xmlns:pic="http://schemas.openxmlformats.org/drawingml/2006/picture">
                        <pic:nvPicPr>
                          <pic:cNvPr id="887" name="TextBox_66_SpCnt_69"/>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7670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88" name="TextBox_66_SpCnt_70"/>
                  <wp:cNvGraphicFramePr/>
                  <a:graphic xmlns:a="http://schemas.openxmlformats.org/drawingml/2006/main">
                    <a:graphicData uri="http://schemas.openxmlformats.org/drawingml/2006/picture">
                      <pic:pic xmlns:pic="http://schemas.openxmlformats.org/drawingml/2006/picture">
                        <pic:nvPicPr>
                          <pic:cNvPr id="888" name="TextBox_66_SpCnt_70"/>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7772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89" name="TextBox_66_SpCnt_71"/>
                  <wp:cNvGraphicFramePr/>
                  <a:graphic xmlns:a="http://schemas.openxmlformats.org/drawingml/2006/main">
                    <a:graphicData uri="http://schemas.openxmlformats.org/drawingml/2006/picture">
                      <pic:pic xmlns:pic="http://schemas.openxmlformats.org/drawingml/2006/picture">
                        <pic:nvPicPr>
                          <pic:cNvPr id="889" name="TextBox_66_SpCnt_71"/>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7875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90" name="TextBox_66_SpCnt_72"/>
                  <wp:cNvGraphicFramePr/>
                  <a:graphic xmlns:a="http://schemas.openxmlformats.org/drawingml/2006/main">
                    <a:graphicData uri="http://schemas.openxmlformats.org/drawingml/2006/picture">
                      <pic:pic xmlns:pic="http://schemas.openxmlformats.org/drawingml/2006/picture">
                        <pic:nvPicPr>
                          <pic:cNvPr id="890" name="TextBox_66_SpCnt_72"/>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7977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91" name="TextBox_66_SpCnt_73"/>
                  <wp:cNvGraphicFramePr/>
                  <a:graphic xmlns:a="http://schemas.openxmlformats.org/drawingml/2006/main">
                    <a:graphicData uri="http://schemas.openxmlformats.org/drawingml/2006/picture">
                      <pic:pic xmlns:pic="http://schemas.openxmlformats.org/drawingml/2006/picture">
                        <pic:nvPicPr>
                          <pic:cNvPr id="891" name="TextBox_66_SpCnt_73"/>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8080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92" name="TextBox_66_SpCnt_74"/>
                  <wp:cNvGraphicFramePr/>
                  <a:graphic xmlns:a="http://schemas.openxmlformats.org/drawingml/2006/main">
                    <a:graphicData uri="http://schemas.openxmlformats.org/drawingml/2006/picture">
                      <pic:pic xmlns:pic="http://schemas.openxmlformats.org/drawingml/2006/picture">
                        <pic:nvPicPr>
                          <pic:cNvPr id="892" name="TextBox_66_SpCnt_74"/>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8182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93" name="TextBox_66_SpCnt_75"/>
                  <wp:cNvGraphicFramePr/>
                  <a:graphic xmlns:a="http://schemas.openxmlformats.org/drawingml/2006/main">
                    <a:graphicData uri="http://schemas.openxmlformats.org/drawingml/2006/picture">
                      <pic:pic xmlns:pic="http://schemas.openxmlformats.org/drawingml/2006/picture">
                        <pic:nvPicPr>
                          <pic:cNvPr id="893" name="TextBox_66_SpCnt_75"/>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8284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94" name="TextBox_66_SpCnt_76"/>
                  <wp:cNvGraphicFramePr/>
                  <a:graphic xmlns:a="http://schemas.openxmlformats.org/drawingml/2006/main">
                    <a:graphicData uri="http://schemas.openxmlformats.org/drawingml/2006/picture">
                      <pic:pic xmlns:pic="http://schemas.openxmlformats.org/drawingml/2006/picture">
                        <pic:nvPicPr>
                          <pic:cNvPr id="894" name="TextBox_66_SpCnt_76"/>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8387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95" name="TextBox_66_SpCnt_77"/>
                  <wp:cNvGraphicFramePr/>
                  <a:graphic xmlns:a="http://schemas.openxmlformats.org/drawingml/2006/main">
                    <a:graphicData uri="http://schemas.openxmlformats.org/drawingml/2006/picture">
                      <pic:pic xmlns:pic="http://schemas.openxmlformats.org/drawingml/2006/picture">
                        <pic:nvPicPr>
                          <pic:cNvPr id="895" name="TextBox_66_SpCnt_77"/>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8489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96" name="TextBox_66_SpCnt_78"/>
                  <wp:cNvGraphicFramePr/>
                  <a:graphic xmlns:a="http://schemas.openxmlformats.org/drawingml/2006/main">
                    <a:graphicData uri="http://schemas.openxmlformats.org/drawingml/2006/picture">
                      <pic:pic xmlns:pic="http://schemas.openxmlformats.org/drawingml/2006/picture">
                        <pic:nvPicPr>
                          <pic:cNvPr id="896" name="TextBox_66_SpCnt_78"/>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8592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97" name="TextBox_66_SpCnt_79"/>
                  <wp:cNvGraphicFramePr/>
                  <a:graphic xmlns:a="http://schemas.openxmlformats.org/drawingml/2006/main">
                    <a:graphicData uri="http://schemas.openxmlformats.org/drawingml/2006/picture">
                      <pic:pic xmlns:pic="http://schemas.openxmlformats.org/drawingml/2006/picture">
                        <pic:nvPicPr>
                          <pic:cNvPr id="897" name="TextBox_66_SpCnt_79"/>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8694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98" name="TextBox_66_SpCnt_80"/>
                  <wp:cNvGraphicFramePr/>
                  <a:graphic xmlns:a="http://schemas.openxmlformats.org/drawingml/2006/main">
                    <a:graphicData uri="http://schemas.openxmlformats.org/drawingml/2006/picture">
                      <pic:pic xmlns:pic="http://schemas.openxmlformats.org/drawingml/2006/picture">
                        <pic:nvPicPr>
                          <pic:cNvPr id="898" name="TextBox_66_SpCnt_80"/>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8796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99" name="TextBox_66_SpCnt_81"/>
                  <wp:cNvGraphicFramePr/>
                  <a:graphic xmlns:a="http://schemas.openxmlformats.org/drawingml/2006/main">
                    <a:graphicData uri="http://schemas.openxmlformats.org/drawingml/2006/picture">
                      <pic:pic xmlns:pic="http://schemas.openxmlformats.org/drawingml/2006/picture">
                        <pic:nvPicPr>
                          <pic:cNvPr id="899" name="TextBox_66_SpCnt_81"/>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8899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00" name="TextBox_66_SpCnt_82"/>
                  <wp:cNvGraphicFramePr/>
                  <a:graphic xmlns:a="http://schemas.openxmlformats.org/drawingml/2006/main">
                    <a:graphicData uri="http://schemas.openxmlformats.org/drawingml/2006/picture">
                      <pic:pic xmlns:pic="http://schemas.openxmlformats.org/drawingml/2006/picture">
                        <pic:nvPicPr>
                          <pic:cNvPr id="900" name="TextBox_66_SpCnt_82"/>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9001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01" name="TextBox_66_SpCnt_83"/>
                  <wp:cNvGraphicFramePr/>
                  <a:graphic xmlns:a="http://schemas.openxmlformats.org/drawingml/2006/main">
                    <a:graphicData uri="http://schemas.openxmlformats.org/drawingml/2006/picture">
                      <pic:pic xmlns:pic="http://schemas.openxmlformats.org/drawingml/2006/picture">
                        <pic:nvPicPr>
                          <pic:cNvPr id="901" name="TextBox_66_SpCnt_83"/>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9104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02" name="TextBox_66_SpCnt_84"/>
                  <wp:cNvGraphicFramePr/>
                  <a:graphic xmlns:a="http://schemas.openxmlformats.org/drawingml/2006/main">
                    <a:graphicData uri="http://schemas.openxmlformats.org/drawingml/2006/picture">
                      <pic:pic xmlns:pic="http://schemas.openxmlformats.org/drawingml/2006/picture">
                        <pic:nvPicPr>
                          <pic:cNvPr id="902" name="TextBox_66_SpCnt_84"/>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9206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03" name="TextBox_66_SpCnt_85"/>
                  <wp:cNvGraphicFramePr/>
                  <a:graphic xmlns:a="http://schemas.openxmlformats.org/drawingml/2006/main">
                    <a:graphicData uri="http://schemas.openxmlformats.org/drawingml/2006/picture">
                      <pic:pic xmlns:pic="http://schemas.openxmlformats.org/drawingml/2006/picture">
                        <pic:nvPicPr>
                          <pic:cNvPr id="903" name="TextBox_66_SpCnt_85"/>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930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04" name="TextBox_66_SpCnt_86"/>
                  <wp:cNvGraphicFramePr/>
                  <a:graphic xmlns:a="http://schemas.openxmlformats.org/drawingml/2006/main">
                    <a:graphicData uri="http://schemas.openxmlformats.org/drawingml/2006/picture">
                      <pic:pic xmlns:pic="http://schemas.openxmlformats.org/drawingml/2006/picture">
                        <pic:nvPicPr>
                          <pic:cNvPr id="904" name="TextBox_66_SpCnt_86"/>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941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05" name="TextBox_66_SpCnt_87"/>
                  <wp:cNvGraphicFramePr/>
                  <a:graphic xmlns:a="http://schemas.openxmlformats.org/drawingml/2006/main">
                    <a:graphicData uri="http://schemas.openxmlformats.org/drawingml/2006/picture">
                      <pic:pic xmlns:pic="http://schemas.openxmlformats.org/drawingml/2006/picture">
                        <pic:nvPicPr>
                          <pic:cNvPr id="905" name="TextBox_66_SpCnt_87"/>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9513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06" name="TextBox_66_SpCnt_88"/>
                  <wp:cNvGraphicFramePr/>
                  <a:graphic xmlns:a="http://schemas.openxmlformats.org/drawingml/2006/main">
                    <a:graphicData uri="http://schemas.openxmlformats.org/drawingml/2006/picture">
                      <pic:pic xmlns:pic="http://schemas.openxmlformats.org/drawingml/2006/picture">
                        <pic:nvPicPr>
                          <pic:cNvPr id="906" name="TextBox_66_SpCnt_88"/>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9616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07" name="TextBox_66_SpCnt_89"/>
                  <wp:cNvGraphicFramePr/>
                  <a:graphic xmlns:a="http://schemas.openxmlformats.org/drawingml/2006/main">
                    <a:graphicData uri="http://schemas.openxmlformats.org/drawingml/2006/picture">
                      <pic:pic xmlns:pic="http://schemas.openxmlformats.org/drawingml/2006/picture">
                        <pic:nvPicPr>
                          <pic:cNvPr id="907" name="TextBox_66_SpCnt_89"/>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9718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08" name="TextBox_66_SpCnt_90"/>
                  <wp:cNvGraphicFramePr/>
                  <a:graphic xmlns:a="http://schemas.openxmlformats.org/drawingml/2006/main">
                    <a:graphicData uri="http://schemas.openxmlformats.org/drawingml/2006/picture">
                      <pic:pic xmlns:pic="http://schemas.openxmlformats.org/drawingml/2006/picture">
                        <pic:nvPicPr>
                          <pic:cNvPr id="908" name="TextBox_66_SpCnt_90"/>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9820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09" name="TextBox_66_SpCnt_91"/>
                  <wp:cNvGraphicFramePr/>
                  <a:graphic xmlns:a="http://schemas.openxmlformats.org/drawingml/2006/main">
                    <a:graphicData uri="http://schemas.openxmlformats.org/drawingml/2006/picture">
                      <pic:pic xmlns:pic="http://schemas.openxmlformats.org/drawingml/2006/picture">
                        <pic:nvPicPr>
                          <pic:cNvPr id="909" name="TextBox_66_SpCnt_91"/>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199923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10" name="TextBox_66_SpCnt_92"/>
                  <wp:cNvGraphicFramePr/>
                  <a:graphic xmlns:a="http://schemas.openxmlformats.org/drawingml/2006/main">
                    <a:graphicData uri="http://schemas.openxmlformats.org/drawingml/2006/picture">
                      <pic:pic xmlns:pic="http://schemas.openxmlformats.org/drawingml/2006/picture">
                        <pic:nvPicPr>
                          <pic:cNvPr id="910" name="TextBox_66_SpCnt_92"/>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0025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11" name="TextBox_66_SpCnt_93"/>
                  <wp:cNvGraphicFramePr/>
                  <a:graphic xmlns:a="http://schemas.openxmlformats.org/drawingml/2006/main">
                    <a:graphicData uri="http://schemas.openxmlformats.org/drawingml/2006/picture">
                      <pic:pic xmlns:pic="http://schemas.openxmlformats.org/drawingml/2006/picture">
                        <pic:nvPicPr>
                          <pic:cNvPr id="911" name="TextBox_66_SpCnt_93"/>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0128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12" name="TextBox_66_SpCnt_94"/>
                  <wp:cNvGraphicFramePr/>
                  <a:graphic xmlns:a="http://schemas.openxmlformats.org/drawingml/2006/main">
                    <a:graphicData uri="http://schemas.openxmlformats.org/drawingml/2006/picture">
                      <pic:pic xmlns:pic="http://schemas.openxmlformats.org/drawingml/2006/picture">
                        <pic:nvPicPr>
                          <pic:cNvPr id="912" name="TextBox_66_SpCnt_94"/>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0230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13" name="TextBox_66_SpCnt_95"/>
                  <wp:cNvGraphicFramePr/>
                  <a:graphic xmlns:a="http://schemas.openxmlformats.org/drawingml/2006/main">
                    <a:graphicData uri="http://schemas.openxmlformats.org/drawingml/2006/picture">
                      <pic:pic xmlns:pic="http://schemas.openxmlformats.org/drawingml/2006/picture">
                        <pic:nvPicPr>
                          <pic:cNvPr id="913" name="TextBox_66_SpCnt_95"/>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0332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14" name="TextBox_66_SpCnt_96"/>
                  <wp:cNvGraphicFramePr/>
                  <a:graphic xmlns:a="http://schemas.openxmlformats.org/drawingml/2006/main">
                    <a:graphicData uri="http://schemas.openxmlformats.org/drawingml/2006/picture">
                      <pic:pic xmlns:pic="http://schemas.openxmlformats.org/drawingml/2006/picture">
                        <pic:nvPicPr>
                          <pic:cNvPr id="914" name="TextBox_66_SpCnt_96"/>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0435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15" name="TextBox_66_SpCnt_97"/>
                  <wp:cNvGraphicFramePr/>
                  <a:graphic xmlns:a="http://schemas.openxmlformats.org/drawingml/2006/main">
                    <a:graphicData uri="http://schemas.openxmlformats.org/drawingml/2006/picture">
                      <pic:pic xmlns:pic="http://schemas.openxmlformats.org/drawingml/2006/picture">
                        <pic:nvPicPr>
                          <pic:cNvPr id="915" name="TextBox_66_SpCnt_97"/>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0537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16" name="TextBox_66_SpCnt_98"/>
                  <wp:cNvGraphicFramePr/>
                  <a:graphic xmlns:a="http://schemas.openxmlformats.org/drawingml/2006/main">
                    <a:graphicData uri="http://schemas.openxmlformats.org/drawingml/2006/picture">
                      <pic:pic xmlns:pic="http://schemas.openxmlformats.org/drawingml/2006/picture">
                        <pic:nvPicPr>
                          <pic:cNvPr id="916" name="TextBox_66_SpCnt_98"/>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0640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17" name="TextBox_66_SpCnt_99"/>
                  <wp:cNvGraphicFramePr/>
                  <a:graphic xmlns:a="http://schemas.openxmlformats.org/drawingml/2006/main">
                    <a:graphicData uri="http://schemas.openxmlformats.org/drawingml/2006/picture">
                      <pic:pic xmlns:pic="http://schemas.openxmlformats.org/drawingml/2006/picture">
                        <pic:nvPicPr>
                          <pic:cNvPr id="917" name="TextBox_66_SpCnt_99"/>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0742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18" name="TextBox_66_SpCnt_100"/>
                  <wp:cNvGraphicFramePr/>
                  <a:graphic xmlns:a="http://schemas.openxmlformats.org/drawingml/2006/main">
                    <a:graphicData uri="http://schemas.openxmlformats.org/drawingml/2006/picture">
                      <pic:pic xmlns:pic="http://schemas.openxmlformats.org/drawingml/2006/picture">
                        <pic:nvPicPr>
                          <pic:cNvPr id="918" name="TextBox_66_SpCnt_100"/>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0844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19" name="TextBox_66_SpCnt_101"/>
                  <wp:cNvGraphicFramePr/>
                  <a:graphic xmlns:a="http://schemas.openxmlformats.org/drawingml/2006/main">
                    <a:graphicData uri="http://schemas.openxmlformats.org/drawingml/2006/picture">
                      <pic:pic xmlns:pic="http://schemas.openxmlformats.org/drawingml/2006/picture">
                        <pic:nvPicPr>
                          <pic:cNvPr id="919" name="TextBox_66_SpCnt_101"/>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0947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20" name="TextBox_66_SpCnt_102"/>
                  <wp:cNvGraphicFramePr/>
                  <a:graphic xmlns:a="http://schemas.openxmlformats.org/drawingml/2006/main">
                    <a:graphicData uri="http://schemas.openxmlformats.org/drawingml/2006/picture">
                      <pic:pic xmlns:pic="http://schemas.openxmlformats.org/drawingml/2006/picture">
                        <pic:nvPicPr>
                          <pic:cNvPr id="920" name="TextBox_66_SpCnt_102"/>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1049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21" name="TextBox_66_SpCnt_103"/>
                  <wp:cNvGraphicFramePr/>
                  <a:graphic xmlns:a="http://schemas.openxmlformats.org/drawingml/2006/main">
                    <a:graphicData uri="http://schemas.openxmlformats.org/drawingml/2006/picture">
                      <pic:pic xmlns:pic="http://schemas.openxmlformats.org/drawingml/2006/picture">
                        <pic:nvPicPr>
                          <pic:cNvPr id="921" name="TextBox_66_SpCnt_103"/>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1152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22" name="TextBox_66_SpCnt_104"/>
                  <wp:cNvGraphicFramePr/>
                  <a:graphic xmlns:a="http://schemas.openxmlformats.org/drawingml/2006/main">
                    <a:graphicData uri="http://schemas.openxmlformats.org/drawingml/2006/picture">
                      <pic:pic xmlns:pic="http://schemas.openxmlformats.org/drawingml/2006/picture">
                        <pic:nvPicPr>
                          <pic:cNvPr id="922" name="TextBox_66_SpCnt_104"/>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1254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23" name="TextBox_66_SpCnt_105"/>
                  <wp:cNvGraphicFramePr/>
                  <a:graphic xmlns:a="http://schemas.openxmlformats.org/drawingml/2006/main">
                    <a:graphicData uri="http://schemas.openxmlformats.org/drawingml/2006/picture">
                      <pic:pic xmlns:pic="http://schemas.openxmlformats.org/drawingml/2006/picture">
                        <pic:nvPicPr>
                          <pic:cNvPr id="923" name="TextBox_66_SpCnt_105"/>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1356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24" name="TextBox_66_SpCnt_106"/>
                  <wp:cNvGraphicFramePr/>
                  <a:graphic xmlns:a="http://schemas.openxmlformats.org/drawingml/2006/main">
                    <a:graphicData uri="http://schemas.openxmlformats.org/drawingml/2006/picture">
                      <pic:pic xmlns:pic="http://schemas.openxmlformats.org/drawingml/2006/picture">
                        <pic:nvPicPr>
                          <pic:cNvPr id="924" name="TextBox_66_SpCnt_106"/>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1459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25" name="TextBox_66_SpCnt_107"/>
                  <wp:cNvGraphicFramePr/>
                  <a:graphic xmlns:a="http://schemas.openxmlformats.org/drawingml/2006/main">
                    <a:graphicData uri="http://schemas.openxmlformats.org/drawingml/2006/picture">
                      <pic:pic xmlns:pic="http://schemas.openxmlformats.org/drawingml/2006/picture">
                        <pic:nvPicPr>
                          <pic:cNvPr id="925" name="TextBox_66_SpCnt_107"/>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1561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26" name="TextBox_66_SpCnt_108"/>
                  <wp:cNvGraphicFramePr/>
                  <a:graphic xmlns:a="http://schemas.openxmlformats.org/drawingml/2006/main">
                    <a:graphicData uri="http://schemas.openxmlformats.org/drawingml/2006/picture">
                      <pic:pic xmlns:pic="http://schemas.openxmlformats.org/drawingml/2006/picture">
                        <pic:nvPicPr>
                          <pic:cNvPr id="926" name="TextBox_66_SpCnt_108"/>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1664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27" name="TextBox_66_SpCnt_109"/>
                  <wp:cNvGraphicFramePr/>
                  <a:graphic xmlns:a="http://schemas.openxmlformats.org/drawingml/2006/main">
                    <a:graphicData uri="http://schemas.openxmlformats.org/drawingml/2006/picture">
                      <pic:pic xmlns:pic="http://schemas.openxmlformats.org/drawingml/2006/picture">
                        <pic:nvPicPr>
                          <pic:cNvPr id="927" name="TextBox_66_SpCnt_109"/>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1766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28" name="TextBox_66_SpCnt_110"/>
                  <wp:cNvGraphicFramePr/>
                  <a:graphic xmlns:a="http://schemas.openxmlformats.org/drawingml/2006/main">
                    <a:graphicData uri="http://schemas.openxmlformats.org/drawingml/2006/picture">
                      <pic:pic xmlns:pic="http://schemas.openxmlformats.org/drawingml/2006/picture">
                        <pic:nvPicPr>
                          <pic:cNvPr id="928" name="TextBox_66_SpCnt_110"/>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186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29" name="TextBox_66_SpCnt_111"/>
                  <wp:cNvGraphicFramePr/>
                  <a:graphic xmlns:a="http://schemas.openxmlformats.org/drawingml/2006/main">
                    <a:graphicData uri="http://schemas.openxmlformats.org/drawingml/2006/picture">
                      <pic:pic xmlns:pic="http://schemas.openxmlformats.org/drawingml/2006/picture">
                        <pic:nvPicPr>
                          <pic:cNvPr id="929" name="TextBox_66_SpCnt_111"/>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197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30" name="TextBox_66_SpCnt_112"/>
                  <wp:cNvGraphicFramePr/>
                  <a:graphic xmlns:a="http://schemas.openxmlformats.org/drawingml/2006/main">
                    <a:graphicData uri="http://schemas.openxmlformats.org/drawingml/2006/picture">
                      <pic:pic xmlns:pic="http://schemas.openxmlformats.org/drawingml/2006/picture">
                        <pic:nvPicPr>
                          <pic:cNvPr id="930" name="TextBox_66_SpCnt_112"/>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2073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31" name="TextBox_66_SpCnt_113"/>
                  <wp:cNvGraphicFramePr/>
                  <a:graphic xmlns:a="http://schemas.openxmlformats.org/drawingml/2006/main">
                    <a:graphicData uri="http://schemas.openxmlformats.org/drawingml/2006/picture">
                      <pic:pic xmlns:pic="http://schemas.openxmlformats.org/drawingml/2006/picture">
                        <pic:nvPicPr>
                          <pic:cNvPr id="931" name="TextBox_66_SpCnt_113"/>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2176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32" name="TextBox_66_SpCnt_114"/>
                  <wp:cNvGraphicFramePr/>
                  <a:graphic xmlns:a="http://schemas.openxmlformats.org/drawingml/2006/main">
                    <a:graphicData uri="http://schemas.openxmlformats.org/drawingml/2006/picture">
                      <pic:pic xmlns:pic="http://schemas.openxmlformats.org/drawingml/2006/picture">
                        <pic:nvPicPr>
                          <pic:cNvPr id="932" name="TextBox_66_SpCnt_114"/>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2278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33" name="TextBox_66_SpCnt_115"/>
                  <wp:cNvGraphicFramePr/>
                  <a:graphic xmlns:a="http://schemas.openxmlformats.org/drawingml/2006/main">
                    <a:graphicData uri="http://schemas.openxmlformats.org/drawingml/2006/picture">
                      <pic:pic xmlns:pic="http://schemas.openxmlformats.org/drawingml/2006/picture">
                        <pic:nvPicPr>
                          <pic:cNvPr id="933" name="TextBox_66_SpCnt_115"/>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2380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34" name="TextBox_66_SpCnt_116"/>
                  <wp:cNvGraphicFramePr/>
                  <a:graphic xmlns:a="http://schemas.openxmlformats.org/drawingml/2006/main">
                    <a:graphicData uri="http://schemas.openxmlformats.org/drawingml/2006/picture">
                      <pic:pic xmlns:pic="http://schemas.openxmlformats.org/drawingml/2006/picture">
                        <pic:nvPicPr>
                          <pic:cNvPr id="934" name="TextBox_66_SpCnt_116"/>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2483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35" name="TextBox_66_SpCnt_117"/>
                  <wp:cNvGraphicFramePr/>
                  <a:graphic xmlns:a="http://schemas.openxmlformats.org/drawingml/2006/main">
                    <a:graphicData uri="http://schemas.openxmlformats.org/drawingml/2006/picture">
                      <pic:pic xmlns:pic="http://schemas.openxmlformats.org/drawingml/2006/picture">
                        <pic:nvPicPr>
                          <pic:cNvPr id="935" name="TextBox_66_SpCnt_117"/>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2585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36" name="TextBox_66_SpCnt_118"/>
                  <wp:cNvGraphicFramePr/>
                  <a:graphic xmlns:a="http://schemas.openxmlformats.org/drawingml/2006/main">
                    <a:graphicData uri="http://schemas.openxmlformats.org/drawingml/2006/picture">
                      <pic:pic xmlns:pic="http://schemas.openxmlformats.org/drawingml/2006/picture">
                        <pic:nvPicPr>
                          <pic:cNvPr id="936" name="TextBox_66_SpCnt_118"/>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2688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37" name="TextBox_66_SpCnt_119"/>
                  <wp:cNvGraphicFramePr/>
                  <a:graphic xmlns:a="http://schemas.openxmlformats.org/drawingml/2006/main">
                    <a:graphicData uri="http://schemas.openxmlformats.org/drawingml/2006/picture">
                      <pic:pic xmlns:pic="http://schemas.openxmlformats.org/drawingml/2006/picture">
                        <pic:nvPicPr>
                          <pic:cNvPr id="937" name="TextBox_66_SpCnt_119"/>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2790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38" name="TextBox_66_SpCnt_120"/>
                  <wp:cNvGraphicFramePr/>
                  <a:graphic xmlns:a="http://schemas.openxmlformats.org/drawingml/2006/main">
                    <a:graphicData uri="http://schemas.openxmlformats.org/drawingml/2006/picture">
                      <pic:pic xmlns:pic="http://schemas.openxmlformats.org/drawingml/2006/picture">
                        <pic:nvPicPr>
                          <pic:cNvPr id="938" name="TextBox_66_SpCnt_120"/>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2892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39" name="TextBox_66_SpCnt_121"/>
                  <wp:cNvGraphicFramePr/>
                  <a:graphic xmlns:a="http://schemas.openxmlformats.org/drawingml/2006/main">
                    <a:graphicData uri="http://schemas.openxmlformats.org/drawingml/2006/picture">
                      <pic:pic xmlns:pic="http://schemas.openxmlformats.org/drawingml/2006/picture">
                        <pic:nvPicPr>
                          <pic:cNvPr id="939" name="TextBox_66_SpCnt_121"/>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2995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40" name="TextBox_66_SpCnt_122"/>
                  <wp:cNvGraphicFramePr/>
                  <a:graphic xmlns:a="http://schemas.openxmlformats.org/drawingml/2006/main">
                    <a:graphicData uri="http://schemas.openxmlformats.org/drawingml/2006/picture">
                      <pic:pic xmlns:pic="http://schemas.openxmlformats.org/drawingml/2006/picture">
                        <pic:nvPicPr>
                          <pic:cNvPr id="940" name="TextBox_66_SpCnt_122"/>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3097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41" name="TextBox_66_SpCnt_123"/>
                  <wp:cNvGraphicFramePr/>
                  <a:graphic xmlns:a="http://schemas.openxmlformats.org/drawingml/2006/main">
                    <a:graphicData uri="http://schemas.openxmlformats.org/drawingml/2006/picture">
                      <pic:pic xmlns:pic="http://schemas.openxmlformats.org/drawingml/2006/picture">
                        <pic:nvPicPr>
                          <pic:cNvPr id="941" name="TextBox_66_SpCnt_123"/>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3200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42" name="TextBox_66_SpCnt_124"/>
                  <wp:cNvGraphicFramePr/>
                  <a:graphic xmlns:a="http://schemas.openxmlformats.org/drawingml/2006/main">
                    <a:graphicData uri="http://schemas.openxmlformats.org/drawingml/2006/picture">
                      <pic:pic xmlns:pic="http://schemas.openxmlformats.org/drawingml/2006/picture">
                        <pic:nvPicPr>
                          <pic:cNvPr id="942" name="TextBox_66_SpCnt_124"/>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3302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43" name="TextBox_66_SpCnt_125"/>
                  <wp:cNvGraphicFramePr/>
                  <a:graphic xmlns:a="http://schemas.openxmlformats.org/drawingml/2006/main">
                    <a:graphicData uri="http://schemas.openxmlformats.org/drawingml/2006/picture">
                      <pic:pic xmlns:pic="http://schemas.openxmlformats.org/drawingml/2006/picture">
                        <pic:nvPicPr>
                          <pic:cNvPr id="943" name="TextBox_66_SpCnt_125"/>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3404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44" name="TextBox_66_SpCnt_126"/>
                  <wp:cNvGraphicFramePr/>
                  <a:graphic xmlns:a="http://schemas.openxmlformats.org/drawingml/2006/main">
                    <a:graphicData uri="http://schemas.openxmlformats.org/drawingml/2006/picture">
                      <pic:pic xmlns:pic="http://schemas.openxmlformats.org/drawingml/2006/picture">
                        <pic:nvPicPr>
                          <pic:cNvPr id="944" name="TextBox_66_SpCnt_126"/>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3507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45" name="TextBox_66_SpCnt_127"/>
                  <wp:cNvGraphicFramePr/>
                  <a:graphic xmlns:a="http://schemas.openxmlformats.org/drawingml/2006/main">
                    <a:graphicData uri="http://schemas.openxmlformats.org/drawingml/2006/picture">
                      <pic:pic xmlns:pic="http://schemas.openxmlformats.org/drawingml/2006/picture">
                        <pic:nvPicPr>
                          <pic:cNvPr id="945" name="TextBox_66_SpCnt_127"/>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3609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46" name="TextBox_66_SpCnt_128"/>
                  <wp:cNvGraphicFramePr/>
                  <a:graphic xmlns:a="http://schemas.openxmlformats.org/drawingml/2006/main">
                    <a:graphicData uri="http://schemas.openxmlformats.org/drawingml/2006/picture">
                      <pic:pic xmlns:pic="http://schemas.openxmlformats.org/drawingml/2006/picture">
                        <pic:nvPicPr>
                          <pic:cNvPr id="946" name="TextBox_66_SpCnt_128"/>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3712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47" name="TextBox_66_SpCnt_129"/>
                  <wp:cNvGraphicFramePr/>
                  <a:graphic xmlns:a="http://schemas.openxmlformats.org/drawingml/2006/main">
                    <a:graphicData uri="http://schemas.openxmlformats.org/drawingml/2006/picture">
                      <pic:pic xmlns:pic="http://schemas.openxmlformats.org/drawingml/2006/picture">
                        <pic:nvPicPr>
                          <pic:cNvPr id="947" name="TextBox_66_SpCnt_129"/>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3814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48" name="TextBox_66_SpCnt_130"/>
                  <wp:cNvGraphicFramePr/>
                  <a:graphic xmlns:a="http://schemas.openxmlformats.org/drawingml/2006/main">
                    <a:graphicData uri="http://schemas.openxmlformats.org/drawingml/2006/picture">
                      <pic:pic xmlns:pic="http://schemas.openxmlformats.org/drawingml/2006/picture">
                        <pic:nvPicPr>
                          <pic:cNvPr id="948" name="TextBox_66_SpCnt_130"/>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3916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49" name="TextBox_66_SpCnt_131"/>
                  <wp:cNvGraphicFramePr/>
                  <a:graphic xmlns:a="http://schemas.openxmlformats.org/drawingml/2006/main">
                    <a:graphicData uri="http://schemas.openxmlformats.org/drawingml/2006/picture">
                      <pic:pic xmlns:pic="http://schemas.openxmlformats.org/drawingml/2006/picture">
                        <pic:nvPicPr>
                          <pic:cNvPr id="949" name="TextBox_66_SpCnt_131"/>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4019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50" name="TextBox_66_SpCnt_132"/>
                  <wp:cNvGraphicFramePr/>
                  <a:graphic xmlns:a="http://schemas.openxmlformats.org/drawingml/2006/main">
                    <a:graphicData uri="http://schemas.openxmlformats.org/drawingml/2006/picture">
                      <pic:pic xmlns:pic="http://schemas.openxmlformats.org/drawingml/2006/picture">
                        <pic:nvPicPr>
                          <pic:cNvPr id="950" name="TextBox_66_SpCnt_132"/>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4121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51" name="TextBox_66_SpCnt_133"/>
                  <wp:cNvGraphicFramePr/>
                  <a:graphic xmlns:a="http://schemas.openxmlformats.org/drawingml/2006/main">
                    <a:graphicData uri="http://schemas.openxmlformats.org/drawingml/2006/picture">
                      <pic:pic xmlns:pic="http://schemas.openxmlformats.org/drawingml/2006/picture">
                        <pic:nvPicPr>
                          <pic:cNvPr id="951" name="TextBox_66_SpCnt_133"/>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4224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52" name="TextBox_66_SpCnt_134"/>
                  <wp:cNvGraphicFramePr/>
                  <a:graphic xmlns:a="http://schemas.openxmlformats.org/drawingml/2006/main">
                    <a:graphicData uri="http://schemas.openxmlformats.org/drawingml/2006/picture">
                      <pic:pic xmlns:pic="http://schemas.openxmlformats.org/drawingml/2006/picture">
                        <pic:nvPicPr>
                          <pic:cNvPr id="952" name="TextBox_66_SpCnt_134"/>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4326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53" name="TextBox_66_SpCnt_135"/>
                  <wp:cNvGraphicFramePr/>
                  <a:graphic xmlns:a="http://schemas.openxmlformats.org/drawingml/2006/main">
                    <a:graphicData uri="http://schemas.openxmlformats.org/drawingml/2006/picture">
                      <pic:pic xmlns:pic="http://schemas.openxmlformats.org/drawingml/2006/picture">
                        <pic:nvPicPr>
                          <pic:cNvPr id="953" name="TextBox_66_SpCnt_135"/>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44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54" name="TextBox_66_SpCnt_136"/>
                  <wp:cNvGraphicFramePr/>
                  <a:graphic xmlns:a="http://schemas.openxmlformats.org/drawingml/2006/main">
                    <a:graphicData uri="http://schemas.openxmlformats.org/drawingml/2006/picture">
                      <pic:pic xmlns:pic="http://schemas.openxmlformats.org/drawingml/2006/picture">
                        <pic:nvPicPr>
                          <pic:cNvPr id="954" name="TextBox_66_SpCnt_136"/>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45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55" name="TextBox_66_SpCnt_137"/>
                  <wp:cNvGraphicFramePr/>
                  <a:graphic xmlns:a="http://schemas.openxmlformats.org/drawingml/2006/main">
                    <a:graphicData uri="http://schemas.openxmlformats.org/drawingml/2006/picture">
                      <pic:pic xmlns:pic="http://schemas.openxmlformats.org/drawingml/2006/picture">
                        <pic:nvPicPr>
                          <pic:cNvPr id="955" name="TextBox_66_SpCnt_137"/>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4633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56" name="TextBox_66_SpCnt_138"/>
                  <wp:cNvGraphicFramePr/>
                  <a:graphic xmlns:a="http://schemas.openxmlformats.org/drawingml/2006/main">
                    <a:graphicData uri="http://schemas.openxmlformats.org/drawingml/2006/picture">
                      <pic:pic xmlns:pic="http://schemas.openxmlformats.org/drawingml/2006/picture">
                        <pic:nvPicPr>
                          <pic:cNvPr id="956" name="TextBox_66_SpCnt_138"/>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4736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57" name="TextBox_66_SpCnt_139"/>
                  <wp:cNvGraphicFramePr/>
                  <a:graphic xmlns:a="http://schemas.openxmlformats.org/drawingml/2006/main">
                    <a:graphicData uri="http://schemas.openxmlformats.org/drawingml/2006/picture">
                      <pic:pic xmlns:pic="http://schemas.openxmlformats.org/drawingml/2006/picture">
                        <pic:nvPicPr>
                          <pic:cNvPr id="957" name="TextBox_66_SpCnt_139"/>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4838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58" name="TextBox_66_SpCnt_140"/>
                  <wp:cNvGraphicFramePr/>
                  <a:graphic xmlns:a="http://schemas.openxmlformats.org/drawingml/2006/main">
                    <a:graphicData uri="http://schemas.openxmlformats.org/drawingml/2006/picture">
                      <pic:pic xmlns:pic="http://schemas.openxmlformats.org/drawingml/2006/picture">
                        <pic:nvPicPr>
                          <pic:cNvPr id="958" name="TextBox_66_SpCnt_140"/>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4940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59" name="TextBox_66_SpCnt_141"/>
                  <wp:cNvGraphicFramePr/>
                  <a:graphic xmlns:a="http://schemas.openxmlformats.org/drawingml/2006/main">
                    <a:graphicData uri="http://schemas.openxmlformats.org/drawingml/2006/picture">
                      <pic:pic xmlns:pic="http://schemas.openxmlformats.org/drawingml/2006/picture">
                        <pic:nvPicPr>
                          <pic:cNvPr id="959" name="TextBox_66_SpCnt_141"/>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5043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60" name="TextBox_66_SpCnt_142"/>
                  <wp:cNvGraphicFramePr/>
                  <a:graphic xmlns:a="http://schemas.openxmlformats.org/drawingml/2006/main">
                    <a:graphicData uri="http://schemas.openxmlformats.org/drawingml/2006/picture">
                      <pic:pic xmlns:pic="http://schemas.openxmlformats.org/drawingml/2006/picture">
                        <pic:nvPicPr>
                          <pic:cNvPr id="960" name="TextBox_66_SpCnt_142"/>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5145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61" name="TextBox_66_SpCnt_143"/>
                  <wp:cNvGraphicFramePr/>
                  <a:graphic xmlns:a="http://schemas.openxmlformats.org/drawingml/2006/main">
                    <a:graphicData uri="http://schemas.openxmlformats.org/drawingml/2006/picture">
                      <pic:pic xmlns:pic="http://schemas.openxmlformats.org/drawingml/2006/picture">
                        <pic:nvPicPr>
                          <pic:cNvPr id="961" name="TextBox_66_SpCnt_143"/>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5248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62" name="TextBox_66_SpCnt_144"/>
                  <wp:cNvGraphicFramePr/>
                  <a:graphic xmlns:a="http://schemas.openxmlformats.org/drawingml/2006/main">
                    <a:graphicData uri="http://schemas.openxmlformats.org/drawingml/2006/picture">
                      <pic:pic xmlns:pic="http://schemas.openxmlformats.org/drawingml/2006/picture">
                        <pic:nvPicPr>
                          <pic:cNvPr id="962" name="TextBox_66_SpCnt_144"/>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5350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63" name="TextBox_66_SpCnt_145"/>
                  <wp:cNvGraphicFramePr/>
                  <a:graphic xmlns:a="http://schemas.openxmlformats.org/drawingml/2006/main">
                    <a:graphicData uri="http://schemas.openxmlformats.org/drawingml/2006/picture">
                      <pic:pic xmlns:pic="http://schemas.openxmlformats.org/drawingml/2006/picture">
                        <pic:nvPicPr>
                          <pic:cNvPr id="963" name="TextBox_66_SpCnt_145"/>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5452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64" name="TextBox_66_SpCnt_146"/>
                  <wp:cNvGraphicFramePr/>
                  <a:graphic xmlns:a="http://schemas.openxmlformats.org/drawingml/2006/main">
                    <a:graphicData uri="http://schemas.openxmlformats.org/drawingml/2006/picture">
                      <pic:pic xmlns:pic="http://schemas.openxmlformats.org/drawingml/2006/picture">
                        <pic:nvPicPr>
                          <pic:cNvPr id="964" name="TextBox_66_SpCnt_146"/>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5555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65" name="TextBox_66_SpCnt_147"/>
                  <wp:cNvGraphicFramePr/>
                  <a:graphic xmlns:a="http://schemas.openxmlformats.org/drawingml/2006/main">
                    <a:graphicData uri="http://schemas.openxmlformats.org/drawingml/2006/picture">
                      <pic:pic xmlns:pic="http://schemas.openxmlformats.org/drawingml/2006/picture">
                        <pic:nvPicPr>
                          <pic:cNvPr id="965" name="TextBox_66_SpCnt_147"/>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5657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66" name="TextBox_66_SpCnt_148"/>
                  <wp:cNvGraphicFramePr/>
                  <a:graphic xmlns:a="http://schemas.openxmlformats.org/drawingml/2006/main">
                    <a:graphicData uri="http://schemas.openxmlformats.org/drawingml/2006/picture">
                      <pic:pic xmlns:pic="http://schemas.openxmlformats.org/drawingml/2006/picture">
                        <pic:nvPicPr>
                          <pic:cNvPr id="966" name="TextBox_66_SpCnt_148"/>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5760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67" name="TextBox_66_SpCnt_149"/>
                  <wp:cNvGraphicFramePr/>
                  <a:graphic xmlns:a="http://schemas.openxmlformats.org/drawingml/2006/main">
                    <a:graphicData uri="http://schemas.openxmlformats.org/drawingml/2006/picture">
                      <pic:pic xmlns:pic="http://schemas.openxmlformats.org/drawingml/2006/picture">
                        <pic:nvPicPr>
                          <pic:cNvPr id="967" name="TextBox_66_SpCnt_149"/>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5862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68" name="TextBox_66_SpCnt_150"/>
                  <wp:cNvGraphicFramePr/>
                  <a:graphic xmlns:a="http://schemas.openxmlformats.org/drawingml/2006/main">
                    <a:graphicData uri="http://schemas.openxmlformats.org/drawingml/2006/picture">
                      <pic:pic xmlns:pic="http://schemas.openxmlformats.org/drawingml/2006/picture">
                        <pic:nvPicPr>
                          <pic:cNvPr id="968" name="TextBox_66_SpCnt_150"/>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5964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69" name="TextBox_66_SpCnt_151"/>
                  <wp:cNvGraphicFramePr/>
                  <a:graphic xmlns:a="http://schemas.openxmlformats.org/drawingml/2006/main">
                    <a:graphicData uri="http://schemas.openxmlformats.org/drawingml/2006/picture">
                      <pic:pic xmlns:pic="http://schemas.openxmlformats.org/drawingml/2006/picture">
                        <pic:nvPicPr>
                          <pic:cNvPr id="969" name="TextBox_66_SpCnt_151"/>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6067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70" name="TextBox_66_SpCnt_152"/>
                  <wp:cNvGraphicFramePr/>
                  <a:graphic xmlns:a="http://schemas.openxmlformats.org/drawingml/2006/main">
                    <a:graphicData uri="http://schemas.openxmlformats.org/drawingml/2006/picture">
                      <pic:pic xmlns:pic="http://schemas.openxmlformats.org/drawingml/2006/picture">
                        <pic:nvPicPr>
                          <pic:cNvPr id="970" name="TextBox_66_SpCnt_152"/>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6169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71" name="TextBox_66_SpCnt_153"/>
                  <wp:cNvGraphicFramePr/>
                  <a:graphic xmlns:a="http://schemas.openxmlformats.org/drawingml/2006/main">
                    <a:graphicData uri="http://schemas.openxmlformats.org/drawingml/2006/picture">
                      <pic:pic xmlns:pic="http://schemas.openxmlformats.org/drawingml/2006/picture">
                        <pic:nvPicPr>
                          <pic:cNvPr id="971" name="TextBox_66_SpCnt_153"/>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6272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72" name="TextBox_66_SpCnt_154"/>
                  <wp:cNvGraphicFramePr/>
                  <a:graphic xmlns:a="http://schemas.openxmlformats.org/drawingml/2006/main">
                    <a:graphicData uri="http://schemas.openxmlformats.org/drawingml/2006/picture">
                      <pic:pic xmlns:pic="http://schemas.openxmlformats.org/drawingml/2006/picture">
                        <pic:nvPicPr>
                          <pic:cNvPr id="972" name="TextBox_66_SpCnt_154"/>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6374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73" name="TextBox_66_SpCnt_155"/>
                  <wp:cNvGraphicFramePr/>
                  <a:graphic xmlns:a="http://schemas.openxmlformats.org/drawingml/2006/main">
                    <a:graphicData uri="http://schemas.openxmlformats.org/drawingml/2006/picture">
                      <pic:pic xmlns:pic="http://schemas.openxmlformats.org/drawingml/2006/picture">
                        <pic:nvPicPr>
                          <pic:cNvPr id="973" name="TextBox_66_SpCnt_155"/>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6476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74" name="TextBox_66_SpCnt_156"/>
                  <wp:cNvGraphicFramePr/>
                  <a:graphic xmlns:a="http://schemas.openxmlformats.org/drawingml/2006/main">
                    <a:graphicData uri="http://schemas.openxmlformats.org/drawingml/2006/picture">
                      <pic:pic xmlns:pic="http://schemas.openxmlformats.org/drawingml/2006/picture">
                        <pic:nvPicPr>
                          <pic:cNvPr id="974" name="TextBox_66_SpCnt_156"/>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6579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75" name="TextBox_66_SpCnt_157"/>
                  <wp:cNvGraphicFramePr/>
                  <a:graphic xmlns:a="http://schemas.openxmlformats.org/drawingml/2006/main">
                    <a:graphicData uri="http://schemas.openxmlformats.org/drawingml/2006/picture">
                      <pic:pic xmlns:pic="http://schemas.openxmlformats.org/drawingml/2006/picture">
                        <pic:nvPicPr>
                          <pic:cNvPr id="975" name="TextBox_66_SpCnt_157"/>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6681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76" name="TextBox_66_SpCnt_158"/>
                  <wp:cNvGraphicFramePr/>
                  <a:graphic xmlns:a="http://schemas.openxmlformats.org/drawingml/2006/main">
                    <a:graphicData uri="http://schemas.openxmlformats.org/drawingml/2006/picture">
                      <pic:pic xmlns:pic="http://schemas.openxmlformats.org/drawingml/2006/picture">
                        <pic:nvPicPr>
                          <pic:cNvPr id="976" name="TextBox_66_SpCnt_158"/>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6784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77" name="TextBox_66_SpCnt_159"/>
                  <wp:cNvGraphicFramePr/>
                  <a:graphic xmlns:a="http://schemas.openxmlformats.org/drawingml/2006/main">
                    <a:graphicData uri="http://schemas.openxmlformats.org/drawingml/2006/picture">
                      <pic:pic xmlns:pic="http://schemas.openxmlformats.org/drawingml/2006/picture">
                        <pic:nvPicPr>
                          <pic:cNvPr id="977" name="TextBox_66_SpCnt_159"/>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6886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78" name="TextBox_66_SpCnt_160"/>
                  <wp:cNvGraphicFramePr/>
                  <a:graphic xmlns:a="http://schemas.openxmlformats.org/drawingml/2006/main">
                    <a:graphicData uri="http://schemas.openxmlformats.org/drawingml/2006/picture">
                      <pic:pic xmlns:pic="http://schemas.openxmlformats.org/drawingml/2006/picture">
                        <pic:nvPicPr>
                          <pic:cNvPr id="978" name="TextBox_66_SpCnt_160"/>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698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79" name="TextBox_66_SpCnt_161"/>
                  <wp:cNvGraphicFramePr/>
                  <a:graphic xmlns:a="http://schemas.openxmlformats.org/drawingml/2006/main">
                    <a:graphicData uri="http://schemas.openxmlformats.org/drawingml/2006/picture">
                      <pic:pic xmlns:pic="http://schemas.openxmlformats.org/drawingml/2006/picture">
                        <pic:nvPicPr>
                          <pic:cNvPr id="979" name="TextBox_66_SpCnt_161"/>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709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80" name="TextBox_66_SpCnt_162"/>
                  <wp:cNvGraphicFramePr/>
                  <a:graphic xmlns:a="http://schemas.openxmlformats.org/drawingml/2006/main">
                    <a:graphicData uri="http://schemas.openxmlformats.org/drawingml/2006/picture">
                      <pic:pic xmlns:pic="http://schemas.openxmlformats.org/drawingml/2006/picture">
                        <pic:nvPicPr>
                          <pic:cNvPr id="980" name="TextBox_66_SpCnt_162"/>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7193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81" name="TextBox_66_SpCnt_163"/>
                  <wp:cNvGraphicFramePr/>
                  <a:graphic xmlns:a="http://schemas.openxmlformats.org/drawingml/2006/main">
                    <a:graphicData uri="http://schemas.openxmlformats.org/drawingml/2006/picture">
                      <pic:pic xmlns:pic="http://schemas.openxmlformats.org/drawingml/2006/picture">
                        <pic:nvPicPr>
                          <pic:cNvPr id="981" name="TextBox_66_SpCnt_163"/>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7296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82" name="TextBox_66_SpCnt_164"/>
                  <wp:cNvGraphicFramePr/>
                  <a:graphic xmlns:a="http://schemas.openxmlformats.org/drawingml/2006/main">
                    <a:graphicData uri="http://schemas.openxmlformats.org/drawingml/2006/picture">
                      <pic:pic xmlns:pic="http://schemas.openxmlformats.org/drawingml/2006/picture">
                        <pic:nvPicPr>
                          <pic:cNvPr id="982" name="TextBox_66_SpCnt_164"/>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7398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83" name="TextBox_66_SpCnt_165"/>
                  <wp:cNvGraphicFramePr/>
                  <a:graphic xmlns:a="http://schemas.openxmlformats.org/drawingml/2006/main">
                    <a:graphicData uri="http://schemas.openxmlformats.org/drawingml/2006/picture">
                      <pic:pic xmlns:pic="http://schemas.openxmlformats.org/drawingml/2006/picture">
                        <pic:nvPicPr>
                          <pic:cNvPr id="983" name="TextBox_66_SpCnt_165"/>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7500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84" name="TextBox_66_SpCnt_166"/>
                  <wp:cNvGraphicFramePr/>
                  <a:graphic xmlns:a="http://schemas.openxmlformats.org/drawingml/2006/main">
                    <a:graphicData uri="http://schemas.openxmlformats.org/drawingml/2006/picture">
                      <pic:pic xmlns:pic="http://schemas.openxmlformats.org/drawingml/2006/picture">
                        <pic:nvPicPr>
                          <pic:cNvPr id="984" name="TextBox_66_SpCnt_166"/>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7603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85" name="TextBox_66_SpCnt_167"/>
                  <wp:cNvGraphicFramePr/>
                  <a:graphic xmlns:a="http://schemas.openxmlformats.org/drawingml/2006/main">
                    <a:graphicData uri="http://schemas.openxmlformats.org/drawingml/2006/picture">
                      <pic:pic xmlns:pic="http://schemas.openxmlformats.org/drawingml/2006/picture">
                        <pic:nvPicPr>
                          <pic:cNvPr id="985" name="TextBox_66_SpCnt_167"/>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7705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86" name="TextBox_66_SpCnt_168"/>
                  <wp:cNvGraphicFramePr/>
                  <a:graphic xmlns:a="http://schemas.openxmlformats.org/drawingml/2006/main">
                    <a:graphicData uri="http://schemas.openxmlformats.org/drawingml/2006/picture">
                      <pic:pic xmlns:pic="http://schemas.openxmlformats.org/drawingml/2006/picture">
                        <pic:nvPicPr>
                          <pic:cNvPr id="986" name="TextBox_66_SpCnt_168"/>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7808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87" name="TextBox_66_SpCnt_169"/>
                  <wp:cNvGraphicFramePr/>
                  <a:graphic xmlns:a="http://schemas.openxmlformats.org/drawingml/2006/main">
                    <a:graphicData uri="http://schemas.openxmlformats.org/drawingml/2006/picture">
                      <pic:pic xmlns:pic="http://schemas.openxmlformats.org/drawingml/2006/picture">
                        <pic:nvPicPr>
                          <pic:cNvPr id="987" name="TextBox_66_SpCnt_169"/>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7910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88" name="TextBox_66_SpCnt_170"/>
                  <wp:cNvGraphicFramePr/>
                  <a:graphic xmlns:a="http://schemas.openxmlformats.org/drawingml/2006/main">
                    <a:graphicData uri="http://schemas.openxmlformats.org/drawingml/2006/picture">
                      <pic:pic xmlns:pic="http://schemas.openxmlformats.org/drawingml/2006/picture">
                        <pic:nvPicPr>
                          <pic:cNvPr id="988" name="TextBox_66_SpCnt_170"/>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8012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89" name="TextBox_66_SpCnt_171"/>
                  <wp:cNvGraphicFramePr/>
                  <a:graphic xmlns:a="http://schemas.openxmlformats.org/drawingml/2006/main">
                    <a:graphicData uri="http://schemas.openxmlformats.org/drawingml/2006/picture">
                      <pic:pic xmlns:pic="http://schemas.openxmlformats.org/drawingml/2006/picture">
                        <pic:nvPicPr>
                          <pic:cNvPr id="989" name="TextBox_66_SpCnt_171"/>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8115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90" name="TextBox_66_SpCnt_172"/>
                  <wp:cNvGraphicFramePr/>
                  <a:graphic xmlns:a="http://schemas.openxmlformats.org/drawingml/2006/main">
                    <a:graphicData uri="http://schemas.openxmlformats.org/drawingml/2006/picture">
                      <pic:pic xmlns:pic="http://schemas.openxmlformats.org/drawingml/2006/picture">
                        <pic:nvPicPr>
                          <pic:cNvPr id="990" name="TextBox_66_SpCnt_172"/>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8217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91" name="TextBox_66_SpCnt_173"/>
                  <wp:cNvGraphicFramePr/>
                  <a:graphic xmlns:a="http://schemas.openxmlformats.org/drawingml/2006/main">
                    <a:graphicData uri="http://schemas.openxmlformats.org/drawingml/2006/picture">
                      <pic:pic xmlns:pic="http://schemas.openxmlformats.org/drawingml/2006/picture">
                        <pic:nvPicPr>
                          <pic:cNvPr id="991" name="TextBox_66_SpCnt_173"/>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8320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92" name="TextBox_66_SpCnt_174"/>
                  <wp:cNvGraphicFramePr/>
                  <a:graphic xmlns:a="http://schemas.openxmlformats.org/drawingml/2006/main">
                    <a:graphicData uri="http://schemas.openxmlformats.org/drawingml/2006/picture">
                      <pic:pic xmlns:pic="http://schemas.openxmlformats.org/drawingml/2006/picture">
                        <pic:nvPicPr>
                          <pic:cNvPr id="992" name="TextBox_66_SpCnt_174"/>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8422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93" name="TextBox_66_SpCnt_175"/>
                  <wp:cNvGraphicFramePr/>
                  <a:graphic xmlns:a="http://schemas.openxmlformats.org/drawingml/2006/main">
                    <a:graphicData uri="http://schemas.openxmlformats.org/drawingml/2006/picture">
                      <pic:pic xmlns:pic="http://schemas.openxmlformats.org/drawingml/2006/picture">
                        <pic:nvPicPr>
                          <pic:cNvPr id="993" name="TextBox_66_SpCnt_175"/>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8524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94" name="TextBox_66_SpCnt_176"/>
                  <wp:cNvGraphicFramePr/>
                  <a:graphic xmlns:a="http://schemas.openxmlformats.org/drawingml/2006/main">
                    <a:graphicData uri="http://schemas.openxmlformats.org/drawingml/2006/picture">
                      <pic:pic xmlns:pic="http://schemas.openxmlformats.org/drawingml/2006/picture">
                        <pic:nvPicPr>
                          <pic:cNvPr id="994" name="TextBox_66_SpCnt_176"/>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8627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95" name="TextBox_66_SpCnt_177"/>
                  <wp:cNvGraphicFramePr/>
                  <a:graphic xmlns:a="http://schemas.openxmlformats.org/drawingml/2006/main">
                    <a:graphicData uri="http://schemas.openxmlformats.org/drawingml/2006/picture">
                      <pic:pic xmlns:pic="http://schemas.openxmlformats.org/drawingml/2006/picture">
                        <pic:nvPicPr>
                          <pic:cNvPr id="995" name="TextBox_66_SpCnt_177"/>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8729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96" name="TextBox_66_SpCnt_178"/>
                  <wp:cNvGraphicFramePr/>
                  <a:graphic xmlns:a="http://schemas.openxmlformats.org/drawingml/2006/main">
                    <a:graphicData uri="http://schemas.openxmlformats.org/drawingml/2006/picture">
                      <pic:pic xmlns:pic="http://schemas.openxmlformats.org/drawingml/2006/picture">
                        <pic:nvPicPr>
                          <pic:cNvPr id="996" name="TextBox_66_SpCnt_178"/>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8832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97" name="TextBox_66_SpCnt_179"/>
                  <wp:cNvGraphicFramePr/>
                  <a:graphic xmlns:a="http://schemas.openxmlformats.org/drawingml/2006/main">
                    <a:graphicData uri="http://schemas.openxmlformats.org/drawingml/2006/picture">
                      <pic:pic xmlns:pic="http://schemas.openxmlformats.org/drawingml/2006/picture">
                        <pic:nvPicPr>
                          <pic:cNvPr id="997" name="TextBox_66_SpCnt_179"/>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8934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98" name="TextBox_66_SpCnt_180"/>
                  <wp:cNvGraphicFramePr/>
                  <a:graphic xmlns:a="http://schemas.openxmlformats.org/drawingml/2006/main">
                    <a:graphicData uri="http://schemas.openxmlformats.org/drawingml/2006/picture">
                      <pic:pic xmlns:pic="http://schemas.openxmlformats.org/drawingml/2006/picture">
                        <pic:nvPicPr>
                          <pic:cNvPr id="998" name="TextBox_66_SpCnt_180"/>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9036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99" name="TextBox_66_SpCnt_181"/>
                  <wp:cNvGraphicFramePr/>
                  <a:graphic xmlns:a="http://schemas.openxmlformats.org/drawingml/2006/main">
                    <a:graphicData uri="http://schemas.openxmlformats.org/drawingml/2006/picture">
                      <pic:pic xmlns:pic="http://schemas.openxmlformats.org/drawingml/2006/picture">
                        <pic:nvPicPr>
                          <pic:cNvPr id="999" name="TextBox_66_SpCnt_181"/>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9139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00" name="TextBox_66_SpCnt_182"/>
                  <wp:cNvGraphicFramePr/>
                  <a:graphic xmlns:a="http://schemas.openxmlformats.org/drawingml/2006/main">
                    <a:graphicData uri="http://schemas.openxmlformats.org/drawingml/2006/picture">
                      <pic:pic xmlns:pic="http://schemas.openxmlformats.org/drawingml/2006/picture">
                        <pic:nvPicPr>
                          <pic:cNvPr id="1000" name="TextBox_66_SpCnt_182"/>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9241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01" name="TextBox_66_SpCnt_183"/>
                  <wp:cNvGraphicFramePr/>
                  <a:graphic xmlns:a="http://schemas.openxmlformats.org/drawingml/2006/main">
                    <a:graphicData uri="http://schemas.openxmlformats.org/drawingml/2006/picture">
                      <pic:pic xmlns:pic="http://schemas.openxmlformats.org/drawingml/2006/picture">
                        <pic:nvPicPr>
                          <pic:cNvPr id="1001" name="TextBox_66_SpCnt_183"/>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9344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02" name="TextBox_66_SpCnt_184"/>
                  <wp:cNvGraphicFramePr/>
                  <a:graphic xmlns:a="http://schemas.openxmlformats.org/drawingml/2006/main">
                    <a:graphicData uri="http://schemas.openxmlformats.org/drawingml/2006/picture">
                      <pic:pic xmlns:pic="http://schemas.openxmlformats.org/drawingml/2006/picture">
                        <pic:nvPicPr>
                          <pic:cNvPr id="1002" name="TextBox_66_SpCnt_184"/>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9446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03" name="TextBox_66_SpCnt_185"/>
                  <wp:cNvGraphicFramePr/>
                  <a:graphic xmlns:a="http://schemas.openxmlformats.org/drawingml/2006/main">
                    <a:graphicData uri="http://schemas.openxmlformats.org/drawingml/2006/picture">
                      <pic:pic xmlns:pic="http://schemas.openxmlformats.org/drawingml/2006/picture">
                        <pic:nvPicPr>
                          <pic:cNvPr id="1003" name="TextBox_66_SpCnt_185"/>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954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04" name="TextBox_66_SpCnt_186"/>
                  <wp:cNvGraphicFramePr/>
                  <a:graphic xmlns:a="http://schemas.openxmlformats.org/drawingml/2006/main">
                    <a:graphicData uri="http://schemas.openxmlformats.org/drawingml/2006/picture">
                      <pic:pic xmlns:pic="http://schemas.openxmlformats.org/drawingml/2006/picture">
                        <pic:nvPicPr>
                          <pic:cNvPr id="1004" name="TextBox_66_SpCnt_186"/>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965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05" name="TextBox_66_SpCnt_187"/>
                  <wp:cNvGraphicFramePr/>
                  <a:graphic xmlns:a="http://schemas.openxmlformats.org/drawingml/2006/main">
                    <a:graphicData uri="http://schemas.openxmlformats.org/drawingml/2006/picture">
                      <pic:pic xmlns:pic="http://schemas.openxmlformats.org/drawingml/2006/picture">
                        <pic:nvPicPr>
                          <pic:cNvPr id="1005" name="TextBox_66_SpCnt_187"/>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9753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06" name="TextBox_66_SpCnt_188"/>
                  <wp:cNvGraphicFramePr/>
                  <a:graphic xmlns:a="http://schemas.openxmlformats.org/drawingml/2006/main">
                    <a:graphicData uri="http://schemas.openxmlformats.org/drawingml/2006/picture">
                      <pic:pic xmlns:pic="http://schemas.openxmlformats.org/drawingml/2006/picture">
                        <pic:nvPicPr>
                          <pic:cNvPr id="1006" name="TextBox_66_SpCnt_188"/>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9856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07" name="TextBox_66_SpCnt_189"/>
                  <wp:cNvGraphicFramePr/>
                  <a:graphic xmlns:a="http://schemas.openxmlformats.org/drawingml/2006/main">
                    <a:graphicData uri="http://schemas.openxmlformats.org/drawingml/2006/picture">
                      <pic:pic xmlns:pic="http://schemas.openxmlformats.org/drawingml/2006/picture">
                        <pic:nvPicPr>
                          <pic:cNvPr id="1007" name="TextBox_66_SpCnt_189"/>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09958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08" name="TextBox_66_SpCnt_190"/>
                  <wp:cNvGraphicFramePr/>
                  <a:graphic xmlns:a="http://schemas.openxmlformats.org/drawingml/2006/main">
                    <a:graphicData uri="http://schemas.openxmlformats.org/drawingml/2006/picture">
                      <pic:pic xmlns:pic="http://schemas.openxmlformats.org/drawingml/2006/picture">
                        <pic:nvPicPr>
                          <pic:cNvPr id="1008" name="TextBox_66_SpCnt_190"/>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0060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09" name="TextBox_66_SpCnt_191"/>
                  <wp:cNvGraphicFramePr/>
                  <a:graphic xmlns:a="http://schemas.openxmlformats.org/drawingml/2006/main">
                    <a:graphicData uri="http://schemas.openxmlformats.org/drawingml/2006/picture">
                      <pic:pic xmlns:pic="http://schemas.openxmlformats.org/drawingml/2006/picture">
                        <pic:nvPicPr>
                          <pic:cNvPr id="1009" name="TextBox_66_SpCnt_191"/>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0163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10" name="TextBox_66_SpCnt_192"/>
                  <wp:cNvGraphicFramePr/>
                  <a:graphic xmlns:a="http://schemas.openxmlformats.org/drawingml/2006/main">
                    <a:graphicData uri="http://schemas.openxmlformats.org/drawingml/2006/picture">
                      <pic:pic xmlns:pic="http://schemas.openxmlformats.org/drawingml/2006/picture">
                        <pic:nvPicPr>
                          <pic:cNvPr id="1010" name="TextBox_66_SpCnt_192"/>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0265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11" name="TextBox_66_SpCnt_193"/>
                  <wp:cNvGraphicFramePr/>
                  <a:graphic xmlns:a="http://schemas.openxmlformats.org/drawingml/2006/main">
                    <a:graphicData uri="http://schemas.openxmlformats.org/drawingml/2006/picture">
                      <pic:pic xmlns:pic="http://schemas.openxmlformats.org/drawingml/2006/picture">
                        <pic:nvPicPr>
                          <pic:cNvPr id="1011" name="TextBox_66_SpCnt_193"/>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0368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12" name="TextBox_66_SpCnt_194"/>
                  <wp:cNvGraphicFramePr/>
                  <a:graphic xmlns:a="http://schemas.openxmlformats.org/drawingml/2006/main">
                    <a:graphicData uri="http://schemas.openxmlformats.org/drawingml/2006/picture">
                      <pic:pic xmlns:pic="http://schemas.openxmlformats.org/drawingml/2006/picture">
                        <pic:nvPicPr>
                          <pic:cNvPr id="1012" name="TextBox_66_SpCnt_194"/>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0470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13" name="TextBox_66_SpCnt_195"/>
                  <wp:cNvGraphicFramePr/>
                  <a:graphic xmlns:a="http://schemas.openxmlformats.org/drawingml/2006/main">
                    <a:graphicData uri="http://schemas.openxmlformats.org/drawingml/2006/picture">
                      <pic:pic xmlns:pic="http://schemas.openxmlformats.org/drawingml/2006/picture">
                        <pic:nvPicPr>
                          <pic:cNvPr id="1013" name="TextBox_66_SpCnt_195"/>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0572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14" name="TextBox_66_SpCnt_196"/>
                  <wp:cNvGraphicFramePr/>
                  <a:graphic xmlns:a="http://schemas.openxmlformats.org/drawingml/2006/main">
                    <a:graphicData uri="http://schemas.openxmlformats.org/drawingml/2006/picture">
                      <pic:pic xmlns:pic="http://schemas.openxmlformats.org/drawingml/2006/picture">
                        <pic:nvPicPr>
                          <pic:cNvPr id="1014" name="TextBox_66_SpCnt_196"/>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0675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15" name="TextBox_66_SpCnt_197"/>
                  <wp:cNvGraphicFramePr/>
                  <a:graphic xmlns:a="http://schemas.openxmlformats.org/drawingml/2006/main">
                    <a:graphicData uri="http://schemas.openxmlformats.org/drawingml/2006/picture">
                      <pic:pic xmlns:pic="http://schemas.openxmlformats.org/drawingml/2006/picture">
                        <pic:nvPicPr>
                          <pic:cNvPr id="1015" name="TextBox_66_SpCnt_197"/>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0777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16" name="TextBox_66_SpCnt_198"/>
                  <wp:cNvGraphicFramePr/>
                  <a:graphic xmlns:a="http://schemas.openxmlformats.org/drawingml/2006/main">
                    <a:graphicData uri="http://schemas.openxmlformats.org/drawingml/2006/picture">
                      <pic:pic xmlns:pic="http://schemas.openxmlformats.org/drawingml/2006/picture">
                        <pic:nvPicPr>
                          <pic:cNvPr id="1016" name="TextBox_66_SpCnt_198"/>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0880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17" name="TextBox_66_SpCnt_199"/>
                  <wp:cNvGraphicFramePr/>
                  <a:graphic xmlns:a="http://schemas.openxmlformats.org/drawingml/2006/main">
                    <a:graphicData uri="http://schemas.openxmlformats.org/drawingml/2006/picture">
                      <pic:pic xmlns:pic="http://schemas.openxmlformats.org/drawingml/2006/picture">
                        <pic:nvPicPr>
                          <pic:cNvPr id="1017" name="TextBox_66_SpCnt_199"/>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0982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18" name="TextBox_66_SpCnt_200"/>
                  <wp:cNvGraphicFramePr/>
                  <a:graphic xmlns:a="http://schemas.openxmlformats.org/drawingml/2006/main">
                    <a:graphicData uri="http://schemas.openxmlformats.org/drawingml/2006/picture">
                      <pic:pic xmlns:pic="http://schemas.openxmlformats.org/drawingml/2006/picture">
                        <pic:nvPicPr>
                          <pic:cNvPr id="1018" name="TextBox_66_SpCnt_200"/>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1084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19" name="TextBox_66_SpCnt_201"/>
                  <wp:cNvGraphicFramePr/>
                  <a:graphic xmlns:a="http://schemas.openxmlformats.org/drawingml/2006/main">
                    <a:graphicData uri="http://schemas.openxmlformats.org/drawingml/2006/picture">
                      <pic:pic xmlns:pic="http://schemas.openxmlformats.org/drawingml/2006/picture">
                        <pic:nvPicPr>
                          <pic:cNvPr id="1019" name="TextBox_66_SpCnt_201"/>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1187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20" name="TextBox_66_SpCnt_202"/>
                  <wp:cNvGraphicFramePr/>
                  <a:graphic xmlns:a="http://schemas.openxmlformats.org/drawingml/2006/main">
                    <a:graphicData uri="http://schemas.openxmlformats.org/drawingml/2006/picture">
                      <pic:pic xmlns:pic="http://schemas.openxmlformats.org/drawingml/2006/picture">
                        <pic:nvPicPr>
                          <pic:cNvPr id="1020" name="TextBox_66_SpCnt_202"/>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1289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21" name="TextBox_66_SpCnt_203"/>
                  <wp:cNvGraphicFramePr/>
                  <a:graphic xmlns:a="http://schemas.openxmlformats.org/drawingml/2006/main">
                    <a:graphicData uri="http://schemas.openxmlformats.org/drawingml/2006/picture">
                      <pic:pic xmlns:pic="http://schemas.openxmlformats.org/drawingml/2006/picture">
                        <pic:nvPicPr>
                          <pic:cNvPr id="1021" name="TextBox_66_SpCnt_203"/>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1392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22" name="TextBox_66_SpCnt_204"/>
                  <wp:cNvGraphicFramePr/>
                  <a:graphic xmlns:a="http://schemas.openxmlformats.org/drawingml/2006/main">
                    <a:graphicData uri="http://schemas.openxmlformats.org/drawingml/2006/picture">
                      <pic:pic xmlns:pic="http://schemas.openxmlformats.org/drawingml/2006/picture">
                        <pic:nvPicPr>
                          <pic:cNvPr id="1022" name="TextBox_66_SpCnt_204"/>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1494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23" name="TextBox_66_SpCnt_205"/>
                  <wp:cNvGraphicFramePr/>
                  <a:graphic xmlns:a="http://schemas.openxmlformats.org/drawingml/2006/main">
                    <a:graphicData uri="http://schemas.openxmlformats.org/drawingml/2006/picture">
                      <pic:pic xmlns:pic="http://schemas.openxmlformats.org/drawingml/2006/picture">
                        <pic:nvPicPr>
                          <pic:cNvPr id="1023" name="TextBox_66_SpCnt_205"/>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1596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24" name="TextBox_66_SpCnt_206"/>
                  <wp:cNvGraphicFramePr/>
                  <a:graphic xmlns:a="http://schemas.openxmlformats.org/drawingml/2006/main">
                    <a:graphicData uri="http://schemas.openxmlformats.org/drawingml/2006/picture">
                      <pic:pic xmlns:pic="http://schemas.openxmlformats.org/drawingml/2006/picture">
                        <pic:nvPicPr>
                          <pic:cNvPr id="1024" name="TextBox_66_SpCnt_206"/>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1699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25" name="TextBox_66_SpCnt_207"/>
                  <wp:cNvGraphicFramePr/>
                  <a:graphic xmlns:a="http://schemas.openxmlformats.org/drawingml/2006/main">
                    <a:graphicData uri="http://schemas.openxmlformats.org/drawingml/2006/picture">
                      <pic:pic xmlns:pic="http://schemas.openxmlformats.org/drawingml/2006/picture">
                        <pic:nvPicPr>
                          <pic:cNvPr id="1025" name="TextBox_66_SpCnt_207"/>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1801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26" name="TextBox_66_SpCnt_208"/>
                  <wp:cNvGraphicFramePr/>
                  <a:graphic xmlns:a="http://schemas.openxmlformats.org/drawingml/2006/main">
                    <a:graphicData uri="http://schemas.openxmlformats.org/drawingml/2006/picture">
                      <pic:pic xmlns:pic="http://schemas.openxmlformats.org/drawingml/2006/picture">
                        <pic:nvPicPr>
                          <pic:cNvPr id="1026" name="TextBox_66_SpCnt_208"/>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1904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27" name="TextBox_66_SpCnt_209"/>
                  <wp:cNvGraphicFramePr/>
                  <a:graphic xmlns:a="http://schemas.openxmlformats.org/drawingml/2006/main">
                    <a:graphicData uri="http://schemas.openxmlformats.org/drawingml/2006/picture">
                      <pic:pic xmlns:pic="http://schemas.openxmlformats.org/drawingml/2006/picture">
                        <pic:nvPicPr>
                          <pic:cNvPr id="1027" name="TextBox_66_SpCnt_209"/>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2006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28" name="TextBox_66_SpCnt_210"/>
                  <wp:cNvGraphicFramePr/>
                  <a:graphic xmlns:a="http://schemas.openxmlformats.org/drawingml/2006/main">
                    <a:graphicData uri="http://schemas.openxmlformats.org/drawingml/2006/picture">
                      <pic:pic xmlns:pic="http://schemas.openxmlformats.org/drawingml/2006/picture">
                        <pic:nvPicPr>
                          <pic:cNvPr id="1028" name="TextBox_66_SpCnt_210"/>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210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29" name="TextBox_66_SpCnt_211"/>
                  <wp:cNvGraphicFramePr/>
                  <a:graphic xmlns:a="http://schemas.openxmlformats.org/drawingml/2006/main">
                    <a:graphicData uri="http://schemas.openxmlformats.org/drawingml/2006/picture">
                      <pic:pic xmlns:pic="http://schemas.openxmlformats.org/drawingml/2006/picture">
                        <pic:nvPicPr>
                          <pic:cNvPr id="1029" name="TextBox_66_SpCnt_211"/>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221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30" name="TextBox_66_SpCnt_212"/>
                  <wp:cNvGraphicFramePr/>
                  <a:graphic xmlns:a="http://schemas.openxmlformats.org/drawingml/2006/main">
                    <a:graphicData uri="http://schemas.openxmlformats.org/drawingml/2006/picture">
                      <pic:pic xmlns:pic="http://schemas.openxmlformats.org/drawingml/2006/picture">
                        <pic:nvPicPr>
                          <pic:cNvPr id="1030" name="TextBox_66_SpCnt_212"/>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2313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31" name="TextBox_66_SpCnt_213"/>
                  <wp:cNvGraphicFramePr/>
                  <a:graphic xmlns:a="http://schemas.openxmlformats.org/drawingml/2006/main">
                    <a:graphicData uri="http://schemas.openxmlformats.org/drawingml/2006/picture">
                      <pic:pic xmlns:pic="http://schemas.openxmlformats.org/drawingml/2006/picture">
                        <pic:nvPicPr>
                          <pic:cNvPr id="1031" name="TextBox_66_SpCnt_213"/>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2416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32" name="TextBox_66_SpCnt_214"/>
                  <wp:cNvGraphicFramePr/>
                  <a:graphic xmlns:a="http://schemas.openxmlformats.org/drawingml/2006/main">
                    <a:graphicData uri="http://schemas.openxmlformats.org/drawingml/2006/picture">
                      <pic:pic xmlns:pic="http://schemas.openxmlformats.org/drawingml/2006/picture">
                        <pic:nvPicPr>
                          <pic:cNvPr id="1032" name="TextBox_66_SpCnt_214"/>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2518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33" name="TextBox_66_SpCnt_215"/>
                  <wp:cNvGraphicFramePr/>
                  <a:graphic xmlns:a="http://schemas.openxmlformats.org/drawingml/2006/main">
                    <a:graphicData uri="http://schemas.openxmlformats.org/drawingml/2006/picture">
                      <pic:pic xmlns:pic="http://schemas.openxmlformats.org/drawingml/2006/picture">
                        <pic:nvPicPr>
                          <pic:cNvPr id="1033" name="TextBox_66_SpCnt_215"/>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2620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34" name="TextBox_66_SpCnt_216"/>
                  <wp:cNvGraphicFramePr/>
                  <a:graphic xmlns:a="http://schemas.openxmlformats.org/drawingml/2006/main">
                    <a:graphicData uri="http://schemas.openxmlformats.org/drawingml/2006/picture">
                      <pic:pic xmlns:pic="http://schemas.openxmlformats.org/drawingml/2006/picture">
                        <pic:nvPicPr>
                          <pic:cNvPr id="1034" name="TextBox_66_SpCnt_216"/>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2723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35" name="TextBox_66_SpCnt_217"/>
                  <wp:cNvGraphicFramePr/>
                  <a:graphic xmlns:a="http://schemas.openxmlformats.org/drawingml/2006/main">
                    <a:graphicData uri="http://schemas.openxmlformats.org/drawingml/2006/picture">
                      <pic:pic xmlns:pic="http://schemas.openxmlformats.org/drawingml/2006/picture">
                        <pic:nvPicPr>
                          <pic:cNvPr id="1035" name="TextBox_66_SpCnt_217"/>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2825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36" name="TextBox_66_SpCnt_218"/>
                  <wp:cNvGraphicFramePr/>
                  <a:graphic xmlns:a="http://schemas.openxmlformats.org/drawingml/2006/main">
                    <a:graphicData uri="http://schemas.openxmlformats.org/drawingml/2006/picture">
                      <pic:pic xmlns:pic="http://schemas.openxmlformats.org/drawingml/2006/picture">
                        <pic:nvPicPr>
                          <pic:cNvPr id="1036" name="TextBox_66_SpCnt_218"/>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2928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37" name="TextBox_66_SpCnt_219"/>
                  <wp:cNvGraphicFramePr/>
                  <a:graphic xmlns:a="http://schemas.openxmlformats.org/drawingml/2006/main">
                    <a:graphicData uri="http://schemas.openxmlformats.org/drawingml/2006/picture">
                      <pic:pic xmlns:pic="http://schemas.openxmlformats.org/drawingml/2006/picture">
                        <pic:nvPicPr>
                          <pic:cNvPr id="1037" name="TextBox_66_SpCnt_219"/>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3030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38" name="TextBox_66_SpCnt_220"/>
                  <wp:cNvGraphicFramePr/>
                  <a:graphic xmlns:a="http://schemas.openxmlformats.org/drawingml/2006/main">
                    <a:graphicData uri="http://schemas.openxmlformats.org/drawingml/2006/picture">
                      <pic:pic xmlns:pic="http://schemas.openxmlformats.org/drawingml/2006/picture">
                        <pic:nvPicPr>
                          <pic:cNvPr id="1038" name="TextBox_66_SpCnt_220"/>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3132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39" name="TextBox_66_SpCnt_221"/>
                  <wp:cNvGraphicFramePr/>
                  <a:graphic xmlns:a="http://schemas.openxmlformats.org/drawingml/2006/main">
                    <a:graphicData uri="http://schemas.openxmlformats.org/drawingml/2006/picture">
                      <pic:pic xmlns:pic="http://schemas.openxmlformats.org/drawingml/2006/picture">
                        <pic:nvPicPr>
                          <pic:cNvPr id="1039" name="TextBox_66_SpCnt_221"/>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3235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40" name="TextBox_66_SpCnt_222"/>
                  <wp:cNvGraphicFramePr/>
                  <a:graphic xmlns:a="http://schemas.openxmlformats.org/drawingml/2006/main">
                    <a:graphicData uri="http://schemas.openxmlformats.org/drawingml/2006/picture">
                      <pic:pic xmlns:pic="http://schemas.openxmlformats.org/drawingml/2006/picture">
                        <pic:nvPicPr>
                          <pic:cNvPr id="1040" name="TextBox_66_SpCnt_222"/>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3337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41" name="TextBox_66_SpCnt_223"/>
                  <wp:cNvGraphicFramePr/>
                  <a:graphic xmlns:a="http://schemas.openxmlformats.org/drawingml/2006/main">
                    <a:graphicData uri="http://schemas.openxmlformats.org/drawingml/2006/picture">
                      <pic:pic xmlns:pic="http://schemas.openxmlformats.org/drawingml/2006/picture">
                        <pic:nvPicPr>
                          <pic:cNvPr id="1041" name="TextBox_66_SpCnt_223"/>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3440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42" name="TextBox_66_SpCnt_224"/>
                  <wp:cNvGraphicFramePr/>
                  <a:graphic xmlns:a="http://schemas.openxmlformats.org/drawingml/2006/main">
                    <a:graphicData uri="http://schemas.openxmlformats.org/drawingml/2006/picture">
                      <pic:pic xmlns:pic="http://schemas.openxmlformats.org/drawingml/2006/picture">
                        <pic:nvPicPr>
                          <pic:cNvPr id="1042" name="TextBox_66_SpCnt_224"/>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3542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43" name="TextBox_66_SpCnt_225"/>
                  <wp:cNvGraphicFramePr/>
                  <a:graphic xmlns:a="http://schemas.openxmlformats.org/drawingml/2006/main">
                    <a:graphicData uri="http://schemas.openxmlformats.org/drawingml/2006/picture">
                      <pic:pic xmlns:pic="http://schemas.openxmlformats.org/drawingml/2006/picture">
                        <pic:nvPicPr>
                          <pic:cNvPr id="1043" name="TextBox_66_SpCnt_225"/>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3644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44" name="TextBox_66_SpCnt_226"/>
                  <wp:cNvGraphicFramePr/>
                  <a:graphic xmlns:a="http://schemas.openxmlformats.org/drawingml/2006/main">
                    <a:graphicData uri="http://schemas.openxmlformats.org/drawingml/2006/picture">
                      <pic:pic xmlns:pic="http://schemas.openxmlformats.org/drawingml/2006/picture">
                        <pic:nvPicPr>
                          <pic:cNvPr id="1044" name="TextBox_66_SpCnt_226"/>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3747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45" name="TextBox_66_SpCnt_227"/>
                  <wp:cNvGraphicFramePr/>
                  <a:graphic xmlns:a="http://schemas.openxmlformats.org/drawingml/2006/main">
                    <a:graphicData uri="http://schemas.openxmlformats.org/drawingml/2006/picture">
                      <pic:pic xmlns:pic="http://schemas.openxmlformats.org/drawingml/2006/picture">
                        <pic:nvPicPr>
                          <pic:cNvPr id="1045" name="TextBox_66_SpCnt_227"/>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3849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46" name="TextBox_66_SpCnt_228"/>
                  <wp:cNvGraphicFramePr/>
                  <a:graphic xmlns:a="http://schemas.openxmlformats.org/drawingml/2006/main">
                    <a:graphicData uri="http://schemas.openxmlformats.org/drawingml/2006/picture">
                      <pic:pic xmlns:pic="http://schemas.openxmlformats.org/drawingml/2006/picture">
                        <pic:nvPicPr>
                          <pic:cNvPr id="1046" name="TextBox_66_SpCnt_228"/>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3952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47" name="TextBox_66_SpCnt_229"/>
                  <wp:cNvGraphicFramePr/>
                  <a:graphic xmlns:a="http://schemas.openxmlformats.org/drawingml/2006/main">
                    <a:graphicData uri="http://schemas.openxmlformats.org/drawingml/2006/picture">
                      <pic:pic xmlns:pic="http://schemas.openxmlformats.org/drawingml/2006/picture">
                        <pic:nvPicPr>
                          <pic:cNvPr id="1047" name="TextBox_66_SpCnt_229"/>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4054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48" name="TextBox_66_SpCnt_230"/>
                  <wp:cNvGraphicFramePr/>
                  <a:graphic xmlns:a="http://schemas.openxmlformats.org/drawingml/2006/main">
                    <a:graphicData uri="http://schemas.openxmlformats.org/drawingml/2006/picture">
                      <pic:pic xmlns:pic="http://schemas.openxmlformats.org/drawingml/2006/picture">
                        <pic:nvPicPr>
                          <pic:cNvPr id="1048" name="TextBox_66_SpCnt_230"/>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4156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49" name="TextBox_66_SpCnt_231"/>
                  <wp:cNvGraphicFramePr/>
                  <a:graphic xmlns:a="http://schemas.openxmlformats.org/drawingml/2006/main">
                    <a:graphicData uri="http://schemas.openxmlformats.org/drawingml/2006/picture">
                      <pic:pic xmlns:pic="http://schemas.openxmlformats.org/drawingml/2006/picture">
                        <pic:nvPicPr>
                          <pic:cNvPr id="1049" name="TextBox_66_SpCnt_231"/>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4259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50" name="TextBox_66_SpCnt_232"/>
                  <wp:cNvGraphicFramePr/>
                  <a:graphic xmlns:a="http://schemas.openxmlformats.org/drawingml/2006/main">
                    <a:graphicData uri="http://schemas.openxmlformats.org/drawingml/2006/picture">
                      <pic:pic xmlns:pic="http://schemas.openxmlformats.org/drawingml/2006/picture">
                        <pic:nvPicPr>
                          <pic:cNvPr id="1050" name="TextBox_66_SpCnt_232"/>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4361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51" name="TextBox_66_SpCnt_233"/>
                  <wp:cNvGraphicFramePr/>
                  <a:graphic xmlns:a="http://schemas.openxmlformats.org/drawingml/2006/main">
                    <a:graphicData uri="http://schemas.openxmlformats.org/drawingml/2006/picture">
                      <pic:pic xmlns:pic="http://schemas.openxmlformats.org/drawingml/2006/picture">
                        <pic:nvPicPr>
                          <pic:cNvPr id="1051" name="TextBox_66_SpCnt_233"/>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4464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52" name="TextBox_66_SpCnt_234"/>
                  <wp:cNvGraphicFramePr/>
                  <a:graphic xmlns:a="http://schemas.openxmlformats.org/drawingml/2006/main">
                    <a:graphicData uri="http://schemas.openxmlformats.org/drawingml/2006/picture">
                      <pic:pic xmlns:pic="http://schemas.openxmlformats.org/drawingml/2006/picture">
                        <pic:nvPicPr>
                          <pic:cNvPr id="1052" name="TextBox_66_SpCnt_234"/>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45664"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53" name="TextBox_66_SpCnt_235"/>
                  <wp:cNvGraphicFramePr/>
                  <a:graphic xmlns:a="http://schemas.openxmlformats.org/drawingml/2006/main">
                    <a:graphicData uri="http://schemas.openxmlformats.org/drawingml/2006/picture">
                      <pic:pic xmlns:pic="http://schemas.openxmlformats.org/drawingml/2006/picture">
                        <pic:nvPicPr>
                          <pic:cNvPr id="1053" name="TextBox_66_SpCnt_235"/>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466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54" name="TextBox_66_SpCnt_236"/>
                  <wp:cNvGraphicFramePr/>
                  <a:graphic xmlns:a="http://schemas.openxmlformats.org/drawingml/2006/main">
                    <a:graphicData uri="http://schemas.openxmlformats.org/drawingml/2006/picture">
                      <pic:pic xmlns:pic="http://schemas.openxmlformats.org/drawingml/2006/picture">
                        <pic:nvPicPr>
                          <pic:cNvPr id="1054" name="TextBox_66_SpCnt_236"/>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477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55" name="TextBox_66_SpCnt_237"/>
                  <wp:cNvGraphicFramePr/>
                  <a:graphic xmlns:a="http://schemas.openxmlformats.org/drawingml/2006/main">
                    <a:graphicData uri="http://schemas.openxmlformats.org/drawingml/2006/picture">
                      <pic:pic xmlns:pic="http://schemas.openxmlformats.org/drawingml/2006/picture">
                        <pic:nvPicPr>
                          <pic:cNvPr id="1055" name="TextBox_66_SpCnt_237"/>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48736"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56" name="TextBox_66_SpCnt_238"/>
                  <wp:cNvGraphicFramePr/>
                  <a:graphic xmlns:a="http://schemas.openxmlformats.org/drawingml/2006/main">
                    <a:graphicData uri="http://schemas.openxmlformats.org/drawingml/2006/picture">
                      <pic:pic xmlns:pic="http://schemas.openxmlformats.org/drawingml/2006/picture">
                        <pic:nvPicPr>
                          <pic:cNvPr id="1056" name="TextBox_66_SpCnt_238"/>
                          <pic:cNvPicPr/>
                        </pic:nvPicPr>
                        <pic:blipFill>
                          <a:blip r:embed="rId13"/>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bidi="ar"/>
              </w:rPr>
              <w:drawing>
                <wp:anchor distT="0" distB="0" distL="114300" distR="114300" simplePos="0" relativeHeight="252149760"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57" name="TextBox_66_SpCnt_239"/>
                  <wp:cNvGraphicFramePr/>
                  <a:graphic xmlns:a="http://schemas.openxmlformats.org/drawingml/2006/main">
                    <a:graphicData uri="http://schemas.openxmlformats.org/drawingml/2006/picture">
                      <pic:pic xmlns:pic="http://schemas.openxmlformats.org/drawingml/2006/picture">
                        <pic:nvPicPr>
                          <pic:cNvPr id="1057" name="TextBox_66_SpCnt_239"/>
                          <pic:cNvPicPr/>
                        </pic:nvPicPr>
                        <pic:blipFill>
                          <a:blip r:embed="rId13"/>
                          <a:stretch>
                            <a:fillRect/>
                          </a:stretch>
                        </pic:blipFill>
                        <pic:spPr>
                          <a:xfrm>
                            <a:off x="0" y="0"/>
                            <a:ext cx="184150" cy="264160"/>
                          </a:xfrm>
                          <a:prstGeom prst="rect">
                            <a:avLst/>
                          </a:prstGeom>
                          <a:noFill/>
                          <a:ln>
                            <a:noFill/>
                          </a:ln>
                        </pic:spPr>
                      </pic:pic>
                    </a:graphicData>
                  </a:graphic>
                </wp:anchor>
              </w:drawing>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企业银行各项费用</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宜宾骏继招商</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830900346010301</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四川泽丰非融资性担保有限公司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工程款11开</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127,530.00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开发费用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四川泽丰非融资性担保有限公司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工程款12开</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151,760.00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开发费用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成都世茂房地产开发有限公司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划款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230,000.00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员工工资</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宜宾市住房公积金管理中心</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世茂金座·云锦项目</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24,000.00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其他费用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公积金贷款保证金</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成都三和新业科技有限公司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行政14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7,650.00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肖秋月</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报销18</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110.00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宜宾旗嘉汽车服务有限公司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工程款13营</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26,000.00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营建成本</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报销15</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757.79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报销16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管理费行政10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16,200.00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报销17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182.00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宜宾市建业工程质量检测有限责任公司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工程款19开</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80,000.00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非合同请款</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国网四川省电力公司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电费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8,953.70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国网四川省电力公司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电费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9,797.60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天津市豫立亨通商贸有限公司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商票到期兑付</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成都建工第八建筑工程有限公司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商票到期兑付</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290,000.00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深圳市颐和生物科技有限公司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商票到期兑付</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天津市豫立亨通商贸有限公司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商票到期兑付</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四川志德岩土工程有限责任公司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商票到期兑付</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819,531.80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业务收费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宜宾骏继招商</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830900346010301</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待报解预算收入-库税银</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代理国库税收收缴</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11,187.83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税费</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报销57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339.32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四川智行力度房地产营销策划有限公司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销售佣金29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48,451.03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成都正合地产顾问股份有限公司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销售佣金32</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31,938.37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侯运洪</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退房款52</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收费退缴</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谢璐羽</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退房款51</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收费退缴</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承德祥益商贸有限公司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商票到期兑付</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承德合美商贸有限公司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商票到期兑付</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沈阳启兰经贸有限公司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商票到期兑付</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工行异地汇款手续费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跨行快汇手续费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跨行汇款手续费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260.00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跨行汇款手续费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短信费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宜宾骏继中国农业银行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22470201040022852</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待报解预算收入-库税银</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代理国库税收收缴</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897,707.94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税费</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成都金座置业有限公司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划款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8,700,000.00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股东分配</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成都信茂涵置业有限公司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划款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15,300,000.00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股东分配</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四川方胜人力资源服务有限公司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销售佣金66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71,491.33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张武</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报销88</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636.08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成都建工第八建筑工程有限公司宜宾分公司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工程款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449,283.17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商票贴息</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成都市优仕力广告有限公司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商票到期兑付</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138,959.00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资金计划外</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成都金座置业有限公司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划款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6,000,000.00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股东分配</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宜宾佳鑫建筑工程有限责任公司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划款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8,000,000.00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总包兜款2800万元</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宜宾佳鑫建筑工程有限责任公司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划款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10,000,000.00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总包兜款2800万元</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宜宾市住房公积金管理中心</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世茂金座·云锦项目</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12,000.00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其他费用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公积金贷款保证金</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宜宾市住房公积金管理中心</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世茂金座·云锦项目</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12,000.00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其他费用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公积金贷款保证金</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成都信茂涵置业有限公司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划款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2,550,000.00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股东分配</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成都金座置业有限公司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划款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2,450,000.00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股东分配</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宜宾佳鑫建筑工程有限责任公司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划款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10,000,000.00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宜宾骏继建设银行预售账户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总包兜款2800万元</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滦平天泽嘉诚商贸有限公司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商票到期兑付</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滦平天泽嘉诚商贸有限公司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商票到期兑付</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滦平天泽嘉诚商贸有限公司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商票到期兑付</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滦平天泽嘉诚商贸有限公司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商票到期兑付</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滦平天泽嘉诚商贸有限公司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商票到期兑付</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滦平天泽嘉诚商贸有限公司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商票到期兑付</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2021-6-19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余额变动提醒手续费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网银注册账户服务费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成都柏拉图视觉科技有限公司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企划款130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26,300.00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陈兴兰</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报销142</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361.90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成都市子木文化传播有限公司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企划款119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70,000.00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宜宾创享网络科技有限责任公司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企划款127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成都市子木文化传播有限公司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企划款116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65,000.00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重庆市渝北区房友地产顾问有限公司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销售佣金110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17,092.55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成都睿帆广告有限公司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企划款124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28,185.00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四川蓝羚文化传播有限公司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企划款113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25,634.00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成都建工第八建筑工程有限公司宜宾分公司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工程款建安</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3,900,000.00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潘麓西</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报销144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317.00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四川顺丰速运有限公司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管理费行政143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175.00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天津市滨海新区全心建材销售经营部</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商票到期兑付</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天津市滨海新区全心建材销售经营部</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商票到期兑付</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宜宾市住房公积金管理中心</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世茂金座·云锦</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120,000.00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其他费用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公积金贷款保证金</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2021-6-29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中建一局集团第三建筑有限公司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工程款233建</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宜宾骏继建设银行</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51050172610800000895</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资金计划外</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北京外企德科人力资源服务上海有限公司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公积金</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79,315.80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2021-6-30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北京外企德科人力资源服务上海有限公司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620.10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宜宾骏继洪工商银行基本户</w:t>
            </w:r>
            <w:r>
              <w:rPr>
                <w:rFonts w:hint="eastAsia" w:ascii="Arial" w:hAnsi="Arial" w:cs="Arial"/>
                <w:bCs/>
                <w:color w:val="000000"/>
                <w:kern w:val="2"/>
                <w:sz w:val="18"/>
                <w:szCs w:val="18"/>
                <w:lang w:bidi="ar"/>
              </w:rPr>
              <w:br w:type="textWrapping"/>
            </w:r>
            <w:r>
              <w:rPr>
                <w:rFonts w:hint="eastAsia" w:ascii="Arial" w:hAnsi="Arial" w:cs="Arial"/>
                <w:bCs/>
                <w:color w:val="000000"/>
                <w:kern w:val="2"/>
                <w:sz w:val="18"/>
                <w:szCs w:val="18"/>
                <w:lang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bl>
    <w:p>
      <w:pPr>
        <w:ind w:firstLine="420" w:firstLineChars="200"/>
        <w:rPr>
          <w:rFonts w:ascii="宋体" w:hAnsi="宋体" w:cs="宋体"/>
          <w:bCs/>
          <w:sz w:val="21"/>
          <w:szCs w:val="21"/>
        </w:rPr>
      </w:pPr>
    </w:p>
    <w:p>
      <w:pPr>
        <w:rPr>
          <w:rFonts w:ascii="Arial" w:hAnsi="Arial" w:cs="Arial"/>
          <w:kern w:val="44"/>
          <w:sz w:val="21"/>
          <w:szCs w:val="21"/>
        </w:rPr>
      </w:pPr>
      <w:r>
        <w:rPr>
          <w:rFonts w:hint="eastAsia" w:ascii="Arial" w:hAnsi="Arial" w:cs="Arial"/>
          <w:kern w:val="44"/>
          <w:sz w:val="21"/>
          <w:szCs w:val="21"/>
        </w:rPr>
        <w:br w:type="page"/>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3.资金平衡表</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截至2021年06月，本项目累计收入305,064,512.42元，累计支出893,433,518.63 元，资金平衡情况见下表：</w:t>
      </w:r>
    </w:p>
    <w:p>
      <w:pPr>
        <w:ind w:firstLine="420" w:firstLineChars="200"/>
        <w:jc w:val="center"/>
        <w:rPr>
          <w:rFonts w:ascii="宋体" w:hAnsi="宋体" w:cs="宋体"/>
          <w:b/>
          <w:sz w:val="21"/>
          <w:szCs w:val="21"/>
        </w:rPr>
      </w:pPr>
      <w:bookmarkStart w:id="44" w:name="_Toc23658"/>
      <w:r>
        <w:rPr>
          <w:rFonts w:hint="eastAsia" w:ascii="宋体" w:hAnsi="宋体" w:cs="宋体"/>
          <w:b/>
          <w:sz w:val="21"/>
          <w:szCs w:val="21"/>
        </w:rPr>
        <w:t>表十：资金平衡情况</w:t>
      </w:r>
      <w:bookmarkEnd w:id="44"/>
    </w:p>
    <w:tbl>
      <w:tblPr>
        <w:tblStyle w:val="18"/>
        <w:tblW w:w="8111" w:type="dxa"/>
        <w:jc w:val="center"/>
        <w:tblLayout w:type="fixed"/>
        <w:tblCellMar>
          <w:top w:w="0" w:type="dxa"/>
          <w:left w:w="108" w:type="dxa"/>
          <w:bottom w:w="0" w:type="dxa"/>
          <w:right w:w="108" w:type="dxa"/>
        </w:tblCellMar>
      </w:tblPr>
      <w:tblGrid>
        <w:gridCol w:w="1945"/>
        <w:gridCol w:w="1783"/>
        <w:gridCol w:w="2018"/>
        <w:gridCol w:w="2129"/>
        <w:gridCol w:w="236"/>
      </w:tblGrid>
      <w:tr>
        <w:tblPrEx>
          <w:tblCellMar>
            <w:top w:w="0" w:type="dxa"/>
            <w:left w:w="108" w:type="dxa"/>
            <w:bottom w:w="0" w:type="dxa"/>
            <w:right w:w="108" w:type="dxa"/>
          </w:tblCellMar>
        </w:tblPrEx>
        <w:trPr>
          <w:gridAfter w:val="1"/>
          <w:wAfter w:w="236" w:type="dxa"/>
          <w:trHeight w:val="488" w:hRule="atLeast"/>
          <w:tblHeader/>
          <w:jc w:val="center"/>
        </w:trPr>
        <w:tc>
          <w:tcPr>
            <w:tcW w:w="19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项目</w:t>
            </w:r>
          </w:p>
        </w:tc>
        <w:tc>
          <w:tcPr>
            <w:tcW w:w="1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项目总预算</w:t>
            </w:r>
          </w:p>
        </w:tc>
        <w:tc>
          <w:tcPr>
            <w:tcW w:w="20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本月资金实际</w:t>
            </w:r>
          </w:p>
        </w:tc>
        <w:tc>
          <w:tcPr>
            <w:tcW w:w="21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累计资金实际</w:t>
            </w:r>
          </w:p>
        </w:tc>
      </w:tr>
      <w:tr>
        <w:tblPrEx>
          <w:tblCellMar>
            <w:top w:w="0" w:type="dxa"/>
            <w:left w:w="108" w:type="dxa"/>
            <w:bottom w:w="0" w:type="dxa"/>
            <w:right w:w="108" w:type="dxa"/>
          </w:tblCellMar>
        </w:tblPrEx>
        <w:trPr>
          <w:trHeight w:val="129" w:hRule="atLeast"/>
          <w:jc w:val="center"/>
        </w:trPr>
        <w:tc>
          <w:tcPr>
            <w:tcW w:w="1945"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Cs/>
                <w:color w:val="000000"/>
                <w:kern w:val="2"/>
                <w:sz w:val="18"/>
                <w:szCs w:val="18"/>
                <w:lang w:bidi="ar"/>
              </w:rPr>
            </w:pPr>
          </w:p>
        </w:tc>
        <w:tc>
          <w:tcPr>
            <w:tcW w:w="1783"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Cs/>
                <w:color w:val="000000"/>
                <w:kern w:val="2"/>
                <w:sz w:val="18"/>
                <w:szCs w:val="18"/>
                <w:lang w:bidi="ar"/>
              </w:rPr>
            </w:pPr>
          </w:p>
        </w:tc>
        <w:tc>
          <w:tcPr>
            <w:tcW w:w="2018"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Cs/>
                <w:color w:val="000000"/>
                <w:kern w:val="2"/>
                <w:sz w:val="18"/>
                <w:szCs w:val="18"/>
                <w:lang w:bidi="ar"/>
              </w:rPr>
            </w:pPr>
          </w:p>
        </w:tc>
        <w:tc>
          <w:tcPr>
            <w:tcW w:w="212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Cs/>
                <w:color w:val="000000"/>
                <w:kern w:val="2"/>
                <w:sz w:val="18"/>
                <w:szCs w:val="18"/>
                <w:lang w:bidi="ar"/>
              </w:rPr>
            </w:pPr>
          </w:p>
        </w:tc>
        <w:tc>
          <w:tcPr>
            <w:tcW w:w="236" w:type="dxa"/>
            <w:tcBorders>
              <w:top w:val="nil"/>
              <w:left w:val="single" w:color="auto" w:sz="4" w:space="0"/>
              <w:bottom w:val="nil"/>
              <w:right w:val="nil"/>
            </w:tcBorders>
            <w:shd w:val="clear" w:color="auto" w:fill="auto"/>
            <w:noWrap/>
            <w:vAlign w:val="bottom"/>
          </w:tcPr>
          <w:p>
            <w:pPr>
              <w:jc w:val="center"/>
              <w:rPr>
                <w:rFonts w:ascii="宋体" w:hAnsi="宋体" w:cs="宋体"/>
                <w:b/>
                <w:bCs/>
                <w:color w:val="000000"/>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经营性资金流入</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358"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销售回款</w:t>
            </w:r>
          </w:p>
        </w:tc>
        <w:tc>
          <w:tcPr>
            <w:tcW w:w="1783" w:type="dxa"/>
            <w:tcBorders>
              <w:top w:val="single" w:color="auto" w:sz="4" w:space="0"/>
              <w:left w:val="single" w:color="auto" w:sz="4" w:space="0"/>
              <w:bottom w:val="single" w:color="auto" w:sz="4" w:space="0"/>
              <w:right w:val="single" w:color="auto" w:sz="4" w:space="0"/>
            </w:tcBorders>
            <w:shd w:val="clear" w:color="000000"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2,708,870,000.00</w:t>
            </w:r>
          </w:p>
        </w:tc>
        <w:tc>
          <w:tcPr>
            <w:tcW w:w="2018" w:type="dxa"/>
            <w:tcBorders>
              <w:top w:val="single" w:color="auto" w:sz="4" w:space="0"/>
              <w:left w:val="single" w:color="auto" w:sz="4" w:space="0"/>
              <w:bottom w:val="single" w:color="auto" w:sz="4" w:space="0"/>
              <w:right w:val="single" w:color="auto" w:sz="4" w:space="0"/>
            </w:tcBorders>
            <w:shd w:val="clear" w:color="000000"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26,341,404.91 </w:t>
            </w:r>
          </w:p>
        </w:tc>
        <w:tc>
          <w:tcPr>
            <w:tcW w:w="2129" w:type="dxa"/>
            <w:tcBorders>
              <w:top w:val="single" w:color="auto" w:sz="4" w:space="0"/>
              <w:left w:val="single" w:color="auto" w:sz="4" w:space="0"/>
              <w:bottom w:val="single" w:color="auto" w:sz="4" w:space="0"/>
              <w:right w:val="single" w:color="auto" w:sz="4" w:space="0"/>
            </w:tcBorders>
            <w:shd w:val="clear" w:color="000000"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305,063,611.55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其他收入</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900.87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经营性收入合计</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2,708,870,000.00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 xml:space="preserve">26,341,404.91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 xml:space="preserve">305,064,512.42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经营性资金流出</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328"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土地出让金</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769,100,000.00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769,097,280.00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开发费用</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72,190,000.00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279,290.00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ascii="Arial" w:hAnsi="Arial" w:cs="Arial"/>
                <w:bCs/>
                <w:color w:val="000000"/>
                <w:kern w:val="2"/>
                <w:sz w:val="18"/>
                <w:szCs w:val="18"/>
                <w:lang w:bidi="ar"/>
              </w:rPr>
              <w:t xml:space="preserve">21,737,708.60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建安费用</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1,067,930,000.00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11,077,773.97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52,161,795.26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营建成本</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15,880,000.00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26,000.00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585,441.85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土地契税及印花税</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28,180,000.00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23,457,467.04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开发成本小计</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1,953,280,000.00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 xml:space="preserve">11,383,063.97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 xml:space="preserve">867,039,692.75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营销费用</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47,380,000.00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387,092.28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4,461,089.75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71,070,000.00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355,716.29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4,668,017.80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5"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-363,097.72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-740,785.83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8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支付各类税费</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220,000,000.00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908,895.77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17,453,318.24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其他支出</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184,000.00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552,185.92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53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经营性支出合计</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 xml:space="preserve"> 2,291,730,000.00 </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 xml:space="preserve">12,855,670.59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 xml:space="preserve">893,433,518.63 </w:t>
            </w:r>
          </w:p>
        </w:tc>
        <w:tc>
          <w:tcPr>
            <w:tcW w:w="236" w:type="dxa"/>
            <w:tcBorders>
              <w:left w:val="single" w:color="auto" w:sz="4" w:space="0"/>
            </w:tcBorders>
            <w:vAlign w:val="center"/>
          </w:tcPr>
          <w:p>
            <w:pPr>
              <w:jc w:val="center"/>
              <w:textAlignment w:val="center"/>
              <w:rPr>
                <w:rFonts w:ascii="宋体" w:hAnsi="宋体" w:cs="宋体"/>
                <w:color w:val="000000"/>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经营性净现金流</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 xml:space="preserve"> 417,140,000.00 </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 xml:space="preserve">13,485,734.32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 xml:space="preserve">-588,369,006.21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筹资性资金净现金流</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lang w:bidi="ar"/>
              </w:rPr>
            </w:pP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lang w:bidi="ar"/>
              </w:rPr>
            </w:pP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内部往来流入</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 xml:space="preserve">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 xml:space="preserve">1,587,065,042.25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内部往来流出</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 xml:space="preserve">35,000,000.00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 xml:space="preserve">911,575,785.88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 xml:space="preserve">   外部融资款流入</w:t>
            </w:r>
          </w:p>
        </w:tc>
        <w:tc>
          <w:tcPr>
            <w:tcW w:w="17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w:t>
            </w:r>
          </w:p>
        </w:tc>
        <w:tc>
          <w:tcPr>
            <w:tcW w:w="201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 xml:space="preserve">0.00 </w:t>
            </w:r>
          </w:p>
        </w:tc>
        <w:tc>
          <w:tcPr>
            <w:tcW w:w="212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 xml:space="preserve">0.00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325"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 xml:space="preserve">   外部融资款流出</w:t>
            </w:r>
          </w:p>
        </w:tc>
        <w:tc>
          <w:tcPr>
            <w:tcW w:w="17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w:t>
            </w:r>
          </w:p>
        </w:tc>
        <w:tc>
          <w:tcPr>
            <w:tcW w:w="201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 xml:space="preserve">0.00 </w:t>
            </w:r>
          </w:p>
        </w:tc>
        <w:tc>
          <w:tcPr>
            <w:tcW w:w="212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 xml:space="preserve">0.00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净现金流量</w:t>
            </w:r>
          </w:p>
        </w:tc>
        <w:tc>
          <w:tcPr>
            <w:tcW w:w="17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417,140,000.00</w:t>
            </w:r>
          </w:p>
        </w:tc>
        <w:tc>
          <w:tcPr>
            <w:tcW w:w="201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 xml:space="preserve">-21,514,265.68 </w:t>
            </w:r>
          </w:p>
        </w:tc>
        <w:tc>
          <w:tcPr>
            <w:tcW w:w="212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 xml:space="preserve">87,120,250.16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期初余额</w:t>
            </w:r>
          </w:p>
        </w:tc>
        <w:tc>
          <w:tcPr>
            <w:tcW w:w="17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 xml:space="preserve">108,634,515.84 </w:t>
            </w:r>
          </w:p>
        </w:tc>
        <w:tc>
          <w:tcPr>
            <w:tcW w:w="212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 xml:space="preserve">0.00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期末余额</w:t>
            </w:r>
          </w:p>
        </w:tc>
        <w:tc>
          <w:tcPr>
            <w:tcW w:w="17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 xml:space="preserve">87,120,250.16 </w:t>
            </w:r>
          </w:p>
        </w:tc>
        <w:tc>
          <w:tcPr>
            <w:tcW w:w="212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 xml:space="preserve">87,120,250.16 </w:t>
            </w:r>
          </w:p>
        </w:tc>
        <w:tc>
          <w:tcPr>
            <w:tcW w:w="236" w:type="dxa"/>
            <w:tcBorders>
              <w:left w:val="single" w:color="auto" w:sz="4" w:space="0"/>
            </w:tcBorders>
            <w:vAlign w:val="center"/>
          </w:tcPr>
          <w:p>
            <w:pPr>
              <w:rPr>
                <w:rFonts w:eastAsia="Times New Roman"/>
                <w:sz w:val="20"/>
                <w:szCs w:val="20"/>
              </w:rPr>
            </w:pPr>
          </w:p>
        </w:tc>
      </w:tr>
    </w:tbl>
    <w:p>
      <w:pPr>
        <w:ind w:firstLine="420" w:firstLineChars="200"/>
        <w:rPr>
          <w:rFonts w:ascii="宋体" w:hAnsi="宋体" w:cs="宋体"/>
          <w:bCs/>
          <w:sz w:val="21"/>
          <w:szCs w:val="21"/>
        </w:rPr>
      </w:pPr>
    </w:p>
    <w:p>
      <w:pPr>
        <w:rPr>
          <w:rFonts w:ascii="Arial" w:hAnsi="Arial" w:cs="Arial"/>
          <w:bCs/>
          <w:color w:val="000000"/>
        </w:rPr>
      </w:pPr>
      <w:bookmarkStart w:id="45" w:name="_Toc17148"/>
      <w:bookmarkStart w:id="46" w:name="_Toc9822"/>
      <w:bookmarkStart w:id="47" w:name="_Toc66115203"/>
      <w:r>
        <w:rPr>
          <w:rFonts w:hint="eastAsia" w:ascii="Arial" w:hAnsi="Arial" w:cs="Arial"/>
          <w:bCs/>
          <w:color w:val="000000"/>
        </w:rPr>
        <w:br w:type="page"/>
      </w:r>
    </w:p>
    <w:p>
      <w:pPr>
        <w:pStyle w:val="3"/>
        <w:keepNext w:val="0"/>
        <w:keepLines w:val="0"/>
        <w:spacing w:before="300" w:after="300" w:line="360" w:lineRule="exact"/>
        <w:jc w:val="left"/>
        <w:rPr>
          <w:rFonts w:ascii="Arial" w:hAnsi="Arial" w:eastAsia="宋体" w:cs="Arial"/>
          <w:bCs/>
          <w:color w:val="000000"/>
          <w:sz w:val="24"/>
          <w:szCs w:val="24"/>
        </w:rPr>
      </w:pPr>
      <w:r>
        <w:rPr>
          <w:rFonts w:hint="eastAsia" w:ascii="Arial" w:hAnsi="Arial" w:eastAsia="宋体" w:cs="Arial"/>
          <w:bCs/>
          <w:color w:val="000000"/>
          <w:sz w:val="24"/>
          <w:szCs w:val="24"/>
        </w:rPr>
        <w:t>九、融资情况</w:t>
      </w:r>
      <w:bookmarkEnd w:id="45"/>
      <w:bookmarkEnd w:id="46"/>
      <w:bookmarkEnd w:id="47"/>
    </w:p>
    <w:p>
      <w:pPr>
        <w:pStyle w:val="32"/>
        <w:spacing w:line="480" w:lineRule="auto"/>
        <w:jc w:val="both"/>
        <w:rPr>
          <w:rFonts w:ascii="Arial" w:hAnsi="Arial" w:cs="Arial"/>
          <w:kern w:val="44"/>
          <w:sz w:val="21"/>
          <w:szCs w:val="21"/>
        </w:rPr>
      </w:pPr>
      <w:r>
        <w:rPr>
          <w:rFonts w:hint="eastAsia" w:ascii="Arial" w:hAnsi="Arial" w:cs="Arial"/>
          <w:kern w:val="44"/>
          <w:sz w:val="21"/>
          <w:szCs w:val="21"/>
        </w:rPr>
        <w:t>1.开发贷款：</w:t>
      </w:r>
    </w:p>
    <w:p>
      <w:pPr>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无。</w:t>
      </w:r>
    </w:p>
    <w:p>
      <w:pPr>
        <w:pStyle w:val="32"/>
        <w:spacing w:line="480" w:lineRule="auto"/>
        <w:jc w:val="both"/>
        <w:rPr>
          <w:rFonts w:ascii="Arial" w:hAnsi="Arial" w:cs="Arial"/>
          <w:kern w:val="44"/>
          <w:sz w:val="21"/>
          <w:szCs w:val="21"/>
        </w:rPr>
      </w:pPr>
      <w:r>
        <w:rPr>
          <w:rFonts w:hint="eastAsia" w:ascii="Arial" w:hAnsi="Arial" w:cs="Arial"/>
          <w:kern w:val="44"/>
          <w:sz w:val="21"/>
          <w:szCs w:val="21"/>
        </w:rPr>
        <w:t>2.其他融资：项目公司已提供三月份报表显示累计未兑付的商业承兑汇票共计金额26,622,936.95元明细（为商业承兑汇票金额与保理金额），截至6月30日未兑付的商业承兑汇票总额为 20,112,090.14元，项目公司提供的明细台账累计未兑付的商业承兑汇票金额为8,561,634.25元，保理金额为11,550,455.89元。</w:t>
      </w:r>
    </w:p>
    <w:p>
      <w:pPr>
        <w:ind w:left="420"/>
        <w:jc w:val="center"/>
        <w:rPr>
          <w:rFonts w:ascii="宋体" w:hAnsi="宋体" w:cs="宋体"/>
          <w:b/>
          <w:sz w:val="21"/>
          <w:szCs w:val="21"/>
        </w:rPr>
      </w:pPr>
      <w:r>
        <w:rPr>
          <w:rFonts w:hint="eastAsia" w:ascii="宋体" w:hAnsi="宋体" w:cs="宋体"/>
          <w:b/>
          <w:sz w:val="21"/>
          <w:szCs w:val="21"/>
        </w:rPr>
        <w:t>表十一：其他融资情况</w:t>
      </w:r>
    </w:p>
    <w:tbl>
      <w:tblPr>
        <w:tblStyle w:val="18"/>
        <w:tblW w:w="8500" w:type="dxa"/>
        <w:tblInd w:w="0" w:type="dxa"/>
        <w:tblLayout w:type="autofit"/>
        <w:tblCellMar>
          <w:top w:w="0" w:type="dxa"/>
          <w:left w:w="108" w:type="dxa"/>
          <w:bottom w:w="0" w:type="dxa"/>
          <w:right w:w="108" w:type="dxa"/>
        </w:tblCellMar>
      </w:tblPr>
      <w:tblGrid>
        <w:gridCol w:w="1040"/>
        <w:gridCol w:w="2900"/>
        <w:gridCol w:w="1520"/>
        <w:gridCol w:w="1520"/>
        <w:gridCol w:w="1520"/>
      </w:tblGrid>
      <w:tr>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序号</w:t>
            </w:r>
          </w:p>
        </w:tc>
        <w:tc>
          <w:tcPr>
            <w:tcW w:w="2900" w:type="dxa"/>
            <w:tcBorders>
              <w:top w:val="single" w:color="auto" w:sz="4" w:space="0"/>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项目</w:t>
            </w:r>
          </w:p>
        </w:tc>
        <w:tc>
          <w:tcPr>
            <w:tcW w:w="1520" w:type="dxa"/>
            <w:tcBorders>
              <w:top w:val="single" w:color="auto" w:sz="4" w:space="0"/>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商业承兑汇票</w:t>
            </w:r>
          </w:p>
        </w:tc>
        <w:tc>
          <w:tcPr>
            <w:tcW w:w="1520" w:type="dxa"/>
            <w:tcBorders>
              <w:top w:val="single" w:color="auto" w:sz="4" w:space="0"/>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保理</w:t>
            </w:r>
          </w:p>
        </w:tc>
        <w:tc>
          <w:tcPr>
            <w:tcW w:w="1520" w:type="dxa"/>
            <w:tcBorders>
              <w:top w:val="single" w:color="auto" w:sz="4" w:space="0"/>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其他</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1</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截至上月累计未兑付余额</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本月新增</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3</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本月到期兑付</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4</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截至本月累计未兑付余额</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8,561,634.25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11,550,455.89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5</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截至本月累计发生额</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6</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本月到期未兑付</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7</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累计到期未兑付余额</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8</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被监管对象应承担利息金额</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9</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承担利息方式</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赶工奖</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赶工奖</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10</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已付利息</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11</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未付利息</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bl>
    <w:p>
      <w:pPr>
        <w:jc w:val="both"/>
        <w:rPr>
          <w:rFonts w:ascii="宋体" w:hAnsi="宋体" w:cs="宋体"/>
          <w:b/>
          <w:sz w:val="21"/>
          <w:szCs w:val="21"/>
        </w:rPr>
      </w:pPr>
    </w:p>
    <w:p>
      <w:pPr>
        <w:rPr>
          <w:rFonts w:ascii="宋体" w:hAnsi="宋体" w:cs="宋体"/>
          <w:b/>
          <w:sz w:val="21"/>
          <w:szCs w:val="21"/>
        </w:rPr>
      </w:pPr>
      <w:r>
        <w:rPr>
          <w:rFonts w:hint="eastAsia" w:ascii="宋体" w:hAnsi="宋体" w:cs="宋体"/>
          <w:b/>
          <w:sz w:val="21"/>
          <w:szCs w:val="21"/>
        </w:rPr>
        <w:br w:type="page"/>
      </w:r>
    </w:p>
    <w:p>
      <w:pPr>
        <w:jc w:val="center"/>
        <w:rPr>
          <w:rFonts w:ascii="宋体" w:hAnsi="宋体" w:cs="宋体"/>
          <w:b/>
          <w:sz w:val="21"/>
          <w:szCs w:val="21"/>
        </w:rPr>
      </w:pPr>
      <w:r>
        <w:rPr>
          <w:rFonts w:hint="eastAsia" w:ascii="宋体" w:hAnsi="宋体" w:cs="宋体"/>
          <w:b/>
          <w:sz w:val="21"/>
          <w:szCs w:val="21"/>
        </w:rPr>
        <w:t>表十一：其他融资到期情况</w:t>
      </w:r>
    </w:p>
    <w:tbl>
      <w:tblPr>
        <w:tblStyle w:val="18"/>
        <w:tblW w:w="9120" w:type="dxa"/>
        <w:tblInd w:w="0" w:type="dxa"/>
        <w:tblLayout w:type="fixed"/>
        <w:tblCellMar>
          <w:top w:w="0" w:type="dxa"/>
          <w:left w:w="108" w:type="dxa"/>
          <w:bottom w:w="0" w:type="dxa"/>
          <w:right w:w="108" w:type="dxa"/>
        </w:tblCellMar>
      </w:tblPr>
      <w:tblGrid>
        <w:gridCol w:w="999"/>
        <w:gridCol w:w="1625"/>
        <w:gridCol w:w="1624"/>
        <w:gridCol w:w="1624"/>
        <w:gridCol w:w="1624"/>
        <w:gridCol w:w="1624"/>
      </w:tblGrid>
      <w:tr>
        <w:tblPrEx>
          <w:tblCellMar>
            <w:top w:w="0" w:type="dxa"/>
            <w:left w:w="108" w:type="dxa"/>
            <w:bottom w:w="0" w:type="dxa"/>
            <w:right w:w="108" w:type="dxa"/>
          </w:tblCellMar>
        </w:tblPrEx>
        <w:trPr>
          <w:trHeight w:val="278" w:hRule="atLeast"/>
          <w:tblHeader/>
        </w:trPr>
        <w:tc>
          <w:tcPr>
            <w:tcW w:w="10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序号</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到期时间</w:t>
            </w:r>
          </w:p>
        </w:tc>
        <w:tc>
          <w:tcPr>
            <w:tcW w:w="1701" w:type="dxa"/>
            <w:gridSpan w:val="4"/>
            <w:tcBorders>
              <w:top w:val="single" w:color="auto" w:sz="4" w:space="0"/>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到期金额</w:t>
            </w:r>
          </w:p>
        </w:tc>
      </w:tr>
      <w:tr>
        <w:tblPrEx>
          <w:tblCellMar>
            <w:top w:w="0" w:type="dxa"/>
            <w:left w:w="108" w:type="dxa"/>
            <w:bottom w:w="0" w:type="dxa"/>
            <w:right w:w="108" w:type="dxa"/>
          </w:tblCellMar>
        </w:tblPrEx>
        <w:trPr>
          <w:trHeight w:val="278" w:hRule="atLeast"/>
          <w:tblHeader/>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textAlignment w:val="center"/>
              <w:rPr>
                <w:rFonts w:ascii="Arial" w:hAnsi="Arial" w:cs="Arial"/>
                <w:b/>
                <w:bCs/>
                <w:color w:val="000000"/>
                <w:kern w:val="2"/>
                <w:sz w:val="18"/>
                <w:szCs w:val="18"/>
                <w:lang w:bidi="ar"/>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textAlignment w:val="center"/>
              <w:rPr>
                <w:rFonts w:ascii="Arial" w:hAnsi="Arial" w:cs="Arial"/>
                <w:b/>
                <w:bCs/>
                <w:color w:val="000000"/>
                <w:kern w:val="2"/>
                <w:sz w:val="18"/>
                <w:szCs w:val="18"/>
                <w:lang w:bidi="ar"/>
              </w:rPr>
            </w:pPr>
          </w:p>
        </w:tc>
        <w:tc>
          <w:tcPr>
            <w:tcW w:w="1701"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商业承兑汇票</w:t>
            </w:r>
          </w:p>
        </w:tc>
        <w:tc>
          <w:tcPr>
            <w:tcW w:w="1701"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保理</w:t>
            </w:r>
          </w:p>
        </w:tc>
        <w:tc>
          <w:tcPr>
            <w:tcW w:w="1701"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其他</w:t>
            </w:r>
          </w:p>
        </w:tc>
        <w:tc>
          <w:tcPr>
            <w:tcW w:w="1701"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合计</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2021年1月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2</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2021年2月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3</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2021年3月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4</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2021年4月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2021年5月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6</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2021年6月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7</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2021年7月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5,183,878.00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5,183,878.00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8</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2021年8月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3,377,756.25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3,377,756.25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9</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2021年9月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2,731,086.89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2,731,086.89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10</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2021年10月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4,333,969.00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4,333,969.00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11</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2021年11月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12</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2021年12月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13</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2022年1月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2,220,000.00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2,220,000.00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14</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2022年2月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2,265,400.00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2,265,400.00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合计</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8,561,634.25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11,550,455.89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lang w:bidi="ar"/>
              </w:rPr>
            </w:pPr>
            <w:r>
              <w:rPr>
                <w:rFonts w:ascii="Arial" w:hAnsi="Arial" w:cs="Arial"/>
                <w:color w:val="000000"/>
                <w:kern w:val="2"/>
                <w:sz w:val="18"/>
                <w:szCs w:val="18"/>
                <w:lang w:bidi="ar"/>
              </w:rPr>
              <w:t xml:space="preserve">20,112,090.14 </w:t>
            </w:r>
          </w:p>
        </w:tc>
      </w:tr>
    </w:tbl>
    <w:p>
      <w:pPr>
        <w:rPr>
          <w:rFonts w:ascii="宋体" w:hAnsi="宋体" w:cs="宋体"/>
          <w:bCs/>
          <w:sz w:val="21"/>
          <w:szCs w:val="21"/>
        </w:rPr>
      </w:pPr>
    </w:p>
    <w:p>
      <w:pPr>
        <w:pStyle w:val="3"/>
        <w:keepNext w:val="0"/>
        <w:keepLines w:val="0"/>
        <w:spacing w:before="300" w:after="300" w:line="360" w:lineRule="exact"/>
        <w:jc w:val="left"/>
        <w:rPr>
          <w:rFonts w:ascii="Arial" w:hAnsi="Arial" w:eastAsia="宋体" w:cs="Arial"/>
          <w:bCs/>
          <w:color w:val="000000"/>
          <w:sz w:val="24"/>
          <w:szCs w:val="24"/>
        </w:rPr>
      </w:pPr>
      <w:bookmarkStart w:id="48" w:name="_Toc972"/>
      <w:bookmarkStart w:id="49" w:name="_Toc66115204"/>
      <w:bookmarkStart w:id="50" w:name="_Toc20728"/>
      <w:r>
        <w:rPr>
          <w:rFonts w:hint="eastAsia" w:ascii="Arial" w:hAnsi="Arial" w:eastAsia="宋体" w:cs="Arial"/>
          <w:bCs/>
          <w:color w:val="000000"/>
          <w:sz w:val="24"/>
          <w:szCs w:val="24"/>
        </w:rPr>
        <w:t>十、项目周边竞品情况分析</w:t>
      </w:r>
      <w:bookmarkEnd w:id="48"/>
      <w:bookmarkEnd w:id="49"/>
      <w:bookmarkEnd w:id="50"/>
    </w:p>
    <w:p>
      <w:pPr>
        <w:spacing w:line="480" w:lineRule="auto"/>
        <w:ind w:firstLine="420" w:firstLineChars="200"/>
        <w:rPr>
          <w:rFonts w:ascii="Arial" w:hAnsi="Arial" w:cs="Arial"/>
          <w:kern w:val="44"/>
          <w:sz w:val="21"/>
        </w:rPr>
      </w:pPr>
      <w:r>
        <w:rPr>
          <w:rFonts w:hint="eastAsia" w:ascii="Arial" w:hAnsi="Arial" w:cs="Arial"/>
          <w:kern w:val="44"/>
          <w:sz w:val="21"/>
        </w:rPr>
        <w:t>本项目位于宜宾老城区，土地供应较少，周边无在售新盘，项目竞品少，属于稀缺地段。选取距本项目3-5公里项目参照如下，项目售价基本在8000-9000元/平方米左右，去化量相对平稳。</w:t>
      </w:r>
    </w:p>
    <w:tbl>
      <w:tblPr>
        <w:tblStyle w:val="18"/>
        <w:tblW w:w="9154" w:type="dxa"/>
        <w:jc w:val="center"/>
        <w:tblLayout w:type="fixed"/>
        <w:tblCellMar>
          <w:top w:w="0" w:type="dxa"/>
          <w:left w:w="108" w:type="dxa"/>
          <w:bottom w:w="0" w:type="dxa"/>
          <w:right w:w="108" w:type="dxa"/>
        </w:tblCellMar>
      </w:tblPr>
      <w:tblGrid>
        <w:gridCol w:w="1305"/>
        <w:gridCol w:w="2070"/>
        <w:gridCol w:w="2025"/>
        <w:gridCol w:w="1909"/>
        <w:gridCol w:w="1845"/>
      </w:tblGrid>
      <w:tr>
        <w:tblPrEx>
          <w:tblCellMar>
            <w:top w:w="0" w:type="dxa"/>
            <w:left w:w="108" w:type="dxa"/>
            <w:bottom w:w="0" w:type="dxa"/>
            <w:right w:w="108" w:type="dxa"/>
          </w:tblCellMar>
        </w:tblPrEx>
        <w:trPr>
          <w:trHeight w:val="322" w:hRule="atLeast"/>
          <w:tblHeader/>
          <w:jc w:val="center"/>
        </w:trPr>
        <w:tc>
          <w:tcPr>
            <w:tcW w:w="1305" w:type="dxa"/>
            <w:tcBorders>
              <w:top w:val="single" w:color="auto" w:sz="4" w:space="0"/>
              <w:left w:val="single" w:color="auto" w:sz="4" w:space="0"/>
              <w:bottom w:val="single" w:color="auto" w:sz="4" w:space="0"/>
              <w:right w:val="single" w:color="auto" w:sz="4" w:space="0"/>
            </w:tcBorders>
            <w:shd w:val="clear" w:color="auto" w:fill="95B3D7"/>
            <w:vAlign w:val="center"/>
          </w:tcPr>
          <w:p>
            <w:pPr>
              <w:jc w:val="center"/>
              <w:rPr>
                <w:rFonts w:ascii="Arial" w:hAnsi="Arial" w:cs="Arial"/>
                <w:b/>
                <w:sz w:val="18"/>
                <w:szCs w:val="18"/>
                <w:lang w:bidi="ar"/>
              </w:rPr>
            </w:pPr>
            <w:r>
              <w:rPr>
                <w:rFonts w:hint="eastAsia" w:ascii="Arial" w:hAnsi="Arial" w:cs="Arial"/>
                <w:b/>
                <w:sz w:val="18"/>
                <w:szCs w:val="18"/>
                <w:lang w:bidi="ar"/>
              </w:rPr>
              <w:t>项目名称</w:t>
            </w:r>
          </w:p>
        </w:tc>
        <w:tc>
          <w:tcPr>
            <w:tcW w:w="2070" w:type="dxa"/>
            <w:tcBorders>
              <w:top w:val="single" w:color="auto" w:sz="4" w:space="0"/>
              <w:left w:val="nil"/>
              <w:bottom w:val="single" w:color="auto" w:sz="4" w:space="0"/>
              <w:right w:val="single" w:color="auto" w:sz="4" w:space="0"/>
            </w:tcBorders>
            <w:shd w:val="clear" w:color="auto" w:fill="95B3D7"/>
            <w:vAlign w:val="center"/>
          </w:tcPr>
          <w:p>
            <w:pPr>
              <w:jc w:val="center"/>
              <w:rPr>
                <w:rFonts w:ascii="Arial" w:hAnsi="Arial" w:cs="Arial"/>
                <w:b/>
                <w:sz w:val="18"/>
                <w:szCs w:val="18"/>
                <w:lang w:bidi="ar"/>
              </w:rPr>
            </w:pPr>
            <w:r>
              <w:rPr>
                <w:rFonts w:hint="eastAsia" w:ascii="Arial" w:hAnsi="Arial" w:cs="Arial"/>
                <w:b/>
                <w:sz w:val="18"/>
                <w:szCs w:val="18"/>
                <w:lang w:bidi="ar"/>
              </w:rPr>
              <w:t>绿地-城际空间站</w:t>
            </w:r>
          </w:p>
        </w:tc>
        <w:tc>
          <w:tcPr>
            <w:tcW w:w="2025" w:type="dxa"/>
            <w:tcBorders>
              <w:top w:val="single" w:color="auto" w:sz="4" w:space="0"/>
              <w:left w:val="nil"/>
              <w:bottom w:val="single" w:color="auto" w:sz="4" w:space="0"/>
              <w:right w:val="single" w:color="auto" w:sz="4" w:space="0"/>
            </w:tcBorders>
            <w:shd w:val="clear" w:color="auto" w:fill="95B3D7"/>
            <w:vAlign w:val="center"/>
          </w:tcPr>
          <w:p>
            <w:pPr>
              <w:jc w:val="center"/>
              <w:rPr>
                <w:rFonts w:ascii="Arial" w:hAnsi="Arial" w:cs="Arial"/>
                <w:b/>
                <w:sz w:val="18"/>
                <w:szCs w:val="18"/>
                <w:lang w:bidi="ar"/>
              </w:rPr>
            </w:pPr>
            <w:r>
              <w:rPr>
                <w:rFonts w:hint="eastAsia" w:ascii="Arial" w:hAnsi="Arial" w:cs="Arial"/>
                <w:b/>
                <w:sz w:val="18"/>
                <w:szCs w:val="18"/>
                <w:lang w:bidi="ar"/>
              </w:rPr>
              <w:t>正黄-翡翠堂</w:t>
            </w:r>
          </w:p>
        </w:tc>
        <w:tc>
          <w:tcPr>
            <w:tcW w:w="1909" w:type="dxa"/>
            <w:tcBorders>
              <w:top w:val="single" w:color="auto" w:sz="4" w:space="0"/>
              <w:left w:val="nil"/>
              <w:bottom w:val="single" w:color="auto" w:sz="4" w:space="0"/>
              <w:right w:val="single" w:color="auto" w:sz="4" w:space="0"/>
            </w:tcBorders>
            <w:shd w:val="clear" w:color="auto" w:fill="95B3D7"/>
            <w:vAlign w:val="center"/>
          </w:tcPr>
          <w:p>
            <w:pPr>
              <w:jc w:val="center"/>
              <w:rPr>
                <w:rFonts w:ascii="Arial" w:hAnsi="Arial" w:cs="Arial"/>
                <w:b/>
                <w:sz w:val="18"/>
                <w:szCs w:val="18"/>
                <w:lang w:bidi="ar"/>
              </w:rPr>
            </w:pPr>
            <w:r>
              <w:rPr>
                <w:rFonts w:hint="eastAsia" w:ascii="Arial" w:hAnsi="Arial" w:cs="Arial"/>
                <w:b/>
                <w:sz w:val="18"/>
                <w:szCs w:val="18"/>
                <w:lang w:bidi="ar"/>
              </w:rPr>
              <w:t>金科·集美江山</w:t>
            </w:r>
          </w:p>
        </w:tc>
        <w:tc>
          <w:tcPr>
            <w:tcW w:w="1845" w:type="dxa"/>
            <w:tcBorders>
              <w:top w:val="single" w:color="auto" w:sz="4" w:space="0"/>
              <w:left w:val="nil"/>
              <w:bottom w:val="single" w:color="auto" w:sz="4" w:space="0"/>
              <w:right w:val="single" w:color="auto" w:sz="4" w:space="0"/>
            </w:tcBorders>
            <w:shd w:val="clear" w:color="auto" w:fill="95B3D7"/>
            <w:vAlign w:val="center"/>
          </w:tcPr>
          <w:p>
            <w:pPr>
              <w:jc w:val="center"/>
              <w:rPr>
                <w:rFonts w:ascii="Arial" w:hAnsi="Arial" w:cs="Arial"/>
                <w:b/>
                <w:sz w:val="18"/>
                <w:szCs w:val="18"/>
                <w:lang w:bidi="ar"/>
              </w:rPr>
            </w:pPr>
            <w:r>
              <w:rPr>
                <w:rFonts w:hint="eastAsia" w:ascii="Arial" w:hAnsi="Arial" w:cs="Arial"/>
                <w:b/>
                <w:sz w:val="18"/>
                <w:szCs w:val="18"/>
                <w:lang w:bidi="ar"/>
              </w:rPr>
              <w:t>世茂金座·云锦</w:t>
            </w:r>
          </w:p>
        </w:tc>
      </w:tr>
      <w:tr>
        <w:tblPrEx>
          <w:tblCellMar>
            <w:top w:w="0" w:type="dxa"/>
            <w:left w:w="108" w:type="dxa"/>
            <w:bottom w:w="0" w:type="dxa"/>
            <w:right w:w="108" w:type="dxa"/>
          </w:tblCellMar>
        </w:tblPrEx>
        <w:trPr>
          <w:trHeight w:val="761"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距离</w:t>
            </w:r>
          </w:p>
        </w:tc>
        <w:tc>
          <w:tcPr>
            <w:tcW w:w="2070" w:type="dxa"/>
            <w:tcBorders>
              <w:top w:val="nil"/>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约4km</w:t>
            </w:r>
          </w:p>
        </w:tc>
        <w:tc>
          <w:tcPr>
            <w:tcW w:w="202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约3km</w:t>
            </w:r>
          </w:p>
        </w:tc>
        <w:tc>
          <w:tcPr>
            <w:tcW w:w="190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约</w:t>
            </w:r>
            <w:r>
              <w:rPr>
                <w:rFonts w:ascii="Arial" w:hAnsi="Arial" w:cs="Arial"/>
                <w:bCs/>
                <w:sz w:val="18"/>
                <w:szCs w:val="18"/>
                <w:lang w:bidi="ar"/>
              </w:rPr>
              <w:t>5</w:t>
            </w:r>
            <w:r>
              <w:rPr>
                <w:rFonts w:hint="eastAsia" w:ascii="Arial" w:hAnsi="Arial" w:cs="Arial"/>
                <w:bCs/>
                <w:sz w:val="18"/>
                <w:szCs w:val="18"/>
                <w:lang w:bidi="ar"/>
              </w:rPr>
              <w:t>km</w:t>
            </w:r>
          </w:p>
        </w:tc>
        <w:tc>
          <w:tcPr>
            <w:tcW w:w="184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90"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楼盘定位</w:t>
            </w:r>
          </w:p>
        </w:tc>
        <w:tc>
          <w:tcPr>
            <w:tcW w:w="2070" w:type="dxa"/>
            <w:tcBorders>
              <w:top w:val="nil"/>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刚需/刚改/改善</w:t>
            </w:r>
          </w:p>
        </w:tc>
        <w:tc>
          <w:tcPr>
            <w:tcW w:w="202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刚改/改善（高层/洋房）</w:t>
            </w:r>
          </w:p>
        </w:tc>
        <w:tc>
          <w:tcPr>
            <w:tcW w:w="190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刚需/刚改</w:t>
            </w:r>
          </w:p>
        </w:tc>
        <w:tc>
          <w:tcPr>
            <w:tcW w:w="184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刚需/刚改</w:t>
            </w:r>
          </w:p>
        </w:tc>
      </w:tr>
      <w:tr>
        <w:tblPrEx>
          <w:tblCellMar>
            <w:top w:w="0" w:type="dxa"/>
            <w:left w:w="108" w:type="dxa"/>
            <w:bottom w:w="0" w:type="dxa"/>
            <w:right w:w="108" w:type="dxa"/>
          </w:tblCellMar>
        </w:tblPrEx>
        <w:trPr>
          <w:trHeight w:val="427"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开发商</w:t>
            </w:r>
          </w:p>
        </w:tc>
        <w:tc>
          <w:tcPr>
            <w:tcW w:w="2070" w:type="dxa"/>
            <w:tcBorders>
              <w:top w:val="nil"/>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绿地集团宜宾</w:t>
            </w:r>
          </w:p>
          <w:p>
            <w:pPr>
              <w:jc w:val="center"/>
              <w:rPr>
                <w:rFonts w:ascii="Arial" w:hAnsi="Arial" w:cs="Arial"/>
                <w:bCs/>
                <w:sz w:val="18"/>
                <w:szCs w:val="18"/>
                <w:lang w:bidi="ar"/>
              </w:rPr>
            </w:pPr>
            <w:r>
              <w:rPr>
                <w:rFonts w:hint="eastAsia" w:ascii="Arial" w:hAnsi="Arial" w:cs="Arial"/>
                <w:bCs/>
                <w:sz w:val="18"/>
                <w:szCs w:val="18"/>
                <w:lang w:bidi="ar"/>
              </w:rPr>
              <w:t>置业有限公司</w:t>
            </w:r>
          </w:p>
        </w:tc>
        <w:tc>
          <w:tcPr>
            <w:tcW w:w="202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宜宾同瑞置业有限公司</w:t>
            </w:r>
          </w:p>
        </w:tc>
        <w:tc>
          <w:tcPr>
            <w:tcW w:w="190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宜宾金彦房地产开发有限公司</w:t>
            </w:r>
          </w:p>
        </w:tc>
        <w:tc>
          <w:tcPr>
            <w:tcW w:w="184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宜宾骏继洪骥</w:t>
            </w:r>
          </w:p>
          <w:p>
            <w:pPr>
              <w:jc w:val="center"/>
              <w:rPr>
                <w:rFonts w:ascii="Arial" w:hAnsi="Arial" w:cs="Arial"/>
                <w:bCs/>
                <w:sz w:val="18"/>
                <w:szCs w:val="18"/>
                <w:lang w:bidi="ar"/>
              </w:rPr>
            </w:pPr>
            <w:r>
              <w:rPr>
                <w:rFonts w:hint="eastAsia" w:ascii="Arial" w:hAnsi="Arial" w:cs="Arial"/>
                <w:bCs/>
                <w:sz w:val="18"/>
                <w:szCs w:val="18"/>
                <w:lang w:bidi="ar"/>
              </w:rPr>
              <w:t>置业有限责任公司</w:t>
            </w:r>
          </w:p>
        </w:tc>
      </w:tr>
      <w:tr>
        <w:tblPrEx>
          <w:tblCellMar>
            <w:top w:w="0" w:type="dxa"/>
            <w:left w:w="108" w:type="dxa"/>
            <w:bottom w:w="0" w:type="dxa"/>
            <w:right w:w="108" w:type="dxa"/>
          </w:tblCellMar>
        </w:tblPrEx>
        <w:trPr>
          <w:trHeight w:val="369"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开盘时间</w:t>
            </w:r>
          </w:p>
        </w:tc>
        <w:tc>
          <w:tcPr>
            <w:tcW w:w="2070" w:type="dxa"/>
            <w:tcBorders>
              <w:top w:val="nil"/>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2018年11月</w:t>
            </w:r>
          </w:p>
        </w:tc>
        <w:tc>
          <w:tcPr>
            <w:tcW w:w="202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2020年5月</w:t>
            </w:r>
          </w:p>
        </w:tc>
        <w:tc>
          <w:tcPr>
            <w:tcW w:w="190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2020年</w:t>
            </w:r>
            <w:r>
              <w:rPr>
                <w:rFonts w:ascii="Arial" w:hAnsi="Arial" w:cs="Arial"/>
                <w:bCs/>
                <w:sz w:val="18"/>
                <w:szCs w:val="18"/>
                <w:lang w:bidi="ar"/>
              </w:rPr>
              <w:t>11</w:t>
            </w:r>
            <w:r>
              <w:rPr>
                <w:rFonts w:hint="eastAsia" w:ascii="Arial" w:hAnsi="Arial" w:cs="Arial"/>
                <w:bCs/>
                <w:sz w:val="18"/>
                <w:szCs w:val="18"/>
                <w:lang w:bidi="ar"/>
              </w:rPr>
              <w:t>月</w:t>
            </w:r>
          </w:p>
        </w:tc>
        <w:tc>
          <w:tcPr>
            <w:tcW w:w="184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2020年10月</w:t>
            </w:r>
          </w:p>
        </w:tc>
      </w:tr>
      <w:tr>
        <w:tblPrEx>
          <w:tblCellMar>
            <w:top w:w="0" w:type="dxa"/>
            <w:left w:w="108" w:type="dxa"/>
            <w:bottom w:w="0" w:type="dxa"/>
            <w:right w:w="108" w:type="dxa"/>
          </w:tblCellMar>
        </w:tblPrEx>
        <w:trPr>
          <w:trHeight w:val="1083"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主要户型</w:t>
            </w:r>
          </w:p>
        </w:tc>
        <w:tc>
          <w:tcPr>
            <w:tcW w:w="2070" w:type="dxa"/>
            <w:tcBorders>
              <w:top w:val="nil"/>
              <w:left w:val="single" w:color="auto" w:sz="4" w:space="0"/>
              <w:bottom w:val="single" w:color="000000" w:sz="4" w:space="0"/>
              <w:right w:val="single" w:color="auto" w:sz="4" w:space="0"/>
            </w:tcBorders>
            <w:vAlign w:val="center"/>
          </w:tcPr>
          <w:p>
            <w:pPr>
              <w:rPr>
                <w:rFonts w:ascii="Arial" w:hAnsi="Arial" w:cs="Arial"/>
                <w:bCs/>
                <w:sz w:val="18"/>
                <w:szCs w:val="18"/>
                <w:lang w:bidi="ar"/>
              </w:rPr>
            </w:pPr>
            <w:r>
              <w:rPr>
                <w:rFonts w:hint="eastAsia" w:ascii="Arial" w:hAnsi="Arial" w:cs="Arial"/>
                <w:bCs/>
                <w:sz w:val="18"/>
                <w:szCs w:val="18"/>
                <w:lang w:bidi="ar"/>
              </w:rPr>
              <w:t>两室两厅两卫75㎡</w:t>
            </w:r>
          </w:p>
          <w:p>
            <w:pPr>
              <w:rPr>
                <w:rFonts w:ascii="Arial" w:hAnsi="Arial" w:cs="Arial"/>
                <w:bCs/>
                <w:sz w:val="18"/>
                <w:szCs w:val="18"/>
                <w:lang w:bidi="ar"/>
              </w:rPr>
            </w:pPr>
            <w:r>
              <w:rPr>
                <w:rFonts w:hint="eastAsia" w:ascii="Arial" w:hAnsi="Arial" w:cs="Arial"/>
                <w:bCs/>
                <w:sz w:val="18"/>
                <w:szCs w:val="18"/>
                <w:lang w:bidi="ar"/>
              </w:rPr>
              <w:t>三室两厅两卫121㎡</w:t>
            </w:r>
          </w:p>
          <w:p>
            <w:pPr>
              <w:rPr>
                <w:rFonts w:ascii="Arial" w:hAnsi="Arial" w:cs="Arial"/>
                <w:bCs/>
                <w:sz w:val="18"/>
                <w:szCs w:val="18"/>
                <w:lang w:bidi="ar"/>
              </w:rPr>
            </w:pPr>
            <w:r>
              <w:rPr>
                <w:rFonts w:hint="eastAsia" w:ascii="Arial" w:hAnsi="Arial" w:cs="Arial"/>
                <w:bCs/>
                <w:sz w:val="18"/>
                <w:szCs w:val="18"/>
                <w:lang w:bidi="ar"/>
              </w:rPr>
              <w:t>四室两厅两卫130㎡</w:t>
            </w:r>
          </w:p>
        </w:tc>
        <w:tc>
          <w:tcPr>
            <w:tcW w:w="2025" w:type="dxa"/>
            <w:tcBorders>
              <w:top w:val="single" w:color="auto" w:sz="4" w:space="0"/>
              <w:left w:val="single" w:color="auto" w:sz="4" w:space="0"/>
              <w:right w:val="single" w:color="auto" w:sz="4" w:space="0"/>
            </w:tcBorders>
          </w:tcPr>
          <w:p>
            <w:pPr>
              <w:rPr>
                <w:rFonts w:ascii="Arial" w:hAnsi="Arial" w:cs="Arial"/>
                <w:bCs/>
                <w:sz w:val="18"/>
                <w:szCs w:val="18"/>
                <w:lang w:bidi="ar"/>
              </w:rPr>
            </w:pPr>
            <w:r>
              <w:rPr>
                <w:rFonts w:hint="eastAsia" w:ascii="Arial" w:hAnsi="Arial" w:cs="Arial"/>
                <w:bCs/>
                <w:sz w:val="18"/>
                <w:szCs w:val="18"/>
                <w:lang w:bidi="ar"/>
              </w:rPr>
              <w:t>三室两厅两卫99㎡</w:t>
            </w:r>
          </w:p>
          <w:p>
            <w:pPr>
              <w:rPr>
                <w:rFonts w:ascii="Arial" w:hAnsi="Arial" w:cs="Arial"/>
                <w:bCs/>
                <w:sz w:val="18"/>
                <w:szCs w:val="18"/>
                <w:lang w:bidi="ar"/>
              </w:rPr>
            </w:pPr>
            <w:r>
              <w:rPr>
                <w:rFonts w:hint="eastAsia" w:ascii="Arial" w:hAnsi="Arial" w:cs="Arial"/>
                <w:bCs/>
                <w:sz w:val="18"/>
                <w:szCs w:val="18"/>
                <w:lang w:bidi="ar"/>
              </w:rPr>
              <w:t>三室两厅两卫107㎡</w:t>
            </w:r>
          </w:p>
          <w:p>
            <w:pPr>
              <w:rPr>
                <w:rFonts w:ascii="Arial" w:hAnsi="Arial" w:cs="Arial"/>
                <w:bCs/>
                <w:sz w:val="18"/>
                <w:szCs w:val="18"/>
                <w:lang w:bidi="ar"/>
              </w:rPr>
            </w:pPr>
            <w:r>
              <w:rPr>
                <w:rFonts w:hint="eastAsia" w:ascii="Arial" w:hAnsi="Arial" w:cs="Arial"/>
                <w:bCs/>
                <w:sz w:val="18"/>
                <w:szCs w:val="18"/>
                <w:lang w:bidi="ar"/>
              </w:rPr>
              <w:t>三室两厅两卫101㎡</w:t>
            </w:r>
          </w:p>
          <w:p>
            <w:pPr>
              <w:rPr>
                <w:rFonts w:ascii="Arial" w:hAnsi="Arial" w:cs="Arial"/>
                <w:bCs/>
                <w:sz w:val="18"/>
                <w:szCs w:val="18"/>
                <w:lang w:bidi="ar"/>
              </w:rPr>
            </w:pPr>
            <w:r>
              <w:rPr>
                <w:rFonts w:hint="eastAsia" w:ascii="Arial" w:hAnsi="Arial" w:cs="Arial"/>
                <w:bCs/>
                <w:sz w:val="18"/>
                <w:szCs w:val="18"/>
                <w:lang w:bidi="ar"/>
              </w:rPr>
              <w:t>五室两厅三卫134㎡</w:t>
            </w:r>
          </w:p>
          <w:p>
            <w:pPr>
              <w:rPr>
                <w:rFonts w:ascii="Arial" w:hAnsi="Arial" w:cs="Arial"/>
                <w:bCs/>
                <w:sz w:val="18"/>
                <w:szCs w:val="18"/>
                <w:lang w:bidi="ar"/>
              </w:rPr>
            </w:pPr>
            <w:r>
              <w:rPr>
                <w:rFonts w:hint="eastAsia" w:ascii="Arial" w:hAnsi="Arial" w:cs="Arial"/>
                <w:bCs/>
                <w:sz w:val="18"/>
                <w:szCs w:val="18"/>
                <w:lang w:bidi="ar"/>
              </w:rPr>
              <w:t>五室两厅三卫150㎡</w:t>
            </w:r>
          </w:p>
        </w:tc>
        <w:tc>
          <w:tcPr>
            <w:tcW w:w="1909" w:type="dxa"/>
            <w:tcBorders>
              <w:top w:val="single" w:color="auto" w:sz="4" w:space="0"/>
              <w:left w:val="single" w:color="auto" w:sz="4" w:space="0"/>
              <w:right w:val="single" w:color="auto" w:sz="4" w:space="0"/>
            </w:tcBorders>
            <w:vAlign w:val="center"/>
          </w:tcPr>
          <w:p>
            <w:pPr>
              <w:rPr>
                <w:rFonts w:ascii="Arial" w:hAnsi="Arial" w:cs="Arial"/>
                <w:bCs/>
                <w:sz w:val="18"/>
                <w:szCs w:val="18"/>
                <w:lang w:bidi="ar"/>
              </w:rPr>
            </w:pPr>
            <w:r>
              <w:rPr>
                <w:rFonts w:hint="eastAsia" w:ascii="Arial" w:hAnsi="Arial" w:cs="Arial"/>
                <w:bCs/>
                <w:sz w:val="18"/>
                <w:szCs w:val="18"/>
                <w:lang w:bidi="ar"/>
              </w:rPr>
              <w:t>三房两厅一卫</w:t>
            </w:r>
            <w:r>
              <w:rPr>
                <w:rFonts w:ascii="Arial" w:hAnsi="Arial" w:cs="Arial"/>
                <w:bCs/>
                <w:sz w:val="18"/>
                <w:szCs w:val="18"/>
                <w:lang w:bidi="ar"/>
              </w:rPr>
              <w:t>84</w:t>
            </w:r>
            <w:r>
              <w:rPr>
                <w:rFonts w:hint="eastAsia" w:ascii="Arial" w:hAnsi="Arial" w:cs="Arial"/>
                <w:bCs/>
                <w:sz w:val="18"/>
                <w:szCs w:val="18"/>
                <w:lang w:bidi="ar"/>
              </w:rPr>
              <w:t>㎡</w:t>
            </w:r>
          </w:p>
          <w:p>
            <w:pPr>
              <w:rPr>
                <w:rFonts w:ascii="Arial" w:hAnsi="Arial" w:cs="Arial"/>
                <w:bCs/>
                <w:sz w:val="18"/>
                <w:szCs w:val="18"/>
                <w:lang w:bidi="ar"/>
              </w:rPr>
            </w:pPr>
            <w:r>
              <w:rPr>
                <w:rFonts w:hint="eastAsia" w:ascii="Arial" w:hAnsi="Arial" w:cs="Arial"/>
                <w:bCs/>
                <w:sz w:val="18"/>
                <w:szCs w:val="18"/>
                <w:lang w:bidi="ar"/>
              </w:rPr>
              <w:t>三房两厅双卫8</w:t>
            </w:r>
            <w:r>
              <w:rPr>
                <w:rFonts w:ascii="Arial" w:hAnsi="Arial" w:cs="Arial"/>
                <w:bCs/>
                <w:sz w:val="18"/>
                <w:szCs w:val="18"/>
                <w:lang w:bidi="ar"/>
              </w:rPr>
              <w:t>9</w:t>
            </w:r>
            <w:r>
              <w:rPr>
                <w:rFonts w:hint="eastAsia" w:ascii="Arial" w:hAnsi="Arial" w:cs="Arial"/>
                <w:bCs/>
                <w:sz w:val="18"/>
                <w:szCs w:val="18"/>
                <w:lang w:bidi="ar"/>
              </w:rPr>
              <w:t>㎡</w:t>
            </w:r>
          </w:p>
          <w:p>
            <w:pPr>
              <w:rPr>
                <w:rFonts w:ascii="Arial" w:hAnsi="Arial" w:cs="Arial"/>
                <w:bCs/>
                <w:sz w:val="18"/>
                <w:szCs w:val="18"/>
                <w:lang w:bidi="ar"/>
              </w:rPr>
            </w:pPr>
            <w:r>
              <w:rPr>
                <w:rFonts w:hint="eastAsia" w:ascii="Arial" w:hAnsi="Arial" w:cs="Arial"/>
                <w:bCs/>
                <w:sz w:val="18"/>
                <w:szCs w:val="18"/>
                <w:lang w:bidi="ar"/>
              </w:rPr>
              <w:t>三房两厅两卫</w:t>
            </w:r>
            <w:r>
              <w:rPr>
                <w:rFonts w:ascii="Arial" w:hAnsi="Arial" w:cs="Arial"/>
                <w:bCs/>
                <w:sz w:val="18"/>
                <w:szCs w:val="18"/>
                <w:lang w:bidi="ar"/>
              </w:rPr>
              <w:t>97</w:t>
            </w:r>
            <w:r>
              <w:rPr>
                <w:rFonts w:hint="eastAsia" w:ascii="Arial" w:hAnsi="Arial" w:cs="Arial"/>
                <w:bCs/>
                <w:sz w:val="18"/>
                <w:szCs w:val="18"/>
                <w:lang w:bidi="ar"/>
              </w:rPr>
              <w:t>㎡</w:t>
            </w:r>
          </w:p>
          <w:p>
            <w:pPr>
              <w:rPr>
                <w:rFonts w:ascii="Arial" w:hAnsi="Arial" w:cs="Arial"/>
                <w:bCs/>
                <w:sz w:val="18"/>
                <w:szCs w:val="18"/>
                <w:lang w:bidi="ar"/>
              </w:rPr>
            </w:pPr>
            <w:r>
              <w:rPr>
                <w:rFonts w:hint="eastAsia" w:ascii="Arial" w:hAnsi="Arial" w:cs="Arial"/>
                <w:bCs/>
                <w:sz w:val="18"/>
                <w:szCs w:val="18"/>
                <w:lang w:bidi="ar"/>
              </w:rPr>
              <w:t>四房两厅两卫10</w:t>
            </w:r>
            <w:r>
              <w:rPr>
                <w:rFonts w:ascii="Arial" w:hAnsi="Arial" w:cs="Arial"/>
                <w:bCs/>
                <w:sz w:val="18"/>
                <w:szCs w:val="18"/>
                <w:lang w:bidi="ar"/>
              </w:rPr>
              <w:t>6</w:t>
            </w:r>
            <w:r>
              <w:rPr>
                <w:rFonts w:hint="eastAsia" w:ascii="Arial" w:hAnsi="Arial" w:cs="Arial"/>
                <w:bCs/>
                <w:sz w:val="18"/>
                <w:szCs w:val="18"/>
                <w:lang w:bidi="ar"/>
              </w:rPr>
              <w:t>㎡</w:t>
            </w:r>
          </w:p>
        </w:tc>
        <w:tc>
          <w:tcPr>
            <w:tcW w:w="1845" w:type="dxa"/>
            <w:tcBorders>
              <w:top w:val="single" w:color="auto" w:sz="4" w:space="0"/>
              <w:left w:val="single" w:color="auto" w:sz="4" w:space="0"/>
              <w:right w:val="single" w:color="auto" w:sz="4" w:space="0"/>
            </w:tcBorders>
            <w:vAlign w:val="center"/>
          </w:tcPr>
          <w:p>
            <w:pPr>
              <w:rPr>
                <w:rFonts w:ascii="Arial" w:hAnsi="Arial" w:cs="Arial"/>
                <w:bCs/>
                <w:sz w:val="18"/>
                <w:szCs w:val="18"/>
                <w:lang w:bidi="ar"/>
              </w:rPr>
            </w:pPr>
            <w:r>
              <w:rPr>
                <w:rFonts w:hint="eastAsia" w:ascii="Arial" w:hAnsi="Arial" w:cs="Arial"/>
                <w:bCs/>
                <w:sz w:val="18"/>
                <w:szCs w:val="18"/>
                <w:lang w:bidi="ar"/>
              </w:rPr>
              <w:t>三房两厅两卫87㎡</w:t>
            </w:r>
          </w:p>
          <w:p>
            <w:pPr>
              <w:rPr>
                <w:rFonts w:ascii="Arial" w:hAnsi="Arial" w:cs="Arial"/>
                <w:bCs/>
                <w:sz w:val="18"/>
                <w:szCs w:val="18"/>
                <w:lang w:bidi="ar"/>
              </w:rPr>
            </w:pPr>
            <w:r>
              <w:rPr>
                <w:rFonts w:hint="eastAsia" w:ascii="Arial" w:hAnsi="Arial" w:cs="Arial"/>
                <w:bCs/>
                <w:sz w:val="18"/>
                <w:szCs w:val="18"/>
                <w:lang w:bidi="ar"/>
              </w:rPr>
              <w:t>三房两厅两卫97㎡</w:t>
            </w:r>
          </w:p>
          <w:p>
            <w:pPr>
              <w:rPr>
                <w:rFonts w:ascii="Arial" w:hAnsi="Arial" w:cs="Arial"/>
                <w:bCs/>
                <w:sz w:val="18"/>
                <w:szCs w:val="18"/>
                <w:lang w:bidi="ar"/>
              </w:rPr>
            </w:pPr>
            <w:r>
              <w:rPr>
                <w:rFonts w:hint="eastAsia" w:ascii="Arial" w:hAnsi="Arial" w:cs="Arial"/>
                <w:bCs/>
                <w:sz w:val="18"/>
                <w:szCs w:val="18"/>
                <w:lang w:bidi="ar"/>
              </w:rPr>
              <w:t>四房两厅两卫108㎡</w:t>
            </w:r>
          </w:p>
        </w:tc>
      </w:tr>
      <w:tr>
        <w:tblPrEx>
          <w:tblCellMar>
            <w:top w:w="0" w:type="dxa"/>
            <w:left w:w="108" w:type="dxa"/>
            <w:bottom w:w="0" w:type="dxa"/>
            <w:right w:w="108" w:type="dxa"/>
          </w:tblCellMar>
        </w:tblPrEx>
        <w:trPr>
          <w:trHeight w:val="329"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容积率</w:t>
            </w:r>
          </w:p>
        </w:tc>
        <w:tc>
          <w:tcPr>
            <w:tcW w:w="2070" w:type="dxa"/>
            <w:tcBorders>
              <w:top w:val="nil"/>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3.0</w:t>
            </w:r>
          </w:p>
        </w:tc>
        <w:tc>
          <w:tcPr>
            <w:tcW w:w="202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2.5</w:t>
            </w:r>
          </w:p>
        </w:tc>
        <w:tc>
          <w:tcPr>
            <w:tcW w:w="190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2.5</w:t>
            </w:r>
          </w:p>
        </w:tc>
        <w:tc>
          <w:tcPr>
            <w:tcW w:w="184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4.0</w:t>
            </w:r>
          </w:p>
        </w:tc>
      </w:tr>
      <w:tr>
        <w:tblPrEx>
          <w:tblCellMar>
            <w:top w:w="0" w:type="dxa"/>
            <w:left w:w="108" w:type="dxa"/>
            <w:bottom w:w="0" w:type="dxa"/>
            <w:right w:w="108" w:type="dxa"/>
          </w:tblCellMar>
        </w:tblPrEx>
        <w:trPr>
          <w:trHeight w:val="289"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装修状况</w:t>
            </w:r>
          </w:p>
        </w:tc>
        <w:tc>
          <w:tcPr>
            <w:tcW w:w="2070" w:type="dxa"/>
            <w:tcBorders>
              <w:top w:val="nil"/>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毛坯</w:t>
            </w:r>
          </w:p>
        </w:tc>
        <w:tc>
          <w:tcPr>
            <w:tcW w:w="202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毛坯</w:t>
            </w:r>
          </w:p>
        </w:tc>
        <w:tc>
          <w:tcPr>
            <w:tcW w:w="190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毛坯</w:t>
            </w:r>
          </w:p>
        </w:tc>
        <w:tc>
          <w:tcPr>
            <w:tcW w:w="184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毛坯</w:t>
            </w:r>
          </w:p>
        </w:tc>
      </w:tr>
      <w:tr>
        <w:tblPrEx>
          <w:tblCellMar>
            <w:top w:w="0" w:type="dxa"/>
            <w:left w:w="108" w:type="dxa"/>
            <w:bottom w:w="0" w:type="dxa"/>
            <w:right w:w="108" w:type="dxa"/>
          </w:tblCellMar>
        </w:tblPrEx>
        <w:trPr>
          <w:trHeight w:val="228"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总建筑面积</w:t>
            </w:r>
          </w:p>
        </w:tc>
        <w:tc>
          <w:tcPr>
            <w:tcW w:w="207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280万㎡</w:t>
            </w:r>
          </w:p>
        </w:tc>
        <w:tc>
          <w:tcPr>
            <w:tcW w:w="20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18万㎡</w:t>
            </w:r>
          </w:p>
        </w:tc>
        <w:tc>
          <w:tcPr>
            <w:tcW w:w="19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ascii="Arial" w:hAnsi="Arial" w:cs="Arial"/>
                <w:bCs/>
                <w:sz w:val="18"/>
                <w:szCs w:val="18"/>
                <w:lang w:bidi="ar"/>
              </w:rPr>
              <w:t>44</w:t>
            </w:r>
            <w:r>
              <w:rPr>
                <w:rFonts w:hint="eastAsia" w:ascii="Arial" w:hAnsi="Arial" w:cs="Arial"/>
                <w:bCs/>
                <w:sz w:val="18"/>
                <w:szCs w:val="18"/>
                <w:lang w:bidi="ar"/>
              </w:rPr>
              <w:t>万㎡</w:t>
            </w: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18万㎡</w:t>
            </w:r>
          </w:p>
        </w:tc>
      </w:tr>
      <w:tr>
        <w:tblPrEx>
          <w:tblCellMar>
            <w:top w:w="0" w:type="dxa"/>
            <w:left w:w="108" w:type="dxa"/>
            <w:bottom w:w="0" w:type="dxa"/>
            <w:right w:w="108" w:type="dxa"/>
          </w:tblCellMar>
        </w:tblPrEx>
        <w:trPr>
          <w:trHeight w:val="228"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近三个月月均成交量</w:t>
            </w:r>
          </w:p>
        </w:tc>
        <w:tc>
          <w:tcPr>
            <w:tcW w:w="20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hAnsi="Arial" w:cs="Arial"/>
                <w:bCs/>
                <w:sz w:val="18"/>
                <w:szCs w:val="18"/>
                <w:lang w:bidi="ar"/>
              </w:rPr>
            </w:pPr>
            <w:r>
              <w:rPr>
                <w:rFonts w:ascii="Arial" w:hAnsi="Arial" w:cs="Arial"/>
                <w:sz w:val="18"/>
                <w:szCs w:val="18"/>
              </w:rPr>
              <w:t>1.5</w:t>
            </w:r>
            <w:r>
              <w:rPr>
                <w:rFonts w:hint="eastAsia" w:ascii="Arial" w:hAnsi="Arial" w:cs="Arial"/>
                <w:bCs/>
                <w:sz w:val="18"/>
                <w:szCs w:val="18"/>
                <w:lang w:bidi="ar"/>
              </w:rPr>
              <w:t>万㎡</w:t>
            </w:r>
          </w:p>
        </w:tc>
        <w:tc>
          <w:tcPr>
            <w:tcW w:w="20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hAnsi="Arial" w:cs="Arial"/>
                <w:bCs/>
                <w:sz w:val="18"/>
                <w:szCs w:val="18"/>
                <w:lang w:bidi="ar"/>
              </w:rPr>
            </w:pPr>
            <w:r>
              <w:rPr>
                <w:rFonts w:ascii="Arial" w:hAnsi="Arial" w:cs="Arial"/>
                <w:sz w:val="18"/>
                <w:szCs w:val="18"/>
              </w:rPr>
              <w:t>0.78</w:t>
            </w:r>
            <w:r>
              <w:rPr>
                <w:rFonts w:hint="eastAsia" w:ascii="Arial" w:hAnsi="Arial" w:cs="Arial"/>
                <w:bCs/>
                <w:sz w:val="18"/>
                <w:szCs w:val="18"/>
                <w:lang w:bidi="ar"/>
              </w:rPr>
              <w:t>万㎡</w:t>
            </w:r>
          </w:p>
        </w:tc>
        <w:tc>
          <w:tcPr>
            <w:tcW w:w="19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hAnsi="Arial" w:cs="Arial"/>
                <w:bCs/>
                <w:sz w:val="18"/>
                <w:szCs w:val="18"/>
                <w:lang w:bidi="ar"/>
              </w:rPr>
            </w:pPr>
            <w:r>
              <w:rPr>
                <w:rFonts w:ascii="Arial" w:hAnsi="Arial" w:cs="Arial"/>
                <w:sz w:val="18"/>
                <w:szCs w:val="18"/>
              </w:rPr>
              <w:t>0.3</w:t>
            </w:r>
            <w:r>
              <w:rPr>
                <w:rFonts w:hint="eastAsia" w:ascii="Arial" w:hAnsi="Arial" w:cs="Arial"/>
                <w:bCs/>
                <w:sz w:val="18"/>
                <w:szCs w:val="18"/>
                <w:lang w:bidi="ar"/>
              </w:rPr>
              <w:t>万㎡</w:t>
            </w: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ascii="Arial" w:hAnsi="Arial" w:cs="Arial"/>
                <w:bCs/>
                <w:sz w:val="18"/>
                <w:szCs w:val="18"/>
                <w:lang w:bidi="ar"/>
              </w:rPr>
              <w:t>0.30</w:t>
            </w:r>
            <w:r>
              <w:rPr>
                <w:rFonts w:hint="eastAsia" w:ascii="Arial" w:hAnsi="Arial" w:cs="Arial"/>
                <w:bCs/>
                <w:sz w:val="18"/>
                <w:szCs w:val="18"/>
                <w:lang w:bidi="ar"/>
              </w:rPr>
              <w:t>万㎡</w:t>
            </w:r>
          </w:p>
        </w:tc>
      </w:tr>
      <w:tr>
        <w:tblPrEx>
          <w:tblCellMar>
            <w:top w:w="0" w:type="dxa"/>
            <w:left w:w="108" w:type="dxa"/>
            <w:bottom w:w="0" w:type="dxa"/>
            <w:right w:w="108" w:type="dxa"/>
          </w:tblCellMar>
        </w:tblPrEx>
        <w:trPr>
          <w:trHeight w:val="228"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累计已售</w:t>
            </w:r>
          </w:p>
        </w:tc>
        <w:tc>
          <w:tcPr>
            <w:tcW w:w="20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hAnsi="Arial" w:cs="Arial"/>
                <w:bCs/>
                <w:sz w:val="18"/>
                <w:szCs w:val="18"/>
                <w:lang w:bidi="ar"/>
              </w:rPr>
            </w:pPr>
            <w:r>
              <w:rPr>
                <w:rFonts w:ascii="Arial" w:hAnsi="Arial" w:cs="Arial"/>
                <w:sz w:val="18"/>
                <w:szCs w:val="18"/>
              </w:rPr>
              <w:t>51.4</w:t>
            </w:r>
            <w:r>
              <w:rPr>
                <w:rFonts w:hint="eastAsia" w:ascii="Arial" w:hAnsi="Arial" w:cs="Arial"/>
                <w:bCs/>
                <w:sz w:val="18"/>
                <w:szCs w:val="18"/>
                <w:lang w:bidi="ar"/>
              </w:rPr>
              <w:t>万㎡</w:t>
            </w:r>
          </w:p>
        </w:tc>
        <w:tc>
          <w:tcPr>
            <w:tcW w:w="20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hAnsi="Arial" w:cs="Arial"/>
                <w:bCs/>
                <w:sz w:val="18"/>
                <w:szCs w:val="18"/>
                <w:lang w:bidi="ar"/>
              </w:rPr>
            </w:pPr>
            <w:r>
              <w:rPr>
                <w:rFonts w:ascii="Arial" w:hAnsi="Arial" w:cs="Arial"/>
                <w:sz w:val="18"/>
                <w:szCs w:val="18"/>
              </w:rPr>
              <w:t>8.4</w:t>
            </w:r>
            <w:r>
              <w:rPr>
                <w:rFonts w:hint="eastAsia" w:ascii="Arial" w:hAnsi="Arial" w:cs="Arial"/>
                <w:bCs/>
                <w:sz w:val="18"/>
                <w:szCs w:val="18"/>
                <w:lang w:bidi="ar"/>
              </w:rPr>
              <w:t>万㎡</w:t>
            </w:r>
          </w:p>
        </w:tc>
        <w:tc>
          <w:tcPr>
            <w:tcW w:w="19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hAnsi="Arial" w:cs="Arial"/>
                <w:bCs/>
                <w:sz w:val="18"/>
                <w:szCs w:val="18"/>
                <w:lang w:bidi="ar"/>
              </w:rPr>
            </w:pPr>
            <w:r>
              <w:rPr>
                <w:rFonts w:ascii="Arial" w:hAnsi="Arial" w:cs="Arial"/>
                <w:sz w:val="18"/>
                <w:szCs w:val="18"/>
              </w:rPr>
              <w:t>1.8</w:t>
            </w:r>
            <w:r>
              <w:rPr>
                <w:rFonts w:hint="eastAsia" w:ascii="Arial" w:hAnsi="Arial" w:cs="Arial"/>
                <w:bCs/>
                <w:sz w:val="18"/>
                <w:szCs w:val="18"/>
                <w:lang w:bidi="ar"/>
              </w:rPr>
              <w:t>万㎡</w:t>
            </w: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ascii="Arial" w:hAnsi="Arial" w:cs="Arial"/>
                <w:bCs/>
                <w:sz w:val="18"/>
                <w:szCs w:val="18"/>
                <w:lang w:bidi="ar"/>
              </w:rPr>
              <w:t>3.53</w:t>
            </w:r>
            <w:r>
              <w:rPr>
                <w:rFonts w:hint="eastAsia" w:ascii="Arial" w:hAnsi="Arial" w:cs="Arial"/>
                <w:bCs/>
                <w:sz w:val="18"/>
                <w:szCs w:val="18"/>
                <w:lang w:bidi="ar"/>
              </w:rPr>
              <w:t>万㎡</w:t>
            </w:r>
          </w:p>
        </w:tc>
      </w:tr>
      <w:tr>
        <w:tblPrEx>
          <w:tblCellMar>
            <w:top w:w="0" w:type="dxa"/>
            <w:left w:w="108" w:type="dxa"/>
            <w:bottom w:w="0" w:type="dxa"/>
            <w:right w:w="108" w:type="dxa"/>
          </w:tblCellMar>
        </w:tblPrEx>
        <w:trPr>
          <w:trHeight w:val="228"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成交均价</w:t>
            </w:r>
          </w:p>
          <w:p>
            <w:pPr>
              <w:jc w:val="center"/>
              <w:rPr>
                <w:rFonts w:ascii="Arial" w:hAnsi="Arial" w:cs="Arial"/>
                <w:bCs/>
                <w:sz w:val="18"/>
                <w:szCs w:val="18"/>
                <w:lang w:bidi="ar"/>
              </w:rPr>
            </w:pPr>
            <w:r>
              <w:rPr>
                <w:rFonts w:hint="eastAsia" w:ascii="Arial" w:hAnsi="Arial" w:cs="Arial"/>
                <w:bCs/>
                <w:sz w:val="18"/>
                <w:szCs w:val="18"/>
                <w:lang w:bidi="ar"/>
              </w:rPr>
              <w:t>（元/㎡）</w:t>
            </w:r>
          </w:p>
        </w:tc>
        <w:tc>
          <w:tcPr>
            <w:tcW w:w="207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sz w:val="18"/>
                <w:szCs w:val="18"/>
              </w:rPr>
              <w:t>8</w:t>
            </w:r>
            <w:r>
              <w:rPr>
                <w:rFonts w:ascii="Arial" w:hAnsi="Arial" w:cs="Arial"/>
                <w:sz w:val="18"/>
                <w:szCs w:val="18"/>
              </w:rPr>
              <w:t>275</w:t>
            </w:r>
            <w:r>
              <w:rPr>
                <w:rFonts w:hint="eastAsia" w:ascii="Arial" w:hAnsi="Arial" w:cs="Arial"/>
                <w:bCs/>
                <w:sz w:val="18"/>
                <w:szCs w:val="18"/>
                <w:lang w:bidi="ar"/>
              </w:rPr>
              <w:t>元/㎡</w:t>
            </w:r>
          </w:p>
        </w:tc>
        <w:tc>
          <w:tcPr>
            <w:tcW w:w="20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sz w:val="18"/>
                <w:szCs w:val="18"/>
              </w:rPr>
              <w:t>9</w:t>
            </w:r>
            <w:r>
              <w:rPr>
                <w:rFonts w:ascii="Arial" w:hAnsi="Arial" w:cs="Arial"/>
                <w:sz w:val="18"/>
                <w:szCs w:val="18"/>
              </w:rPr>
              <w:t>487</w:t>
            </w:r>
            <w:r>
              <w:rPr>
                <w:rFonts w:hint="eastAsia" w:ascii="Arial" w:hAnsi="Arial" w:cs="Arial"/>
                <w:bCs/>
                <w:sz w:val="18"/>
                <w:szCs w:val="18"/>
                <w:lang w:bidi="ar"/>
              </w:rPr>
              <w:t>元/㎡</w:t>
            </w:r>
          </w:p>
        </w:tc>
        <w:tc>
          <w:tcPr>
            <w:tcW w:w="19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sz w:val="18"/>
                <w:szCs w:val="18"/>
              </w:rPr>
              <w:t>8</w:t>
            </w:r>
            <w:r>
              <w:rPr>
                <w:rFonts w:ascii="Arial" w:hAnsi="Arial" w:cs="Arial"/>
                <w:sz w:val="18"/>
                <w:szCs w:val="18"/>
              </w:rPr>
              <w:t>508</w:t>
            </w:r>
            <w:r>
              <w:rPr>
                <w:rFonts w:hint="eastAsia" w:ascii="Arial" w:hAnsi="Arial" w:cs="Arial"/>
                <w:bCs/>
                <w:sz w:val="18"/>
                <w:szCs w:val="18"/>
                <w:lang w:bidi="ar"/>
              </w:rPr>
              <w:t>元/㎡</w:t>
            </w: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ascii="Arial" w:hAnsi="Arial" w:cs="Arial"/>
                <w:bCs/>
                <w:sz w:val="18"/>
                <w:szCs w:val="18"/>
                <w:lang w:bidi="ar"/>
              </w:rPr>
              <w:t>8525.05</w:t>
            </w:r>
            <w:r>
              <w:rPr>
                <w:rFonts w:hint="eastAsia" w:ascii="Arial" w:hAnsi="Arial" w:cs="Arial"/>
                <w:bCs/>
                <w:sz w:val="18"/>
                <w:szCs w:val="18"/>
                <w:lang w:bidi="ar"/>
              </w:rPr>
              <w:t>元/㎡</w:t>
            </w:r>
          </w:p>
        </w:tc>
      </w:tr>
    </w:tbl>
    <w:p>
      <w:pPr>
        <w:spacing w:line="480" w:lineRule="auto"/>
        <w:ind w:firstLine="420" w:firstLineChars="200"/>
        <w:rPr>
          <w:rFonts w:ascii="Arial" w:hAnsi="Arial" w:cs="Arial"/>
          <w:kern w:val="44"/>
          <w:sz w:val="21"/>
        </w:rPr>
      </w:pPr>
      <w:r>
        <w:rPr>
          <w:rFonts w:hint="eastAsia" w:ascii="Arial" w:hAnsi="Arial" w:cs="Arial"/>
          <w:kern w:val="44"/>
          <w:sz w:val="21"/>
        </w:rPr>
        <w:t>与竞品相比，本项目在高层住宅业态中价位较高，去化速度较慢。</w:t>
      </w:r>
    </w:p>
    <w:p>
      <w:pPr>
        <w:pStyle w:val="3"/>
        <w:keepNext w:val="0"/>
        <w:keepLines w:val="0"/>
        <w:spacing w:before="300" w:after="300" w:line="360" w:lineRule="exact"/>
        <w:jc w:val="left"/>
        <w:rPr>
          <w:rFonts w:ascii="Arial" w:hAnsi="Arial" w:eastAsia="宋体" w:cs="Arial"/>
          <w:bCs/>
          <w:color w:val="000000"/>
          <w:sz w:val="24"/>
          <w:szCs w:val="24"/>
        </w:rPr>
      </w:pPr>
      <w:bookmarkStart w:id="51" w:name="_Toc66115205"/>
      <w:bookmarkStart w:id="52" w:name="_Toc13379"/>
      <w:bookmarkStart w:id="53" w:name="_Toc27713"/>
      <w:r>
        <w:rPr>
          <w:rFonts w:hint="eastAsia" w:ascii="Arial" w:hAnsi="Arial" w:eastAsia="宋体" w:cs="Arial"/>
          <w:bCs/>
          <w:color w:val="000000"/>
          <w:sz w:val="24"/>
          <w:szCs w:val="24"/>
        </w:rPr>
        <w:t>十一、区域市场情况分析</w:t>
      </w:r>
      <w:bookmarkEnd w:id="51"/>
      <w:bookmarkEnd w:id="52"/>
      <w:bookmarkEnd w:id="53"/>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1.客群情况分析</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老城区及少量南岸外溢客群。</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2.政策分析</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5"/>
        <w:gridCol w:w="7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tcPr>
          <w:p>
            <w:pPr>
              <w:jc w:val="center"/>
              <w:rPr>
                <w:rFonts w:ascii="Arial" w:hAnsi="Arial" w:cs="Arial"/>
                <w:b/>
                <w:sz w:val="18"/>
                <w:szCs w:val="18"/>
                <w:lang w:bidi="ar"/>
              </w:rPr>
            </w:pPr>
            <w:r>
              <w:rPr>
                <w:rFonts w:hint="eastAsia" w:ascii="Arial" w:hAnsi="Arial" w:cs="Arial"/>
                <w:b/>
                <w:sz w:val="18"/>
                <w:szCs w:val="18"/>
                <w:lang w:bidi="ar"/>
              </w:rPr>
              <w:t xml:space="preserve">  类别</w:t>
            </w:r>
          </w:p>
        </w:tc>
        <w:tc>
          <w:tcPr>
            <w:tcW w:w="7368" w:type="dxa"/>
          </w:tcPr>
          <w:p>
            <w:pPr>
              <w:jc w:val="center"/>
              <w:rPr>
                <w:rFonts w:ascii="Arial" w:hAnsi="Arial" w:cs="Arial"/>
                <w:b/>
                <w:sz w:val="18"/>
                <w:szCs w:val="18"/>
                <w:lang w:bidi="ar"/>
              </w:rPr>
            </w:pPr>
            <w:r>
              <w:rPr>
                <w:rFonts w:hint="eastAsia" w:ascii="Arial" w:hAnsi="Arial" w:cs="Arial"/>
                <w:b/>
                <w:sz w:val="18"/>
                <w:szCs w:val="18"/>
                <w:lang w:bidi="ar"/>
              </w:rPr>
              <w:t>政策规定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限购</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不限购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限贷</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3套以上（含3套）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限售</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不限售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限价/限签</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不限价不限签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限精装/车位</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预售政策</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高层达4层可开始预售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抵押</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如有土地抵押，需出具同意预售函才可取预售证；</w:t>
            </w:r>
          </w:p>
          <w:p>
            <w:pPr>
              <w:jc w:val="center"/>
              <w:rPr>
                <w:rFonts w:ascii="Arial" w:hAnsi="Arial" w:cs="Arial"/>
                <w:bCs/>
                <w:sz w:val="18"/>
                <w:szCs w:val="18"/>
                <w:lang w:bidi="ar"/>
              </w:rPr>
            </w:pPr>
            <w:r>
              <w:rPr>
                <w:rFonts w:hint="eastAsia" w:ascii="Arial" w:hAnsi="Arial" w:cs="Arial"/>
                <w:bCs/>
                <w:sz w:val="18"/>
                <w:szCs w:val="18"/>
                <w:lang w:bidi="ar"/>
              </w:rPr>
              <w:t>后续办理他项权证的时候，也需要见同意预售函；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预售资金监管</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严格执行商品房预售资金监管开户银行和账户设立标准(翠屏区为形式监管)。</w:t>
            </w:r>
          </w:p>
        </w:tc>
      </w:tr>
    </w:tbl>
    <w:p>
      <w:pPr>
        <w:pStyle w:val="2"/>
        <w:ind w:firstLine="0" w:firstLineChars="0"/>
      </w:pP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3.同业态售房成交量分析</w:t>
      </w:r>
    </w:p>
    <w:p>
      <w:pPr>
        <w:spacing w:line="480" w:lineRule="auto"/>
        <w:ind w:firstLine="420" w:firstLineChars="200"/>
        <w:rPr>
          <w:rFonts w:ascii="Arial" w:hAnsi="Arial" w:cs="Arial"/>
          <w:kern w:val="44"/>
          <w:sz w:val="21"/>
        </w:rPr>
      </w:pPr>
      <w:r>
        <w:rPr>
          <w:rFonts w:hint="eastAsia" w:ascii="Arial" w:hAnsi="Arial" w:cs="Arial"/>
          <w:kern w:val="44"/>
          <w:sz w:val="21"/>
        </w:rPr>
        <w:t>本项目位于宜宾老城区，土地供应较少，周边无在售新盘，项目竞品少，属于稀缺地段。选取距本项目3-5公里项目参照如下，项目售价基本在8000-9000元/平方米左右，去化量相对平稳。</w:t>
      </w:r>
    </w:p>
    <w:tbl>
      <w:tblPr>
        <w:tblStyle w:val="18"/>
        <w:tblW w:w="9154" w:type="dxa"/>
        <w:jc w:val="center"/>
        <w:tblLayout w:type="fixed"/>
        <w:tblCellMar>
          <w:top w:w="0" w:type="dxa"/>
          <w:left w:w="108" w:type="dxa"/>
          <w:bottom w:w="0" w:type="dxa"/>
          <w:right w:w="108" w:type="dxa"/>
        </w:tblCellMar>
      </w:tblPr>
      <w:tblGrid>
        <w:gridCol w:w="1305"/>
        <w:gridCol w:w="2070"/>
        <w:gridCol w:w="2025"/>
        <w:gridCol w:w="1909"/>
        <w:gridCol w:w="1845"/>
      </w:tblGrid>
      <w:tr>
        <w:tblPrEx>
          <w:tblCellMar>
            <w:top w:w="0" w:type="dxa"/>
            <w:left w:w="108" w:type="dxa"/>
            <w:bottom w:w="0" w:type="dxa"/>
            <w:right w:w="108" w:type="dxa"/>
          </w:tblCellMar>
        </w:tblPrEx>
        <w:trPr>
          <w:trHeight w:val="322" w:hRule="atLeast"/>
          <w:tblHeader/>
          <w:jc w:val="center"/>
        </w:trPr>
        <w:tc>
          <w:tcPr>
            <w:tcW w:w="1305" w:type="dxa"/>
            <w:tcBorders>
              <w:top w:val="single" w:color="auto" w:sz="4" w:space="0"/>
              <w:left w:val="single" w:color="auto" w:sz="4" w:space="0"/>
              <w:bottom w:val="single" w:color="auto" w:sz="4" w:space="0"/>
              <w:right w:val="single" w:color="auto" w:sz="4" w:space="0"/>
            </w:tcBorders>
            <w:shd w:val="clear" w:color="auto" w:fill="95B3D7"/>
            <w:vAlign w:val="center"/>
          </w:tcPr>
          <w:p>
            <w:pPr>
              <w:jc w:val="center"/>
              <w:rPr>
                <w:rFonts w:ascii="Arial" w:hAnsi="Arial" w:cs="Arial"/>
                <w:b/>
                <w:sz w:val="18"/>
                <w:szCs w:val="18"/>
                <w:lang w:bidi="ar"/>
              </w:rPr>
            </w:pPr>
            <w:r>
              <w:rPr>
                <w:rFonts w:hint="eastAsia" w:ascii="Arial" w:hAnsi="Arial" w:cs="Arial"/>
                <w:b/>
                <w:sz w:val="18"/>
                <w:szCs w:val="18"/>
                <w:lang w:bidi="ar"/>
              </w:rPr>
              <w:t>项目名称</w:t>
            </w:r>
          </w:p>
        </w:tc>
        <w:tc>
          <w:tcPr>
            <w:tcW w:w="2070" w:type="dxa"/>
            <w:tcBorders>
              <w:top w:val="single" w:color="auto" w:sz="4" w:space="0"/>
              <w:left w:val="nil"/>
              <w:bottom w:val="single" w:color="auto" w:sz="4" w:space="0"/>
              <w:right w:val="single" w:color="auto" w:sz="4" w:space="0"/>
            </w:tcBorders>
            <w:shd w:val="clear" w:color="auto" w:fill="95B3D7"/>
            <w:vAlign w:val="center"/>
          </w:tcPr>
          <w:p>
            <w:pPr>
              <w:jc w:val="center"/>
              <w:rPr>
                <w:rFonts w:ascii="Arial" w:hAnsi="Arial" w:cs="Arial"/>
                <w:b/>
                <w:sz w:val="18"/>
                <w:szCs w:val="18"/>
                <w:lang w:bidi="ar"/>
              </w:rPr>
            </w:pPr>
            <w:r>
              <w:rPr>
                <w:rFonts w:hint="eastAsia" w:ascii="Arial" w:hAnsi="Arial" w:cs="Arial"/>
                <w:b/>
                <w:sz w:val="18"/>
                <w:szCs w:val="18"/>
                <w:lang w:bidi="ar"/>
              </w:rPr>
              <w:t>绿地-城际空间站</w:t>
            </w:r>
          </w:p>
        </w:tc>
        <w:tc>
          <w:tcPr>
            <w:tcW w:w="2025" w:type="dxa"/>
            <w:tcBorders>
              <w:top w:val="single" w:color="auto" w:sz="4" w:space="0"/>
              <w:left w:val="nil"/>
              <w:bottom w:val="single" w:color="auto" w:sz="4" w:space="0"/>
              <w:right w:val="single" w:color="auto" w:sz="4" w:space="0"/>
            </w:tcBorders>
            <w:shd w:val="clear" w:color="auto" w:fill="95B3D7"/>
            <w:vAlign w:val="center"/>
          </w:tcPr>
          <w:p>
            <w:pPr>
              <w:jc w:val="center"/>
              <w:rPr>
                <w:rFonts w:ascii="Arial" w:hAnsi="Arial" w:cs="Arial"/>
                <w:b/>
                <w:sz w:val="18"/>
                <w:szCs w:val="18"/>
                <w:lang w:bidi="ar"/>
              </w:rPr>
            </w:pPr>
            <w:r>
              <w:rPr>
                <w:rFonts w:hint="eastAsia" w:ascii="Arial" w:hAnsi="Arial" w:cs="Arial"/>
                <w:b/>
                <w:sz w:val="18"/>
                <w:szCs w:val="18"/>
                <w:lang w:bidi="ar"/>
              </w:rPr>
              <w:t>正黄-翡翠堂</w:t>
            </w:r>
          </w:p>
        </w:tc>
        <w:tc>
          <w:tcPr>
            <w:tcW w:w="1909" w:type="dxa"/>
            <w:tcBorders>
              <w:top w:val="single" w:color="auto" w:sz="4" w:space="0"/>
              <w:left w:val="nil"/>
              <w:bottom w:val="single" w:color="auto" w:sz="4" w:space="0"/>
              <w:right w:val="single" w:color="auto" w:sz="4" w:space="0"/>
            </w:tcBorders>
            <w:shd w:val="clear" w:color="auto" w:fill="95B3D7"/>
            <w:vAlign w:val="center"/>
          </w:tcPr>
          <w:p>
            <w:pPr>
              <w:jc w:val="center"/>
              <w:rPr>
                <w:rFonts w:ascii="Arial" w:hAnsi="Arial" w:cs="Arial"/>
                <w:b/>
                <w:sz w:val="18"/>
                <w:szCs w:val="18"/>
                <w:lang w:bidi="ar"/>
              </w:rPr>
            </w:pPr>
            <w:r>
              <w:rPr>
                <w:rFonts w:hint="eastAsia" w:ascii="Arial" w:hAnsi="Arial" w:cs="Arial"/>
                <w:b/>
                <w:sz w:val="18"/>
                <w:szCs w:val="18"/>
                <w:lang w:bidi="ar"/>
              </w:rPr>
              <w:t>金科·集美江山</w:t>
            </w:r>
          </w:p>
        </w:tc>
        <w:tc>
          <w:tcPr>
            <w:tcW w:w="1845" w:type="dxa"/>
            <w:tcBorders>
              <w:top w:val="single" w:color="auto" w:sz="4" w:space="0"/>
              <w:left w:val="nil"/>
              <w:bottom w:val="single" w:color="auto" w:sz="4" w:space="0"/>
              <w:right w:val="single" w:color="auto" w:sz="4" w:space="0"/>
            </w:tcBorders>
            <w:shd w:val="clear" w:color="auto" w:fill="95B3D7"/>
            <w:vAlign w:val="center"/>
          </w:tcPr>
          <w:p>
            <w:pPr>
              <w:jc w:val="center"/>
              <w:rPr>
                <w:rFonts w:ascii="Arial" w:hAnsi="Arial" w:cs="Arial"/>
                <w:b/>
                <w:sz w:val="18"/>
                <w:szCs w:val="18"/>
                <w:lang w:bidi="ar"/>
              </w:rPr>
            </w:pPr>
            <w:r>
              <w:rPr>
                <w:rFonts w:hint="eastAsia" w:ascii="Arial" w:hAnsi="Arial" w:cs="Arial"/>
                <w:b/>
                <w:sz w:val="18"/>
                <w:szCs w:val="18"/>
                <w:lang w:bidi="ar"/>
              </w:rPr>
              <w:t>世茂金座·云锦</w:t>
            </w:r>
          </w:p>
        </w:tc>
      </w:tr>
      <w:tr>
        <w:tblPrEx>
          <w:tblCellMar>
            <w:top w:w="0" w:type="dxa"/>
            <w:left w:w="108" w:type="dxa"/>
            <w:bottom w:w="0" w:type="dxa"/>
            <w:right w:w="108" w:type="dxa"/>
          </w:tblCellMar>
        </w:tblPrEx>
        <w:trPr>
          <w:trHeight w:val="761"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距离</w:t>
            </w:r>
          </w:p>
        </w:tc>
        <w:tc>
          <w:tcPr>
            <w:tcW w:w="2070" w:type="dxa"/>
            <w:tcBorders>
              <w:top w:val="nil"/>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约4km</w:t>
            </w:r>
          </w:p>
        </w:tc>
        <w:tc>
          <w:tcPr>
            <w:tcW w:w="202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约3km</w:t>
            </w:r>
          </w:p>
        </w:tc>
        <w:tc>
          <w:tcPr>
            <w:tcW w:w="190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约</w:t>
            </w:r>
            <w:r>
              <w:rPr>
                <w:rFonts w:ascii="Arial" w:hAnsi="Arial" w:cs="Arial"/>
                <w:bCs/>
                <w:sz w:val="18"/>
                <w:szCs w:val="18"/>
                <w:lang w:bidi="ar"/>
              </w:rPr>
              <w:t>5</w:t>
            </w:r>
            <w:r>
              <w:rPr>
                <w:rFonts w:hint="eastAsia" w:ascii="Arial" w:hAnsi="Arial" w:cs="Arial"/>
                <w:bCs/>
                <w:sz w:val="18"/>
                <w:szCs w:val="18"/>
                <w:lang w:bidi="ar"/>
              </w:rPr>
              <w:t>km</w:t>
            </w:r>
          </w:p>
        </w:tc>
        <w:tc>
          <w:tcPr>
            <w:tcW w:w="184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90"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楼盘定位</w:t>
            </w:r>
          </w:p>
        </w:tc>
        <w:tc>
          <w:tcPr>
            <w:tcW w:w="2070" w:type="dxa"/>
            <w:tcBorders>
              <w:top w:val="nil"/>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刚需/刚改/改善</w:t>
            </w:r>
          </w:p>
        </w:tc>
        <w:tc>
          <w:tcPr>
            <w:tcW w:w="202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刚改/改善（高层/洋房）</w:t>
            </w:r>
          </w:p>
        </w:tc>
        <w:tc>
          <w:tcPr>
            <w:tcW w:w="190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刚需/刚改</w:t>
            </w:r>
          </w:p>
        </w:tc>
        <w:tc>
          <w:tcPr>
            <w:tcW w:w="184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刚需/刚改</w:t>
            </w:r>
          </w:p>
        </w:tc>
      </w:tr>
      <w:tr>
        <w:tblPrEx>
          <w:tblCellMar>
            <w:top w:w="0" w:type="dxa"/>
            <w:left w:w="108" w:type="dxa"/>
            <w:bottom w:w="0" w:type="dxa"/>
            <w:right w:w="108" w:type="dxa"/>
          </w:tblCellMar>
        </w:tblPrEx>
        <w:trPr>
          <w:trHeight w:val="427"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开发商</w:t>
            </w:r>
          </w:p>
        </w:tc>
        <w:tc>
          <w:tcPr>
            <w:tcW w:w="2070" w:type="dxa"/>
            <w:tcBorders>
              <w:top w:val="nil"/>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绿地集团宜宾</w:t>
            </w:r>
          </w:p>
          <w:p>
            <w:pPr>
              <w:jc w:val="center"/>
              <w:rPr>
                <w:rFonts w:ascii="Arial" w:hAnsi="Arial" w:cs="Arial"/>
                <w:bCs/>
                <w:sz w:val="18"/>
                <w:szCs w:val="18"/>
                <w:lang w:bidi="ar"/>
              </w:rPr>
            </w:pPr>
            <w:r>
              <w:rPr>
                <w:rFonts w:hint="eastAsia" w:ascii="Arial" w:hAnsi="Arial" w:cs="Arial"/>
                <w:bCs/>
                <w:sz w:val="18"/>
                <w:szCs w:val="18"/>
                <w:lang w:bidi="ar"/>
              </w:rPr>
              <w:t>置业有限公司</w:t>
            </w:r>
          </w:p>
        </w:tc>
        <w:tc>
          <w:tcPr>
            <w:tcW w:w="202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宜宾同瑞置业有限公司</w:t>
            </w:r>
          </w:p>
        </w:tc>
        <w:tc>
          <w:tcPr>
            <w:tcW w:w="190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宜宾金彦房地产开发有限公司</w:t>
            </w:r>
          </w:p>
        </w:tc>
        <w:tc>
          <w:tcPr>
            <w:tcW w:w="184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宜宾骏继洪骥</w:t>
            </w:r>
          </w:p>
          <w:p>
            <w:pPr>
              <w:jc w:val="center"/>
              <w:rPr>
                <w:rFonts w:ascii="Arial" w:hAnsi="Arial" w:cs="Arial"/>
                <w:bCs/>
                <w:sz w:val="18"/>
                <w:szCs w:val="18"/>
                <w:lang w:bidi="ar"/>
              </w:rPr>
            </w:pPr>
            <w:r>
              <w:rPr>
                <w:rFonts w:hint="eastAsia" w:ascii="Arial" w:hAnsi="Arial" w:cs="Arial"/>
                <w:bCs/>
                <w:sz w:val="18"/>
                <w:szCs w:val="18"/>
                <w:lang w:bidi="ar"/>
              </w:rPr>
              <w:t>置业有限责任公司</w:t>
            </w:r>
          </w:p>
        </w:tc>
      </w:tr>
      <w:tr>
        <w:tblPrEx>
          <w:tblCellMar>
            <w:top w:w="0" w:type="dxa"/>
            <w:left w:w="108" w:type="dxa"/>
            <w:bottom w:w="0" w:type="dxa"/>
            <w:right w:w="108" w:type="dxa"/>
          </w:tblCellMar>
        </w:tblPrEx>
        <w:trPr>
          <w:trHeight w:val="369"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开盘时间</w:t>
            </w:r>
          </w:p>
        </w:tc>
        <w:tc>
          <w:tcPr>
            <w:tcW w:w="2070" w:type="dxa"/>
            <w:tcBorders>
              <w:top w:val="nil"/>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2018年11月</w:t>
            </w:r>
          </w:p>
        </w:tc>
        <w:tc>
          <w:tcPr>
            <w:tcW w:w="202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2020年5月</w:t>
            </w:r>
          </w:p>
        </w:tc>
        <w:tc>
          <w:tcPr>
            <w:tcW w:w="190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2020年</w:t>
            </w:r>
            <w:r>
              <w:rPr>
                <w:rFonts w:ascii="Arial" w:hAnsi="Arial" w:cs="Arial"/>
                <w:bCs/>
                <w:sz w:val="18"/>
                <w:szCs w:val="18"/>
                <w:lang w:bidi="ar"/>
              </w:rPr>
              <w:t>11</w:t>
            </w:r>
            <w:r>
              <w:rPr>
                <w:rFonts w:hint="eastAsia" w:ascii="Arial" w:hAnsi="Arial" w:cs="Arial"/>
                <w:bCs/>
                <w:sz w:val="18"/>
                <w:szCs w:val="18"/>
                <w:lang w:bidi="ar"/>
              </w:rPr>
              <w:t>月</w:t>
            </w:r>
          </w:p>
        </w:tc>
        <w:tc>
          <w:tcPr>
            <w:tcW w:w="184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2020年10月</w:t>
            </w:r>
          </w:p>
        </w:tc>
      </w:tr>
      <w:tr>
        <w:tblPrEx>
          <w:tblCellMar>
            <w:top w:w="0" w:type="dxa"/>
            <w:left w:w="108" w:type="dxa"/>
            <w:bottom w:w="0" w:type="dxa"/>
            <w:right w:w="108" w:type="dxa"/>
          </w:tblCellMar>
        </w:tblPrEx>
        <w:trPr>
          <w:trHeight w:val="1083"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主要户型</w:t>
            </w:r>
          </w:p>
        </w:tc>
        <w:tc>
          <w:tcPr>
            <w:tcW w:w="2070" w:type="dxa"/>
            <w:tcBorders>
              <w:top w:val="nil"/>
              <w:left w:val="single" w:color="auto" w:sz="4" w:space="0"/>
              <w:bottom w:val="single" w:color="000000" w:sz="4" w:space="0"/>
              <w:right w:val="single" w:color="auto" w:sz="4" w:space="0"/>
            </w:tcBorders>
            <w:vAlign w:val="center"/>
          </w:tcPr>
          <w:p>
            <w:pPr>
              <w:rPr>
                <w:rFonts w:ascii="Arial" w:hAnsi="Arial" w:cs="Arial"/>
                <w:bCs/>
                <w:sz w:val="18"/>
                <w:szCs w:val="18"/>
                <w:lang w:bidi="ar"/>
              </w:rPr>
            </w:pPr>
            <w:r>
              <w:rPr>
                <w:rFonts w:hint="eastAsia" w:ascii="Arial" w:hAnsi="Arial" w:cs="Arial"/>
                <w:bCs/>
                <w:sz w:val="18"/>
                <w:szCs w:val="18"/>
                <w:lang w:bidi="ar"/>
              </w:rPr>
              <w:t>两室两厅两卫75㎡</w:t>
            </w:r>
          </w:p>
          <w:p>
            <w:pPr>
              <w:rPr>
                <w:rFonts w:ascii="Arial" w:hAnsi="Arial" w:cs="Arial"/>
                <w:bCs/>
                <w:sz w:val="18"/>
                <w:szCs w:val="18"/>
                <w:lang w:bidi="ar"/>
              </w:rPr>
            </w:pPr>
            <w:r>
              <w:rPr>
                <w:rFonts w:hint="eastAsia" w:ascii="Arial" w:hAnsi="Arial" w:cs="Arial"/>
                <w:bCs/>
                <w:sz w:val="18"/>
                <w:szCs w:val="18"/>
                <w:lang w:bidi="ar"/>
              </w:rPr>
              <w:t>三室两厅两卫121㎡</w:t>
            </w:r>
          </w:p>
          <w:p>
            <w:pPr>
              <w:rPr>
                <w:rFonts w:ascii="Arial" w:hAnsi="Arial" w:cs="Arial"/>
                <w:bCs/>
                <w:sz w:val="18"/>
                <w:szCs w:val="18"/>
                <w:lang w:bidi="ar"/>
              </w:rPr>
            </w:pPr>
            <w:r>
              <w:rPr>
                <w:rFonts w:hint="eastAsia" w:ascii="Arial" w:hAnsi="Arial" w:cs="Arial"/>
                <w:bCs/>
                <w:sz w:val="18"/>
                <w:szCs w:val="18"/>
                <w:lang w:bidi="ar"/>
              </w:rPr>
              <w:t>四室两厅两卫130㎡</w:t>
            </w:r>
          </w:p>
        </w:tc>
        <w:tc>
          <w:tcPr>
            <w:tcW w:w="2025" w:type="dxa"/>
            <w:tcBorders>
              <w:top w:val="single" w:color="auto" w:sz="4" w:space="0"/>
              <w:left w:val="single" w:color="auto" w:sz="4" w:space="0"/>
              <w:right w:val="single" w:color="auto" w:sz="4" w:space="0"/>
            </w:tcBorders>
          </w:tcPr>
          <w:p>
            <w:pPr>
              <w:rPr>
                <w:rFonts w:ascii="Arial" w:hAnsi="Arial" w:cs="Arial"/>
                <w:bCs/>
                <w:sz w:val="18"/>
                <w:szCs w:val="18"/>
                <w:lang w:bidi="ar"/>
              </w:rPr>
            </w:pPr>
            <w:r>
              <w:rPr>
                <w:rFonts w:hint="eastAsia" w:ascii="Arial" w:hAnsi="Arial" w:cs="Arial"/>
                <w:bCs/>
                <w:sz w:val="18"/>
                <w:szCs w:val="18"/>
                <w:lang w:bidi="ar"/>
              </w:rPr>
              <w:t>三室两厅两卫99㎡</w:t>
            </w:r>
          </w:p>
          <w:p>
            <w:pPr>
              <w:rPr>
                <w:rFonts w:ascii="Arial" w:hAnsi="Arial" w:cs="Arial"/>
                <w:bCs/>
                <w:sz w:val="18"/>
                <w:szCs w:val="18"/>
                <w:lang w:bidi="ar"/>
              </w:rPr>
            </w:pPr>
            <w:r>
              <w:rPr>
                <w:rFonts w:hint="eastAsia" w:ascii="Arial" w:hAnsi="Arial" w:cs="Arial"/>
                <w:bCs/>
                <w:sz w:val="18"/>
                <w:szCs w:val="18"/>
                <w:lang w:bidi="ar"/>
              </w:rPr>
              <w:t>三室两厅两卫107㎡</w:t>
            </w:r>
          </w:p>
          <w:p>
            <w:pPr>
              <w:rPr>
                <w:rFonts w:ascii="Arial" w:hAnsi="Arial" w:cs="Arial"/>
                <w:bCs/>
                <w:sz w:val="18"/>
                <w:szCs w:val="18"/>
                <w:lang w:bidi="ar"/>
              </w:rPr>
            </w:pPr>
            <w:r>
              <w:rPr>
                <w:rFonts w:hint="eastAsia" w:ascii="Arial" w:hAnsi="Arial" w:cs="Arial"/>
                <w:bCs/>
                <w:sz w:val="18"/>
                <w:szCs w:val="18"/>
                <w:lang w:bidi="ar"/>
              </w:rPr>
              <w:t>三室两厅两卫101㎡</w:t>
            </w:r>
          </w:p>
          <w:p>
            <w:pPr>
              <w:rPr>
                <w:rFonts w:ascii="Arial" w:hAnsi="Arial" w:cs="Arial"/>
                <w:bCs/>
                <w:sz w:val="18"/>
                <w:szCs w:val="18"/>
                <w:lang w:bidi="ar"/>
              </w:rPr>
            </w:pPr>
            <w:r>
              <w:rPr>
                <w:rFonts w:hint="eastAsia" w:ascii="Arial" w:hAnsi="Arial" w:cs="Arial"/>
                <w:bCs/>
                <w:sz w:val="18"/>
                <w:szCs w:val="18"/>
                <w:lang w:bidi="ar"/>
              </w:rPr>
              <w:t>五室两厅三卫134㎡</w:t>
            </w:r>
          </w:p>
          <w:p>
            <w:pPr>
              <w:rPr>
                <w:rFonts w:ascii="Arial" w:hAnsi="Arial" w:cs="Arial"/>
                <w:bCs/>
                <w:sz w:val="18"/>
                <w:szCs w:val="18"/>
                <w:lang w:bidi="ar"/>
              </w:rPr>
            </w:pPr>
            <w:r>
              <w:rPr>
                <w:rFonts w:hint="eastAsia" w:ascii="Arial" w:hAnsi="Arial" w:cs="Arial"/>
                <w:bCs/>
                <w:sz w:val="18"/>
                <w:szCs w:val="18"/>
                <w:lang w:bidi="ar"/>
              </w:rPr>
              <w:t>五室两厅三卫150㎡</w:t>
            </w:r>
          </w:p>
        </w:tc>
        <w:tc>
          <w:tcPr>
            <w:tcW w:w="1909" w:type="dxa"/>
            <w:tcBorders>
              <w:top w:val="single" w:color="auto" w:sz="4" w:space="0"/>
              <w:left w:val="single" w:color="auto" w:sz="4" w:space="0"/>
              <w:right w:val="single" w:color="auto" w:sz="4" w:space="0"/>
            </w:tcBorders>
            <w:vAlign w:val="center"/>
          </w:tcPr>
          <w:p>
            <w:pPr>
              <w:rPr>
                <w:rFonts w:ascii="Arial" w:hAnsi="Arial" w:cs="Arial"/>
                <w:bCs/>
                <w:sz w:val="18"/>
                <w:szCs w:val="18"/>
                <w:lang w:bidi="ar"/>
              </w:rPr>
            </w:pPr>
            <w:r>
              <w:rPr>
                <w:rFonts w:hint="eastAsia" w:ascii="Arial" w:hAnsi="Arial" w:cs="Arial"/>
                <w:bCs/>
                <w:sz w:val="18"/>
                <w:szCs w:val="18"/>
                <w:lang w:bidi="ar"/>
              </w:rPr>
              <w:t>三房两厅一卫</w:t>
            </w:r>
            <w:r>
              <w:rPr>
                <w:rFonts w:ascii="Arial" w:hAnsi="Arial" w:cs="Arial"/>
                <w:bCs/>
                <w:sz w:val="18"/>
                <w:szCs w:val="18"/>
                <w:lang w:bidi="ar"/>
              </w:rPr>
              <w:t>84</w:t>
            </w:r>
            <w:r>
              <w:rPr>
                <w:rFonts w:hint="eastAsia" w:ascii="Arial" w:hAnsi="Arial" w:cs="Arial"/>
                <w:bCs/>
                <w:sz w:val="18"/>
                <w:szCs w:val="18"/>
                <w:lang w:bidi="ar"/>
              </w:rPr>
              <w:t>㎡</w:t>
            </w:r>
          </w:p>
          <w:p>
            <w:pPr>
              <w:rPr>
                <w:rFonts w:ascii="Arial" w:hAnsi="Arial" w:cs="Arial"/>
                <w:bCs/>
                <w:sz w:val="18"/>
                <w:szCs w:val="18"/>
                <w:lang w:bidi="ar"/>
              </w:rPr>
            </w:pPr>
            <w:r>
              <w:rPr>
                <w:rFonts w:hint="eastAsia" w:ascii="Arial" w:hAnsi="Arial" w:cs="Arial"/>
                <w:bCs/>
                <w:sz w:val="18"/>
                <w:szCs w:val="18"/>
                <w:lang w:bidi="ar"/>
              </w:rPr>
              <w:t>三房两厅双卫8</w:t>
            </w:r>
            <w:r>
              <w:rPr>
                <w:rFonts w:ascii="Arial" w:hAnsi="Arial" w:cs="Arial"/>
                <w:bCs/>
                <w:sz w:val="18"/>
                <w:szCs w:val="18"/>
                <w:lang w:bidi="ar"/>
              </w:rPr>
              <w:t>9</w:t>
            </w:r>
            <w:r>
              <w:rPr>
                <w:rFonts w:hint="eastAsia" w:ascii="Arial" w:hAnsi="Arial" w:cs="Arial"/>
                <w:bCs/>
                <w:sz w:val="18"/>
                <w:szCs w:val="18"/>
                <w:lang w:bidi="ar"/>
              </w:rPr>
              <w:t>㎡</w:t>
            </w:r>
          </w:p>
          <w:p>
            <w:pPr>
              <w:rPr>
                <w:rFonts w:ascii="Arial" w:hAnsi="Arial" w:cs="Arial"/>
                <w:bCs/>
                <w:sz w:val="18"/>
                <w:szCs w:val="18"/>
                <w:lang w:bidi="ar"/>
              </w:rPr>
            </w:pPr>
            <w:r>
              <w:rPr>
                <w:rFonts w:hint="eastAsia" w:ascii="Arial" w:hAnsi="Arial" w:cs="Arial"/>
                <w:bCs/>
                <w:sz w:val="18"/>
                <w:szCs w:val="18"/>
                <w:lang w:bidi="ar"/>
              </w:rPr>
              <w:t>三房两厅两卫</w:t>
            </w:r>
            <w:r>
              <w:rPr>
                <w:rFonts w:ascii="Arial" w:hAnsi="Arial" w:cs="Arial"/>
                <w:bCs/>
                <w:sz w:val="18"/>
                <w:szCs w:val="18"/>
                <w:lang w:bidi="ar"/>
              </w:rPr>
              <w:t>97</w:t>
            </w:r>
            <w:r>
              <w:rPr>
                <w:rFonts w:hint="eastAsia" w:ascii="Arial" w:hAnsi="Arial" w:cs="Arial"/>
                <w:bCs/>
                <w:sz w:val="18"/>
                <w:szCs w:val="18"/>
                <w:lang w:bidi="ar"/>
              </w:rPr>
              <w:t>㎡</w:t>
            </w:r>
          </w:p>
          <w:p>
            <w:pPr>
              <w:rPr>
                <w:rFonts w:ascii="Arial" w:hAnsi="Arial" w:cs="Arial"/>
                <w:bCs/>
                <w:sz w:val="18"/>
                <w:szCs w:val="18"/>
                <w:lang w:bidi="ar"/>
              </w:rPr>
            </w:pPr>
            <w:r>
              <w:rPr>
                <w:rFonts w:hint="eastAsia" w:ascii="Arial" w:hAnsi="Arial" w:cs="Arial"/>
                <w:bCs/>
                <w:sz w:val="18"/>
                <w:szCs w:val="18"/>
                <w:lang w:bidi="ar"/>
              </w:rPr>
              <w:t>四房两厅两卫10</w:t>
            </w:r>
            <w:r>
              <w:rPr>
                <w:rFonts w:ascii="Arial" w:hAnsi="Arial" w:cs="Arial"/>
                <w:bCs/>
                <w:sz w:val="18"/>
                <w:szCs w:val="18"/>
                <w:lang w:bidi="ar"/>
              </w:rPr>
              <w:t>6</w:t>
            </w:r>
            <w:r>
              <w:rPr>
                <w:rFonts w:hint="eastAsia" w:ascii="Arial" w:hAnsi="Arial" w:cs="Arial"/>
                <w:bCs/>
                <w:sz w:val="18"/>
                <w:szCs w:val="18"/>
                <w:lang w:bidi="ar"/>
              </w:rPr>
              <w:t>㎡</w:t>
            </w:r>
          </w:p>
        </w:tc>
        <w:tc>
          <w:tcPr>
            <w:tcW w:w="1845" w:type="dxa"/>
            <w:tcBorders>
              <w:top w:val="single" w:color="auto" w:sz="4" w:space="0"/>
              <w:left w:val="single" w:color="auto" w:sz="4" w:space="0"/>
              <w:right w:val="single" w:color="auto" w:sz="4" w:space="0"/>
            </w:tcBorders>
            <w:vAlign w:val="center"/>
          </w:tcPr>
          <w:p>
            <w:pPr>
              <w:rPr>
                <w:rFonts w:ascii="Arial" w:hAnsi="Arial" w:cs="Arial"/>
                <w:bCs/>
                <w:sz w:val="18"/>
                <w:szCs w:val="18"/>
                <w:lang w:bidi="ar"/>
              </w:rPr>
            </w:pPr>
            <w:r>
              <w:rPr>
                <w:rFonts w:hint="eastAsia" w:ascii="Arial" w:hAnsi="Arial" w:cs="Arial"/>
                <w:bCs/>
                <w:sz w:val="18"/>
                <w:szCs w:val="18"/>
                <w:lang w:bidi="ar"/>
              </w:rPr>
              <w:t>三房两厅两卫87㎡</w:t>
            </w:r>
          </w:p>
          <w:p>
            <w:pPr>
              <w:rPr>
                <w:rFonts w:ascii="Arial" w:hAnsi="Arial" w:cs="Arial"/>
                <w:bCs/>
                <w:sz w:val="18"/>
                <w:szCs w:val="18"/>
                <w:lang w:bidi="ar"/>
              </w:rPr>
            </w:pPr>
            <w:r>
              <w:rPr>
                <w:rFonts w:hint="eastAsia" w:ascii="Arial" w:hAnsi="Arial" w:cs="Arial"/>
                <w:bCs/>
                <w:sz w:val="18"/>
                <w:szCs w:val="18"/>
                <w:lang w:bidi="ar"/>
              </w:rPr>
              <w:t>三房两厅两卫97㎡</w:t>
            </w:r>
          </w:p>
          <w:p>
            <w:pPr>
              <w:rPr>
                <w:rFonts w:ascii="Arial" w:hAnsi="Arial" w:cs="Arial"/>
                <w:bCs/>
                <w:sz w:val="18"/>
                <w:szCs w:val="18"/>
                <w:lang w:bidi="ar"/>
              </w:rPr>
            </w:pPr>
            <w:r>
              <w:rPr>
                <w:rFonts w:hint="eastAsia" w:ascii="Arial" w:hAnsi="Arial" w:cs="Arial"/>
                <w:bCs/>
                <w:sz w:val="18"/>
                <w:szCs w:val="18"/>
                <w:lang w:bidi="ar"/>
              </w:rPr>
              <w:t>四房两厅两卫108㎡</w:t>
            </w:r>
          </w:p>
        </w:tc>
      </w:tr>
      <w:tr>
        <w:tblPrEx>
          <w:tblCellMar>
            <w:top w:w="0" w:type="dxa"/>
            <w:left w:w="108" w:type="dxa"/>
            <w:bottom w:w="0" w:type="dxa"/>
            <w:right w:w="108" w:type="dxa"/>
          </w:tblCellMar>
        </w:tblPrEx>
        <w:trPr>
          <w:trHeight w:val="329"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容积率</w:t>
            </w:r>
          </w:p>
        </w:tc>
        <w:tc>
          <w:tcPr>
            <w:tcW w:w="2070" w:type="dxa"/>
            <w:tcBorders>
              <w:top w:val="nil"/>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3.0</w:t>
            </w:r>
          </w:p>
        </w:tc>
        <w:tc>
          <w:tcPr>
            <w:tcW w:w="202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2.5</w:t>
            </w:r>
          </w:p>
        </w:tc>
        <w:tc>
          <w:tcPr>
            <w:tcW w:w="190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2.5</w:t>
            </w:r>
          </w:p>
        </w:tc>
        <w:tc>
          <w:tcPr>
            <w:tcW w:w="184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4.0</w:t>
            </w:r>
          </w:p>
        </w:tc>
      </w:tr>
      <w:tr>
        <w:tblPrEx>
          <w:tblCellMar>
            <w:top w:w="0" w:type="dxa"/>
            <w:left w:w="108" w:type="dxa"/>
            <w:bottom w:w="0" w:type="dxa"/>
            <w:right w:w="108" w:type="dxa"/>
          </w:tblCellMar>
        </w:tblPrEx>
        <w:trPr>
          <w:trHeight w:val="289"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装修状况</w:t>
            </w:r>
          </w:p>
        </w:tc>
        <w:tc>
          <w:tcPr>
            <w:tcW w:w="2070" w:type="dxa"/>
            <w:tcBorders>
              <w:top w:val="nil"/>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毛坯</w:t>
            </w:r>
          </w:p>
        </w:tc>
        <w:tc>
          <w:tcPr>
            <w:tcW w:w="202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毛坯</w:t>
            </w:r>
          </w:p>
        </w:tc>
        <w:tc>
          <w:tcPr>
            <w:tcW w:w="190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毛坯</w:t>
            </w:r>
          </w:p>
        </w:tc>
        <w:tc>
          <w:tcPr>
            <w:tcW w:w="184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毛坯</w:t>
            </w:r>
          </w:p>
        </w:tc>
      </w:tr>
      <w:tr>
        <w:tblPrEx>
          <w:tblCellMar>
            <w:top w:w="0" w:type="dxa"/>
            <w:left w:w="108" w:type="dxa"/>
            <w:bottom w:w="0" w:type="dxa"/>
            <w:right w:w="108" w:type="dxa"/>
          </w:tblCellMar>
        </w:tblPrEx>
        <w:trPr>
          <w:trHeight w:val="228"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总建筑面积</w:t>
            </w:r>
          </w:p>
        </w:tc>
        <w:tc>
          <w:tcPr>
            <w:tcW w:w="207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280万㎡</w:t>
            </w:r>
          </w:p>
        </w:tc>
        <w:tc>
          <w:tcPr>
            <w:tcW w:w="20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18万㎡</w:t>
            </w:r>
          </w:p>
        </w:tc>
        <w:tc>
          <w:tcPr>
            <w:tcW w:w="19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ascii="Arial" w:hAnsi="Arial" w:cs="Arial"/>
                <w:bCs/>
                <w:sz w:val="18"/>
                <w:szCs w:val="18"/>
                <w:lang w:bidi="ar"/>
              </w:rPr>
              <w:t>44</w:t>
            </w:r>
            <w:r>
              <w:rPr>
                <w:rFonts w:hint="eastAsia" w:ascii="Arial" w:hAnsi="Arial" w:cs="Arial"/>
                <w:bCs/>
                <w:sz w:val="18"/>
                <w:szCs w:val="18"/>
                <w:lang w:bidi="ar"/>
              </w:rPr>
              <w:t>万㎡</w:t>
            </w: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18万㎡</w:t>
            </w:r>
          </w:p>
        </w:tc>
      </w:tr>
      <w:tr>
        <w:tblPrEx>
          <w:tblCellMar>
            <w:top w:w="0" w:type="dxa"/>
            <w:left w:w="108" w:type="dxa"/>
            <w:bottom w:w="0" w:type="dxa"/>
            <w:right w:w="108" w:type="dxa"/>
          </w:tblCellMar>
        </w:tblPrEx>
        <w:trPr>
          <w:trHeight w:val="228"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近三个月月均成交量</w:t>
            </w:r>
          </w:p>
        </w:tc>
        <w:tc>
          <w:tcPr>
            <w:tcW w:w="20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hAnsi="Arial" w:cs="Arial"/>
                <w:bCs/>
                <w:sz w:val="18"/>
                <w:szCs w:val="18"/>
                <w:lang w:bidi="ar"/>
              </w:rPr>
            </w:pPr>
            <w:r>
              <w:rPr>
                <w:rFonts w:ascii="Arial" w:hAnsi="Arial" w:cs="Arial"/>
                <w:sz w:val="18"/>
                <w:szCs w:val="18"/>
              </w:rPr>
              <w:t>1.5</w:t>
            </w:r>
            <w:r>
              <w:rPr>
                <w:rFonts w:hint="eastAsia" w:ascii="Arial" w:hAnsi="Arial" w:cs="Arial"/>
                <w:bCs/>
                <w:sz w:val="18"/>
                <w:szCs w:val="18"/>
                <w:lang w:bidi="ar"/>
              </w:rPr>
              <w:t>万㎡</w:t>
            </w:r>
          </w:p>
        </w:tc>
        <w:tc>
          <w:tcPr>
            <w:tcW w:w="20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hAnsi="Arial" w:cs="Arial"/>
                <w:bCs/>
                <w:sz w:val="18"/>
                <w:szCs w:val="18"/>
                <w:lang w:bidi="ar"/>
              </w:rPr>
            </w:pPr>
            <w:r>
              <w:rPr>
                <w:rFonts w:ascii="Arial" w:hAnsi="Arial" w:cs="Arial"/>
                <w:sz w:val="18"/>
                <w:szCs w:val="18"/>
              </w:rPr>
              <w:t>0.78</w:t>
            </w:r>
            <w:r>
              <w:rPr>
                <w:rFonts w:hint="eastAsia" w:ascii="Arial" w:hAnsi="Arial" w:cs="Arial"/>
                <w:bCs/>
                <w:sz w:val="18"/>
                <w:szCs w:val="18"/>
                <w:lang w:bidi="ar"/>
              </w:rPr>
              <w:t>万㎡</w:t>
            </w:r>
          </w:p>
        </w:tc>
        <w:tc>
          <w:tcPr>
            <w:tcW w:w="19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hAnsi="Arial" w:cs="Arial"/>
                <w:bCs/>
                <w:sz w:val="18"/>
                <w:szCs w:val="18"/>
                <w:lang w:bidi="ar"/>
              </w:rPr>
            </w:pPr>
            <w:r>
              <w:rPr>
                <w:rFonts w:ascii="Arial" w:hAnsi="Arial" w:cs="Arial"/>
                <w:sz w:val="18"/>
                <w:szCs w:val="18"/>
              </w:rPr>
              <w:t>0.3</w:t>
            </w:r>
            <w:r>
              <w:rPr>
                <w:rFonts w:hint="eastAsia" w:ascii="Arial" w:hAnsi="Arial" w:cs="Arial"/>
                <w:bCs/>
                <w:sz w:val="18"/>
                <w:szCs w:val="18"/>
                <w:lang w:bidi="ar"/>
              </w:rPr>
              <w:t>万㎡</w:t>
            </w: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0.30万㎡</w:t>
            </w:r>
          </w:p>
        </w:tc>
      </w:tr>
      <w:tr>
        <w:tblPrEx>
          <w:tblCellMar>
            <w:top w:w="0" w:type="dxa"/>
            <w:left w:w="108" w:type="dxa"/>
            <w:bottom w:w="0" w:type="dxa"/>
            <w:right w:w="108" w:type="dxa"/>
          </w:tblCellMar>
        </w:tblPrEx>
        <w:trPr>
          <w:trHeight w:val="228"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累计已售</w:t>
            </w:r>
          </w:p>
        </w:tc>
        <w:tc>
          <w:tcPr>
            <w:tcW w:w="20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hAnsi="Arial" w:cs="Arial"/>
                <w:bCs/>
                <w:sz w:val="18"/>
                <w:szCs w:val="18"/>
                <w:lang w:bidi="ar"/>
              </w:rPr>
            </w:pPr>
            <w:r>
              <w:rPr>
                <w:rFonts w:ascii="Arial" w:hAnsi="Arial" w:cs="Arial"/>
                <w:sz w:val="18"/>
                <w:szCs w:val="18"/>
              </w:rPr>
              <w:t>51.4</w:t>
            </w:r>
            <w:r>
              <w:rPr>
                <w:rFonts w:hint="eastAsia" w:ascii="Arial" w:hAnsi="Arial" w:cs="Arial"/>
                <w:bCs/>
                <w:sz w:val="18"/>
                <w:szCs w:val="18"/>
                <w:lang w:bidi="ar"/>
              </w:rPr>
              <w:t>万㎡</w:t>
            </w:r>
          </w:p>
        </w:tc>
        <w:tc>
          <w:tcPr>
            <w:tcW w:w="20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hAnsi="Arial" w:cs="Arial"/>
                <w:bCs/>
                <w:sz w:val="18"/>
                <w:szCs w:val="18"/>
                <w:lang w:bidi="ar"/>
              </w:rPr>
            </w:pPr>
            <w:r>
              <w:rPr>
                <w:rFonts w:ascii="Arial" w:hAnsi="Arial" w:cs="Arial"/>
                <w:sz w:val="18"/>
                <w:szCs w:val="18"/>
              </w:rPr>
              <w:t>8.4</w:t>
            </w:r>
            <w:r>
              <w:rPr>
                <w:rFonts w:hint="eastAsia" w:ascii="Arial" w:hAnsi="Arial" w:cs="Arial"/>
                <w:bCs/>
                <w:sz w:val="18"/>
                <w:szCs w:val="18"/>
                <w:lang w:bidi="ar"/>
              </w:rPr>
              <w:t>万㎡</w:t>
            </w:r>
          </w:p>
        </w:tc>
        <w:tc>
          <w:tcPr>
            <w:tcW w:w="19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hAnsi="Arial" w:cs="Arial"/>
                <w:bCs/>
                <w:sz w:val="18"/>
                <w:szCs w:val="18"/>
                <w:lang w:bidi="ar"/>
              </w:rPr>
            </w:pPr>
            <w:r>
              <w:rPr>
                <w:rFonts w:ascii="Arial" w:hAnsi="Arial" w:cs="Arial"/>
                <w:sz w:val="18"/>
                <w:szCs w:val="18"/>
              </w:rPr>
              <w:t>1.8</w:t>
            </w:r>
            <w:r>
              <w:rPr>
                <w:rFonts w:hint="eastAsia" w:ascii="Arial" w:hAnsi="Arial" w:cs="Arial"/>
                <w:bCs/>
                <w:sz w:val="18"/>
                <w:szCs w:val="18"/>
                <w:lang w:bidi="ar"/>
              </w:rPr>
              <w:t>万㎡</w:t>
            </w: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3.53万㎡</w:t>
            </w:r>
          </w:p>
        </w:tc>
      </w:tr>
      <w:tr>
        <w:tblPrEx>
          <w:tblCellMar>
            <w:top w:w="0" w:type="dxa"/>
            <w:left w:w="108" w:type="dxa"/>
            <w:bottom w:w="0" w:type="dxa"/>
            <w:right w:w="108" w:type="dxa"/>
          </w:tblCellMar>
        </w:tblPrEx>
        <w:trPr>
          <w:trHeight w:val="228"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成交均价</w:t>
            </w:r>
          </w:p>
          <w:p>
            <w:pPr>
              <w:jc w:val="center"/>
              <w:rPr>
                <w:rFonts w:ascii="Arial" w:hAnsi="Arial" w:cs="Arial"/>
                <w:bCs/>
                <w:sz w:val="18"/>
                <w:szCs w:val="18"/>
                <w:lang w:bidi="ar"/>
              </w:rPr>
            </w:pPr>
            <w:r>
              <w:rPr>
                <w:rFonts w:hint="eastAsia" w:ascii="Arial" w:hAnsi="Arial" w:cs="Arial"/>
                <w:bCs/>
                <w:sz w:val="18"/>
                <w:szCs w:val="18"/>
                <w:lang w:bidi="ar"/>
              </w:rPr>
              <w:t>（元/㎡）</w:t>
            </w:r>
          </w:p>
        </w:tc>
        <w:tc>
          <w:tcPr>
            <w:tcW w:w="207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sz w:val="18"/>
                <w:szCs w:val="18"/>
              </w:rPr>
              <w:t>8</w:t>
            </w:r>
            <w:r>
              <w:rPr>
                <w:rFonts w:ascii="Arial" w:hAnsi="Arial" w:cs="Arial"/>
                <w:sz w:val="18"/>
                <w:szCs w:val="18"/>
              </w:rPr>
              <w:t>275</w:t>
            </w:r>
            <w:r>
              <w:rPr>
                <w:rFonts w:hint="eastAsia" w:ascii="Arial" w:hAnsi="Arial" w:cs="Arial"/>
                <w:bCs/>
                <w:sz w:val="18"/>
                <w:szCs w:val="18"/>
                <w:lang w:bidi="ar"/>
              </w:rPr>
              <w:t>元/㎡</w:t>
            </w:r>
          </w:p>
        </w:tc>
        <w:tc>
          <w:tcPr>
            <w:tcW w:w="20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sz w:val="18"/>
                <w:szCs w:val="18"/>
              </w:rPr>
              <w:t>9</w:t>
            </w:r>
            <w:r>
              <w:rPr>
                <w:rFonts w:ascii="Arial" w:hAnsi="Arial" w:cs="Arial"/>
                <w:sz w:val="18"/>
                <w:szCs w:val="18"/>
              </w:rPr>
              <w:t>487</w:t>
            </w:r>
            <w:r>
              <w:rPr>
                <w:rFonts w:hint="eastAsia" w:ascii="Arial" w:hAnsi="Arial" w:cs="Arial"/>
                <w:bCs/>
                <w:sz w:val="18"/>
                <w:szCs w:val="18"/>
                <w:lang w:bidi="ar"/>
              </w:rPr>
              <w:t>元/㎡</w:t>
            </w:r>
          </w:p>
        </w:tc>
        <w:tc>
          <w:tcPr>
            <w:tcW w:w="19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sz w:val="18"/>
                <w:szCs w:val="18"/>
              </w:rPr>
              <w:t>8</w:t>
            </w:r>
            <w:r>
              <w:rPr>
                <w:rFonts w:ascii="Arial" w:hAnsi="Arial" w:cs="Arial"/>
                <w:sz w:val="18"/>
                <w:szCs w:val="18"/>
              </w:rPr>
              <w:t>508</w:t>
            </w:r>
            <w:r>
              <w:rPr>
                <w:rFonts w:hint="eastAsia" w:ascii="Arial" w:hAnsi="Arial" w:cs="Arial"/>
                <w:bCs/>
                <w:sz w:val="18"/>
                <w:szCs w:val="18"/>
                <w:lang w:bidi="ar"/>
              </w:rPr>
              <w:t>元/㎡</w:t>
            </w: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8525.05元/㎡</w:t>
            </w:r>
          </w:p>
        </w:tc>
      </w:tr>
    </w:tbl>
    <w:p>
      <w:pPr>
        <w:spacing w:line="480" w:lineRule="auto"/>
        <w:ind w:firstLine="420" w:firstLineChars="200"/>
        <w:rPr>
          <w:rFonts w:ascii="Arial" w:hAnsi="Arial" w:cs="Arial"/>
          <w:kern w:val="44"/>
          <w:sz w:val="21"/>
          <w:szCs w:val="21"/>
        </w:rPr>
      </w:pPr>
      <w:r>
        <w:rPr>
          <w:rFonts w:hint="eastAsia" w:ascii="Arial" w:hAnsi="Arial" w:cs="Arial"/>
          <w:kern w:val="44"/>
          <w:sz w:val="21"/>
        </w:rPr>
        <w:t>与竞品相比，本项目在高层住宅业态中价位较高，去化速度较慢。</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4.土地成交量分析</w:t>
      </w:r>
    </w:p>
    <w:p>
      <w:pPr>
        <w:spacing w:line="480" w:lineRule="auto"/>
        <w:ind w:firstLine="420" w:firstLineChars="200"/>
        <w:rPr>
          <w:rFonts w:ascii="Arial" w:hAnsi="Arial" w:cs="Arial"/>
          <w:kern w:val="44"/>
          <w:sz w:val="21"/>
        </w:rPr>
      </w:pPr>
      <w:r>
        <w:rPr>
          <w:rFonts w:hint="eastAsia" w:ascii="Arial" w:hAnsi="Arial" w:cs="Arial"/>
          <w:kern w:val="44"/>
          <w:sz w:val="21"/>
        </w:rPr>
        <w:t>2021年5月共成交城镇住宅用地4宗，成交楼面价分别为4519.99元/㎡，溢价率33.73%，2303.33元/㎡，未溢价，3459元/㎡，溢价率19.39%，2733元/㎡，溢价率51.85%，区域土地市场不活跃。</w:t>
      </w:r>
    </w:p>
    <w:p>
      <w:pPr>
        <w:spacing w:line="480" w:lineRule="auto"/>
        <w:ind w:firstLine="420" w:firstLineChars="200"/>
        <w:rPr>
          <w:rFonts w:ascii="Arial" w:hAnsi="Arial" w:cs="Arial"/>
          <w:sz w:val="20"/>
          <w:szCs w:val="20"/>
        </w:rPr>
      </w:pPr>
      <w:r>
        <w:rPr>
          <w:rFonts w:hint="eastAsia" w:ascii="Arial" w:hAnsi="Arial" w:cs="Arial"/>
          <w:kern w:val="44"/>
          <w:sz w:val="21"/>
        </w:rPr>
        <w:t>宜宾市老城区土地稀缺，土地供应较少，以下为宜宾市近半年集中土地成交案例。</w:t>
      </w:r>
    </w:p>
    <w:tbl>
      <w:tblPr>
        <w:tblStyle w:val="18"/>
        <w:tblW w:w="9221" w:type="dxa"/>
        <w:tblInd w:w="96" w:type="dxa"/>
        <w:tblLayout w:type="fixed"/>
        <w:tblCellMar>
          <w:top w:w="0" w:type="dxa"/>
          <w:left w:w="108" w:type="dxa"/>
          <w:bottom w:w="0" w:type="dxa"/>
          <w:right w:w="108" w:type="dxa"/>
        </w:tblCellMar>
      </w:tblPr>
      <w:tblGrid>
        <w:gridCol w:w="1016"/>
        <w:gridCol w:w="1485"/>
        <w:gridCol w:w="1515"/>
        <w:gridCol w:w="1710"/>
        <w:gridCol w:w="1800"/>
        <w:gridCol w:w="1695"/>
      </w:tblGrid>
      <w:tr>
        <w:tblPrEx>
          <w:tblCellMar>
            <w:top w:w="0" w:type="dxa"/>
            <w:left w:w="108" w:type="dxa"/>
            <w:bottom w:w="0" w:type="dxa"/>
            <w:right w:w="108" w:type="dxa"/>
          </w:tblCellMar>
        </w:tblPrEx>
        <w:trPr>
          <w:trHeight w:val="743" w:hRule="atLeast"/>
          <w:tblHeader/>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土拍1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土拍2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土拍3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土拍4</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土拍5</w:t>
            </w:r>
          </w:p>
        </w:tc>
      </w:tr>
      <w:tr>
        <w:tblPrEx>
          <w:tblCellMar>
            <w:top w:w="0" w:type="dxa"/>
            <w:left w:w="108" w:type="dxa"/>
            <w:bottom w:w="0" w:type="dxa"/>
            <w:right w:w="108" w:type="dxa"/>
          </w:tblCellMar>
        </w:tblPrEx>
        <w:trPr>
          <w:trHeight w:val="98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土地位置</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宜宾三江新区TD-C-05-01、TD-C-05-03、TD-C-05-05、TD-C-06-06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宜宾三江新区TD-B-02-03地块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翠屏区岷江新区A-05-01地块</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叙州区南部新区（北区）BQ24-03</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翠屏区岷江新区D-08-01</w:t>
            </w:r>
          </w:p>
        </w:tc>
      </w:tr>
      <w:tr>
        <w:tblPrEx>
          <w:tblCellMar>
            <w:top w:w="0" w:type="dxa"/>
            <w:left w:w="108" w:type="dxa"/>
            <w:bottom w:w="0" w:type="dxa"/>
            <w:right w:w="108" w:type="dxa"/>
          </w:tblCellMar>
        </w:tblPrEx>
        <w:trPr>
          <w:trHeight w:val="108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土地四至</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宜宾三江新区TD-C-05-01、TD-C-05-03、TD-C-05-05、TD-C-06-06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宜宾三江新区TD-B-02-03地块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翠屏区岷江新区A-05-01地块</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叙州区南部新区（北区）BQ24-03</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翠屏区岷江新区D-08-01</w:t>
            </w:r>
          </w:p>
        </w:tc>
      </w:tr>
      <w:tr>
        <w:tblPrEx>
          <w:tblCellMar>
            <w:top w:w="0" w:type="dxa"/>
            <w:left w:w="108" w:type="dxa"/>
            <w:bottom w:w="0" w:type="dxa"/>
            <w:right w:w="108" w:type="dxa"/>
          </w:tblCellMar>
        </w:tblPrEx>
        <w:trPr>
          <w:trHeight w:val="1225"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土地编号</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宜宾三江新区TD-C-05-01、TD-C-05-03、TD-C-05-05、TD-C-06-06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宜宾三江新区TD-B-02-03地块</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翠屏区岷江新区A-05-01地块</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叙州区南部新区（北区）BQ24-03</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翠屏区岷江新区D-08-01</w:t>
            </w:r>
          </w:p>
        </w:tc>
      </w:tr>
      <w:tr>
        <w:tblPrEx>
          <w:tblCellMar>
            <w:top w:w="0" w:type="dxa"/>
            <w:left w:w="108" w:type="dxa"/>
            <w:bottom w:w="0" w:type="dxa"/>
            <w:right w:w="108" w:type="dxa"/>
          </w:tblCellMar>
        </w:tblPrEx>
        <w:trPr>
          <w:trHeight w:val="72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用地性质</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城镇住宅-普通商品住房用地</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二类居住用地</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商业居住混合用地</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城镇住宅-普通商品住房用地</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城镇住宅-普通商品住房用地</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出让方式</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拍卖</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拍卖</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拍卖</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拍卖</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拍卖</w:t>
            </w:r>
          </w:p>
        </w:tc>
      </w:tr>
      <w:tr>
        <w:tblPrEx>
          <w:tblCellMar>
            <w:top w:w="0" w:type="dxa"/>
            <w:left w:w="108" w:type="dxa"/>
            <w:bottom w:w="0" w:type="dxa"/>
            <w:right w:w="108" w:type="dxa"/>
          </w:tblCellMar>
        </w:tblPrEx>
        <w:trPr>
          <w:trHeight w:val="48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总用地面积</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165330㎡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32709㎡</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106871㎡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48802㎡</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40019㎡</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代征面积</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0㎡</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0㎡</w:t>
            </w:r>
          </w:p>
        </w:tc>
      </w:tr>
      <w:tr>
        <w:tblPrEx>
          <w:tblCellMar>
            <w:top w:w="0" w:type="dxa"/>
            <w:left w:w="108" w:type="dxa"/>
            <w:bottom w:w="0" w:type="dxa"/>
            <w:right w:w="108" w:type="dxa"/>
          </w:tblCellMar>
        </w:tblPrEx>
        <w:trPr>
          <w:trHeight w:val="48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建设</w:t>
            </w:r>
          </w:p>
          <w:p>
            <w:pPr>
              <w:jc w:val="center"/>
              <w:rPr>
                <w:rFonts w:ascii="Arial" w:hAnsi="Arial" w:cs="Arial"/>
                <w:b/>
                <w:sz w:val="15"/>
                <w:szCs w:val="15"/>
                <w:lang w:bidi="ar"/>
              </w:rPr>
            </w:pPr>
            <w:r>
              <w:rPr>
                <w:rFonts w:hint="eastAsia" w:ascii="Arial" w:hAnsi="Arial" w:cs="Arial"/>
                <w:b/>
                <w:sz w:val="15"/>
                <w:szCs w:val="15"/>
                <w:lang w:bidi="ar"/>
              </w:rPr>
              <w:t>用地面积</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165330㎡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32709㎡</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106871㎡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48802㎡</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40019㎡</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规划</w:t>
            </w:r>
          </w:p>
          <w:p>
            <w:pPr>
              <w:jc w:val="center"/>
              <w:rPr>
                <w:rFonts w:ascii="Arial" w:hAnsi="Arial" w:cs="Arial"/>
                <w:b/>
                <w:sz w:val="15"/>
                <w:szCs w:val="15"/>
                <w:lang w:bidi="ar"/>
              </w:rPr>
            </w:pPr>
            <w:r>
              <w:rPr>
                <w:rFonts w:hint="eastAsia" w:ascii="Arial" w:hAnsi="Arial" w:cs="Arial"/>
                <w:b/>
                <w:sz w:val="15"/>
                <w:szCs w:val="15"/>
                <w:lang w:bidi="ar"/>
              </w:rPr>
              <w:t>建筑面积</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413325㎡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65418㎡</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320613㎡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131765㎡</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120057㎡</w:t>
            </w:r>
          </w:p>
        </w:tc>
      </w:tr>
      <w:tr>
        <w:tblPrEx>
          <w:tblCellMar>
            <w:top w:w="0" w:type="dxa"/>
            <w:left w:w="108" w:type="dxa"/>
            <w:bottom w:w="0" w:type="dxa"/>
            <w:right w:w="108" w:type="dxa"/>
          </w:tblCellMar>
        </w:tblPrEx>
        <w:trPr>
          <w:trHeight w:val="48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容积率</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大于1并且小于或等于2.5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大于1.0并且不大于2.0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不大于3.0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大于1并且小于或等于2.7</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大于1并且小于或等于3</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建筑密度</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不大于25%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不大于50%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小于或等于22</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小于或等于22</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绿化率</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大于或等于35</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出让年限</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70年</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70年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居住70年，商业40年</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70年</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70年</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成交时间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2021年3月31日</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2021年5月8日</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2021年5月8日</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2021年5月8日</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2021年5月19日</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成交价</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99198万元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29568.9万元</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73847.86万元</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45581万元</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32815万元</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溢价率</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33.73%</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19.39%</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51.85%</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成交楼面价</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2400元/㎡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4519.99元/㎡</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2303.33元/㎡</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3459元/㎡</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2733元/㎡</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成交每亩价</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400万元/亩</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602.67万元/亩</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460.67万元/亩</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622.67万元/亩</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546.67万元/亩</w:t>
            </w:r>
          </w:p>
        </w:tc>
      </w:tr>
      <w:tr>
        <w:tblPrEx>
          <w:tblCellMar>
            <w:top w:w="0" w:type="dxa"/>
            <w:left w:w="108" w:type="dxa"/>
            <w:bottom w:w="0" w:type="dxa"/>
            <w:right w:w="108" w:type="dxa"/>
          </w:tblCellMar>
        </w:tblPrEx>
        <w:trPr>
          <w:trHeight w:val="72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受让单位</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宜宾市保宜昊运房地产开发有限公司</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成都享通达商贸有限公司</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新域控股集团企业管理有限公司</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宜宾树德房地产开发有限公司</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宜宾远达房地产投资开发有限公司</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保证金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30000万元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4500万元</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15000万元</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8000万元</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lang w:bidi="ar"/>
              </w:rPr>
            </w:pPr>
            <w:r>
              <w:rPr>
                <w:rFonts w:hint="eastAsia" w:ascii="Arial" w:hAnsi="Arial" w:cs="Arial"/>
                <w:bCs/>
                <w:sz w:val="15"/>
                <w:szCs w:val="15"/>
                <w:lang w:bidi="ar"/>
              </w:rPr>
              <w:t>5000万元</w:t>
            </w:r>
          </w:p>
        </w:tc>
      </w:tr>
    </w:tbl>
    <w:p>
      <w:pPr>
        <w:pStyle w:val="2"/>
      </w:pPr>
    </w:p>
    <w:p>
      <w:pPr>
        <w:pStyle w:val="3"/>
        <w:keepNext w:val="0"/>
        <w:keepLines w:val="0"/>
        <w:spacing w:before="300" w:after="300" w:line="360" w:lineRule="exact"/>
        <w:jc w:val="left"/>
        <w:rPr>
          <w:rFonts w:ascii="Arial" w:hAnsi="Arial" w:eastAsia="宋体" w:cs="Arial"/>
          <w:bCs/>
          <w:color w:val="000000"/>
          <w:sz w:val="24"/>
          <w:szCs w:val="24"/>
        </w:rPr>
      </w:pPr>
      <w:bookmarkStart w:id="54" w:name="_Toc66115206"/>
      <w:bookmarkStart w:id="55" w:name="_Toc15641"/>
      <w:bookmarkStart w:id="56" w:name="_Toc23949"/>
      <w:r>
        <w:rPr>
          <w:rFonts w:hint="eastAsia" w:ascii="Arial" w:hAnsi="Arial" w:eastAsia="宋体" w:cs="Arial"/>
          <w:bCs/>
          <w:color w:val="000000"/>
          <w:sz w:val="24"/>
          <w:szCs w:val="24"/>
        </w:rPr>
        <w:t>十二、项目公司资金计划执行情况</w:t>
      </w:r>
      <w:bookmarkEnd w:id="54"/>
      <w:bookmarkEnd w:id="55"/>
      <w:bookmarkEnd w:id="56"/>
    </w:p>
    <w:p>
      <w:pPr>
        <w:jc w:val="center"/>
      </w:pPr>
      <w:bookmarkStart w:id="57" w:name="_Toc13011"/>
      <w:bookmarkStart w:id="58" w:name="_Toc2913"/>
      <w:bookmarkStart w:id="59" w:name="_Toc66115207"/>
      <w:r>
        <w:rPr>
          <w:rFonts w:hint="eastAsia" w:ascii="宋体" w:hAnsi="宋体" w:cs="宋体"/>
          <w:b/>
          <w:bCs/>
          <w:color w:val="000000"/>
          <w:sz w:val="21"/>
          <w:szCs w:val="21"/>
        </w:rPr>
        <w:t>表十三：</w:t>
      </w:r>
      <w:r>
        <w:rPr>
          <w:rFonts w:hint="eastAsia" w:ascii="宋体" w:hAnsi="宋体" w:cs="宋体"/>
          <w:b/>
          <w:bCs/>
          <w:sz w:val="21"/>
          <w:szCs w:val="21"/>
        </w:rPr>
        <w:t>2021年6月资金计划执行情况</w:t>
      </w:r>
    </w:p>
    <w:tbl>
      <w:tblPr>
        <w:tblStyle w:val="18"/>
        <w:tblW w:w="91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114"/>
        <w:gridCol w:w="1800"/>
        <w:gridCol w:w="1457"/>
        <w:gridCol w:w="1440"/>
        <w:gridCol w:w="2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5" w:hRule="atLeast"/>
          <w:jc w:val="center"/>
        </w:trPr>
        <w:tc>
          <w:tcPr>
            <w:tcW w:w="719"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序号</w:t>
            </w:r>
          </w:p>
        </w:tc>
        <w:tc>
          <w:tcPr>
            <w:tcW w:w="1114"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支出项目</w:t>
            </w:r>
          </w:p>
        </w:tc>
        <w:tc>
          <w:tcPr>
            <w:tcW w:w="1800"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计划金额</w:t>
            </w:r>
          </w:p>
        </w:tc>
        <w:tc>
          <w:tcPr>
            <w:tcW w:w="1457" w:type="dxa"/>
            <w:vAlign w:val="center"/>
          </w:tcPr>
          <w:p>
            <w:pPr>
              <w:jc w:val="center"/>
              <w:textAlignment w:val="center"/>
              <w:rPr>
                <w:rFonts w:ascii="宋体" w:hAnsi="宋体" w:cs="宋体"/>
                <w:b/>
                <w:bCs/>
                <w:color w:val="000000"/>
                <w:sz w:val="18"/>
                <w:szCs w:val="18"/>
                <w:lang w:bidi="ar"/>
              </w:rPr>
            </w:pPr>
            <w:r>
              <w:rPr>
                <w:rFonts w:ascii="宋体" w:hAnsi="宋体" w:cs="宋体"/>
                <w:b/>
                <w:bCs/>
                <w:color w:val="000000"/>
                <w:sz w:val="18"/>
                <w:szCs w:val="18"/>
                <w:lang w:bidi="ar"/>
              </w:rPr>
              <w:t>实际金额</w:t>
            </w:r>
          </w:p>
        </w:tc>
        <w:tc>
          <w:tcPr>
            <w:tcW w:w="1440" w:type="dxa"/>
            <w:vAlign w:val="center"/>
          </w:tcPr>
          <w:p>
            <w:pPr>
              <w:jc w:val="center"/>
              <w:textAlignment w:val="center"/>
              <w:rPr>
                <w:rFonts w:ascii="宋体" w:hAnsi="宋体" w:cs="宋体"/>
                <w:b/>
                <w:bCs/>
                <w:color w:val="000000"/>
                <w:sz w:val="18"/>
                <w:szCs w:val="18"/>
                <w:lang w:bidi="ar"/>
              </w:rPr>
            </w:pPr>
            <w:r>
              <w:rPr>
                <w:rFonts w:ascii="宋体" w:hAnsi="宋体" w:cs="宋体"/>
                <w:b/>
                <w:bCs/>
                <w:color w:val="000000"/>
                <w:sz w:val="18"/>
                <w:szCs w:val="18"/>
                <w:lang w:bidi="ar"/>
              </w:rPr>
              <w:t>差异金额</w:t>
            </w:r>
          </w:p>
        </w:tc>
        <w:tc>
          <w:tcPr>
            <w:tcW w:w="2621"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1 </w:t>
            </w:r>
          </w:p>
        </w:tc>
        <w:tc>
          <w:tcPr>
            <w:tcW w:w="1114"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开发费用</w:t>
            </w:r>
          </w:p>
        </w:tc>
        <w:tc>
          <w:tcPr>
            <w:tcW w:w="180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399,220.00 </w:t>
            </w:r>
          </w:p>
        </w:tc>
        <w:tc>
          <w:tcPr>
            <w:tcW w:w="1457"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279,290.00 </w:t>
            </w:r>
          </w:p>
        </w:tc>
        <w:tc>
          <w:tcPr>
            <w:tcW w:w="144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119,930.00 </w:t>
            </w:r>
          </w:p>
        </w:tc>
        <w:tc>
          <w:tcPr>
            <w:tcW w:w="2621" w:type="dxa"/>
            <w:vAlign w:val="center"/>
          </w:tcPr>
          <w:p>
            <w:pPr>
              <w:widowControl w:val="0"/>
              <w:jc w:val="right"/>
              <w:textAlignment w:val="center"/>
              <w:rPr>
                <w:rFonts w:ascii="Arial" w:hAnsi="Arial" w:cs="Arial"/>
                <w:color w:val="000000"/>
                <w:kern w:val="2"/>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2 </w:t>
            </w:r>
          </w:p>
        </w:tc>
        <w:tc>
          <w:tcPr>
            <w:tcW w:w="1114"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建安费用</w:t>
            </w:r>
          </w:p>
        </w:tc>
        <w:tc>
          <w:tcPr>
            <w:tcW w:w="180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13,008,490.80 </w:t>
            </w:r>
          </w:p>
        </w:tc>
        <w:tc>
          <w:tcPr>
            <w:tcW w:w="1457"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11,077,773.97 </w:t>
            </w:r>
          </w:p>
        </w:tc>
        <w:tc>
          <w:tcPr>
            <w:tcW w:w="144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1,930,716.83 </w:t>
            </w:r>
          </w:p>
        </w:tc>
        <w:tc>
          <w:tcPr>
            <w:tcW w:w="2621" w:type="dxa"/>
            <w:vAlign w:val="center"/>
          </w:tcPr>
          <w:p>
            <w:pPr>
              <w:widowControl w:val="0"/>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资金计划外申请638,959.00元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3 </w:t>
            </w:r>
          </w:p>
        </w:tc>
        <w:tc>
          <w:tcPr>
            <w:tcW w:w="1114"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营建成本</w:t>
            </w:r>
          </w:p>
        </w:tc>
        <w:tc>
          <w:tcPr>
            <w:tcW w:w="180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483,637.39 </w:t>
            </w:r>
          </w:p>
        </w:tc>
        <w:tc>
          <w:tcPr>
            <w:tcW w:w="1457"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26,000.00 </w:t>
            </w:r>
          </w:p>
        </w:tc>
        <w:tc>
          <w:tcPr>
            <w:tcW w:w="144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457,637.39 </w:t>
            </w:r>
          </w:p>
        </w:tc>
        <w:tc>
          <w:tcPr>
            <w:tcW w:w="2621" w:type="dxa"/>
            <w:vAlign w:val="center"/>
          </w:tcPr>
          <w:p>
            <w:pPr>
              <w:widowControl w:val="0"/>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4 </w:t>
            </w:r>
          </w:p>
        </w:tc>
        <w:tc>
          <w:tcPr>
            <w:tcW w:w="1114"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管理费用</w:t>
            </w:r>
          </w:p>
        </w:tc>
        <w:tc>
          <w:tcPr>
            <w:tcW w:w="180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2,982,405.00 </w:t>
            </w:r>
          </w:p>
        </w:tc>
        <w:tc>
          <w:tcPr>
            <w:tcW w:w="1457"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355,716.29 </w:t>
            </w:r>
          </w:p>
        </w:tc>
        <w:tc>
          <w:tcPr>
            <w:tcW w:w="144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2,626,688.71 </w:t>
            </w:r>
          </w:p>
        </w:tc>
        <w:tc>
          <w:tcPr>
            <w:tcW w:w="2621" w:type="dxa"/>
            <w:vAlign w:val="center"/>
          </w:tcPr>
          <w:p>
            <w:pPr>
              <w:widowControl w:val="0"/>
              <w:textAlignment w:val="center"/>
              <w:rPr>
                <w:rFonts w:ascii="Arial" w:hAnsi="Arial" w:cs="Arial"/>
                <w:color w:val="000000"/>
                <w:kern w:val="2"/>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5 </w:t>
            </w:r>
          </w:p>
        </w:tc>
        <w:tc>
          <w:tcPr>
            <w:tcW w:w="1114"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营销费用</w:t>
            </w:r>
          </w:p>
        </w:tc>
        <w:tc>
          <w:tcPr>
            <w:tcW w:w="180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3,829,940.00 </w:t>
            </w:r>
          </w:p>
        </w:tc>
        <w:tc>
          <w:tcPr>
            <w:tcW w:w="1457"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387,092.28 </w:t>
            </w:r>
          </w:p>
        </w:tc>
        <w:tc>
          <w:tcPr>
            <w:tcW w:w="144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3,442,847.72 </w:t>
            </w:r>
          </w:p>
        </w:tc>
        <w:tc>
          <w:tcPr>
            <w:tcW w:w="2621" w:type="dxa"/>
            <w:vAlign w:val="center"/>
          </w:tcPr>
          <w:p>
            <w:pPr>
              <w:widowControl w:val="0"/>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6 </w:t>
            </w:r>
          </w:p>
        </w:tc>
        <w:tc>
          <w:tcPr>
            <w:tcW w:w="1114"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税费</w:t>
            </w:r>
          </w:p>
        </w:tc>
        <w:tc>
          <w:tcPr>
            <w:tcW w:w="180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2,000,000.00 </w:t>
            </w:r>
          </w:p>
        </w:tc>
        <w:tc>
          <w:tcPr>
            <w:tcW w:w="1457"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908,895.77 </w:t>
            </w:r>
          </w:p>
        </w:tc>
        <w:tc>
          <w:tcPr>
            <w:tcW w:w="144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1,091,104.23 </w:t>
            </w:r>
          </w:p>
        </w:tc>
        <w:tc>
          <w:tcPr>
            <w:tcW w:w="2621" w:type="dxa"/>
            <w:vAlign w:val="center"/>
          </w:tcPr>
          <w:p>
            <w:pPr>
              <w:widowControl w:val="0"/>
              <w:textAlignment w:val="center"/>
              <w:rPr>
                <w:rFonts w:ascii="Arial" w:hAnsi="Arial" w:cs="Arial"/>
                <w:color w:val="000000"/>
                <w:kern w:val="2"/>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7 </w:t>
            </w:r>
          </w:p>
        </w:tc>
        <w:tc>
          <w:tcPr>
            <w:tcW w:w="1114"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财务费用</w:t>
            </w:r>
          </w:p>
        </w:tc>
        <w:tc>
          <w:tcPr>
            <w:tcW w:w="180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0.00 </w:t>
            </w:r>
          </w:p>
        </w:tc>
        <w:tc>
          <w:tcPr>
            <w:tcW w:w="1457"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-363,097.72 </w:t>
            </w:r>
          </w:p>
        </w:tc>
        <w:tc>
          <w:tcPr>
            <w:tcW w:w="144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363,097.72 </w:t>
            </w:r>
          </w:p>
        </w:tc>
        <w:tc>
          <w:tcPr>
            <w:tcW w:w="2621" w:type="dxa"/>
            <w:vAlign w:val="center"/>
          </w:tcPr>
          <w:p>
            <w:pPr>
              <w:widowControl w:val="0"/>
              <w:textAlignment w:val="center"/>
              <w:rPr>
                <w:rFonts w:ascii="Arial" w:hAnsi="Arial" w:cs="Arial"/>
                <w:color w:val="000000"/>
                <w:kern w:val="2"/>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8 </w:t>
            </w:r>
          </w:p>
        </w:tc>
        <w:tc>
          <w:tcPr>
            <w:tcW w:w="1114"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其他费用</w:t>
            </w:r>
          </w:p>
        </w:tc>
        <w:tc>
          <w:tcPr>
            <w:tcW w:w="180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664,000.00 </w:t>
            </w:r>
          </w:p>
        </w:tc>
        <w:tc>
          <w:tcPr>
            <w:tcW w:w="1457"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184,000.00 </w:t>
            </w:r>
          </w:p>
        </w:tc>
        <w:tc>
          <w:tcPr>
            <w:tcW w:w="144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480,000.00 </w:t>
            </w:r>
          </w:p>
        </w:tc>
        <w:tc>
          <w:tcPr>
            <w:tcW w:w="2621" w:type="dxa"/>
            <w:vAlign w:val="center"/>
          </w:tcPr>
          <w:p>
            <w:pPr>
              <w:widowControl w:val="0"/>
              <w:textAlignment w:val="center"/>
              <w:rPr>
                <w:rFonts w:ascii="Arial" w:hAnsi="Arial" w:cs="Arial"/>
                <w:color w:val="000000"/>
                <w:kern w:val="2"/>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9 </w:t>
            </w:r>
          </w:p>
        </w:tc>
        <w:tc>
          <w:tcPr>
            <w:tcW w:w="1114"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合计</w:t>
            </w:r>
          </w:p>
        </w:tc>
        <w:tc>
          <w:tcPr>
            <w:tcW w:w="180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23,367,693.19 </w:t>
            </w:r>
          </w:p>
        </w:tc>
        <w:tc>
          <w:tcPr>
            <w:tcW w:w="1457"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12,855,670.59 </w:t>
            </w:r>
          </w:p>
        </w:tc>
        <w:tc>
          <w:tcPr>
            <w:tcW w:w="144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10,512,022.60 </w:t>
            </w:r>
          </w:p>
        </w:tc>
        <w:tc>
          <w:tcPr>
            <w:tcW w:w="2621" w:type="dxa"/>
            <w:vAlign w:val="center"/>
          </w:tcPr>
          <w:p>
            <w:pPr>
              <w:widowControl w:val="0"/>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资金计划外申请</w:t>
            </w:r>
          </w:p>
          <w:p>
            <w:pPr>
              <w:widowControl w:val="0"/>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xml:space="preserve">总计638,959.00元 </w:t>
            </w:r>
          </w:p>
        </w:tc>
      </w:tr>
    </w:tbl>
    <w:p>
      <w:pPr>
        <w:widowControl w:val="0"/>
        <w:spacing w:line="480" w:lineRule="auto"/>
        <w:ind w:firstLine="420" w:firstLineChars="200"/>
        <w:jc w:val="both"/>
        <w:rPr>
          <w:rFonts w:ascii="Arial" w:hAnsi="Arial" w:cs="Arial"/>
          <w:bCs/>
          <w:color w:val="000000"/>
        </w:rPr>
      </w:pPr>
      <w:r>
        <w:rPr>
          <w:rFonts w:hint="eastAsia" w:ascii="Arial" w:hAnsi="Arial" w:cs="Arial"/>
          <w:kern w:val="44"/>
          <w:sz w:val="21"/>
          <w:szCs w:val="21"/>
        </w:rPr>
        <w:t>（1）项目公司报的资金计划因为集团支付总额限制，很多费用无法支付，导致资金执行过程中存在较大差异。</w:t>
      </w:r>
      <w:r>
        <w:rPr>
          <w:rFonts w:hint="eastAsia" w:ascii="Arial" w:hAnsi="Arial" w:cs="Arial"/>
          <w:bCs/>
          <w:color w:val="000000"/>
        </w:rPr>
        <w:br w:type="page"/>
      </w:r>
    </w:p>
    <w:p>
      <w:pPr>
        <w:pStyle w:val="3"/>
        <w:keepNext w:val="0"/>
        <w:keepLines w:val="0"/>
        <w:spacing w:before="300" w:after="300" w:line="360" w:lineRule="exact"/>
        <w:jc w:val="left"/>
        <w:rPr>
          <w:rFonts w:ascii="Arial" w:hAnsi="Arial" w:eastAsia="宋体" w:cs="Arial"/>
          <w:bCs/>
          <w:color w:val="000000"/>
          <w:sz w:val="24"/>
          <w:szCs w:val="24"/>
        </w:rPr>
      </w:pPr>
      <w:r>
        <w:rPr>
          <w:rFonts w:hint="eastAsia" w:ascii="Arial" w:hAnsi="Arial" w:eastAsia="宋体" w:cs="Arial"/>
          <w:bCs/>
          <w:color w:val="000000"/>
          <w:sz w:val="24"/>
          <w:szCs w:val="24"/>
        </w:rPr>
        <w:t>十三、项目公司用印情况（明细台账作为附件）</w:t>
      </w:r>
      <w:bookmarkEnd w:id="57"/>
      <w:bookmarkEnd w:id="58"/>
      <w:bookmarkEnd w:id="59"/>
    </w:p>
    <w:p>
      <w:pPr>
        <w:jc w:val="center"/>
      </w:pPr>
      <w:bookmarkStart w:id="60" w:name="_Toc9035"/>
      <w:r>
        <w:rPr>
          <w:rFonts w:hint="eastAsia" w:ascii="宋体" w:hAnsi="宋体" w:cs="宋体"/>
          <w:b/>
          <w:bCs/>
          <w:color w:val="000000"/>
          <w:sz w:val="21"/>
          <w:szCs w:val="21"/>
        </w:rPr>
        <w:t>表十二：</w:t>
      </w:r>
      <w:r>
        <w:rPr>
          <w:rFonts w:hint="eastAsia" w:ascii="宋体" w:hAnsi="宋体" w:cs="宋体"/>
          <w:b/>
          <w:bCs/>
          <w:sz w:val="21"/>
          <w:szCs w:val="21"/>
        </w:rPr>
        <w:t>项目公司用印情况统计表</w:t>
      </w:r>
      <w:bookmarkEnd w:id="60"/>
    </w:p>
    <w:tbl>
      <w:tblPr>
        <w:tblStyle w:val="18"/>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6274"/>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73"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序号</w:t>
            </w:r>
          </w:p>
        </w:tc>
        <w:tc>
          <w:tcPr>
            <w:tcW w:w="6274" w:type="dxa"/>
            <w:vAlign w:val="center"/>
          </w:tcPr>
          <w:p>
            <w:pPr>
              <w:jc w:val="center"/>
              <w:textAlignment w:val="center"/>
              <w:rPr>
                <w:rFonts w:ascii="宋体" w:hAnsi="宋体" w:cs="宋体"/>
                <w:b/>
                <w:bCs/>
                <w:color w:val="000000"/>
                <w:sz w:val="18"/>
                <w:szCs w:val="18"/>
                <w:lang w:bidi="ar"/>
              </w:rPr>
            </w:pPr>
            <w:r>
              <w:rPr>
                <w:rFonts w:ascii="宋体" w:hAnsi="宋体" w:cs="宋体"/>
                <w:b/>
                <w:bCs/>
                <w:color w:val="000000"/>
                <w:sz w:val="18"/>
                <w:szCs w:val="18"/>
                <w:lang w:bidi="ar"/>
              </w:rPr>
              <w:t>用途（合同、内部文件等）</w:t>
            </w:r>
          </w:p>
        </w:tc>
        <w:tc>
          <w:tcPr>
            <w:tcW w:w="1489" w:type="dxa"/>
            <w:vAlign w:val="center"/>
          </w:tcPr>
          <w:p>
            <w:pPr>
              <w:jc w:val="center"/>
              <w:textAlignment w:val="center"/>
              <w:rPr>
                <w:rFonts w:ascii="宋体" w:hAnsi="宋体" w:cs="宋体"/>
                <w:b/>
                <w:bCs/>
                <w:color w:val="000000"/>
                <w:sz w:val="18"/>
                <w:szCs w:val="18"/>
                <w:lang w:bidi="ar"/>
              </w:rPr>
            </w:pPr>
            <w:r>
              <w:rPr>
                <w:rFonts w:ascii="宋体" w:hAnsi="宋体" w:cs="宋体"/>
                <w:b/>
                <w:bCs/>
                <w:color w:val="000000"/>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73"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1</w:t>
            </w:r>
          </w:p>
        </w:tc>
        <w:tc>
          <w:tcPr>
            <w:tcW w:w="6274"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合同类</w:t>
            </w:r>
          </w:p>
        </w:tc>
        <w:tc>
          <w:tcPr>
            <w:tcW w:w="1489"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73"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2</w:t>
            </w:r>
          </w:p>
        </w:tc>
        <w:tc>
          <w:tcPr>
            <w:tcW w:w="6274"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（日常管理事项用印）</w:t>
            </w:r>
          </w:p>
        </w:tc>
        <w:tc>
          <w:tcPr>
            <w:tcW w:w="1489"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273"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3</w:t>
            </w:r>
          </w:p>
        </w:tc>
        <w:tc>
          <w:tcPr>
            <w:tcW w:w="6274"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其他</w:t>
            </w:r>
          </w:p>
        </w:tc>
        <w:tc>
          <w:tcPr>
            <w:tcW w:w="1489"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 xml:space="preserve"> </w:t>
            </w:r>
            <w:bookmarkStart w:id="101" w:name="_GoBack"/>
            <w:bookmarkEnd w:id="101"/>
            <w:r>
              <w:rPr>
                <w:rFonts w:hint="eastAsia" w:ascii="Arial" w:hAnsi="Arial" w:cs="Arial"/>
                <w:bCs/>
                <w:sz w:val="18"/>
                <w:szCs w:val="18"/>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273"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4</w:t>
            </w:r>
          </w:p>
        </w:tc>
        <w:tc>
          <w:tcPr>
            <w:tcW w:w="6274"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合计</w:t>
            </w:r>
          </w:p>
        </w:tc>
        <w:tc>
          <w:tcPr>
            <w:tcW w:w="1489"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728</w:t>
            </w:r>
          </w:p>
        </w:tc>
      </w:tr>
    </w:tbl>
    <w:p/>
    <w:p>
      <w:pPr>
        <w:pStyle w:val="3"/>
        <w:keepNext w:val="0"/>
        <w:keepLines w:val="0"/>
        <w:spacing w:before="300" w:after="300" w:line="360" w:lineRule="exact"/>
        <w:jc w:val="left"/>
        <w:rPr>
          <w:rFonts w:ascii="Arial" w:hAnsi="Arial" w:eastAsia="宋体" w:cs="Arial"/>
          <w:bCs/>
          <w:color w:val="000000"/>
          <w:sz w:val="24"/>
          <w:szCs w:val="24"/>
        </w:rPr>
      </w:pPr>
      <w:bookmarkStart w:id="61" w:name="_Toc66115208"/>
      <w:bookmarkStart w:id="62" w:name="_Toc17336"/>
      <w:bookmarkStart w:id="63" w:name="_Toc31746"/>
      <w:r>
        <w:rPr>
          <w:rFonts w:hint="eastAsia" w:ascii="Arial" w:hAnsi="Arial" w:eastAsia="宋体" w:cs="Arial"/>
          <w:bCs/>
          <w:color w:val="000000"/>
          <w:sz w:val="24"/>
          <w:szCs w:val="24"/>
        </w:rPr>
        <w:t>十四、项目公司印章证照外出使用情况</w:t>
      </w:r>
      <w:bookmarkEnd w:id="61"/>
      <w:bookmarkEnd w:id="62"/>
      <w:bookmarkEnd w:id="63"/>
    </w:p>
    <w:p>
      <w:pPr>
        <w:jc w:val="center"/>
      </w:pPr>
      <w:bookmarkStart w:id="64" w:name="_Toc6302"/>
      <w:r>
        <w:rPr>
          <w:rFonts w:hint="eastAsia" w:ascii="宋体" w:hAnsi="宋体" w:cs="宋体"/>
          <w:b/>
          <w:bCs/>
          <w:color w:val="000000"/>
          <w:sz w:val="21"/>
          <w:szCs w:val="21"/>
        </w:rPr>
        <w:t>表十三：SPV</w:t>
      </w:r>
      <w:r>
        <w:rPr>
          <w:rFonts w:hint="eastAsia" w:ascii="宋体" w:hAnsi="宋体" w:cs="宋体"/>
          <w:b/>
          <w:bCs/>
          <w:sz w:val="21"/>
          <w:szCs w:val="21"/>
        </w:rPr>
        <w:t>公司印章证照外出使用情况</w:t>
      </w:r>
      <w:bookmarkEnd w:id="64"/>
    </w:p>
    <w:tbl>
      <w:tblPr>
        <w:tblStyle w:val="18"/>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056"/>
        <w:gridCol w:w="1336"/>
        <w:gridCol w:w="1240"/>
        <w:gridCol w:w="1240"/>
        <w:gridCol w:w="1057"/>
        <w:gridCol w:w="1171"/>
        <w:gridCol w:w="939"/>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jc w:val="center"/>
        </w:trPr>
        <w:tc>
          <w:tcPr>
            <w:tcW w:w="628" w:type="dxa"/>
            <w:vAlign w:val="center"/>
          </w:tcPr>
          <w:p>
            <w:pPr>
              <w:jc w:val="center"/>
              <w:rPr>
                <w:rFonts w:ascii="Arial" w:hAnsi="Arial" w:cs="Arial"/>
                <w:bCs/>
                <w:sz w:val="18"/>
                <w:szCs w:val="18"/>
                <w:lang w:bidi="ar"/>
              </w:rPr>
            </w:pPr>
            <w:r>
              <w:rPr>
                <w:rFonts w:hint="eastAsia" w:ascii="Arial" w:hAnsi="Arial" w:cs="Arial"/>
                <w:bCs/>
                <w:sz w:val="18"/>
                <w:szCs w:val="18"/>
                <w:lang w:bidi="ar"/>
              </w:rPr>
              <w:t>序号</w:t>
            </w:r>
          </w:p>
        </w:tc>
        <w:tc>
          <w:tcPr>
            <w:tcW w:w="1056" w:type="dxa"/>
            <w:vAlign w:val="center"/>
          </w:tcPr>
          <w:p>
            <w:pPr>
              <w:jc w:val="center"/>
              <w:rPr>
                <w:rFonts w:ascii="Arial" w:hAnsi="Arial" w:cs="Arial"/>
                <w:bCs/>
                <w:sz w:val="18"/>
                <w:szCs w:val="18"/>
                <w:lang w:bidi="ar"/>
              </w:rPr>
            </w:pPr>
            <w:r>
              <w:rPr>
                <w:rFonts w:hint="eastAsia" w:ascii="Arial" w:hAnsi="Arial" w:cs="Arial"/>
                <w:bCs/>
                <w:sz w:val="18"/>
                <w:szCs w:val="18"/>
                <w:lang w:bidi="ar"/>
              </w:rPr>
              <w:t>外借时间</w:t>
            </w:r>
          </w:p>
        </w:tc>
        <w:tc>
          <w:tcPr>
            <w:tcW w:w="1336" w:type="dxa"/>
            <w:vAlign w:val="center"/>
          </w:tcPr>
          <w:p>
            <w:pPr>
              <w:jc w:val="center"/>
              <w:rPr>
                <w:rFonts w:ascii="Arial" w:hAnsi="Arial" w:cs="Arial"/>
                <w:bCs/>
                <w:sz w:val="18"/>
                <w:szCs w:val="18"/>
                <w:lang w:bidi="ar"/>
              </w:rPr>
            </w:pPr>
            <w:r>
              <w:rPr>
                <w:rFonts w:hint="eastAsia" w:ascii="Arial" w:hAnsi="Arial" w:cs="Arial"/>
                <w:bCs/>
                <w:sz w:val="18"/>
                <w:szCs w:val="18"/>
                <w:lang w:bidi="ar"/>
              </w:rPr>
              <w:t>印鉴证照名称</w:t>
            </w:r>
          </w:p>
        </w:tc>
        <w:tc>
          <w:tcPr>
            <w:tcW w:w="1240" w:type="dxa"/>
            <w:vAlign w:val="center"/>
          </w:tcPr>
          <w:p>
            <w:pPr>
              <w:jc w:val="center"/>
              <w:rPr>
                <w:rFonts w:ascii="Arial" w:hAnsi="Arial" w:cs="Arial"/>
                <w:bCs/>
                <w:sz w:val="18"/>
                <w:szCs w:val="18"/>
                <w:lang w:bidi="ar"/>
              </w:rPr>
            </w:pPr>
            <w:r>
              <w:rPr>
                <w:rFonts w:hint="eastAsia" w:ascii="Arial" w:hAnsi="Arial" w:cs="Arial"/>
                <w:bCs/>
                <w:sz w:val="18"/>
                <w:szCs w:val="18"/>
                <w:lang w:bidi="ar"/>
              </w:rPr>
              <w:t>事由（银行开户、政府机关报税报件等）</w:t>
            </w:r>
          </w:p>
        </w:tc>
        <w:tc>
          <w:tcPr>
            <w:tcW w:w="1240" w:type="dxa"/>
            <w:vAlign w:val="center"/>
          </w:tcPr>
          <w:p>
            <w:pPr>
              <w:jc w:val="center"/>
              <w:rPr>
                <w:rFonts w:ascii="Arial" w:hAnsi="Arial" w:cs="Arial"/>
                <w:bCs/>
                <w:sz w:val="18"/>
                <w:szCs w:val="18"/>
                <w:lang w:bidi="ar"/>
              </w:rPr>
            </w:pPr>
            <w:r>
              <w:rPr>
                <w:rFonts w:hint="eastAsia" w:ascii="Arial" w:hAnsi="Arial" w:cs="Arial"/>
                <w:bCs/>
                <w:sz w:val="18"/>
                <w:szCs w:val="18"/>
                <w:lang w:bidi="ar"/>
              </w:rPr>
              <w:t>经办部门</w:t>
            </w:r>
          </w:p>
        </w:tc>
        <w:tc>
          <w:tcPr>
            <w:tcW w:w="1057" w:type="dxa"/>
            <w:vAlign w:val="center"/>
          </w:tcPr>
          <w:p>
            <w:pPr>
              <w:jc w:val="center"/>
              <w:rPr>
                <w:rFonts w:ascii="Arial" w:hAnsi="Arial" w:cs="Arial"/>
                <w:bCs/>
                <w:sz w:val="18"/>
                <w:szCs w:val="18"/>
                <w:lang w:bidi="ar"/>
              </w:rPr>
            </w:pPr>
            <w:r>
              <w:rPr>
                <w:rFonts w:hint="eastAsia" w:ascii="Arial" w:hAnsi="Arial" w:cs="Arial"/>
                <w:bCs/>
                <w:sz w:val="18"/>
                <w:szCs w:val="18"/>
                <w:lang w:bidi="ar"/>
              </w:rPr>
              <w:t>经办人</w:t>
            </w:r>
          </w:p>
        </w:tc>
        <w:tc>
          <w:tcPr>
            <w:tcW w:w="1171" w:type="dxa"/>
            <w:vAlign w:val="center"/>
          </w:tcPr>
          <w:p>
            <w:pPr>
              <w:jc w:val="center"/>
              <w:rPr>
                <w:rFonts w:ascii="Arial" w:hAnsi="Arial" w:cs="Arial"/>
                <w:bCs/>
                <w:sz w:val="18"/>
                <w:szCs w:val="18"/>
                <w:lang w:bidi="ar"/>
              </w:rPr>
            </w:pPr>
            <w:r>
              <w:rPr>
                <w:rFonts w:hint="eastAsia" w:ascii="Arial" w:hAnsi="Arial" w:cs="Arial"/>
                <w:bCs/>
                <w:sz w:val="18"/>
                <w:szCs w:val="18"/>
                <w:lang w:bidi="ar"/>
              </w:rPr>
              <w:t>监印/证人</w:t>
            </w:r>
          </w:p>
        </w:tc>
        <w:tc>
          <w:tcPr>
            <w:tcW w:w="939" w:type="dxa"/>
            <w:vAlign w:val="center"/>
          </w:tcPr>
          <w:p>
            <w:pPr>
              <w:jc w:val="center"/>
              <w:rPr>
                <w:rFonts w:ascii="Arial" w:hAnsi="Arial" w:cs="Arial"/>
                <w:bCs/>
                <w:sz w:val="18"/>
                <w:szCs w:val="18"/>
                <w:lang w:bidi="ar"/>
              </w:rPr>
            </w:pPr>
            <w:r>
              <w:rPr>
                <w:rFonts w:hint="eastAsia" w:ascii="Arial" w:hAnsi="Arial" w:cs="Arial"/>
                <w:bCs/>
                <w:sz w:val="18"/>
                <w:szCs w:val="18"/>
                <w:lang w:bidi="ar"/>
              </w:rPr>
              <w:t>是否陪同</w:t>
            </w:r>
          </w:p>
        </w:tc>
        <w:tc>
          <w:tcPr>
            <w:tcW w:w="1249" w:type="dxa"/>
            <w:vAlign w:val="center"/>
          </w:tcPr>
          <w:p>
            <w:pPr>
              <w:jc w:val="center"/>
              <w:rPr>
                <w:rFonts w:ascii="Arial" w:hAnsi="Arial" w:cs="Arial"/>
                <w:bCs/>
                <w:sz w:val="18"/>
                <w:szCs w:val="18"/>
                <w:lang w:bidi="ar"/>
              </w:rPr>
            </w:pPr>
            <w:r>
              <w:rPr>
                <w:rFonts w:hint="eastAsia" w:ascii="Arial" w:hAnsi="Arial" w:cs="Arial"/>
                <w:bCs/>
                <w:sz w:val="18"/>
                <w:szCs w:val="18"/>
                <w:lang w:bidi="ar"/>
              </w:rPr>
              <w:t>归还日期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28" w:type="dxa"/>
            <w:vAlign w:val="center"/>
          </w:tcPr>
          <w:p>
            <w:pPr>
              <w:jc w:val="center"/>
              <w:rPr>
                <w:rFonts w:ascii="Arial" w:hAnsi="Arial" w:cs="Arial"/>
                <w:bCs/>
                <w:sz w:val="18"/>
                <w:szCs w:val="18"/>
                <w:lang w:bidi="ar"/>
              </w:rPr>
            </w:pPr>
            <w:bookmarkStart w:id="65" w:name="_Toc66115209"/>
            <w:bookmarkStart w:id="66" w:name="_Toc25369"/>
            <w:bookmarkStart w:id="67" w:name="_Toc20509"/>
            <w:r>
              <w:rPr>
                <w:rFonts w:hint="eastAsia" w:ascii="Arial" w:hAnsi="Arial" w:cs="Arial"/>
                <w:bCs/>
                <w:sz w:val="18"/>
                <w:szCs w:val="18"/>
                <w:lang w:bidi="ar"/>
              </w:rPr>
              <w:t>1</w:t>
            </w:r>
          </w:p>
        </w:tc>
        <w:tc>
          <w:tcPr>
            <w:tcW w:w="1056" w:type="dxa"/>
            <w:vAlign w:val="center"/>
          </w:tcPr>
          <w:p>
            <w:pPr>
              <w:jc w:val="center"/>
              <w:rPr>
                <w:rFonts w:ascii="Arial" w:hAnsi="Arial" w:cs="Arial"/>
                <w:bCs/>
                <w:sz w:val="18"/>
                <w:szCs w:val="18"/>
                <w:lang w:bidi="ar"/>
              </w:rPr>
            </w:pPr>
            <w:r>
              <w:rPr>
                <w:rFonts w:hint="eastAsia" w:ascii="Arial" w:hAnsi="Arial" w:cs="Arial"/>
                <w:bCs/>
                <w:sz w:val="18"/>
                <w:szCs w:val="18"/>
                <w:lang w:bidi="ar"/>
              </w:rPr>
              <w:t>2021-6-7</w:t>
            </w:r>
          </w:p>
        </w:tc>
        <w:tc>
          <w:tcPr>
            <w:tcW w:w="1336" w:type="dxa"/>
            <w:vAlign w:val="center"/>
          </w:tcPr>
          <w:p>
            <w:pPr>
              <w:jc w:val="center"/>
              <w:rPr>
                <w:rFonts w:ascii="Arial" w:hAnsi="Arial" w:cs="Arial"/>
                <w:bCs/>
                <w:sz w:val="18"/>
                <w:szCs w:val="18"/>
                <w:lang w:bidi="ar"/>
              </w:rPr>
            </w:pPr>
            <w:r>
              <w:rPr>
                <w:rFonts w:hint="eastAsia" w:ascii="Arial" w:hAnsi="Arial" w:cs="Arial"/>
                <w:bCs/>
                <w:sz w:val="18"/>
                <w:szCs w:val="18"/>
                <w:lang w:bidi="ar"/>
              </w:rPr>
              <w:t>公章、法人章、财务章</w:t>
            </w:r>
          </w:p>
        </w:tc>
        <w:tc>
          <w:tcPr>
            <w:tcW w:w="1240" w:type="dxa"/>
            <w:vAlign w:val="center"/>
          </w:tcPr>
          <w:p>
            <w:pPr>
              <w:jc w:val="center"/>
              <w:rPr>
                <w:rFonts w:ascii="Arial" w:hAnsi="Arial" w:cs="Arial"/>
                <w:bCs/>
                <w:sz w:val="18"/>
                <w:szCs w:val="18"/>
                <w:lang w:bidi="ar"/>
              </w:rPr>
            </w:pPr>
            <w:r>
              <w:rPr>
                <w:rFonts w:hint="eastAsia" w:ascii="Arial" w:hAnsi="Arial" w:cs="Arial"/>
                <w:bCs/>
                <w:sz w:val="18"/>
                <w:szCs w:val="18"/>
                <w:lang w:bidi="ar"/>
              </w:rPr>
              <w:t>SPV公司开立一般户</w:t>
            </w:r>
          </w:p>
        </w:tc>
        <w:tc>
          <w:tcPr>
            <w:tcW w:w="1240" w:type="dxa"/>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c>
          <w:tcPr>
            <w:tcW w:w="1057" w:type="dxa"/>
            <w:vAlign w:val="center"/>
          </w:tcPr>
          <w:p>
            <w:pPr>
              <w:jc w:val="center"/>
              <w:rPr>
                <w:rFonts w:ascii="Arial" w:hAnsi="Arial" w:cs="Arial"/>
                <w:bCs/>
                <w:sz w:val="18"/>
                <w:szCs w:val="18"/>
                <w:lang w:bidi="ar"/>
              </w:rPr>
            </w:pPr>
            <w:r>
              <w:rPr>
                <w:rFonts w:hint="eastAsia" w:ascii="Arial" w:hAnsi="Arial" w:cs="Arial"/>
                <w:bCs/>
                <w:sz w:val="18"/>
                <w:szCs w:val="18"/>
                <w:lang w:bidi="ar"/>
              </w:rPr>
              <w:t>游婷</w:t>
            </w:r>
          </w:p>
        </w:tc>
        <w:tc>
          <w:tcPr>
            <w:tcW w:w="1171" w:type="dxa"/>
            <w:vAlign w:val="center"/>
          </w:tcPr>
          <w:p>
            <w:pPr>
              <w:jc w:val="center"/>
              <w:rPr>
                <w:rFonts w:ascii="Arial" w:hAnsi="Arial" w:cs="Arial"/>
                <w:bCs/>
                <w:sz w:val="18"/>
                <w:szCs w:val="18"/>
                <w:lang w:bidi="ar"/>
              </w:rPr>
            </w:pPr>
            <w:r>
              <w:rPr>
                <w:rFonts w:hint="eastAsia" w:ascii="Arial" w:hAnsi="Arial" w:cs="Arial"/>
                <w:bCs/>
                <w:sz w:val="18"/>
                <w:szCs w:val="18"/>
                <w:lang w:bidi="ar"/>
              </w:rPr>
              <w:t>陈文丽</w:t>
            </w:r>
          </w:p>
        </w:tc>
        <w:tc>
          <w:tcPr>
            <w:tcW w:w="939" w:type="dxa"/>
            <w:vAlign w:val="center"/>
          </w:tcPr>
          <w:p>
            <w:pPr>
              <w:jc w:val="center"/>
              <w:rPr>
                <w:rFonts w:ascii="Arial" w:hAnsi="Arial" w:cs="Arial"/>
                <w:bCs/>
                <w:sz w:val="18"/>
                <w:szCs w:val="18"/>
                <w:lang w:bidi="ar"/>
              </w:rPr>
            </w:pPr>
            <w:r>
              <w:rPr>
                <w:rFonts w:hint="eastAsia" w:ascii="Arial" w:hAnsi="Arial" w:cs="Arial"/>
                <w:bCs/>
                <w:sz w:val="18"/>
                <w:szCs w:val="18"/>
                <w:lang w:bidi="ar"/>
              </w:rPr>
              <w:t>是</w:t>
            </w:r>
          </w:p>
        </w:tc>
        <w:tc>
          <w:tcPr>
            <w:tcW w:w="1249" w:type="dxa"/>
            <w:vAlign w:val="center"/>
          </w:tcPr>
          <w:p>
            <w:pPr>
              <w:jc w:val="center"/>
              <w:rPr>
                <w:rFonts w:ascii="Arial" w:hAnsi="Arial" w:cs="Arial"/>
                <w:bCs/>
                <w:sz w:val="18"/>
                <w:szCs w:val="18"/>
                <w:lang w:bidi="ar"/>
              </w:rPr>
            </w:pPr>
            <w:r>
              <w:rPr>
                <w:rFonts w:hint="eastAsia" w:ascii="Arial" w:hAnsi="Arial" w:cs="Arial"/>
                <w:bCs/>
                <w:sz w:val="18"/>
                <w:szCs w:val="18"/>
                <w:lang w:bidi="ar"/>
              </w:rPr>
              <w:t>2021-6-7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28" w:type="dxa"/>
            <w:vAlign w:val="center"/>
          </w:tcPr>
          <w:p>
            <w:pPr>
              <w:jc w:val="center"/>
              <w:rPr>
                <w:rFonts w:ascii="Arial" w:hAnsi="Arial" w:cs="Arial"/>
                <w:bCs/>
                <w:sz w:val="18"/>
                <w:szCs w:val="18"/>
                <w:lang w:bidi="ar"/>
              </w:rPr>
            </w:pPr>
            <w:r>
              <w:rPr>
                <w:rFonts w:hint="eastAsia" w:ascii="Arial" w:hAnsi="Arial" w:cs="Arial"/>
                <w:bCs/>
                <w:sz w:val="18"/>
                <w:szCs w:val="18"/>
                <w:lang w:bidi="ar"/>
              </w:rPr>
              <w:t>2</w:t>
            </w:r>
          </w:p>
        </w:tc>
        <w:tc>
          <w:tcPr>
            <w:tcW w:w="1056" w:type="dxa"/>
            <w:vAlign w:val="center"/>
          </w:tcPr>
          <w:p>
            <w:pPr>
              <w:jc w:val="center"/>
              <w:rPr>
                <w:rFonts w:ascii="Arial" w:hAnsi="Arial" w:cs="Arial"/>
                <w:bCs/>
                <w:sz w:val="18"/>
                <w:szCs w:val="18"/>
                <w:lang w:bidi="ar"/>
              </w:rPr>
            </w:pPr>
            <w:r>
              <w:rPr>
                <w:rFonts w:hint="eastAsia" w:ascii="Arial" w:hAnsi="Arial" w:cs="Arial"/>
                <w:bCs/>
                <w:sz w:val="18"/>
                <w:szCs w:val="18"/>
                <w:lang w:bidi="ar"/>
              </w:rPr>
              <w:t>2021-6-9</w:t>
            </w:r>
          </w:p>
        </w:tc>
        <w:tc>
          <w:tcPr>
            <w:tcW w:w="1336" w:type="dxa"/>
            <w:vAlign w:val="center"/>
          </w:tcPr>
          <w:p>
            <w:pPr>
              <w:jc w:val="center"/>
              <w:rPr>
                <w:rFonts w:ascii="Arial" w:hAnsi="Arial" w:cs="Arial"/>
                <w:bCs/>
                <w:sz w:val="18"/>
                <w:szCs w:val="18"/>
                <w:lang w:bidi="ar"/>
              </w:rPr>
            </w:pPr>
            <w:r>
              <w:rPr>
                <w:rFonts w:hint="eastAsia" w:ascii="Arial" w:hAnsi="Arial" w:cs="Arial"/>
                <w:bCs/>
                <w:sz w:val="18"/>
                <w:szCs w:val="18"/>
                <w:lang w:bidi="ar"/>
              </w:rPr>
              <w:t>营业执照正副本、公章、法人章、财务章</w:t>
            </w:r>
          </w:p>
        </w:tc>
        <w:tc>
          <w:tcPr>
            <w:tcW w:w="1240" w:type="dxa"/>
            <w:vAlign w:val="center"/>
          </w:tcPr>
          <w:p>
            <w:pPr>
              <w:jc w:val="center"/>
              <w:rPr>
                <w:rFonts w:ascii="Arial" w:hAnsi="Arial" w:cs="Arial"/>
                <w:bCs/>
                <w:sz w:val="18"/>
                <w:szCs w:val="18"/>
                <w:lang w:bidi="ar"/>
              </w:rPr>
            </w:pPr>
            <w:r>
              <w:rPr>
                <w:rFonts w:hint="eastAsia" w:ascii="Arial" w:hAnsi="Arial" w:cs="Arial"/>
                <w:bCs/>
                <w:sz w:val="18"/>
                <w:szCs w:val="18"/>
                <w:lang w:bidi="ar"/>
              </w:rPr>
              <w:t>SPV公司开立一般户</w:t>
            </w:r>
          </w:p>
        </w:tc>
        <w:tc>
          <w:tcPr>
            <w:tcW w:w="1240" w:type="dxa"/>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c>
          <w:tcPr>
            <w:tcW w:w="1057" w:type="dxa"/>
            <w:vAlign w:val="center"/>
          </w:tcPr>
          <w:p>
            <w:pPr>
              <w:jc w:val="center"/>
              <w:rPr>
                <w:rFonts w:ascii="Arial" w:hAnsi="Arial" w:cs="Arial"/>
                <w:bCs/>
                <w:sz w:val="18"/>
                <w:szCs w:val="18"/>
                <w:lang w:bidi="ar"/>
              </w:rPr>
            </w:pPr>
            <w:r>
              <w:rPr>
                <w:rFonts w:hint="eastAsia" w:ascii="Arial" w:hAnsi="Arial" w:cs="Arial"/>
                <w:bCs/>
                <w:sz w:val="18"/>
                <w:szCs w:val="18"/>
                <w:lang w:bidi="ar"/>
              </w:rPr>
              <w:t>潘麓西</w:t>
            </w:r>
          </w:p>
        </w:tc>
        <w:tc>
          <w:tcPr>
            <w:tcW w:w="1171" w:type="dxa"/>
            <w:vAlign w:val="center"/>
          </w:tcPr>
          <w:p>
            <w:pPr>
              <w:jc w:val="center"/>
              <w:rPr>
                <w:rFonts w:ascii="Arial" w:hAnsi="Arial" w:cs="Arial"/>
                <w:bCs/>
                <w:sz w:val="18"/>
                <w:szCs w:val="18"/>
                <w:lang w:bidi="ar"/>
              </w:rPr>
            </w:pPr>
            <w:r>
              <w:rPr>
                <w:rFonts w:hint="eastAsia" w:ascii="Arial" w:hAnsi="Arial" w:cs="Arial"/>
                <w:bCs/>
                <w:sz w:val="18"/>
                <w:szCs w:val="18"/>
                <w:lang w:bidi="ar"/>
              </w:rPr>
              <w:t>陈文丽</w:t>
            </w:r>
          </w:p>
        </w:tc>
        <w:tc>
          <w:tcPr>
            <w:tcW w:w="939" w:type="dxa"/>
            <w:vAlign w:val="center"/>
          </w:tcPr>
          <w:p>
            <w:pPr>
              <w:jc w:val="center"/>
              <w:rPr>
                <w:rFonts w:ascii="Arial" w:hAnsi="Arial" w:cs="Arial"/>
                <w:bCs/>
                <w:sz w:val="18"/>
                <w:szCs w:val="18"/>
                <w:lang w:bidi="ar"/>
              </w:rPr>
            </w:pPr>
            <w:r>
              <w:rPr>
                <w:rFonts w:hint="eastAsia" w:ascii="Arial" w:hAnsi="Arial" w:cs="Arial"/>
                <w:bCs/>
                <w:sz w:val="18"/>
                <w:szCs w:val="18"/>
                <w:lang w:bidi="ar"/>
              </w:rPr>
              <w:t>是</w:t>
            </w:r>
          </w:p>
        </w:tc>
        <w:tc>
          <w:tcPr>
            <w:tcW w:w="1249" w:type="dxa"/>
            <w:vAlign w:val="center"/>
          </w:tcPr>
          <w:p>
            <w:pPr>
              <w:jc w:val="center"/>
              <w:rPr>
                <w:rFonts w:ascii="Arial" w:hAnsi="Arial" w:cs="Arial"/>
                <w:bCs/>
                <w:sz w:val="18"/>
                <w:szCs w:val="18"/>
                <w:lang w:bidi="ar"/>
              </w:rPr>
            </w:pPr>
            <w:r>
              <w:rPr>
                <w:rFonts w:hint="eastAsia" w:ascii="Arial" w:hAnsi="Arial" w:cs="Arial"/>
                <w:bCs/>
                <w:sz w:val="18"/>
                <w:szCs w:val="18"/>
                <w:lang w:bidi="ar"/>
              </w:rPr>
              <w:t>2021-6-9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28" w:type="dxa"/>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056" w:type="dxa"/>
            <w:vAlign w:val="center"/>
          </w:tcPr>
          <w:p>
            <w:pPr>
              <w:jc w:val="center"/>
              <w:rPr>
                <w:rFonts w:ascii="Arial" w:hAnsi="Arial" w:cs="Arial"/>
                <w:bCs/>
                <w:sz w:val="18"/>
                <w:szCs w:val="18"/>
                <w:lang w:bidi="ar"/>
              </w:rPr>
            </w:pPr>
            <w:r>
              <w:rPr>
                <w:rFonts w:hint="eastAsia" w:ascii="Arial" w:hAnsi="Arial" w:cs="Arial"/>
                <w:bCs/>
                <w:sz w:val="18"/>
                <w:szCs w:val="18"/>
                <w:lang w:bidi="ar"/>
              </w:rPr>
              <w:t>2021-6-30</w:t>
            </w:r>
          </w:p>
        </w:tc>
        <w:tc>
          <w:tcPr>
            <w:tcW w:w="1336" w:type="dxa"/>
            <w:vAlign w:val="center"/>
          </w:tcPr>
          <w:p>
            <w:pPr>
              <w:jc w:val="center"/>
              <w:rPr>
                <w:rFonts w:ascii="Arial" w:hAnsi="Arial" w:cs="Arial"/>
                <w:bCs/>
                <w:sz w:val="18"/>
                <w:szCs w:val="18"/>
                <w:lang w:bidi="ar"/>
              </w:rPr>
            </w:pPr>
            <w:r>
              <w:rPr>
                <w:rFonts w:hint="eastAsia" w:ascii="Arial" w:hAnsi="Arial" w:cs="Arial"/>
                <w:bCs/>
                <w:sz w:val="18"/>
                <w:szCs w:val="18"/>
                <w:lang w:bidi="ar"/>
              </w:rPr>
              <w:t>营业执照正本</w:t>
            </w:r>
          </w:p>
        </w:tc>
        <w:tc>
          <w:tcPr>
            <w:tcW w:w="1240" w:type="dxa"/>
            <w:vAlign w:val="center"/>
          </w:tcPr>
          <w:p>
            <w:pPr>
              <w:jc w:val="center"/>
              <w:rPr>
                <w:rFonts w:ascii="Arial" w:hAnsi="Arial" w:cs="Arial"/>
                <w:bCs/>
                <w:sz w:val="18"/>
                <w:szCs w:val="18"/>
                <w:lang w:bidi="ar"/>
              </w:rPr>
            </w:pPr>
            <w:r>
              <w:rPr>
                <w:rFonts w:hint="eastAsia" w:ascii="Arial" w:hAnsi="Arial" w:cs="Arial"/>
                <w:bCs/>
                <w:sz w:val="18"/>
                <w:szCs w:val="18"/>
                <w:lang w:bidi="ar"/>
              </w:rPr>
              <w:t>SPV工商局调档</w:t>
            </w:r>
          </w:p>
        </w:tc>
        <w:tc>
          <w:tcPr>
            <w:tcW w:w="1240" w:type="dxa"/>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c>
          <w:tcPr>
            <w:tcW w:w="1057" w:type="dxa"/>
            <w:vAlign w:val="center"/>
          </w:tcPr>
          <w:p>
            <w:pPr>
              <w:jc w:val="center"/>
              <w:rPr>
                <w:rFonts w:ascii="Arial" w:hAnsi="Arial" w:cs="Arial"/>
                <w:bCs/>
                <w:sz w:val="18"/>
                <w:szCs w:val="18"/>
                <w:lang w:bidi="ar"/>
              </w:rPr>
            </w:pPr>
            <w:r>
              <w:rPr>
                <w:rFonts w:hint="eastAsia" w:ascii="Arial" w:hAnsi="Arial" w:cs="Arial"/>
                <w:bCs/>
                <w:sz w:val="18"/>
                <w:szCs w:val="18"/>
                <w:lang w:bidi="ar"/>
              </w:rPr>
              <w:t>潘麓西</w:t>
            </w:r>
          </w:p>
        </w:tc>
        <w:tc>
          <w:tcPr>
            <w:tcW w:w="1171" w:type="dxa"/>
            <w:vAlign w:val="center"/>
          </w:tcPr>
          <w:p>
            <w:pPr>
              <w:jc w:val="center"/>
              <w:rPr>
                <w:rFonts w:ascii="Arial" w:hAnsi="Arial" w:cs="Arial"/>
                <w:bCs/>
                <w:sz w:val="18"/>
                <w:szCs w:val="18"/>
                <w:lang w:bidi="ar"/>
              </w:rPr>
            </w:pPr>
            <w:r>
              <w:rPr>
                <w:rFonts w:hint="eastAsia" w:ascii="Arial" w:hAnsi="Arial" w:cs="Arial"/>
                <w:bCs/>
                <w:sz w:val="18"/>
                <w:szCs w:val="18"/>
                <w:lang w:bidi="ar"/>
              </w:rPr>
              <w:t>陈文丽</w:t>
            </w:r>
          </w:p>
        </w:tc>
        <w:tc>
          <w:tcPr>
            <w:tcW w:w="939" w:type="dxa"/>
            <w:vAlign w:val="center"/>
          </w:tcPr>
          <w:p>
            <w:pPr>
              <w:jc w:val="center"/>
              <w:rPr>
                <w:rFonts w:ascii="Arial" w:hAnsi="Arial" w:cs="Arial"/>
                <w:bCs/>
                <w:sz w:val="18"/>
                <w:szCs w:val="18"/>
                <w:lang w:bidi="ar"/>
              </w:rPr>
            </w:pPr>
            <w:r>
              <w:rPr>
                <w:rFonts w:hint="eastAsia" w:ascii="Arial" w:hAnsi="Arial" w:cs="Arial"/>
                <w:bCs/>
                <w:sz w:val="18"/>
                <w:szCs w:val="18"/>
                <w:lang w:bidi="ar"/>
              </w:rPr>
              <w:t>是</w:t>
            </w:r>
          </w:p>
        </w:tc>
        <w:tc>
          <w:tcPr>
            <w:tcW w:w="1249" w:type="dxa"/>
            <w:vAlign w:val="center"/>
          </w:tcPr>
          <w:p>
            <w:pPr>
              <w:jc w:val="center"/>
              <w:rPr>
                <w:rFonts w:ascii="Arial" w:hAnsi="Arial" w:cs="Arial"/>
                <w:bCs/>
                <w:sz w:val="18"/>
                <w:szCs w:val="18"/>
                <w:lang w:bidi="ar"/>
              </w:rPr>
            </w:pPr>
            <w:r>
              <w:rPr>
                <w:rFonts w:hint="eastAsia" w:ascii="Arial" w:hAnsi="Arial" w:cs="Arial"/>
                <w:bCs/>
                <w:sz w:val="18"/>
                <w:szCs w:val="18"/>
                <w:lang w:bidi="ar"/>
              </w:rPr>
              <w:t>2021-6-30</w:t>
            </w:r>
          </w:p>
        </w:tc>
      </w:tr>
    </w:tbl>
    <w:p>
      <w:pPr>
        <w:pStyle w:val="3"/>
        <w:keepNext w:val="0"/>
        <w:keepLines w:val="0"/>
        <w:spacing w:before="300" w:after="300" w:line="360" w:lineRule="exact"/>
        <w:jc w:val="left"/>
        <w:rPr>
          <w:rFonts w:ascii="Arial" w:hAnsi="Arial" w:eastAsia="宋体" w:cs="Arial"/>
          <w:bCs/>
          <w:color w:val="000000"/>
          <w:sz w:val="24"/>
          <w:szCs w:val="24"/>
        </w:rPr>
      </w:pPr>
      <w:r>
        <w:rPr>
          <w:rFonts w:hint="eastAsia" w:ascii="Arial" w:hAnsi="Arial" w:eastAsia="宋体" w:cs="Arial"/>
          <w:bCs/>
          <w:color w:val="000000"/>
          <w:sz w:val="24"/>
          <w:szCs w:val="24"/>
        </w:rPr>
        <w:t>十五、项目公司签约情况（明细台账作为附件）</w:t>
      </w:r>
      <w:bookmarkEnd w:id="65"/>
      <w:bookmarkEnd w:id="66"/>
      <w:bookmarkEnd w:id="67"/>
    </w:p>
    <w:p>
      <w:pPr>
        <w:jc w:val="center"/>
        <w:rPr>
          <w:rFonts w:ascii="宋体" w:hAnsi="宋体" w:cs="宋体"/>
          <w:b/>
          <w:bCs/>
          <w:sz w:val="21"/>
          <w:szCs w:val="21"/>
        </w:rPr>
      </w:pPr>
      <w:bookmarkStart w:id="68" w:name="_Toc16250"/>
      <w:r>
        <w:rPr>
          <w:rFonts w:hint="eastAsia" w:ascii="宋体" w:hAnsi="宋体" w:cs="宋体"/>
          <w:b/>
          <w:bCs/>
          <w:color w:val="000000"/>
          <w:sz w:val="21"/>
          <w:szCs w:val="21"/>
        </w:rPr>
        <w:t>表十四：</w:t>
      </w:r>
      <w:r>
        <w:rPr>
          <w:rFonts w:hint="eastAsia" w:ascii="宋体" w:hAnsi="宋体" w:cs="宋体"/>
          <w:b/>
          <w:bCs/>
          <w:sz w:val="21"/>
          <w:szCs w:val="21"/>
        </w:rPr>
        <w:t>项目公司签约情况统计表</w:t>
      </w:r>
      <w:bookmarkEnd w:id="68"/>
    </w:p>
    <w:tbl>
      <w:tblPr>
        <w:tblStyle w:val="18"/>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6274"/>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73"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序号</w:t>
            </w:r>
          </w:p>
        </w:tc>
        <w:tc>
          <w:tcPr>
            <w:tcW w:w="6274" w:type="dxa"/>
            <w:vAlign w:val="center"/>
          </w:tcPr>
          <w:p>
            <w:pPr>
              <w:jc w:val="center"/>
              <w:textAlignment w:val="center"/>
              <w:rPr>
                <w:rFonts w:ascii="宋体" w:hAnsi="宋体" w:cs="宋体"/>
                <w:b/>
                <w:bCs/>
                <w:color w:val="000000"/>
                <w:sz w:val="18"/>
                <w:szCs w:val="18"/>
                <w:lang w:bidi="ar"/>
              </w:rPr>
            </w:pPr>
            <w:r>
              <w:rPr>
                <w:rFonts w:ascii="宋体" w:hAnsi="宋体" w:cs="宋体"/>
                <w:b/>
                <w:bCs/>
                <w:color w:val="000000"/>
                <w:sz w:val="18"/>
                <w:szCs w:val="18"/>
                <w:lang w:bidi="ar"/>
              </w:rPr>
              <w:t>用途（合同、内部文件等）</w:t>
            </w:r>
          </w:p>
        </w:tc>
        <w:tc>
          <w:tcPr>
            <w:tcW w:w="1489" w:type="dxa"/>
            <w:vAlign w:val="center"/>
          </w:tcPr>
          <w:p>
            <w:pPr>
              <w:jc w:val="center"/>
              <w:textAlignment w:val="center"/>
              <w:rPr>
                <w:rFonts w:ascii="宋体" w:hAnsi="宋体" w:cs="宋体"/>
                <w:b/>
                <w:bCs/>
                <w:color w:val="000000"/>
                <w:sz w:val="18"/>
                <w:szCs w:val="18"/>
                <w:lang w:bidi="ar"/>
              </w:rPr>
            </w:pPr>
            <w:r>
              <w:rPr>
                <w:rFonts w:ascii="宋体" w:hAnsi="宋体" w:cs="宋体"/>
                <w:b/>
                <w:bCs/>
                <w:color w:val="000000"/>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73"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1</w:t>
            </w:r>
          </w:p>
        </w:tc>
        <w:tc>
          <w:tcPr>
            <w:tcW w:w="6274"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合同类</w:t>
            </w:r>
          </w:p>
        </w:tc>
        <w:tc>
          <w:tcPr>
            <w:tcW w:w="1489"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73"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2</w:t>
            </w:r>
          </w:p>
        </w:tc>
        <w:tc>
          <w:tcPr>
            <w:tcW w:w="6274"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（日常管理事项用印）</w:t>
            </w:r>
          </w:p>
        </w:tc>
        <w:tc>
          <w:tcPr>
            <w:tcW w:w="1489"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1273"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3</w:t>
            </w:r>
          </w:p>
        </w:tc>
        <w:tc>
          <w:tcPr>
            <w:tcW w:w="6274"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其他</w:t>
            </w:r>
          </w:p>
        </w:tc>
        <w:tc>
          <w:tcPr>
            <w:tcW w:w="1489"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273"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4</w:t>
            </w:r>
          </w:p>
        </w:tc>
        <w:tc>
          <w:tcPr>
            <w:tcW w:w="6274"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合计</w:t>
            </w:r>
          </w:p>
        </w:tc>
        <w:tc>
          <w:tcPr>
            <w:tcW w:w="1489"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415</w:t>
            </w:r>
          </w:p>
        </w:tc>
      </w:tr>
    </w:tbl>
    <w:p>
      <w:pPr>
        <w:rPr>
          <w:rFonts w:ascii="Arial" w:hAnsi="Arial" w:cs="Arial"/>
          <w:bCs/>
          <w:color w:val="000000"/>
        </w:rPr>
      </w:pPr>
      <w:bookmarkStart w:id="69" w:name="_Toc25799"/>
      <w:bookmarkStart w:id="70" w:name="_Toc25878"/>
      <w:bookmarkStart w:id="71" w:name="_Toc66115211"/>
      <w:r>
        <w:rPr>
          <w:rFonts w:hint="eastAsia" w:ascii="Arial" w:hAnsi="Arial" w:cs="Arial"/>
          <w:bCs/>
          <w:color w:val="000000"/>
        </w:rPr>
        <w:br w:type="page"/>
      </w:r>
    </w:p>
    <w:p>
      <w:pPr>
        <w:pStyle w:val="3"/>
        <w:keepNext w:val="0"/>
        <w:keepLines w:val="0"/>
        <w:spacing w:before="300" w:after="300" w:line="360" w:lineRule="exact"/>
        <w:jc w:val="left"/>
        <w:rPr>
          <w:rFonts w:ascii="Arial" w:hAnsi="Arial" w:eastAsia="宋体" w:cs="Arial"/>
          <w:bCs/>
          <w:color w:val="000000"/>
          <w:sz w:val="24"/>
          <w:szCs w:val="24"/>
        </w:rPr>
      </w:pPr>
      <w:r>
        <w:rPr>
          <w:rFonts w:hint="eastAsia" w:ascii="Arial" w:hAnsi="Arial" w:eastAsia="宋体" w:cs="Arial"/>
          <w:bCs/>
          <w:color w:val="000000"/>
          <w:sz w:val="24"/>
          <w:szCs w:val="24"/>
        </w:rPr>
        <w:t>十六、项目整体运行情况分析</w:t>
      </w:r>
      <w:bookmarkEnd w:id="69"/>
      <w:bookmarkEnd w:id="70"/>
      <w:bookmarkEnd w:id="71"/>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1.项目开发建设情况评价</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项目整体情况与照尽调报告预期的进度基本相符。</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2.项目销售情况评价</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尽调报告预计项2020年12月首次开盘销售，项目实际于2020年10月17日首次开盘住宅203套（20264.23㎡），于2020年12月5日推盘203套（19681.46㎡），于2021年4月23日推盘203套（20264.23㎡），相对于尽调报告预期提前开盘，截至6月30日累计开盘609套（60209.92㎡），累计销售356套，月均销售39.56套。实际销售均价8,525.05元/㎡，相对于尽调报告预期的高层售价9,785元/㎡，售价暂未达到预期。</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3.操作风险评价</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工程实际进度比尽调中经营计划延迟，主要原因是疫情、工程款支付延迟导致工程进度缓慢，项目公司的今年计划：云锦一期所有主体楼栋全部封顶，云锦二期代建广场园林绿化部分施工，云锦三期报规完成。投资协议中首期主体结构封顶对赌节点为2021年12月31日，按现阶段已完成的工程节点，后期工期较为紧张，项目公司后期需加强工程进度管理，按计划完成各阶段工作，方可保证按对赌时间完成首期主体结构封顶。</w:t>
      </w:r>
    </w:p>
    <w:p>
      <w:pPr>
        <w:rPr>
          <w:rFonts w:ascii="宋体" w:hAnsi="宋体"/>
          <w:b/>
          <w:kern w:val="44"/>
          <w:sz w:val="21"/>
          <w:szCs w:val="21"/>
        </w:rPr>
      </w:pPr>
      <w:r>
        <w:rPr>
          <w:rFonts w:ascii="宋体" w:hAnsi="宋体"/>
          <w:sz w:val="21"/>
          <w:szCs w:val="21"/>
        </w:rPr>
        <w:br w:type="page"/>
      </w:r>
    </w:p>
    <w:p>
      <w:pPr>
        <w:pStyle w:val="3"/>
        <w:keepNext w:val="0"/>
        <w:keepLines w:val="0"/>
        <w:spacing w:before="300" w:after="300" w:line="360" w:lineRule="exact"/>
        <w:jc w:val="left"/>
        <w:rPr>
          <w:rFonts w:ascii="Arial" w:hAnsi="Arial" w:eastAsia="宋体" w:cs="Arial"/>
          <w:bCs/>
          <w:color w:val="000000"/>
          <w:sz w:val="24"/>
          <w:szCs w:val="24"/>
        </w:rPr>
      </w:pPr>
      <w:bookmarkStart w:id="72" w:name="_Toc29431"/>
      <w:bookmarkStart w:id="73" w:name="_Toc66115212"/>
      <w:bookmarkStart w:id="74" w:name="_Toc21512"/>
      <w:r>
        <w:rPr>
          <w:rFonts w:hint="eastAsia" w:ascii="Arial" w:hAnsi="Arial" w:eastAsia="宋体" w:cs="Arial"/>
          <w:bCs/>
          <w:color w:val="000000"/>
          <w:sz w:val="24"/>
          <w:szCs w:val="24"/>
        </w:rPr>
        <w:t>十七、附件</w:t>
      </w:r>
      <w:bookmarkEnd w:id="72"/>
      <w:bookmarkEnd w:id="73"/>
      <w:bookmarkEnd w:id="74"/>
    </w:p>
    <w:p>
      <w:pPr>
        <w:widowControl w:val="0"/>
        <w:spacing w:line="480" w:lineRule="auto"/>
        <w:rPr>
          <w:rFonts w:ascii="Arial" w:hAnsi="Arial" w:cs="Arial"/>
          <w:kern w:val="44"/>
          <w:sz w:val="21"/>
          <w:szCs w:val="21"/>
        </w:rPr>
      </w:pPr>
      <w:bookmarkStart w:id="75" w:name="_Toc10536"/>
      <w:bookmarkStart w:id="76" w:name="_Toc11096"/>
      <w:bookmarkStart w:id="77" w:name="_Toc5428"/>
      <w:bookmarkStart w:id="78" w:name="_Toc14162"/>
      <w:bookmarkStart w:id="79" w:name="_Toc1010"/>
      <w:bookmarkStart w:id="80" w:name="_Toc105"/>
      <w:bookmarkStart w:id="81" w:name="_Toc20451"/>
      <w:bookmarkStart w:id="82" w:name="_Toc12876"/>
      <w:bookmarkStart w:id="83" w:name="_Toc9588"/>
      <w:bookmarkStart w:id="84" w:name="_Toc12359"/>
      <w:r>
        <w:rPr>
          <w:rFonts w:hint="eastAsia" w:ascii="Arial" w:hAnsi="Arial" w:cs="Arial"/>
          <w:kern w:val="44"/>
          <w:sz w:val="21"/>
          <w:szCs w:val="21"/>
        </w:rPr>
        <w:t>附件一、各账户余额截图</w:t>
      </w:r>
      <w:bookmarkEnd w:id="75"/>
      <w:bookmarkEnd w:id="76"/>
      <w:bookmarkEnd w:id="77"/>
      <w:bookmarkEnd w:id="78"/>
      <w:bookmarkEnd w:id="79"/>
      <w:bookmarkEnd w:id="80"/>
      <w:bookmarkEnd w:id="81"/>
      <w:bookmarkEnd w:id="82"/>
      <w:bookmarkEnd w:id="83"/>
      <w:bookmarkEnd w:id="84"/>
    </w:p>
    <w:p>
      <w:pPr>
        <w:jc w:val="center"/>
        <w:rPr>
          <w:rFonts w:ascii="宋体" w:hAnsi="宋体" w:cs="宋体"/>
          <w:b/>
          <w:bCs/>
        </w:rPr>
      </w:pPr>
      <w:r>
        <w:rPr>
          <w:rFonts w:hint="eastAsia" w:ascii="宋体" w:hAnsi="宋体" w:cs="宋体"/>
          <w:b/>
          <w:bCs/>
        </w:rPr>
        <w:t>宜宾骏继工商银行基本户     单位：元</w:t>
      </w:r>
      <w:bookmarkStart w:id="85" w:name="_Toc8196"/>
      <w:bookmarkStart w:id="86" w:name="_Toc22742"/>
      <w:bookmarkStart w:id="87" w:name="_Toc10321"/>
    </w:p>
    <w:p>
      <w:pPr>
        <w:jc w:val="center"/>
        <w:rPr>
          <w:rFonts w:ascii="仿宋" w:hAnsi="仿宋" w:eastAsia="仿宋" w:cs="仿宋"/>
          <w:b/>
          <w:bCs/>
        </w:rPr>
      </w:pPr>
      <w:r>
        <w:rPr>
          <w:rFonts w:hint="eastAsia" w:ascii="仿宋" w:hAnsi="仿宋" w:eastAsia="仿宋" w:cs="仿宋"/>
          <w:b/>
          <w:bCs/>
        </w:rPr>
        <w:drawing>
          <wp:inline distT="0" distB="0" distL="114300" distR="114300">
            <wp:extent cx="5670550" cy="2930525"/>
            <wp:effectExtent l="0" t="0" r="13970" b="10795"/>
            <wp:docPr id="25" name="图片 1" descr="C:\Users\123\Desktop\银行流水最新版本\工商\3e97495a1aaae24720d902e5f9404fb.png3e97495a1aaae24720d902e5f9404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C:\Users\123\Desktop\银行流水最新版本\工商\3e97495a1aaae24720d902e5f9404fb.png3e97495a1aaae24720d902e5f9404fb"/>
                    <pic:cNvPicPr>
                      <a:picLocks noChangeAspect="1"/>
                    </pic:cNvPicPr>
                  </pic:nvPicPr>
                  <pic:blipFill>
                    <a:blip r:embed="rId14"/>
                    <a:srcRect/>
                    <a:stretch>
                      <a:fillRect/>
                    </a:stretch>
                  </pic:blipFill>
                  <pic:spPr>
                    <a:xfrm>
                      <a:off x="0" y="0"/>
                      <a:ext cx="5670550" cy="2930525"/>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宋体" w:hAnsi="宋体" w:cs="宋体"/>
          <w:b/>
          <w:bCs/>
        </w:rPr>
      </w:pPr>
      <w:r>
        <w:rPr>
          <w:rFonts w:hint="eastAsia" w:ascii="宋体" w:hAnsi="宋体" w:cs="宋体"/>
          <w:b/>
          <w:bCs/>
        </w:rPr>
        <w:t>宜宾骏继建行预售资金监管账户    单位：元</w:t>
      </w:r>
      <w:bookmarkEnd w:id="85"/>
      <w:bookmarkEnd w:id="86"/>
      <w:bookmarkEnd w:id="87"/>
      <w:bookmarkStart w:id="88" w:name="_Toc27794"/>
      <w:bookmarkStart w:id="89" w:name="_Toc20294"/>
    </w:p>
    <w:p>
      <w:pPr>
        <w:jc w:val="center"/>
        <w:rPr>
          <w:rFonts w:ascii="仿宋" w:hAnsi="仿宋" w:eastAsia="仿宋" w:cs="仿宋"/>
          <w:b/>
          <w:bCs/>
        </w:rPr>
      </w:pPr>
      <w:r>
        <w:rPr>
          <w:rFonts w:hint="eastAsia" w:ascii="仿宋" w:hAnsi="仿宋" w:eastAsia="仿宋" w:cs="仿宋"/>
          <w:b/>
          <w:bCs/>
        </w:rPr>
        <w:drawing>
          <wp:inline distT="0" distB="0" distL="114300" distR="114300">
            <wp:extent cx="5492750" cy="2969260"/>
            <wp:effectExtent l="0" t="0" r="8890" b="2540"/>
            <wp:docPr id="26" name="图片 2" descr="C:\Users\123\Desktop\银行流水最新版本\建设\0904.png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C:\Users\123\Desktop\银行流水最新版本\建设\0904.png0904"/>
                    <pic:cNvPicPr>
                      <a:picLocks noChangeAspect="1"/>
                    </pic:cNvPicPr>
                  </pic:nvPicPr>
                  <pic:blipFill>
                    <a:blip r:embed="rId15"/>
                    <a:srcRect/>
                    <a:stretch>
                      <a:fillRect/>
                    </a:stretch>
                  </pic:blipFill>
                  <pic:spPr>
                    <a:xfrm>
                      <a:off x="0" y="0"/>
                      <a:ext cx="5492750" cy="2969260"/>
                    </a:xfrm>
                    <a:prstGeom prst="rect">
                      <a:avLst/>
                    </a:prstGeom>
                    <a:noFill/>
                    <a:ln>
                      <a:noFill/>
                    </a:ln>
                  </pic:spPr>
                </pic:pic>
              </a:graphicData>
            </a:graphic>
          </wp:inline>
        </w:drawing>
      </w:r>
    </w:p>
    <w:p>
      <w:pPr>
        <w:jc w:val="center"/>
        <w:rPr>
          <w:rFonts w:ascii="仿宋" w:hAnsi="仿宋" w:eastAsia="仿宋" w:cs="仿宋"/>
          <w:b/>
          <w:bCs/>
        </w:rPr>
      </w:pPr>
    </w:p>
    <w:p>
      <w:pP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rPr>
          <w:rFonts w:ascii="仿宋" w:hAnsi="仿宋" w:eastAsia="仿宋" w:cs="仿宋"/>
          <w:b/>
          <w:bCs/>
        </w:rPr>
      </w:pPr>
      <w:r>
        <w:rPr>
          <w:rFonts w:hint="eastAsia" w:ascii="仿宋" w:hAnsi="仿宋" w:eastAsia="仿宋" w:cs="仿宋"/>
          <w:b/>
          <w:bCs/>
        </w:rPr>
        <w:br w:type="page"/>
      </w:r>
    </w:p>
    <w:p>
      <w:pPr>
        <w:jc w:val="center"/>
        <w:rPr>
          <w:rFonts w:ascii="仿宋" w:hAnsi="仿宋" w:eastAsia="仿宋" w:cs="仿宋"/>
          <w:b/>
          <w:bCs/>
        </w:rPr>
      </w:pPr>
    </w:p>
    <w:p>
      <w:pPr>
        <w:jc w:val="center"/>
        <w:rPr>
          <w:rFonts w:ascii="宋体" w:hAnsi="宋体" w:cs="宋体"/>
          <w:b/>
          <w:bCs/>
        </w:rPr>
      </w:pPr>
      <w:r>
        <w:rPr>
          <w:rFonts w:hint="eastAsia" w:ascii="宋体" w:hAnsi="宋体" w:cs="宋体"/>
          <w:b/>
          <w:bCs/>
        </w:rPr>
        <w:t>宜宾骏继农业银行     单位：元</w:t>
      </w:r>
    </w:p>
    <w:p>
      <w:pPr>
        <w:jc w:val="center"/>
        <w:rPr>
          <w:rFonts w:ascii="仿宋" w:hAnsi="仿宋" w:eastAsia="仿宋" w:cs="仿宋"/>
          <w:b/>
          <w:bCs/>
        </w:rPr>
      </w:pPr>
      <w:r>
        <w:rPr>
          <w:rFonts w:hint="eastAsia" w:ascii="仿宋" w:hAnsi="仿宋" w:eastAsia="仿宋" w:cs="仿宋"/>
          <w:b/>
          <w:bCs/>
        </w:rPr>
        <w:drawing>
          <wp:inline distT="0" distB="0" distL="114300" distR="114300">
            <wp:extent cx="5749925" cy="2899410"/>
            <wp:effectExtent l="0" t="0" r="10795" b="11430"/>
            <wp:docPr id="27" name="图片 3" descr="C:\Users\123\Desktop\银行流水最新版本\农业\d2d406abd10bd1aadbb560609652d5f.pngd2d406abd10bd1aadbb560609652d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C:\Users\123\Desktop\银行流水最新版本\农业\d2d406abd10bd1aadbb560609652d5f.pngd2d406abd10bd1aadbb560609652d5f"/>
                    <pic:cNvPicPr>
                      <a:picLocks noChangeAspect="1"/>
                    </pic:cNvPicPr>
                  </pic:nvPicPr>
                  <pic:blipFill>
                    <a:blip r:embed="rId16"/>
                    <a:srcRect/>
                    <a:stretch>
                      <a:fillRect/>
                    </a:stretch>
                  </pic:blipFill>
                  <pic:spPr>
                    <a:xfrm>
                      <a:off x="0" y="0"/>
                      <a:ext cx="5749925" cy="2899410"/>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宋体" w:hAnsi="宋体" w:cs="宋体"/>
          <w:b/>
          <w:bCs/>
        </w:rPr>
      </w:pPr>
      <w:r>
        <w:rPr>
          <w:rFonts w:hint="eastAsia" w:ascii="宋体" w:hAnsi="宋体" w:cs="宋体"/>
          <w:b/>
          <w:bCs/>
        </w:rPr>
        <w:t>宜宾骏继建设银行     单位：元</w:t>
      </w:r>
      <w:bookmarkEnd w:id="88"/>
      <w:bookmarkEnd w:id="89"/>
      <w:bookmarkStart w:id="90" w:name="_Toc26511"/>
      <w:bookmarkStart w:id="91" w:name="_Toc31375"/>
    </w:p>
    <w:p>
      <w:pPr>
        <w:jc w:val="center"/>
        <w:rPr>
          <w:rFonts w:ascii="仿宋" w:hAnsi="仿宋" w:eastAsia="仿宋" w:cs="仿宋"/>
          <w:b/>
          <w:bCs/>
        </w:rPr>
      </w:pPr>
      <w:r>
        <w:rPr>
          <w:rFonts w:hint="eastAsia" w:ascii="仿宋" w:hAnsi="仿宋" w:eastAsia="仿宋" w:cs="仿宋"/>
          <w:b/>
          <w:bCs/>
        </w:rPr>
        <w:drawing>
          <wp:inline distT="0" distB="0" distL="114300" distR="114300">
            <wp:extent cx="5812790" cy="3148330"/>
            <wp:effectExtent l="0" t="0" r="8890" b="6350"/>
            <wp:docPr id="28" name="图片 4" descr="C:\Users\123\Desktop\银行流水最新版本\建设\36e4085ab92354e1a4d7eef8078438d.png36e4085ab92354e1a4d7eef807843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C:\Users\123\Desktop\银行流水最新版本\建设\36e4085ab92354e1a4d7eef8078438d.png36e4085ab92354e1a4d7eef8078438d"/>
                    <pic:cNvPicPr>
                      <a:picLocks noChangeAspect="1"/>
                    </pic:cNvPicPr>
                  </pic:nvPicPr>
                  <pic:blipFill>
                    <a:blip r:embed="rId17"/>
                    <a:srcRect/>
                    <a:stretch>
                      <a:fillRect/>
                    </a:stretch>
                  </pic:blipFill>
                  <pic:spPr>
                    <a:xfrm>
                      <a:off x="0" y="0"/>
                      <a:ext cx="5812790" cy="3148330"/>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rPr>
          <w:rFonts w:ascii="仿宋" w:hAnsi="仿宋" w:eastAsia="仿宋" w:cs="仿宋"/>
          <w:b/>
          <w:bCs/>
        </w:rPr>
      </w:pPr>
      <w:r>
        <w:rPr>
          <w:rFonts w:hint="eastAsia" w:ascii="仿宋" w:hAnsi="仿宋" w:eastAsia="仿宋" w:cs="仿宋"/>
          <w:b/>
          <w:bCs/>
        </w:rPr>
        <w:br w:type="page"/>
      </w:r>
    </w:p>
    <w:p>
      <w:pPr>
        <w:jc w:val="center"/>
        <w:rPr>
          <w:rFonts w:ascii="宋体" w:hAnsi="宋体" w:cs="宋体"/>
          <w:b/>
          <w:bCs/>
        </w:rPr>
      </w:pPr>
    </w:p>
    <w:p>
      <w:pPr>
        <w:jc w:val="center"/>
        <w:rPr>
          <w:rFonts w:ascii="宋体" w:hAnsi="宋体" w:cs="宋体"/>
          <w:b/>
          <w:bCs/>
        </w:rPr>
      </w:pPr>
      <w:r>
        <w:rPr>
          <w:rFonts w:hint="eastAsia" w:ascii="宋体" w:hAnsi="宋体" w:cs="宋体"/>
          <w:b/>
          <w:bCs/>
        </w:rPr>
        <w:t>宜宾骏继中国银行     单位：元</w:t>
      </w:r>
      <w:bookmarkEnd w:id="90"/>
      <w:bookmarkEnd w:id="91"/>
      <w:bookmarkStart w:id="92" w:name="_Toc6775"/>
      <w:bookmarkStart w:id="93" w:name="_Toc20042"/>
      <w:bookmarkStart w:id="94" w:name="_Toc2326"/>
    </w:p>
    <w:p>
      <w:pPr>
        <w:jc w:val="center"/>
        <w:rPr>
          <w:rFonts w:ascii="仿宋" w:hAnsi="仿宋" w:eastAsia="仿宋" w:cs="仿宋"/>
          <w:b/>
          <w:bCs/>
        </w:rPr>
      </w:pPr>
      <w:r>
        <w:rPr>
          <w:rFonts w:hint="eastAsia" w:ascii="仿宋" w:hAnsi="仿宋" w:eastAsia="仿宋" w:cs="仿宋"/>
          <w:b/>
          <w:bCs/>
        </w:rPr>
        <w:drawing>
          <wp:inline distT="0" distB="0" distL="114300" distR="114300">
            <wp:extent cx="5990590" cy="2872105"/>
            <wp:effectExtent l="0" t="0" r="13970" b="8255"/>
            <wp:docPr id="29" name="图片 5" descr="C:\Users\123\Desktop\银行流水最新版本\中国银行\9eacdb7a0653f9ff91ec0cad07cb8d8.png9eacdb7a0653f9ff91ec0cad07cb8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C:\Users\123\Desktop\银行流水最新版本\中国银行\9eacdb7a0653f9ff91ec0cad07cb8d8.png9eacdb7a0653f9ff91ec0cad07cb8d8"/>
                    <pic:cNvPicPr>
                      <a:picLocks noChangeAspect="1"/>
                    </pic:cNvPicPr>
                  </pic:nvPicPr>
                  <pic:blipFill>
                    <a:blip r:embed="rId18"/>
                    <a:srcRect/>
                    <a:stretch>
                      <a:fillRect/>
                    </a:stretch>
                  </pic:blipFill>
                  <pic:spPr>
                    <a:xfrm>
                      <a:off x="0" y="0"/>
                      <a:ext cx="5990590" cy="2872105"/>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宋体" w:hAnsi="宋体" w:cs="宋体"/>
          <w:b/>
          <w:bCs/>
        </w:rPr>
      </w:pPr>
      <w:r>
        <w:rPr>
          <w:rFonts w:hint="eastAsia" w:ascii="宋体" w:hAnsi="宋体" w:cs="宋体"/>
          <w:b/>
          <w:bCs/>
        </w:rPr>
        <w:t>宜宾骏继中信银行     单位：</w:t>
      </w:r>
      <w:bookmarkEnd w:id="92"/>
      <w:bookmarkEnd w:id="93"/>
      <w:bookmarkEnd w:id="94"/>
      <w:bookmarkStart w:id="95" w:name="_Toc17968"/>
      <w:r>
        <w:rPr>
          <w:rFonts w:hint="eastAsia" w:ascii="宋体" w:hAnsi="宋体" w:cs="宋体"/>
          <w:b/>
          <w:bCs/>
        </w:rPr>
        <w:t>元</w:t>
      </w:r>
    </w:p>
    <w:p>
      <w:pPr>
        <w:jc w:val="center"/>
        <w:rPr>
          <w:rFonts w:ascii="仿宋" w:hAnsi="仿宋" w:eastAsia="仿宋" w:cs="仿宋"/>
          <w:b/>
          <w:bCs/>
        </w:rPr>
      </w:pPr>
      <w:r>
        <w:rPr>
          <w:rFonts w:hint="eastAsia" w:ascii="仿宋" w:hAnsi="仿宋" w:eastAsia="仿宋" w:cs="仿宋"/>
          <w:b/>
          <w:bCs/>
        </w:rPr>
        <w:drawing>
          <wp:inline distT="0" distB="0" distL="114300" distR="114300">
            <wp:extent cx="5600700" cy="3055620"/>
            <wp:effectExtent l="0" t="0" r="7620" b="7620"/>
            <wp:docPr id="30" name="图片 6" descr="C:\Users\123\Desktop\银行流水最新版本\中信\4f47473e0af7947262fab4f3a75c8ef.png4f47473e0af7947262fab4f3a75c8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C:\Users\123\Desktop\银行流水最新版本\中信\4f47473e0af7947262fab4f3a75c8ef.png4f47473e0af7947262fab4f3a75c8ef"/>
                    <pic:cNvPicPr>
                      <a:picLocks noChangeAspect="1"/>
                    </pic:cNvPicPr>
                  </pic:nvPicPr>
                  <pic:blipFill>
                    <a:blip r:embed="rId19"/>
                    <a:srcRect/>
                    <a:stretch>
                      <a:fillRect/>
                    </a:stretch>
                  </pic:blipFill>
                  <pic:spPr>
                    <a:xfrm>
                      <a:off x="0" y="0"/>
                      <a:ext cx="5600700" cy="3055620"/>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rPr>
          <w:rFonts w:ascii="仿宋" w:hAnsi="仿宋" w:eastAsia="仿宋" w:cs="仿宋"/>
          <w:b/>
          <w:bCs/>
        </w:rPr>
      </w:pPr>
    </w:p>
    <w:p>
      <w:pPr>
        <w:rPr>
          <w:rFonts w:ascii="仿宋" w:hAnsi="仿宋" w:eastAsia="仿宋" w:cs="仿宋"/>
          <w:b/>
          <w:bCs/>
        </w:rPr>
      </w:pPr>
      <w:r>
        <w:rPr>
          <w:rFonts w:hint="eastAsia" w:ascii="仿宋" w:hAnsi="仿宋" w:eastAsia="仿宋" w:cs="仿宋"/>
          <w:b/>
          <w:bCs/>
        </w:rPr>
        <w:br w:type="page"/>
      </w:r>
    </w:p>
    <w:p>
      <w:pPr>
        <w:jc w:val="center"/>
        <w:rPr>
          <w:rFonts w:ascii="仿宋" w:hAnsi="仿宋" w:eastAsia="仿宋" w:cs="仿宋"/>
          <w:b/>
          <w:bCs/>
        </w:rPr>
      </w:pPr>
    </w:p>
    <w:p>
      <w:pPr>
        <w:jc w:val="center"/>
        <w:rPr>
          <w:rFonts w:ascii="宋体" w:hAnsi="宋体" w:cs="宋体"/>
          <w:b/>
          <w:bCs/>
        </w:rPr>
      </w:pPr>
      <w:r>
        <w:rPr>
          <w:rFonts w:hint="eastAsia" w:ascii="宋体" w:hAnsi="宋体" w:cs="宋体"/>
          <w:b/>
          <w:bCs/>
        </w:rPr>
        <w:t>宜宾骏继中国民生银行     单位：元</w:t>
      </w:r>
      <w:bookmarkEnd w:id="95"/>
    </w:p>
    <w:p>
      <w:pPr>
        <w:jc w:val="center"/>
        <w:rPr>
          <w:rFonts w:ascii="仿宋" w:hAnsi="仿宋" w:eastAsia="仿宋" w:cs="仿宋"/>
          <w:b/>
          <w:bCs/>
        </w:rPr>
      </w:pPr>
      <w:r>
        <w:rPr>
          <w:rFonts w:hint="eastAsia" w:ascii="仿宋" w:hAnsi="仿宋" w:eastAsia="仿宋" w:cs="仿宋"/>
          <w:b/>
          <w:bCs/>
        </w:rPr>
        <w:drawing>
          <wp:inline distT="0" distB="0" distL="114300" distR="114300">
            <wp:extent cx="5747385" cy="2754630"/>
            <wp:effectExtent l="0" t="0" r="13335" b="3810"/>
            <wp:docPr id="31" name="图片 7" descr="C:\Users\123\Desktop\银行流水最新版本\民生\98c95b614e0ad31175fc2a4d88fdce2.png98c95b614e0ad31175fc2a4d88fd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C:\Users\123\Desktop\银行流水最新版本\民生\98c95b614e0ad31175fc2a4d88fdce2.png98c95b614e0ad31175fc2a4d88fdce2"/>
                    <pic:cNvPicPr>
                      <a:picLocks noChangeAspect="1"/>
                    </pic:cNvPicPr>
                  </pic:nvPicPr>
                  <pic:blipFill>
                    <a:blip r:embed="rId20"/>
                    <a:srcRect/>
                    <a:stretch>
                      <a:fillRect/>
                    </a:stretch>
                  </pic:blipFill>
                  <pic:spPr>
                    <a:xfrm>
                      <a:off x="0" y="0"/>
                      <a:ext cx="5747385" cy="2754630"/>
                    </a:xfrm>
                    <a:prstGeom prst="rect">
                      <a:avLst/>
                    </a:prstGeom>
                    <a:noFill/>
                    <a:ln>
                      <a:noFill/>
                    </a:ln>
                  </pic:spPr>
                </pic:pic>
              </a:graphicData>
            </a:graphic>
          </wp:inline>
        </w:drawing>
      </w:r>
    </w:p>
    <w:p>
      <w:pPr>
        <w:jc w:val="both"/>
        <w:rPr>
          <w:rFonts w:ascii="仿宋" w:hAnsi="仿宋" w:eastAsia="仿宋" w:cs="仿宋"/>
          <w:b/>
          <w:bCs/>
        </w:rPr>
      </w:pPr>
    </w:p>
    <w:p>
      <w:pPr>
        <w:pStyle w:val="2"/>
        <w:ind w:firstLine="422"/>
        <w:rPr>
          <w:rFonts w:ascii="仿宋" w:hAnsi="仿宋" w:eastAsia="仿宋" w:cs="仿宋"/>
          <w:b/>
          <w:bCs/>
        </w:rPr>
      </w:pPr>
    </w:p>
    <w:p>
      <w:pPr>
        <w:pStyle w:val="2"/>
        <w:ind w:firstLine="422"/>
        <w:rPr>
          <w:rFonts w:ascii="仿宋" w:hAnsi="仿宋" w:eastAsia="仿宋" w:cs="仿宋"/>
          <w:b/>
          <w:bCs/>
        </w:rPr>
      </w:pPr>
    </w:p>
    <w:p>
      <w:pPr>
        <w:jc w:val="center"/>
        <w:rPr>
          <w:rFonts w:ascii="宋体" w:hAnsi="宋体" w:cs="宋体"/>
          <w:b/>
          <w:bCs/>
        </w:rPr>
      </w:pPr>
    </w:p>
    <w:p>
      <w:pPr>
        <w:jc w:val="center"/>
        <w:rPr>
          <w:rFonts w:ascii="宋体" w:hAnsi="宋体" w:cs="宋体"/>
          <w:b/>
          <w:bCs/>
        </w:rPr>
      </w:pPr>
      <w:r>
        <w:rPr>
          <w:rFonts w:hint="eastAsia" w:ascii="宋体" w:hAnsi="宋体" w:cs="宋体"/>
          <w:b/>
          <w:bCs/>
        </w:rPr>
        <w:t>宜宾骏继招商银行     单位：元</w:t>
      </w:r>
    </w:p>
    <w:p>
      <w:pPr>
        <w:jc w:val="center"/>
        <w:rPr>
          <w:rFonts w:ascii="仿宋" w:hAnsi="仿宋" w:eastAsia="仿宋" w:cs="仿宋"/>
          <w:b/>
          <w:bCs/>
        </w:rPr>
      </w:pPr>
      <w:r>
        <w:rPr>
          <w:rFonts w:hint="eastAsia" w:ascii="仿宋" w:hAnsi="仿宋" w:eastAsia="仿宋" w:cs="仿宋"/>
          <w:b/>
          <w:bCs/>
        </w:rPr>
        <w:drawing>
          <wp:inline distT="0" distB="0" distL="114300" distR="114300">
            <wp:extent cx="5551805" cy="3037205"/>
            <wp:effectExtent l="0" t="0" r="10795" b="10795"/>
            <wp:docPr id="32" name="图片 8" descr="C:\Users\123\Desktop\银行流水最新版本\招商\3d146e2982d8b886cfdde7c1e018160.png3d146e2982d8b886cfdde7c1e01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C:\Users\123\Desktop\银行流水最新版本\招商\3d146e2982d8b886cfdde7c1e018160.png3d146e2982d8b886cfdde7c1e018160"/>
                    <pic:cNvPicPr>
                      <a:picLocks noChangeAspect="1"/>
                    </pic:cNvPicPr>
                  </pic:nvPicPr>
                  <pic:blipFill>
                    <a:blip r:embed="rId21"/>
                    <a:srcRect/>
                    <a:stretch>
                      <a:fillRect/>
                    </a:stretch>
                  </pic:blipFill>
                  <pic:spPr>
                    <a:xfrm>
                      <a:off x="0" y="0"/>
                      <a:ext cx="5551805" cy="3037205"/>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rPr>
          <w:rFonts w:ascii="仿宋" w:hAnsi="仿宋" w:eastAsia="仿宋" w:cs="仿宋"/>
          <w:b/>
          <w:bCs/>
        </w:rPr>
      </w:pPr>
    </w:p>
    <w:p>
      <w:pPr>
        <w:jc w:val="center"/>
        <w:rPr>
          <w:rFonts w:ascii="仿宋" w:hAnsi="仿宋" w:eastAsia="仿宋" w:cs="仿宋"/>
          <w:b/>
          <w:bCs/>
        </w:rPr>
      </w:pPr>
      <w:r>
        <w:rPr>
          <w:rFonts w:hint="eastAsia" w:ascii="仿宋" w:hAnsi="仿宋" w:eastAsia="仿宋" w:cs="仿宋"/>
          <w:b/>
          <w:bCs/>
        </w:rPr>
        <w:br w:type="page"/>
      </w:r>
    </w:p>
    <w:p>
      <w:pPr>
        <w:jc w:val="center"/>
        <w:rPr>
          <w:rFonts w:ascii="宋体" w:hAnsi="宋体" w:cs="宋体"/>
          <w:b/>
          <w:bCs/>
        </w:rPr>
      </w:pPr>
      <w:r>
        <w:rPr>
          <w:rFonts w:hint="eastAsia" w:ascii="宋体" w:hAnsi="宋体" w:cs="宋体"/>
          <w:b/>
          <w:bCs/>
        </w:rPr>
        <w:t>成都信茂涵中国银行     单位：元</w:t>
      </w:r>
    </w:p>
    <w:p>
      <w:pPr>
        <w:rPr>
          <w:rFonts w:ascii="仿宋" w:hAnsi="仿宋" w:eastAsia="仿宋" w:cs="仿宋"/>
        </w:rPr>
      </w:pPr>
      <w:r>
        <w:rPr>
          <w:rFonts w:hint="eastAsia" w:ascii="仿宋" w:hAnsi="仿宋" w:eastAsia="仿宋" w:cs="仿宋"/>
        </w:rPr>
        <w:drawing>
          <wp:inline distT="0" distB="0" distL="114300" distR="114300">
            <wp:extent cx="5985510" cy="2320290"/>
            <wp:effectExtent l="0" t="0" r="3810" b="11430"/>
            <wp:docPr id="179" name="图片 179" descr="C:\Users\123\Desktop\银行流水最新版本\信茂中国银行\8228595756b5218c29daca8289ac8c9.png8228595756b5218c29daca8289ac8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C:\Users\123\Desktop\银行流水最新版本\信茂中国银行\8228595756b5218c29daca8289ac8c9.png8228595756b5218c29daca8289ac8c9"/>
                    <pic:cNvPicPr>
                      <a:picLocks noChangeAspect="1"/>
                    </pic:cNvPicPr>
                  </pic:nvPicPr>
                  <pic:blipFill>
                    <a:blip r:embed="rId22"/>
                    <a:srcRect/>
                    <a:stretch>
                      <a:fillRect/>
                    </a:stretch>
                  </pic:blipFill>
                  <pic:spPr>
                    <a:xfrm>
                      <a:off x="0" y="0"/>
                      <a:ext cx="5985510" cy="2320290"/>
                    </a:xfrm>
                    <a:prstGeom prst="rect">
                      <a:avLst/>
                    </a:prstGeom>
                  </pic:spPr>
                </pic:pic>
              </a:graphicData>
            </a:graphic>
          </wp:inline>
        </w:drawing>
      </w:r>
    </w:p>
    <w:p>
      <w:pPr>
        <w:rPr>
          <w:rFonts w:ascii="宋体" w:hAnsi="宋体" w:cs="宋体"/>
          <w:b/>
          <w:bCs/>
        </w:rPr>
      </w:pPr>
      <w:r>
        <w:rPr>
          <w:rFonts w:hint="eastAsia" w:ascii="仿宋" w:hAnsi="仿宋" w:eastAsia="仿宋" w:cs="仿宋"/>
        </w:rPr>
        <w:t xml:space="preserve">  </w:t>
      </w:r>
    </w:p>
    <w:p>
      <w:pPr>
        <w:jc w:val="center"/>
        <w:rPr>
          <w:rFonts w:ascii="宋体" w:hAnsi="宋体" w:cs="宋体"/>
          <w:b/>
          <w:bCs/>
        </w:rPr>
      </w:pPr>
      <w:r>
        <w:rPr>
          <w:rFonts w:hint="eastAsia" w:ascii="宋体" w:hAnsi="宋体" w:cs="宋体"/>
          <w:b/>
          <w:bCs/>
        </w:rPr>
        <w:t>成都信茂涵中信银行     单位：元</w:t>
      </w:r>
    </w:p>
    <w:p>
      <w:pPr>
        <w:spacing w:line="480" w:lineRule="auto"/>
        <w:rPr>
          <w:rFonts w:ascii="仿宋" w:hAnsi="仿宋" w:eastAsia="仿宋" w:cs="仿宋"/>
        </w:rPr>
      </w:pPr>
      <w:r>
        <w:rPr>
          <w:rFonts w:hint="eastAsia" w:ascii="仿宋" w:hAnsi="仿宋" w:eastAsia="仿宋" w:cs="仿宋"/>
        </w:rPr>
        <w:drawing>
          <wp:inline distT="0" distB="0" distL="114300" distR="114300">
            <wp:extent cx="6113780" cy="2271395"/>
            <wp:effectExtent l="0" t="0" r="12700" b="14605"/>
            <wp:docPr id="180" name="图片 180" descr="C:\Users\123\Desktop\银行流水最新版本\信茂中信\85f4c8e14c21a04487c9330dcae8cbe.png85f4c8e14c21a04487c9330dcae8c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C:\Users\123\Desktop\银行流水最新版本\信茂中信\85f4c8e14c21a04487c9330dcae8cbe.png85f4c8e14c21a04487c9330dcae8cbe"/>
                    <pic:cNvPicPr>
                      <a:picLocks noChangeAspect="1"/>
                    </pic:cNvPicPr>
                  </pic:nvPicPr>
                  <pic:blipFill>
                    <a:blip r:embed="rId23"/>
                    <a:srcRect/>
                    <a:stretch>
                      <a:fillRect/>
                    </a:stretch>
                  </pic:blipFill>
                  <pic:spPr>
                    <a:xfrm>
                      <a:off x="0" y="0"/>
                      <a:ext cx="6113780" cy="2271395"/>
                    </a:xfrm>
                    <a:prstGeom prst="rect">
                      <a:avLst/>
                    </a:prstGeom>
                  </pic:spPr>
                </pic:pic>
              </a:graphicData>
            </a:graphic>
          </wp:inline>
        </w:drawing>
      </w:r>
    </w:p>
    <w:p>
      <w:pPr>
        <w:jc w:val="center"/>
        <w:rPr>
          <w:rFonts w:ascii="宋体" w:hAnsi="宋体" w:cs="宋体"/>
          <w:b/>
          <w:bCs/>
        </w:rPr>
      </w:pPr>
      <w:r>
        <w:rPr>
          <w:rFonts w:hint="eastAsia" w:ascii="宋体" w:hAnsi="宋体" w:cs="宋体"/>
          <w:b/>
          <w:bCs/>
        </w:rPr>
        <w:t>成都信茂涵成都农商银行     单位：元</w:t>
      </w:r>
    </w:p>
    <w:p>
      <w:pPr>
        <w:jc w:val="center"/>
        <w:rPr>
          <w:rFonts w:ascii="仿宋" w:hAnsi="仿宋" w:eastAsia="仿宋" w:cs="仿宋"/>
        </w:rPr>
      </w:pPr>
      <w:r>
        <w:rPr>
          <w:rFonts w:hint="eastAsia" w:ascii="仿宋" w:hAnsi="仿宋" w:eastAsia="仿宋" w:cs="仿宋"/>
        </w:rPr>
        <w:drawing>
          <wp:inline distT="0" distB="0" distL="114300" distR="114300">
            <wp:extent cx="5917565" cy="2744470"/>
            <wp:effectExtent l="0" t="0" r="10795" b="13970"/>
            <wp:docPr id="4" name="图片 4" descr="C:\Users\123\Desktop\银行流水最新版本\信茂涵农商行\00223014abf64df38a3448ea9aadc5f.png00223014abf64df38a3448ea9aadc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23\Desktop\银行流水最新版本\信茂涵农商行\00223014abf64df38a3448ea9aadc5f.png00223014abf64df38a3448ea9aadc5f"/>
                    <pic:cNvPicPr>
                      <a:picLocks noChangeAspect="1"/>
                    </pic:cNvPicPr>
                  </pic:nvPicPr>
                  <pic:blipFill>
                    <a:blip r:embed="rId24"/>
                    <a:srcRect/>
                    <a:stretch>
                      <a:fillRect/>
                    </a:stretch>
                  </pic:blipFill>
                  <pic:spPr>
                    <a:xfrm>
                      <a:off x="0" y="0"/>
                      <a:ext cx="5917565" cy="2744470"/>
                    </a:xfrm>
                    <a:prstGeom prst="rect">
                      <a:avLst/>
                    </a:prstGeom>
                  </pic:spPr>
                </pic:pic>
              </a:graphicData>
            </a:graphic>
          </wp:inline>
        </w:drawing>
      </w:r>
    </w:p>
    <w:p>
      <w:pPr>
        <w:rPr>
          <w:rFonts w:ascii="宋体" w:hAnsi="宋体" w:cs="宋体"/>
          <w:bCs/>
          <w:sz w:val="21"/>
          <w:szCs w:val="21"/>
        </w:rPr>
      </w:pPr>
      <w:r>
        <w:rPr>
          <w:rFonts w:ascii="宋体" w:hAnsi="宋体" w:cs="宋体"/>
          <w:bCs/>
          <w:sz w:val="21"/>
          <w:szCs w:val="21"/>
        </w:rPr>
        <w:br w:type="page"/>
      </w:r>
    </w:p>
    <w:p>
      <w:pPr>
        <w:widowControl w:val="0"/>
        <w:spacing w:line="480" w:lineRule="auto"/>
        <w:rPr>
          <w:rFonts w:ascii="Arial" w:hAnsi="Arial" w:cs="Arial"/>
          <w:kern w:val="44"/>
          <w:sz w:val="21"/>
          <w:szCs w:val="21"/>
        </w:rPr>
      </w:pPr>
      <w:bookmarkStart w:id="96" w:name="_Toc22848"/>
      <w:r>
        <w:rPr>
          <w:rFonts w:hint="eastAsia" w:ascii="Arial" w:hAnsi="Arial" w:cs="Arial"/>
          <w:kern w:val="44"/>
          <w:sz w:val="21"/>
          <w:szCs w:val="21"/>
        </w:rPr>
        <w:t>附件二：本期用印台账</w:t>
      </w:r>
      <w:bookmarkEnd w:id="96"/>
    </w:p>
    <w:tbl>
      <w:tblPr>
        <w:tblStyle w:val="18"/>
        <w:tblW w:w="9640" w:type="dxa"/>
        <w:jc w:val="center"/>
        <w:tblLayout w:type="fixed"/>
        <w:tblCellMar>
          <w:top w:w="15" w:type="dxa"/>
          <w:left w:w="15" w:type="dxa"/>
          <w:bottom w:w="15" w:type="dxa"/>
          <w:right w:w="15" w:type="dxa"/>
        </w:tblCellMar>
      </w:tblPr>
      <w:tblGrid>
        <w:gridCol w:w="1142"/>
        <w:gridCol w:w="1635"/>
        <w:gridCol w:w="4178"/>
        <w:gridCol w:w="1145"/>
        <w:gridCol w:w="926"/>
        <w:gridCol w:w="614"/>
      </w:tblGrid>
      <w:tr>
        <w:tblPrEx>
          <w:tblCellMar>
            <w:top w:w="15" w:type="dxa"/>
            <w:left w:w="15" w:type="dxa"/>
            <w:bottom w:w="15" w:type="dxa"/>
            <w:right w:w="15" w:type="dxa"/>
          </w:tblCellMar>
        </w:tblPrEx>
        <w:trPr>
          <w:trHeight w:val="260" w:hRule="atLeast"/>
          <w:tblHeader/>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日期</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事由</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材料</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印鉴名称</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用印人</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部门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2021-5-7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用于购房合同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购房合同（90份）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合同章法人章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购房合同（92份）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合同章法人章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按揭贷款合同（16份）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世茂·云锦（一期）项目设计咨询服务合同（6份）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余艳</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成本部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宜宾市商品房预售资金监管协议书（6份）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宋旭</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开发部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用于备案报表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备案报表（4份）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用于抵押申请表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预抵资料（3份）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用于现场管理人员变更</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工程管理人员变更（8份）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工程部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用于工程指令变更</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工程指令变更（3#、4#北侧抽水、下柱墩换填）（8份）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李金磊</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工程部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用于工程指令变更</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工程指令变更（锚杆头处理、8#北侧挖岩石）（9份）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李金磊</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工程部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用于收据用印</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收据（4份）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用于备案报表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备案报表（2份）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用于收据用印</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收据（4份）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用于盘活资金3000万元</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资金使用计划3000万元（4份）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合同章法人章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用于发票用印</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发票（5份）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发票章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用于按揭贷款合同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按揭贷款合同（50份）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用于购房合同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购房合同（25份）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合同章法人章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用于公积金贷款保证金说明</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关于公积金贷款保证金2.4万元退回重新支付情况（2份）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用于预抵资料</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预抵资料（93张）</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用于收据用印</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收据（2份）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用于4#楼公积金准入申请书</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4#楼公积金准入申请书（1份）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用于情况说明</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过往预售许可证办理情况说明（2份）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宋旭</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开发部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用于开工报告</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一期综合机电工程开工报告（6份）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工程部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用于施工申报表及安全文明施工管理方案</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施工申报表及安全文明施工管理方案（1份）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李金磊</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工程部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用于办理预售许可证申请</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云锦一期6#楼预售许可证申请资料（8份）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宋旭</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开发部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用于签订合同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保密协议、聘用通知书李珍（6份）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人力行政部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用于签订合同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（张兰）实习生协议（3份）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人力行政部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用于签订合同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债权债务抵消协议书（6份）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肖秋月</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用于签订补充协议</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（八建）农民工工资支付协议书（6份）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宋旭</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开发部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用于按揭贷款合同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按揭贷款合同（50份）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用于购房合同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购房合同（15份）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合同章法人章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用于发票冲销</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红字信息表（23份）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用于情况说明</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城市建设项目弃土需求表（2份）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工程部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用于备案报表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备案报表（2份）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用于收据用印</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收据（33份）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用于预抵资料</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预抵资料（19张）</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用于情况说明</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住房公积金贷款个人收入证明（2份）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李金磊</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工程部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用于工程指令变更</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工程指令变更（市政排水管接驳施工、增加材料品牌）（9份）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李金磊</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工程部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SPV公司借款合同、保证合同（12份）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购房合同（28份）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合同章法人章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按揭贷款合同（23份）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用于发票用印</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普通发票（13份）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发票章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用于发票冲销</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红字信息表（1份）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用于通知书</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房屋通知书（1份）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陈小玉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法务部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用于备案表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备案表（23张）</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用于收据用印</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收据（23份）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用于预抵资料</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预抵资料（2份）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用于承诺函</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补回监管资金承诺函（2份）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宋旭</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开发部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2021-6-29</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用于收据用印</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收据（2份）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2021-6-29</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用于解除通知书</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挞定函陈鸿宇（3份）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2021-6-29</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用于支付说明</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关于自来水合同预付金支付的情况说明（4份）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李金磊</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工程部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2021-6-29</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用于商票信息披露</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商票信息披露（2份）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2021-6-29</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用于工程形象进度</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工程形象进度情况说明6月份（6份）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人力行政部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2021-6-29</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世茂金座·云锦项目推介服务合同2月份（4份）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肖秋月</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2021-6-29</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世茂金座·云锦项目推介服务合同3月份（4份）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肖秋月</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2021-6-29</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债券债务抵消协议家和（5份）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肖秋月</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2021-6-29</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购房合同（32份）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合同章法人章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2021-6-29</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贷款合同（15份）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公章</w:t>
            </w:r>
            <w:r>
              <w:rPr>
                <w:rFonts w:hint="eastAsia" w:ascii="Arial" w:hAnsi="Arial" w:cs="Arial"/>
                <w:bCs/>
                <w:sz w:val="18"/>
                <w:szCs w:val="18"/>
                <w:lang w:bidi="ar"/>
              </w:rPr>
              <w:br w:type="textWrapping"/>
            </w:r>
            <w:r>
              <w:rPr>
                <w:rFonts w:hint="eastAsia" w:ascii="Arial" w:hAnsi="Arial" w:cs="Arial"/>
                <w:bCs/>
                <w:sz w:val="18"/>
                <w:szCs w:val="18"/>
                <w:lang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bl>
    <w:p>
      <w:pPr>
        <w:rPr>
          <w:rFonts w:ascii="宋体" w:hAnsi="宋体" w:cs="宋体"/>
          <w:bCs/>
          <w:sz w:val="21"/>
          <w:szCs w:val="21"/>
        </w:rPr>
      </w:pPr>
      <w:r>
        <w:rPr>
          <w:rFonts w:hint="eastAsia" w:ascii="宋体" w:hAnsi="宋体" w:cs="宋体"/>
          <w:bCs/>
          <w:sz w:val="21"/>
          <w:szCs w:val="21"/>
        </w:rPr>
        <w:br w:type="page"/>
      </w:r>
    </w:p>
    <w:p>
      <w:pPr>
        <w:widowControl w:val="0"/>
        <w:spacing w:line="480" w:lineRule="auto"/>
        <w:rPr>
          <w:rFonts w:ascii="宋体" w:hAnsi="宋体" w:cs="宋体"/>
          <w:bCs/>
          <w:sz w:val="21"/>
          <w:szCs w:val="21"/>
        </w:rPr>
      </w:pPr>
      <w:bookmarkStart w:id="97" w:name="_Toc6121"/>
      <w:r>
        <w:rPr>
          <w:rFonts w:hint="eastAsia" w:ascii="Arial" w:hAnsi="Arial" w:cs="Arial"/>
          <w:kern w:val="44"/>
          <w:sz w:val="21"/>
          <w:szCs w:val="21"/>
        </w:rPr>
        <w:t>附件三：本期合同签约台账</w:t>
      </w:r>
      <w:bookmarkEnd w:id="97"/>
    </w:p>
    <w:tbl>
      <w:tblPr>
        <w:tblStyle w:val="18"/>
        <w:tblW w:w="9574" w:type="dxa"/>
        <w:tblInd w:w="23" w:type="dxa"/>
        <w:tblLayout w:type="autofit"/>
        <w:tblCellMar>
          <w:top w:w="15" w:type="dxa"/>
          <w:left w:w="15" w:type="dxa"/>
          <w:bottom w:w="15" w:type="dxa"/>
          <w:right w:w="15" w:type="dxa"/>
        </w:tblCellMar>
      </w:tblPr>
      <w:tblGrid>
        <w:gridCol w:w="931"/>
        <w:gridCol w:w="2553"/>
        <w:gridCol w:w="2355"/>
        <w:gridCol w:w="795"/>
        <w:gridCol w:w="1440"/>
        <w:gridCol w:w="1500"/>
      </w:tblGrid>
      <w:tr>
        <w:tblPrEx>
          <w:tblCellMar>
            <w:top w:w="15" w:type="dxa"/>
            <w:left w:w="15" w:type="dxa"/>
            <w:bottom w:w="15" w:type="dxa"/>
            <w:right w:w="15" w:type="dxa"/>
          </w:tblCellMar>
        </w:tblPrEx>
        <w:trPr>
          <w:trHeight w:val="226" w:hRule="atLeast"/>
          <w:tblHeader/>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用印日期</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客户名称</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合同名称</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份数</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经办人</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部门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甘俊/詹燕梅</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刘刚强</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李河柳</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8</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杨宇/税昭娣</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8</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卢宏英/钟壮勇</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吴健/胡国涛</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罗伟超</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李世才</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郑纯才/陈小容</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张仁莉</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周志强</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徐利/董朝刚</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许开红</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胡芬芬</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刘凤/王科伟</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周志强</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按揭贷款合同（工行）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杨宇/税昭娣</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按揭贷款合同（公积金）</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王玲</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侯莉</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汪金科/陈心艺</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重庆中贝</w:t>
            </w:r>
          </w:p>
          <w:p>
            <w:pPr>
              <w:jc w:val="center"/>
              <w:rPr>
                <w:rFonts w:ascii="Arial" w:hAnsi="Arial" w:cs="Arial"/>
                <w:bCs/>
                <w:sz w:val="18"/>
                <w:szCs w:val="18"/>
                <w:lang w:bidi="ar"/>
              </w:rPr>
            </w:pPr>
            <w:r>
              <w:rPr>
                <w:rFonts w:hint="eastAsia" w:ascii="Arial" w:hAnsi="Arial" w:cs="Arial"/>
                <w:bCs/>
                <w:sz w:val="18"/>
                <w:szCs w:val="18"/>
                <w:lang w:bidi="ar"/>
              </w:rPr>
              <w:t>工程咨询有限公司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世茂·云锦（一期）</w:t>
            </w:r>
          </w:p>
          <w:p>
            <w:pPr>
              <w:jc w:val="center"/>
              <w:rPr>
                <w:rFonts w:ascii="Arial" w:hAnsi="Arial" w:cs="Arial"/>
                <w:bCs/>
                <w:sz w:val="18"/>
                <w:szCs w:val="18"/>
                <w:lang w:bidi="ar"/>
              </w:rPr>
            </w:pPr>
            <w:r>
              <w:rPr>
                <w:rFonts w:hint="eastAsia" w:ascii="Arial" w:hAnsi="Arial" w:cs="Arial"/>
                <w:bCs/>
                <w:sz w:val="18"/>
                <w:szCs w:val="18"/>
                <w:lang w:bidi="ar"/>
              </w:rPr>
              <w:t>项目设计咨询服务合同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余艳</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成本部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中国建设银行股份有限公司宜宾分行、重庆联盛建设项目管理有限公司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宜宾市商品房</w:t>
            </w:r>
          </w:p>
          <w:p>
            <w:pPr>
              <w:jc w:val="center"/>
              <w:rPr>
                <w:rFonts w:ascii="Arial" w:hAnsi="Arial" w:cs="Arial"/>
                <w:bCs/>
                <w:sz w:val="18"/>
                <w:szCs w:val="18"/>
                <w:lang w:bidi="ar"/>
              </w:rPr>
            </w:pPr>
            <w:r>
              <w:rPr>
                <w:rFonts w:hint="eastAsia" w:ascii="Arial" w:hAnsi="Arial" w:cs="Arial"/>
                <w:bCs/>
                <w:sz w:val="18"/>
                <w:szCs w:val="18"/>
                <w:lang w:bidi="ar"/>
              </w:rPr>
              <w:t>预售资金监管协议书</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宋旭</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开发部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张忠容</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张仁莉</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按揭贷款合同（工行）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 xml:space="preserve">李珍 </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聘通通知书、保密协议</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谢程宜</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行政人数部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张兰</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实习生协议</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谢程宜</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行政人数部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宜宾博纳会展服务有限责任公司、宜宾嘉士伦广告传媒有限责任公司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债权债务抵销协议书</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8</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肖秋月</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成都建工第八建筑工程有限公司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农民工工资支付协议书</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宋旭</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开发部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彭跃雄/鲜祖文</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吕滤</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7</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马明松/刘群英</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邓永萍</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8</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彭跃雄/鲜祖文</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按揭贷款合同（工行）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李岚坤/许锐</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按揭贷款合同（公积金）</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张忠容</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刘凤/王科伟</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卢宏英/钟壮勇</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吴健/胡国涛</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罗伟超</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甘俊/詹燕梅</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刘刚强</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王湘</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曾婷</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许开红</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邓永萍</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按揭贷款合同（公积金）</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罗涵</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胡芬芬</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徐利/董朝刚</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黄霞/李记明</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陈夕阳/李鑫</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8</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严大妹</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吴萍/江义红</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杨丽</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易丹/杨训平</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闵杰</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王华/付恩容</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杨丽</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按揭贷款合同（工行）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邓岳琴</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杨宇/税昭娣</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魏浠</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2021-6-17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严大妹</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常州世茂房地产有限公司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借款合同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潘麓西</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上海世茂建设有限公司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法人保证合同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潘麓西</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财务部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钟伟/刘仁平</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8</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王小康/杨家霞</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8</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魏涛/伍敏</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李布</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黄霞/李记明</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吴萍/江义红</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易丹/杨训平</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邓胜林/彭厚容</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夏玉平</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钟伟/刘仁平</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按揭贷款合同（公积金）</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李河柳</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按揭贷款合同（公积金）</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2021-6-29</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邓永萍</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2021-6-29</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李岚坤/许锐</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2021-6-29</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闵杰</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2021-6-29</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王华/付恩容</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2021-6-29</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李世才</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按揭贷款合同（工行）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2021-6-29</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晏开强/李殿容</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2021-6-29</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谢燕</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2021-6-29</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袁正尧/严谋杰</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8</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2021-6-29</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陈平</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2021-6-29</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杨柳/蒋维维</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2021-6-29</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四川省臻房家</w:t>
            </w:r>
          </w:p>
          <w:p>
            <w:pPr>
              <w:jc w:val="center"/>
              <w:rPr>
                <w:rFonts w:ascii="Arial" w:hAnsi="Arial" w:cs="Arial"/>
                <w:bCs/>
                <w:sz w:val="18"/>
                <w:szCs w:val="18"/>
                <w:lang w:bidi="ar"/>
              </w:rPr>
            </w:pPr>
            <w:r>
              <w:rPr>
                <w:rFonts w:hint="eastAsia" w:ascii="Arial" w:hAnsi="Arial" w:cs="Arial"/>
                <w:bCs/>
                <w:sz w:val="18"/>
                <w:szCs w:val="18"/>
                <w:lang w:bidi="ar"/>
              </w:rPr>
              <w:t>企业管理咨询有限公司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世茂金座·云锦</w:t>
            </w:r>
          </w:p>
          <w:p>
            <w:pPr>
              <w:jc w:val="center"/>
              <w:rPr>
                <w:rFonts w:ascii="Arial" w:hAnsi="Arial" w:cs="Arial"/>
                <w:bCs/>
                <w:sz w:val="18"/>
                <w:szCs w:val="18"/>
                <w:lang w:bidi="ar"/>
              </w:rPr>
            </w:pPr>
            <w:r>
              <w:rPr>
                <w:rFonts w:hint="eastAsia" w:ascii="Arial" w:hAnsi="Arial" w:cs="Arial"/>
                <w:bCs/>
                <w:sz w:val="18"/>
                <w:szCs w:val="18"/>
                <w:lang w:bidi="ar"/>
              </w:rPr>
              <w:t>项目推介服务合同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肖秋月</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2021-6-29</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四川省臻房家</w:t>
            </w:r>
          </w:p>
          <w:p>
            <w:pPr>
              <w:jc w:val="center"/>
              <w:rPr>
                <w:rFonts w:ascii="Arial" w:hAnsi="Arial" w:cs="Arial"/>
                <w:bCs/>
                <w:sz w:val="18"/>
                <w:szCs w:val="18"/>
                <w:lang w:bidi="ar"/>
              </w:rPr>
            </w:pPr>
            <w:r>
              <w:rPr>
                <w:rFonts w:hint="eastAsia" w:ascii="Arial" w:hAnsi="Arial" w:cs="Arial"/>
                <w:bCs/>
                <w:sz w:val="18"/>
                <w:szCs w:val="18"/>
                <w:lang w:bidi="ar"/>
              </w:rPr>
              <w:t>企业管理咨询有限公司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世茂金座·云锦</w:t>
            </w:r>
          </w:p>
          <w:p>
            <w:pPr>
              <w:jc w:val="center"/>
              <w:rPr>
                <w:rFonts w:ascii="Arial" w:hAnsi="Arial" w:cs="Arial"/>
                <w:bCs/>
                <w:sz w:val="18"/>
                <w:szCs w:val="18"/>
                <w:lang w:bidi="ar"/>
              </w:rPr>
            </w:pPr>
            <w:r>
              <w:rPr>
                <w:rFonts w:hint="eastAsia" w:ascii="Arial" w:hAnsi="Arial" w:cs="Arial"/>
                <w:bCs/>
                <w:sz w:val="18"/>
                <w:szCs w:val="18"/>
                <w:lang w:bidi="ar"/>
              </w:rPr>
              <w:t>项目推介服务合同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肖秋月</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2021-6-29</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上海家和信息技术有限公司、</w:t>
            </w:r>
          </w:p>
          <w:p>
            <w:pPr>
              <w:jc w:val="center"/>
              <w:rPr>
                <w:rFonts w:ascii="Arial" w:hAnsi="Arial" w:cs="Arial"/>
                <w:bCs/>
                <w:sz w:val="18"/>
                <w:szCs w:val="18"/>
                <w:lang w:bidi="ar"/>
              </w:rPr>
            </w:pPr>
            <w:r>
              <w:rPr>
                <w:rFonts w:hint="eastAsia" w:ascii="Arial" w:hAnsi="Arial" w:cs="Arial"/>
                <w:bCs/>
                <w:sz w:val="18"/>
                <w:szCs w:val="18"/>
                <w:lang w:bidi="ar"/>
              </w:rPr>
              <w:t>资阳乾泰置业有限公司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债权债务抵销协议书</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5</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肖秋月</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营销部</w:t>
            </w:r>
          </w:p>
        </w:tc>
      </w:tr>
    </w:tbl>
    <w:p>
      <w:pPr>
        <w:pStyle w:val="2"/>
        <w:ind w:firstLine="0" w:firstLineChars="0"/>
        <w:sectPr>
          <w:footerReference r:id="rId7" w:type="default"/>
          <w:pgSz w:w="11906" w:h="16838"/>
          <w:pgMar w:top="1134" w:right="1134" w:bottom="1134" w:left="1134" w:header="851" w:footer="992" w:gutter="0"/>
          <w:pgNumType w:start="1"/>
          <w:cols w:space="425" w:num="1"/>
          <w:docGrid w:type="linesAndChars" w:linePitch="326" w:charSpace="0"/>
        </w:sectPr>
      </w:pPr>
    </w:p>
    <w:p>
      <w:pPr>
        <w:widowControl w:val="0"/>
        <w:spacing w:line="480" w:lineRule="auto"/>
        <w:rPr>
          <w:rFonts w:ascii="Arial" w:hAnsi="Arial" w:cs="Arial"/>
          <w:kern w:val="44"/>
          <w:sz w:val="21"/>
          <w:szCs w:val="21"/>
        </w:rPr>
      </w:pPr>
      <w:bookmarkStart w:id="98" w:name="_Toc23122"/>
      <w:r>
        <w:rPr>
          <w:rFonts w:hint="eastAsia" w:ascii="Arial" w:hAnsi="Arial" w:cs="Arial"/>
          <w:kern w:val="44"/>
          <w:sz w:val="21"/>
          <w:szCs w:val="21"/>
        </w:rPr>
        <w:t>附件四：项目销售回款统计表</w:t>
      </w:r>
      <w:bookmarkEnd w:id="98"/>
    </w:p>
    <w:tbl>
      <w:tblPr>
        <w:tblStyle w:val="18"/>
        <w:tblW w:w="9613" w:type="dxa"/>
        <w:tblInd w:w="0" w:type="dxa"/>
        <w:tblLayout w:type="fixed"/>
        <w:tblCellMar>
          <w:top w:w="0" w:type="dxa"/>
          <w:left w:w="0" w:type="dxa"/>
          <w:bottom w:w="0" w:type="dxa"/>
          <w:right w:w="0" w:type="dxa"/>
        </w:tblCellMar>
      </w:tblPr>
      <w:tblGrid>
        <w:gridCol w:w="586"/>
        <w:gridCol w:w="697"/>
        <w:gridCol w:w="652"/>
        <w:gridCol w:w="1011"/>
        <w:gridCol w:w="926"/>
        <w:gridCol w:w="1231"/>
        <w:gridCol w:w="1317"/>
        <w:gridCol w:w="1388"/>
        <w:gridCol w:w="1200"/>
        <w:gridCol w:w="605"/>
      </w:tblGrid>
      <w:tr>
        <w:tblPrEx>
          <w:tblCellMar>
            <w:top w:w="0" w:type="dxa"/>
            <w:left w:w="0" w:type="dxa"/>
            <w:bottom w:w="0" w:type="dxa"/>
            <w:right w:w="0" w:type="dxa"/>
          </w:tblCellMar>
        </w:tblPrEx>
        <w:trPr>
          <w:tblHeader/>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序号</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楼号</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房号</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客户姓名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面积（㎡）</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ascii="Arial" w:hAnsi="Arial" w:cs="Arial"/>
                <w:b/>
                <w:sz w:val="18"/>
                <w:szCs w:val="18"/>
                <w:lang w:bidi="ar"/>
              </w:rPr>
              <w:t>单价</w:t>
            </w:r>
            <w:r>
              <w:rPr>
                <w:rFonts w:hint="eastAsia" w:ascii="Arial" w:hAnsi="Arial" w:cs="Arial"/>
                <w:b/>
                <w:sz w:val="18"/>
                <w:szCs w:val="18"/>
                <w:lang w:bidi="ar"/>
              </w:rPr>
              <w:t>（元）</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总价（元）</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已收金额（元）</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未收金额（元）</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销售</w:t>
            </w:r>
          </w:p>
          <w:p>
            <w:pPr>
              <w:jc w:val="center"/>
              <w:rPr>
                <w:rFonts w:ascii="Arial" w:hAnsi="Arial" w:cs="Arial"/>
                <w:b/>
                <w:sz w:val="18"/>
                <w:szCs w:val="18"/>
                <w:lang w:bidi="ar"/>
              </w:rPr>
            </w:pPr>
            <w:r>
              <w:rPr>
                <w:rFonts w:hint="eastAsia" w:ascii="Arial" w:hAnsi="Arial" w:cs="Arial"/>
                <w:b/>
                <w:sz w:val="18"/>
                <w:szCs w:val="18"/>
                <w:lang w:bidi="ar"/>
              </w:rPr>
              <w:t>状态</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胡亚平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8,702.13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836,623.00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836,623.00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李鸿斌</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8,615.14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923,888.00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923,888.00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陈高辉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95.77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8,575.29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821,256.00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821,256.00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陈环</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95.77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8,585.00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822,185.00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822,185.00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曾启兰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8,823.35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946,393.00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946,393.00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周兴刚</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8,588.01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920,978.00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920,978.00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田玉英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8,285.04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797,104.00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797,104.00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李布</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8,182.10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787,200.00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237,200.00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550,000.00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蒋武荣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8,390.82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899,999.00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899,999.00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甘俊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8,532.26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915,000.00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915,000.00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王光英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8,192.29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788,180.00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788,180.00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404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黄霞</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8,136.22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782,786.00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782,786.00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8,288.27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889,000.00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889,000.00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刘原洁</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8,644.67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831,704.00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831,704.00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汪金科</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8,755.02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938,888.00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938,888.00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黄慧</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8,321.95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800,655.00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800,655.00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504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古大英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8,378.90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806,134.00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806,134.00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郑凯文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8,230.00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882,750.00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882,750.00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506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李运宏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8,623.06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825,399.00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825,399.00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601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曹科</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8,628.31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830,130.00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830,130.00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江克慧</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8,711.87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934,261.00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934,261.00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刘治雄</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8,521.83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819,885.00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819,885.00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604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胡甜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8,270.93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795,746.00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795,746.00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王怀仪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8,461.06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907,533.00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907,533.00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8,643.47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827,353.00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827,353.00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701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8,664.70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833,631.00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833,631.00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刘春霞</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8,732.27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936,449.00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936,449.00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严怀波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8,563.04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823,850.00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823,850.00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704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刘刚强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8,252.78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794,000.00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794,000.00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宋顺治</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8,801.97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944,099.00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944,099.00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706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8,663.21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829,242.00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829,242.00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801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文红萍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8,668.39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833,986.00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833,986.00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李艳红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8,752.69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938,638.00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938,638.00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黄汐</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8,471.68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815,060.00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815,060.00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804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罗洪远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8,262.07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794,894.00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794,894.00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罗栋文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8,938.08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958,698.00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958,698.00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806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8,353.53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799,600.00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799,600.00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901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邓婷婷</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8,705.53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837,559.00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837,559.00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陈云琪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8,773.10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940,827.00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940,827.00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40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王朝西</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8,583.07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825,777.00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825,777.00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41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904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曹友钢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8,272.53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795,900.00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795,900.00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42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8,996.83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965,000.00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965,000.00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43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906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汤兴宇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8,704.70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833,214.00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833,214.00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44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杨滨瑞</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8,730.89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839,999.00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839,999.00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45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唐小莎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8,793.50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943,015.00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943,015.00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46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蔡昊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8,459.94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813,931.00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813,931.00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47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杨春</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8,314.79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799,966.00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799,966.00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48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段艾林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8,844.56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948,667.00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948,667.00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49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张富莲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8,376.70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801,818.00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801,818.00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50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龙启琼</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8,746.35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841,486.00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841,486.00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51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8,813.91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945,204.00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945,204.00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52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王小玲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8,623.89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829,704.00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829,704.00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53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1104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张喜军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8,386.71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806,885.00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806,885.00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54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梁润宇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8,883.62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952,857.00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952,857.00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55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1106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徐治亮</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8,386.40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802,746.00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402,746.00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400,000.00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56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1201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李丽玲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8,748.36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841,680.00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841,680.00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57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曾涛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8,834.32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947,393.00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947,393.00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58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郑强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8,644.30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831,668.00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831,668.00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59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王朝容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8,400.00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808,164.00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808,164.00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60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何岳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8,885.37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953,045.00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953,045.00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61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1206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杨斌</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8,765.93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839,075.00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839,075.00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62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1301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李明燕</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8,768.38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843,606.00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843,606.00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63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曾光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8,854.74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949,582.00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949,582.00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64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胡云贵</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8,656.39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832,831.00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722,831.00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110,000.00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65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1304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唐龙艳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8,312.07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799,704.00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799,704.00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66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郭云锋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8,967.82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67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1306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陈豪龙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8,786.34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841,028.00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841,028.00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68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9,204.32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987,071.00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987,071.00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69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黄世强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8,459.49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813,888.00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813,888.00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70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1404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魏发红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8,388.12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807,021.00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807,021.00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71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8,465.41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908,000.00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72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罗帮华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8,827.98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849,340.00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849,340.00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73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徐庆</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8,895.55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953,959.00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953,959.00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74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李自华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8,614.85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828,835.00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828,835.00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75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1504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蒲义才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8,362.77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804,582.00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804,582.00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76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韩金标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8,996.83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965,000.00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965,000.00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77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1506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黄香敏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8,827.16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844,936.00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844,936.00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78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1601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瞿文义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8,848.40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851,305.00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851,305.00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79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杨仕海</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8,915.96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956,148.00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956,148.00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80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甘平芬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8,719.34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838,888.00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838,888.00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81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1604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王斌</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8,426.36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810,700.00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810,700.00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82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郑晓萍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8,967.01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961,802.00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961,802.00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83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刘雪林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8,847.58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846,890.00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846,890.00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84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1701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田明建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8,889.59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855,267.00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855,267.00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85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任家妹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8,933.23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958,000.00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86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8,730.88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839,998.00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839,998.00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87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1704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张标元</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8,481.81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816,035.00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816,035.00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88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雷燕琼</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8,977.14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89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1706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陈周</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8,464.15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810,188.00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810,188.00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90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马秋红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8,893.79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953,770.00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953,770.00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91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李定云</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779,301.00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779,301.00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92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1804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汪闵</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8,356.72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804,000.00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804,000.00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93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徐欣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8,980.00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963,195.00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963,195.00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94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1901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向琴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8,909.62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857,195.00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857,195.00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95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聂彬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8,977.19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962,714.00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962,714.00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96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8,491.72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816,988.00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816,988.00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97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1904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宋丽芳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8,457.54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813,700.00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813,700.00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98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廖修荣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8,500.00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911,710.00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911,710.00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99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1906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谢强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8,908.81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852,751.00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852,751.00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8,997.61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964,904.00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964,904.00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程德勇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8,714.85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838,456.00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838,456.00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2004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曹旭</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8,512.73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819,010.00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819,010.00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屈雪莲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9,024.80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968,000.00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黄生桃</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8,472.38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815,128.00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815,128.00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吴静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8,977.19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962,714.00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962,714.00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曾先翠</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8,531.11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820,778.00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820,778.00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2104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高代荣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8,512.62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818,999.00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818,999.00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文国其</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8,988.44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964,100.00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964,100.00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2106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何军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8,908.81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852,751.00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852,751.00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110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2201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王成宾</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8,515.97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819,321.00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819,321.00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111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杨丽平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8,956.78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960,525.00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960,525.00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112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邱维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8,437.79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811,800.00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811,800.00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113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胡小芬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8,367.11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805,000.00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805,000.00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114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吴萍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9,026.49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968,181.00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968,181.00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115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2206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张清容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8,420.39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116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2301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唐圣力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8,377.51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117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唐益英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8,936.38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958,337.00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958,337.00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118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8,746.35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841,486.00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841,486.00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119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2304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谢廷洪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8,398.29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807,999.00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807,999.00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120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郭丽红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9,006.08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965,992.00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965,992.00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121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2306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范绍东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8,452.55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809,078.00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809,078.00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122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2401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邓岳琴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8,892.08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855,507.00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555,507.00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123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袁蔚</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8,793.50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943,015.00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943,015.00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124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沈杰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8,416.82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809,782.00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809,782.00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125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2404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魏继林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8,408.75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809,006.00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809,006.00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126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付兴正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8,910.85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955,778.00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955,778.00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127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王银祥</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8,827.99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849,341.00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849,341.00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128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沈才贵</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8,895.55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953,959.00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953,959.00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129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陶智兰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8,476.85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815,558.00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815,558.00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130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2504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魏发兰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8,491.18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816,936.00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816,936.00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131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江洪彬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8,950.21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132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2506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陈克先</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8,460.09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809,800.00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809,800.00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133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2601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刘盛芳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8,330.12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801,441.00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801,441.00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134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8,875.14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951,770.00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951,770.00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135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胡国俊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8,685.15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835,598.00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835,598.00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136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2604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李洪波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8,426.98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810,760.00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810,760.00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137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周利</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8,926.20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957,424.00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957,424.00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138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陶天菊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8,358.63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800,088.00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800,088.00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139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2701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李河柳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8,446.13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812,602.00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252,602.00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560,000.00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140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张应山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8,854.74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949,582.00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949,582.00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141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吕守操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8,664.70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833,631.00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833,631.00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142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2704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胡洪高</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7,976.26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767,396.00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767,396.00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143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陈雪琴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8,921.20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956,888.00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956,888.00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144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2706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唐自力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8,418.30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805,800.00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805,800.00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145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2801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8,332.46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801,666.00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801,666.00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146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8,834.32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947,393.00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947,393.00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147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熊思渊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8,392.21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807,415.00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807,415.00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148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2804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巫秋松</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8,292.31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797,803.00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797,803.00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149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刘汉东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8,885.37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953,045.00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953,045.00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150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2901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8,398.30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808,000.00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574,000.00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234,000.00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151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曹兴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8,785.94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942,204.00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942,204.00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152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李文薇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8,511.83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818,923.00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818,923.00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153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2904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7,957.05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765,548.00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765,548.00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154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雷建华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8,855.94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949,888.00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949,888.00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155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2906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卢宏英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8,343.52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798,642.00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798,642.00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156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8,302.90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798,822.00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548,822.00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250,000.00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157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明昆友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8,762.89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939,732.00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939,732.00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158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曾学峰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8,531.25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820,792.00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820,792.00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159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袁小琴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8,313.25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799,818.00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240,818.00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559,000.00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160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何泽彬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8,911.06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955,800.00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955,800.00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161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陈夕阳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8,389.05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803,000.00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243,000.00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560,000.00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162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吴健</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8,294.36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798,000.00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163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罗友香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8,821.89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946,060.00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946,060.00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164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余春林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8,419.08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165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3104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王小康</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8,273.57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796,000.00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246,000.00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550,000.00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166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李德志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8,948.07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959,770.00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959,770.00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167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3106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邓永萍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8,381.53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802,280.00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502,280.00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168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牟英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8,679.49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930,789.00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930,789.00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169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张启汇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8,430.89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811,136.00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811,136.00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170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佐永秋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8,368.26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805,110.00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805,110.00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171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文兴英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8,912.60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955,966.00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955,966.00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172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陈群</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8,600.49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922,317.00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922,317.00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173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罗锦平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8,315.14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174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3304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程英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8,273.57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796,000.00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175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8,679.52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930,965.00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930,965.00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176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周祥珍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8,558.79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917,845.00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917,845.00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177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周其兰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8,368.77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805,159.00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805,159.00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178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周雪峰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8,604.21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922,888.00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922,888.00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179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3406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唐流东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8,490.40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812,701.00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812,701.00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180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许开红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8,755.02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938,888.00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938,888.00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181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刘大明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8,523.02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320,000.00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182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601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徐涵雪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8,515.84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819,309.00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249,309.00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570,000.00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183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王湘</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8,555.85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818,966.00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818,966.00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184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701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邓胜林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8,515.84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819,309.00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819,309.00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185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706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马明松</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8,556.21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819,000.00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249,000.00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570,000.00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186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901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陈婷婷</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8,367.11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805,000.00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305,000.00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187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钟伟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8,565.85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824,120.00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254,120.00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570,000.00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188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8,428.65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903,888.00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903,888.00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189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曾青芳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8,951.88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290,000.00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670,000.00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190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李布西</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9,206.39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987,293.00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987,293.00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191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8,585.86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826,046.00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256,046.00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570,000.00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192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郑均伟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8,650.00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927,626.00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927,626.00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193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袁正尧</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8,839.99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948,000.00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288,000.00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660,000.00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194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1901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倪德凤</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8,666.00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833,756.00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233,756.00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195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2201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8,606.17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828,000.00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196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2206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谢燕</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8,609.85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824,135.00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174,135.00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650,000.00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197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王兴均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8,858.63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290,000.00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660,000.00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198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晏开强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8,765.84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940,049.00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490,049.00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450,000.00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199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胡芬芬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8,766.21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940,088.00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940,088.00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200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刘凤</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8,300.00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890,092.00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890,092.00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201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吴志强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8,770.98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940,600.00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940,600.00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202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96.87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8,774.65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203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8,343.36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901,500.00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901,500.00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204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严大妹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85.52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8,290.76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709,026.00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709,026.00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205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赵航昭</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85.52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8,341.32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713,350.00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713,350.00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206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周帝臣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8,418.86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909,910.00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210,000.00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699,910.00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207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彭跃雄</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8,211.26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796,000.00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208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艾书聪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8,590.75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928,230.00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928,230.00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209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吴萍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8,641.62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933,986.00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933,986.00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210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何宣萱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8,384.46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812,790.00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512,790.00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211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叶江红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8,298.62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896,666.00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896,666.00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212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周川</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8,323.98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716,778.00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716,778.00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213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504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罗伟超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8,290.73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713,915.00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713,915.00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214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张莹莹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8,300.00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897,064.00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897,064.00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215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506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8,511.00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820,886.00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250,886.00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570,000.00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216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601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梁运香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8,329.89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807,500.00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807,500.00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217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冯旭龙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8,412.06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908,923.00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608,923.00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218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邓代棋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8,362.39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720,085.00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720,085.00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219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8,290.16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896,000.00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220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吕世有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8,481.08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818,000.00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221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701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杨利</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8,355.68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222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8,489.42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917,282.00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917,282.00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223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罗贵香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7,989.78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688,000.00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224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704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张忠容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8,310.75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715,639.00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715,639.00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225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刘玉月</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8,197.63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886,000.00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226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706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陈跃蓉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8,329.37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803,368.00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803,368.00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227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801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李松</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8,552.10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829,041.00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829,041.00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228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黄玉平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8,329.48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229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胡晓波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8,008.84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689,641.00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689,641.00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230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赵师梅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8,350.00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902,468.00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902,468.00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231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806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白勋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8,252.98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796,000.00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232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901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张祖会</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8,237.05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798,500.00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798,500.00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233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周雨</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8,407.76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908,458.00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608,458.00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234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张继红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7,966.55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686,000.00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235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904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吕滤</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8,330.74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717,360.00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417,360.00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236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赵宇帆</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8,533.47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922,298.00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922,298.00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237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906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8,334.19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803,833.00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803,833.00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238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韩立新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8,444.40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818,600.00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818,600.00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239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卢禹航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8,508.63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919,358.00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419,358.00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240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叶洪燕</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8,028.22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691,310.00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691,310.00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241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曾婷</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8,375.57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721,220.00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421,220.00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242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蒋荣云</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8,306.00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897,712.00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897,712.00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243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1006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郑芳才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8,357.90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806,119.00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806,119.00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244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李琴莉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8,252.53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245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宋朝清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8,385.01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906,000.00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246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罗南玉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7,978.16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686,999.00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686,999.00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247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1104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蒲小凤</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8,350.74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719,082.00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719,082.00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248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宗陈林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8,841.99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955,642.00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655,642.00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249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1106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8,411.84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811,322.00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811,322.00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250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1201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方强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8,382.18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812,569.00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812,569.00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251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于宗珍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8,329.48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252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吴洁</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7,934.09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683,205.00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683,205.00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253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李世才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8,189.39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705,188.00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215,188.00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490,000.00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254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尹宁</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8,883.05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960,080.00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660,080.00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255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1206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赵天宏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8,461.46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816,108.00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316,108.00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256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1301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宋兴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8,537.64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827,639.00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827,639.00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257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李暾耀</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8,855.44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956,830.00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956,830.00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258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黄家春</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8,000.00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688,880.00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388,880.00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259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1304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宋凤明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8,396.24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723,000.00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723,000.00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260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赵渔江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8,882.31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665,000.00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295,000.00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261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1306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李凤梅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8,346.29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805,000.00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805,000.00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262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1401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郑纯才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8,698.58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843,240.00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843,240.00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263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8,422.03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264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朱华均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8,245.26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709,999.00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709,999.00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265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1404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张仁莉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8,338.17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718,000.00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718,000.00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266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刘军鸽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8,419.00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909,926.00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909,926.00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267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熊光全</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8,355.68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268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陈宇骄</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8,896.43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961,259.00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961,259.00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269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孔颖</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8,455.15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728,073.00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728,073.00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270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1504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江仕蓉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8,396.24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723,000.00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723,000.00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271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鲍超雄</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8,947.99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967,099.00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967,099.00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272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1506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8,847.76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853,366.00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853,366.00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273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1601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李岚坤</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8,347.43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809,200.00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509,200.00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274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8,320.00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898,976.00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898,976.00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275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罗安洋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7,896.88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276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1604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唐进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8,477.53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730,000.00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730,000.00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277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曾艳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8,893.56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961,216.00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961,216.00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278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刘伟丽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8,460.65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816,030.00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816,030.00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279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1701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罗涵</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8,289.69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803,603.00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803,603.00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280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罗敏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8,917.04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963,486.00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463,486.00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281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袁旭</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8,476.23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729,888.00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729,888.00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282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1704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8,411.33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724,300.00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224,300.00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283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吴明平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8,964.47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968,880.00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968,880.00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284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1706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涂勇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8,377.40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808,000.00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285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刘祖秀</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8,842.78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955,462.00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955,462.00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286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侯莉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8,013.01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287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1804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唐青青</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8,361.48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720,007.00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720,007.00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288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8,390.90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906,888.00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906,888.00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289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陈晓倩</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8,391.32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906,682.00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606,682.00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290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肖长军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8,496.39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731,624.00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731,624.00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291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1904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刘德容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8,431.08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726,000.00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292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李从洪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8,391.92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906,999.00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906,999.00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293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1906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赵小丽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8,368.00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807,094.00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807,094.00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294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2001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杨松</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8,340.21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808,500.00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808,500.00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295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查丽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8,329.48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296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聂小英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8,196.81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705,827.00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705,827.00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297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2004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王婧曈</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8,116.22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698,888.00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698,888.00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298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王志钢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8,999.00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972,612.00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972,612.00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299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韩佳丽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8,500.00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918,425.00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918,425.00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邹定琼</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7,962.00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685,608.00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685,608.00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2104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魏涛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8,431.17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726,008.00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726,008.00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唐永江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8,480.00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916,518.00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916,518.00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2106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8,398.13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2201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江小平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8,320.67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806,606.00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806,606.00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李万军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8,332.25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900,300.00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270,300.00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630,000.00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宋丽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8,105.83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697,993.00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697,993.00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周志强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8,420.81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725,116.00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725,116.00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8,336.42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901,000.00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361,000.00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540,000.00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2301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陈兴仁</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8,335.05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808,000.00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310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黄佳棚</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8,240.00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890,332.00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410,332.00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480,000.00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311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8,096.12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697,157.00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397,157.00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312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郭小波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8,512.21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313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2306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王正雨</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8,335.67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803,975.00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803,975.00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314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黄盛艳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8,314.32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898,362.00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898,362.00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315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张付元</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8,366.94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720,477.00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720,477.00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316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2404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易丹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7,990.01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688,020.00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688,020.00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317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刘亚军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8,438.43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912,026.00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912,026.00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318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刘一平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8,343.99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808,866.00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808,866.00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319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何天艮</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8,391.12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906,660.00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906,660.00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320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徐利</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8,013.01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321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2504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杜登贵</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8,425.57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725,526.00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225,526.00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322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李刚</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8,441.00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912,303.00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912,303.00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323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郑德荣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8,292.46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896,000.00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324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8,013.01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325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2604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周贵珍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8,380.73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721,665.00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421,665.00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326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郭平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8,444.68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912,700.00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912,700.00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327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叶华峰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8,395.85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809,780.00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809,780.00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328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陈建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8,406.00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908,268.00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908,268.00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329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王光伦</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7,995.59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688,500.00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688,500.00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330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王祖琴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8,280.90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895,000.00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895,000.00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331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2801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罗杰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8,315.27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806,082.00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806,082.00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332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李貌</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8,362.80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903,600.00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903,600.00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333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王立南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8,013.01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334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张咏琪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8,899.07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961,811.00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961,811.00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335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张文林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8,529.38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921,600.00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921,600.00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336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蒋霖</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8,037.92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692,145.00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692,145.00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337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2904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闵杰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8,371.75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720,891.00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720,891.00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338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易波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8,888.77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960,698.00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960,698.00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339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向显莉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8,329.48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340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肖林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8,450.74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913,356.00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913,356.00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341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郭万理</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8,210.78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795,953.00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795,953.00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342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李聆可</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8,350.20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902,239.00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272,239.00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630,000.00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343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黄永华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7,966.55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686,000.00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686,000.00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344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李强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8,771.28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948,000.00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948,000.00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345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8,208.72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886,952.00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886,952.00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346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汤莉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8,152.36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702,000.00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702,000.00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347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杨桂林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8,262.40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893,000.00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893,000.00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348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胡邦珍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8,657.24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935,415.00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635,415.00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349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魏浠</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8,103.05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697,754.00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397,754.00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350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3304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朱敏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8,150.74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701,860.00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141,860.00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560,000.00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351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刘国琼</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8,286.45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895,600.00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895,600.00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352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3306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夏玉平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8,607.73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830,216.00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830,216.00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353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3401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张顺兵</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8,508.36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824,800.00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164,960.00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659,840.00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354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胡如玉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8,157.02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881,366.00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881,366.00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355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欧汝林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8,600.00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929,488.00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929,488.00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356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3406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袁万容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8,200.00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790,890.00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790,890.00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签约</w:t>
            </w:r>
          </w:p>
        </w:tc>
      </w:tr>
      <w:tr>
        <w:tblPrEx>
          <w:tblCellMar>
            <w:top w:w="0" w:type="dxa"/>
            <w:left w:w="0" w:type="dxa"/>
            <w:bottom w:w="0" w:type="dxa"/>
            <w:right w:w="0" w:type="dxa"/>
          </w:tblCellMar>
        </w:tblPrEx>
        <w:trPr>
          <w:trHeight w:val="272" w:hRule="atLeast"/>
        </w:trPr>
        <w:tc>
          <w:tcPr>
            <w:tcW w:w="294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合计</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35,349.79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lang w:bidi="ar"/>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301,358,715.00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277,760,965.00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lang w:bidi="ar"/>
              </w:rPr>
            </w:pPr>
            <w:r>
              <w:rPr>
                <w:rFonts w:hint="eastAsia" w:ascii="Arial" w:hAnsi="Arial" w:cs="Arial"/>
                <w:bCs/>
                <w:sz w:val="18"/>
                <w:szCs w:val="18"/>
                <w:lang w:bidi="ar"/>
              </w:rPr>
              <w:t xml:space="preserve">23,597,750.00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r>
    </w:tbl>
    <w:p>
      <w:r>
        <w:rPr>
          <w:rFonts w:hint="eastAsia" w:ascii="宋体" w:hAnsi="宋体" w:cs="宋体"/>
          <w:b/>
          <w:bCs/>
        </w:rPr>
        <w:t xml:space="preserve">   </w:t>
      </w:r>
    </w:p>
    <w:p>
      <w:pPr>
        <w:rPr>
          <w:rFonts w:ascii="宋体" w:hAnsi="宋体" w:cs="宋体"/>
          <w:bCs/>
          <w:sz w:val="21"/>
          <w:szCs w:val="21"/>
        </w:rPr>
      </w:pPr>
      <w:r>
        <w:rPr>
          <w:rFonts w:ascii="宋体" w:hAnsi="宋体" w:cs="宋体"/>
          <w:bCs/>
          <w:sz w:val="21"/>
          <w:szCs w:val="21"/>
        </w:rPr>
        <w:br w:type="page"/>
      </w:r>
    </w:p>
    <w:p>
      <w:pPr>
        <w:widowControl w:val="0"/>
        <w:spacing w:line="480" w:lineRule="auto"/>
        <w:rPr>
          <w:rFonts w:ascii="Arial" w:hAnsi="Arial" w:cs="Arial"/>
          <w:kern w:val="44"/>
          <w:sz w:val="21"/>
          <w:szCs w:val="21"/>
        </w:rPr>
      </w:pPr>
      <w:bookmarkStart w:id="99" w:name="_Toc32590"/>
      <w:r>
        <w:rPr>
          <w:rFonts w:hint="eastAsia" w:ascii="Arial" w:hAnsi="Arial" w:cs="Arial"/>
          <w:kern w:val="44"/>
          <w:sz w:val="21"/>
          <w:szCs w:val="21"/>
        </w:rPr>
        <w:t>附件五：其他融资情况明细表</w:t>
      </w:r>
    </w:p>
    <w:tbl>
      <w:tblPr>
        <w:tblStyle w:val="18"/>
        <w:tblW w:w="9734" w:type="dxa"/>
        <w:tblInd w:w="96" w:type="dxa"/>
        <w:tblLayout w:type="fixed"/>
        <w:tblCellMar>
          <w:top w:w="0" w:type="dxa"/>
          <w:left w:w="108" w:type="dxa"/>
          <w:bottom w:w="0" w:type="dxa"/>
          <w:right w:w="108" w:type="dxa"/>
        </w:tblCellMar>
      </w:tblPr>
      <w:tblGrid>
        <w:gridCol w:w="511"/>
        <w:gridCol w:w="1509"/>
        <w:gridCol w:w="1868"/>
        <w:gridCol w:w="1560"/>
        <w:gridCol w:w="1312"/>
        <w:gridCol w:w="1157"/>
        <w:gridCol w:w="1200"/>
        <w:gridCol w:w="617"/>
      </w:tblGrid>
      <w:tr>
        <w:tblPrEx>
          <w:tblCellMar>
            <w:top w:w="0" w:type="dxa"/>
            <w:left w:w="108" w:type="dxa"/>
            <w:bottom w:w="0" w:type="dxa"/>
            <w:right w:w="108" w:type="dxa"/>
          </w:tblCellMar>
        </w:tblPrEx>
        <w:trPr>
          <w:trHeight w:val="420" w:hRule="atLeast"/>
          <w:tblHeader/>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8"/>
                <w:szCs w:val="18"/>
                <w:lang w:bidi="ar"/>
              </w:rPr>
            </w:pPr>
            <w:r>
              <w:rPr>
                <w:rFonts w:hint="eastAsia" w:ascii="Arial" w:hAnsi="Arial" w:cs="Arial"/>
                <w:b/>
                <w:sz w:val="18"/>
                <w:szCs w:val="18"/>
                <w:lang w:bidi="ar"/>
              </w:rPr>
              <w:t>序号</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8"/>
                <w:szCs w:val="18"/>
                <w:lang w:bidi="ar"/>
              </w:rPr>
            </w:pPr>
            <w:r>
              <w:rPr>
                <w:rFonts w:hint="eastAsia" w:ascii="Arial" w:hAnsi="Arial" w:cs="Arial"/>
                <w:b/>
                <w:sz w:val="18"/>
                <w:szCs w:val="18"/>
                <w:lang w:bidi="ar"/>
              </w:rPr>
              <w:t>供应商描述</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8"/>
                <w:szCs w:val="18"/>
                <w:lang w:bidi="ar"/>
              </w:rPr>
            </w:pPr>
            <w:r>
              <w:rPr>
                <w:rFonts w:hint="eastAsia" w:ascii="Arial" w:hAnsi="Arial" w:cs="Arial"/>
                <w:b/>
                <w:sz w:val="18"/>
                <w:szCs w:val="18"/>
                <w:lang w:bidi="ar"/>
              </w:rPr>
              <w:t>合同内容</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8"/>
                <w:szCs w:val="18"/>
                <w:lang w:bidi="ar"/>
              </w:rPr>
            </w:pPr>
            <w:r>
              <w:rPr>
                <w:rFonts w:hint="eastAsia" w:ascii="Arial" w:hAnsi="Arial" w:cs="Arial"/>
                <w:b/>
                <w:sz w:val="18"/>
                <w:szCs w:val="18"/>
                <w:lang w:bidi="ar"/>
              </w:rPr>
              <w:t>供应链支付金额</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8"/>
                <w:szCs w:val="18"/>
                <w:lang w:bidi="ar"/>
              </w:rPr>
            </w:pPr>
            <w:r>
              <w:rPr>
                <w:rFonts w:hint="eastAsia" w:ascii="Arial" w:hAnsi="Arial" w:cs="Arial"/>
                <w:b/>
                <w:sz w:val="18"/>
                <w:szCs w:val="18"/>
                <w:lang w:bidi="ar"/>
              </w:rPr>
              <w:t>供应链方式</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8"/>
                <w:szCs w:val="18"/>
                <w:lang w:bidi="ar"/>
              </w:rPr>
            </w:pPr>
            <w:r>
              <w:rPr>
                <w:rFonts w:hint="eastAsia" w:ascii="Arial" w:hAnsi="Arial" w:cs="Arial"/>
                <w:b/>
                <w:sz w:val="18"/>
                <w:szCs w:val="18"/>
                <w:lang w:bidi="ar"/>
              </w:rPr>
              <w:t>出票日</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8"/>
                <w:szCs w:val="18"/>
                <w:lang w:bidi="ar"/>
              </w:rPr>
            </w:pPr>
            <w:r>
              <w:rPr>
                <w:rFonts w:hint="eastAsia" w:ascii="Arial" w:hAnsi="Arial" w:cs="Arial"/>
                <w:b/>
                <w:sz w:val="18"/>
                <w:szCs w:val="18"/>
                <w:lang w:bidi="ar"/>
              </w:rPr>
              <w:t>到期日</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8"/>
                <w:szCs w:val="18"/>
                <w:lang w:bidi="ar"/>
              </w:rPr>
            </w:pPr>
            <w:r>
              <w:rPr>
                <w:rFonts w:hint="eastAsia" w:ascii="Arial" w:hAnsi="Arial" w:cs="Arial"/>
                <w:b/>
                <w:sz w:val="18"/>
                <w:szCs w:val="18"/>
                <w:lang w:bidi="ar"/>
              </w:rPr>
              <w:t>备注</w:t>
            </w: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1</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500,000.00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商票背书后至小贷贴现</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500,000.00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商票背书后至小贷贴现</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3</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500,000.00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商票背书后至小贷贴现</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4</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500,000.00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商票背书后至小贷贴现</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5</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500,000.00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商票背书后至小贷贴现</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6</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500,000.00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商票背书后至小贷贴现</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7</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200,000.00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商票背书后至小贷贴现</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8</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200,000.00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商票背书后至小贷贴现</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9</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200,000.00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商票背书后至小贷贴现</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10</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200,000.00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商票背书后至小贷贴现</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11</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200,000.00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商票背书后至小贷贴现</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12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200,000.00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商票背书后至小贷贴现</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13</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200,000.00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商票背书后至小贷贴现</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14</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200,000.00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商票背书后至小贷贴现</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15</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200,000.00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商票背书后至小贷贴现</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16</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200,000.00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商票背书后至小贷贴现</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17</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重庆联盛建设项目管理有限公司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宜宾站前广场项目一期j监理工程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183,878.00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商票背书后至小贷贴现</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2021-1-27</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2021-7-27</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18</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四川骏业绿建科技有限公司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宜宾翠屏项目一期海绵城市设计咨询合同</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60,600.00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商票背书后至小贷贴现</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2021-2-1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2021-8-1</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19</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宜宾佳鑫建筑工程有限责任公司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宜宾翠屏项目一期二标段土建总承包工程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500,000.00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商票背书后至小贷贴现</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2021-2-2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2021-8-2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宜宾佳鑫建筑工程有限责任公司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宜宾翠屏项目一期二标段土建总承包工程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500,000.00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商票背书后至小贷贴现</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2021-2-2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2021-8-2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21</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宜宾佳鑫建筑工程有限责任公司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宜宾翠屏项目一期二标段土建总承包工程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770,000.00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商票背书后至小贷贴现</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2021-2-2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2021-8-2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北京鱼禾光环境设计有限公司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世茂宜宾售楼处项目泛光设计合同</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80,000.00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商票持有到期</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2021-2-3</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2021-8-3</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23</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上海水石建筑规划设计股份有限公司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世茂宜宾项目建筑方案设计合同</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1,014,056.25</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商票持有到期</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2021-2-5</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2021-8-5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24</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上海骏地建筑设计事务所股份有限公司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世茂宜宾项目大区景观设计合同</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333,100.00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商票持有到期</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2021-2-6</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2021-8-6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25</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弗思特建筑科技有限公司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宜宾世茂售楼处外立面工程设计技术咨询服务合同</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120,000.00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商票持有到期</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2021-2-26</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2021-8-26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26</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四川天府辰安建设工程有限公司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宜宾站前广场项目一期基坑支护降水及土石方工程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2,731,086.89</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有追保理</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2020-9-23</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2021-9-23</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27</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四川天府辰安建设工程有限公司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宜宾站前广场项目一期基坑支护降水及土石方工程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1,133,969.00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有追保理</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2020-10-21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2021-10-21</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28</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四川华西建筑设计院有限公司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世茂宜宾翠屏项目施工图设计服务合同</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2,000,000.00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有追保理</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2020-10-21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2021-10-21</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29</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上海水石建筑规划设计股份有限公司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世茂宜宾项目建筑方案设计合同</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1,200,000.00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有追保理</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2020-10-21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2021-10-21</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30</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四川华西建筑设计院有限公司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世茂宜宾翠屏项目施工图设计服务合同</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600,000.00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有追保理</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2021-2-1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2022-1-13</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31</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四川华西建筑设计院有限公司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世茂宜宾翠屏项目施工图设计服务合同</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120,000.00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有追保理</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2021-2-1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2022-1-13</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32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成都传美时代装饰设计有限公司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宜宾翠屏项目售楼部及样板间精装修工程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1,500,000.00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有追保理</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2021-2-1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2022-1-15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33</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四川志德岩土工程有限责任公司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宜宾一期二标段桩基工程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1,750,000.00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有追保理</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2021-2-9</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2022-2-9</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34</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四川天府辰安建设工程有限公司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宜宾站前广场项目一期基坑支护降水及土石方工程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515,400.00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有追保理</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2021-2-9</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2022-2-9</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240" w:hRule="atLeast"/>
        </w:trPr>
        <w:tc>
          <w:tcPr>
            <w:tcW w:w="38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r>
              <w:rPr>
                <w:rFonts w:hint="eastAsia" w:ascii="Arial" w:hAnsi="Arial" w:cs="Arial"/>
                <w:bCs/>
                <w:sz w:val="18"/>
                <w:szCs w:val="18"/>
                <w:lang w:bidi="ar"/>
              </w:rPr>
              <w:t>合计</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lang w:bidi="ar"/>
              </w:rPr>
            </w:pPr>
            <w:r>
              <w:rPr>
                <w:rFonts w:hint="eastAsia" w:ascii="Arial" w:hAnsi="Arial" w:cs="Arial"/>
                <w:bCs/>
                <w:sz w:val="18"/>
                <w:szCs w:val="18"/>
                <w:lang w:bidi="ar"/>
              </w:rPr>
              <w:t xml:space="preserve">20,112,090.14 </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lang w:bidi="ar"/>
              </w:rPr>
            </w:pPr>
          </w:p>
        </w:tc>
      </w:tr>
    </w:tbl>
    <w:p>
      <w:pPr>
        <w:rPr>
          <w:rFonts w:ascii="Arial" w:hAnsi="Arial" w:cs="Arial"/>
          <w:kern w:val="44"/>
          <w:sz w:val="21"/>
          <w:szCs w:val="21"/>
        </w:rPr>
      </w:pPr>
      <w:r>
        <w:rPr>
          <w:rFonts w:hint="eastAsia" w:ascii="Arial" w:hAnsi="Arial" w:cs="Arial"/>
          <w:kern w:val="44"/>
          <w:sz w:val="21"/>
          <w:szCs w:val="21"/>
        </w:rPr>
        <w:br w:type="page"/>
      </w:r>
    </w:p>
    <w:p>
      <w:pPr>
        <w:widowControl w:val="0"/>
        <w:spacing w:line="480" w:lineRule="auto"/>
        <w:rPr>
          <w:rFonts w:ascii="Arial" w:hAnsi="Arial" w:cs="Arial"/>
          <w:kern w:val="44"/>
          <w:sz w:val="21"/>
          <w:szCs w:val="21"/>
        </w:rPr>
      </w:pPr>
      <w:r>
        <w:rPr>
          <w:rFonts w:hint="eastAsia" w:ascii="Arial" w:hAnsi="Arial" w:cs="Arial"/>
          <w:kern w:val="44"/>
          <w:sz w:val="21"/>
          <w:szCs w:val="21"/>
        </w:rPr>
        <w:t>附件六：项目形象进度及照片</w:t>
      </w:r>
      <w:bookmarkEnd w:id="99"/>
    </w:p>
    <w:p>
      <w:pPr>
        <w:spacing w:line="480" w:lineRule="auto"/>
        <w:ind w:firstLine="420" w:firstLineChars="200"/>
        <w:rPr>
          <w:rFonts w:ascii="Arial" w:hAnsi="Arial" w:cs="Arial"/>
          <w:kern w:val="44"/>
          <w:sz w:val="21"/>
          <w:szCs w:val="21"/>
        </w:rPr>
      </w:pPr>
      <w:r>
        <w:rPr>
          <w:rFonts w:hint="eastAsia" w:ascii="Arial" w:hAnsi="Arial" w:cs="Arial"/>
          <w:kern w:val="44"/>
          <w:sz w:val="21"/>
          <w:szCs w:val="21"/>
        </w:rPr>
        <w:t>2021年6月工程进度：云锦一期：1#楼14层底板施工；2#楼15层墙柱施工；3#楼10层底板施工；4#楼10层底板施工；5#楼14层底板施工；6#楼11层底板施工；7#楼4层底板施工；中庭地库顶板封闭完成30%，基础完成80%，负一层完成钢筋模板完成50%。云锦二期和云锦三期暂无进度。</w:t>
      </w:r>
    </w:p>
    <w:p>
      <w:pPr>
        <w:tabs>
          <w:tab w:val="center" w:pos="4620"/>
        </w:tabs>
        <w:ind w:firstLine="480" w:firstLineChars="200"/>
        <w:rPr>
          <w:rFonts w:ascii="Arial" w:hAnsi="Arial" w:cs="Arial"/>
        </w:rPr>
      </w:pPr>
      <w:r>
        <w:rPr>
          <w:rFonts w:ascii="Arial" w:hAnsi="Arial" w:cs="Arial"/>
        </w:rPr>
        <mc:AlternateContent>
          <mc:Choice Requires="wps">
            <w:drawing>
              <wp:inline distT="0" distB="0" distL="0" distR="0">
                <wp:extent cx="2324100" cy="1713865"/>
                <wp:effectExtent l="4445" t="4445" r="18415" b="19050"/>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pPr>
                              <w:jc w:val="center"/>
                            </w:pPr>
                            <w:r>
                              <w:rPr>
                                <w:rFonts w:hint="eastAsia"/>
                              </w:rPr>
                              <w:drawing>
                                <wp:inline distT="0" distB="0" distL="114300" distR="114300">
                                  <wp:extent cx="2125980" cy="1594485"/>
                                  <wp:effectExtent l="0" t="0" r="7620" b="5715"/>
                                  <wp:docPr id="37" name="图片 37" descr="C:\Users\123\Desktop\一期\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123\Desktop\一期\1.jpg1"/>
                                          <pic:cNvPicPr>
                                            <a:picLocks noChangeAspect="1"/>
                                          </pic:cNvPicPr>
                                        </pic:nvPicPr>
                                        <pic:blipFill>
                                          <a:blip r:embed="rId25"/>
                                          <a:srcRect/>
                                          <a:stretch>
                                            <a:fillRect/>
                                          </a:stretch>
                                        </pic:blipFill>
                                        <pic:spPr>
                                          <a:xfrm>
                                            <a:off x="0" y="0"/>
                                            <a:ext cx="2125980" cy="15944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&#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0HBV/EICAACKBAAADgAAAAAAAAABACAAAAAk&#10;AQAAZHJzL2Uyb0RvYy54bWxQSwUGAAAAAAYABgBZAQAA2AUAAAAA&#10;">
                <v:fill on="t" focussize="0,0"/>
                <v:stroke color="#000000" miterlimit="8" joinstyle="miter"/>
                <v:imagedata o:title=""/>
                <o:lock v:ext="edit" aspectratio="f"/>
                <v:textbox>
                  <w:txbxContent>
                    <w:p>
                      <w:pPr>
                        <w:jc w:val="center"/>
                      </w:pPr>
                      <w:r>
                        <w:rPr>
                          <w:rFonts w:hint="eastAsia"/>
                        </w:rPr>
                        <w:drawing>
                          <wp:inline distT="0" distB="0" distL="114300" distR="114300">
                            <wp:extent cx="2125980" cy="1594485"/>
                            <wp:effectExtent l="0" t="0" r="7620" b="5715"/>
                            <wp:docPr id="37" name="图片 37" descr="C:\Users\123\Desktop\一期\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123\Desktop\一期\1.jpg1"/>
                                    <pic:cNvPicPr>
                                      <a:picLocks noChangeAspect="1"/>
                                    </pic:cNvPicPr>
                                  </pic:nvPicPr>
                                  <pic:blipFill>
                                    <a:blip r:embed="rId25"/>
                                    <a:srcRect/>
                                    <a:stretch>
                                      <a:fillRect/>
                                    </a:stretch>
                                  </pic:blipFill>
                                  <pic:spPr>
                                    <a:xfrm>
                                      <a:off x="0" y="0"/>
                                      <a:ext cx="2125980" cy="1594485"/>
                                    </a:xfrm>
                                    <a:prstGeom prst="rect">
                                      <a:avLst/>
                                    </a:prstGeom>
                                  </pic:spPr>
                                </pic:pic>
                              </a:graphicData>
                            </a:graphic>
                          </wp:inline>
                        </w:drawing>
                      </w:r>
                    </w:p>
                  </w:txbxContent>
                </v:textbox>
                <w10:wrap type="none"/>
                <w10:anchorlock/>
              </v:shape>
            </w:pict>
          </mc:Fallback>
        </mc:AlternateContent>
      </w:r>
      <w:r>
        <w:rPr>
          <w:rFonts w:ascii="Arial" w:hAnsi="Arial" w:cs="Arial"/>
          <w:bCs/>
          <w:szCs w:val="21"/>
        </w:rPr>
        <w:tab/>
      </w:r>
      <w:r>
        <w:rPr>
          <w:rFonts w:ascii="Arial" w:hAnsi="Arial" w:cs="Arial"/>
          <w:bCs/>
          <w:szCs w:val="21"/>
        </w:rPr>
        <w:t xml:space="preserve">        </w:t>
      </w:r>
      <w:r>
        <w:rPr>
          <w:rFonts w:ascii="Arial" w:hAnsi="Arial" w:cs="Arial"/>
        </w:rPr>
        <mc:AlternateContent>
          <mc:Choice Requires="wps">
            <w:drawing>
              <wp:inline distT="0" distB="0" distL="0" distR="0">
                <wp:extent cx="2324100" cy="1713865"/>
                <wp:effectExtent l="4445" t="4445" r="18415" b="19050"/>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rPr>
                                <w:rFonts w:hint="eastAsia"/>
                              </w:rPr>
                              <w:drawing>
                                <wp:inline distT="0" distB="0" distL="114300" distR="114300">
                                  <wp:extent cx="2125980" cy="1594485"/>
                                  <wp:effectExtent l="0" t="0" r="7620" b="5715"/>
                                  <wp:docPr id="43" name="图片 43" descr="C:\Users\123\Desktop\一期\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123\Desktop\一期\2.jpg2"/>
                                          <pic:cNvPicPr>
                                            <a:picLocks noChangeAspect="1"/>
                                          </pic:cNvPicPr>
                                        </pic:nvPicPr>
                                        <pic:blipFill>
                                          <a:blip r:embed="rId26"/>
                                          <a:srcRect/>
                                          <a:stretch>
                                            <a:fillRect/>
                                          </a:stretch>
                                        </pic:blipFill>
                                        <pic:spPr>
                                          <a:xfrm>
                                            <a:off x="0" y="0"/>
                                            <a:ext cx="2125980" cy="15944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cpb5PVAAAABQEAAA8AAAAAAAAAAQAgAAAAIgAAAGRy&#10;cy9kb3ducmV2LnhtbFBLAQIUABQAAAAIAIdO4kAGbHzlQQIAAIgEAAAOAAAAAAAAAAEAIAAAACQB&#10;AABkcnMvZTJvRG9jLnhtbFBLBQYAAAAABgAGAFkBAADXBQAAAAA=&#10;">
                <v:fill on="t" focussize="0,0"/>
                <v:stroke color="#000000" miterlimit="8" joinstyle="miter"/>
                <v:imagedata o:title=""/>
                <o:lock v:ext="edit" aspectratio="f"/>
                <v:textbox>
                  <w:txbxContent>
                    <w:p>
                      <w:r>
                        <w:rPr>
                          <w:rFonts w:hint="eastAsia"/>
                        </w:rPr>
                        <w:drawing>
                          <wp:inline distT="0" distB="0" distL="114300" distR="114300">
                            <wp:extent cx="2125980" cy="1594485"/>
                            <wp:effectExtent l="0" t="0" r="7620" b="5715"/>
                            <wp:docPr id="43" name="图片 43" descr="C:\Users\123\Desktop\一期\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123\Desktop\一期\2.jpg2"/>
                                    <pic:cNvPicPr>
                                      <a:picLocks noChangeAspect="1"/>
                                    </pic:cNvPicPr>
                                  </pic:nvPicPr>
                                  <pic:blipFill>
                                    <a:blip r:embed="rId26"/>
                                    <a:srcRect/>
                                    <a:stretch>
                                      <a:fillRect/>
                                    </a:stretch>
                                  </pic:blipFill>
                                  <pic:spPr>
                                    <a:xfrm>
                                      <a:off x="0" y="0"/>
                                      <a:ext cx="2125980" cy="1594485"/>
                                    </a:xfrm>
                                    <a:prstGeom prst="rect">
                                      <a:avLst/>
                                    </a:prstGeom>
                                  </pic:spPr>
                                </pic:pic>
                              </a:graphicData>
                            </a:graphic>
                          </wp:inline>
                        </w:drawing>
                      </w:r>
                    </w:p>
                  </w:txbxContent>
                </v:textbox>
                <w10:wrap type="none"/>
                <w10:anchorlock/>
              </v:shape>
            </w:pict>
          </mc:Fallback>
        </mc:AlternateContent>
      </w:r>
    </w:p>
    <w:p>
      <w:pPr>
        <w:tabs>
          <w:tab w:val="center" w:pos="4620"/>
        </w:tabs>
        <w:ind w:firstLine="420" w:firstLineChars="200"/>
        <w:rPr>
          <w:rFonts w:ascii="Arial" w:hAnsi="Arial" w:cs="Arial"/>
        </w:rPr>
      </w:pPr>
      <w:r>
        <w:rPr>
          <w:rFonts w:hint="eastAsia" w:ascii="Arial" w:hAnsi="Arial" w:cs="Arial"/>
          <w:kern w:val="44"/>
          <w:sz w:val="21"/>
          <w:szCs w:val="21"/>
        </w:rPr>
        <w:t xml:space="preserve">1.云锦一期1#楼14层底板施工  </w:t>
      </w:r>
      <w:r>
        <w:rPr>
          <w:rFonts w:hint="eastAsia" w:ascii="Arial" w:hAnsi="Arial" w:cs="Arial"/>
        </w:rPr>
        <w:t xml:space="preserve">           </w:t>
      </w:r>
      <w:r>
        <w:rPr>
          <w:rFonts w:hint="eastAsia" w:ascii="Arial" w:hAnsi="Arial" w:cs="Arial"/>
          <w:kern w:val="44"/>
          <w:sz w:val="21"/>
          <w:szCs w:val="21"/>
        </w:rPr>
        <w:t xml:space="preserve">   2.云锦一期2#楼15层墙柱施工 </w:t>
      </w:r>
      <w:r>
        <w:rPr>
          <w:rFonts w:hint="eastAsia" w:ascii="Arial" w:hAnsi="Arial" w:cs="Arial"/>
        </w:rPr>
        <w:t xml:space="preserve">                 </w:t>
      </w:r>
    </w:p>
    <w:p>
      <w:pPr>
        <w:tabs>
          <w:tab w:val="center" w:pos="4620"/>
        </w:tabs>
        <w:ind w:firstLine="480" w:firstLineChars="200"/>
        <w:rPr>
          <w:rFonts w:ascii="Arial" w:hAnsi="Arial" w:cs="Arial"/>
        </w:rPr>
      </w:pPr>
      <w:r>
        <w:rPr>
          <w:rFonts w:ascii="Arial" w:hAnsi="Arial" w:cs="Arial"/>
        </w:rPr>
        <mc:AlternateContent>
          <mc:Choice Requires="wps">
            <w:drawing>
              <wp:inline distT="0" distB="0" distL="0" distR="0">
                <wp:extent cx="2324100" cy="1713865"/>
                <wp:effectExtent l="4445" t="4445" r="18415" b="19050"/>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rPr>
                                <w:rFonts w:hint="eastAsia"/>
                              </w:rPr>
                              <w:drawing>
                                <wp:inline distT="0" distB="0" distL="114300" distR="114300">
                                  <wp:extent cx="2125980" cy="1594485"/>
                                  <wp:effectExtent l="0" t="0" r="7620" b="5715"/>
                                  <wp:docPr id="38" name="图片 38" descr="C:\Users\123\Desktop\一期\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123\Desktop\一期\3.jpg3"/>
                                          <pic:cNvPicPr>
                                            <a:picLocks noChangeAspect="1"/>
                                          </pic:cNvPicPr>
                                        </pic:nvPicPr>
                                        <pic:blipFill>
                                          <a:blip r:embed="rId27"/>
                                          <a:srcRect/>
                                          <a:stretch>
                                            <a:fillRect/>
                                          </a:stretch>
                                        </pic:blipFill>
                                        <pic:spPr>
                                          <a:xfrm>
                                            <a:off x="0" y="0"/>
                                            <a:ext cx="2125980" cy="15944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lvk9UAAAAFAQAADwAAAAAAAAABACAAAAAiAAAA&#10;ZHJzL2Rvd25yZXYueG1sUEsBAhQAFAAAAAgAh07iQLGaxIFDAgAAigQAAA4AAAAAAAAAAQAgAAAA&#10;JAEAAGRycy9lMm9Eb2MueG1sUEsFBgAAAAAGAAYAWQEAANkFAAAAAA==&#10;">
                <v:fill on="t" focussize="0,0"/>
                <v:stroke color="#000000" miterlimit="8" joinstyle="miter"/>
                <v:imagedata o:title=""/>
                <o:lock v:ext="edit" aspectratio="f"/>
                <v:textbox>
                  <w:txbxContent>
                    <w:p>
                      <w:r>
                        <w:rPr>
                          <w:rFonts w:hint="eastAsia"/>
                        </w:rPr>
                        <w:drawing>
                          <wp:inline distT="0" distB="0" distL="114300" distR="114300">
                            <wp:extent cx="2125980" cy="1594485"/>
                            <wp:effectExtent l="0" t="0" r="7620" b="5715"/>
                            <wp:docPr id="38" name="图片 38" descr="C:\Users\123\Desktop\一期\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123\Desktop\一期\3.jpg3"/>
                                    <pic:cNvPicPr>
                                      <a:picLocks noChangeAspect="1"/>
                                    </pic:cNvPicPr>
                                  </pic:nvPicPr>
                                  <pic:blipFill>
                                    <a:blip r:embed="rId27"/>
                                    <a:srcRect/>
                                    <a:stretch>
                                      <a:fillRect/>
                                    </a:stretch>
                                  </pic:blipFill>
                                  <pic:spPr>
                                    <a:xfrm>
                                      <a:off x="0" y="0"/>
                                      <a:ext cx="2125980" cy="1594485"/>
                                    </a:xfrm>
                                    <a:prstGeom prst="rect">
                                      <a:avLst/>
                                    </a:prstGeom>
                                  </pic:spPr>
                                </pic:pic>
                              </a:graphicData>
                            </a:graphic>
                          </wp:inline>
                        </w:drawing>
                      </w:r>
                    </w:p>
                  </w:txbxContent>
                </v:textbox>
                <w10:wrap type="none"/>
                <w10:anchorlock/>
              </v:shape>
            </w:pict>
          </mc:Fallback>
        </mc:AlternateContent>
      </w:r>
      <w:r>
        <w:rPr>
          <w:rFonts w:ascii="Arial" w:hAnsi="Arial" w:cs="Arial"/>
          <w:bCs/>
          <w:szCs w:val="21"/>
        </w:rPr>
        <w:tab/>
      </w:r>
      <w:r>
        <w:rPr>
          <w:rFonts w:ascii="Arial" w:hAnsi="Arial" w:cs="Arial"/>
          <w:bCs/>
          <w:szCs w:val="21"/>
        </w:rPr>
        <w:t xml:space="preserve">        </w:t>
      </w:r>
      <w:r>
        <w:rPr>
          <w:rFonts w:ascii="Arial" w:hAnsi="Arial" w:cs="Arial"/>
        </w:rPr>
        <mc:AlternateContent>
          <mc:Choice Requires="wps">
            <w:drawing>
              <wp:inline distT="0" distB="0" distL="0" distR="0">
                <wp:extent cx="2324100" cy="1713865"/>
                <wp:effectExtent l="4445" t="4445" r="18415" b="19050"/>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rPr>
                                <w:rFonts w:hint="eastAsia"/>
                              </w:rPr>
                              <w:drawing>
                                <wp:inline distT="0" distB="0" distL="114300" distR="114300">
                                  <wp:extent cx="2125980" cy="1594485"/>
                                  <wp:effectExtent l="0" t="0" r="7620" b="5715"/>
                                  <wp:docPr id="39" name="图片 39" descr="C:\Users\123\Desktop\一期\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123\Desktop\一期\4.jpg4"/>
                                          <pic:cNvPicPr>
                                            <a:picLocks noChangeAspect="1"/>
                                          </pic:cNvPicPr>
                                        </pic:nvPicPr>
                                        <pic:blipFill>
                                          <a:blip r:embed="rId28"/>
                                          <a:srcRect/>
                                          <a:stretch>
                                            <a:fillRect/>
                                          </a:stretch>
                                        </pic:blipFill>
                                        <pic:spPr>
                                          <a:xfrm>
                                            <a:off x="0" y="0"/>
                                            <a:ext cx="2125980" cy="15944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&#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AtIG1EICAACKBAAADgAAAAAAAAABACAAAAAk&#10;AQAAZHJzL2Uyb0RvYy54bWxQSwUGAAAAAAYABgBZAQAA2AUAAAAA&#10;">
                <v:fill on="t" focussize="0,0"/>
                <v:stroke color="#000000" miterlimit="8" joinstyle="miter"/>
                <v:imagedata o:title=""/>
                <o:lock v:ext="edit" aspectratio="f"/>
                <v:textbox>
                  <w:txbxContent>
                    <w:p>
                      <w:r>
                        <w:rPr>
                          <w:rFonts w:hint="eastAsia"/>
                        </w:rPr>
                        <w:drawing>
                          <wp:inline distT="0" distB="0" distL="114300" distR="114300">
                            <wp:extent cx="2125980" cy="1594485"/>
                            <wp:effectExtent l="0" t="0" r="7620" b="5715"/>
                            <wp:docPr id="39" name="图片 39" descr="C:\Users\123\Desktop\一期\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123\Desktop\一期\4.jpg4"/>
                                    <pic:cNvPicPr>
                                      <a:picLocks noChangeAspect="1"/>
                                    </pic:cNvPicPr>
                                  </pic:nvPicPr>
                                  <pic:blipFill>
                                    <a:blip r:embed="rId28"/>
                                    <a:srcRect/>
                                    <a:stretch>
                                      <a:fillRect/>
                                    </a:stretch>
                                  </pic:blipFill>
                                  <pic:spPr>
                                    <a:xfrm>
                                      <a:off x="0" y="0"/>
                                      <a:ext cx="2125980" cy="1594485"/>
                                    </a:xfrm>
                                    <a:prstGeom prst="rect">
                                      <a:avLst/>
                                    </a:prstGeom>
                                  </pic:spPr>
                                </pic:pic>
                              </a:graphicData>
                            </a:graphic>
                          </wp:inline>
                        </w:drawing>
                      </w:r>
                    </w:p>
                  </w:txbxContent>
                </v:textbox>
                <w10:wrap type="none"/>
                <w10:anchorlock/>
              </v:shape>
            </w:pict>
          </mc:Fallback>
        </mc:AlternateContent>
      </w:r>
    </w:p>
    <w:p>
      <w:pPr>
        <w:tabs>
          <w:tab w:val="center" w:pos="4620"/>
        </w:tabs>
        <w:ind w:firstLine="420" w:firstLineChars="200"/>
        <w:rPr>
          <w:rFonts w:ascii="Arial" w:hAnsi="Arial" w:cs="Arial"/>
          <w:kern w:val="44"/>
          <w:sz w:val="21"/>
          <w:szCs w:val="21"/>
        </w:rPr>
      </w:pPr>
      <w:r>
        <w:rPr>
          <w:rFonts w:hint="eastAsia" w:ascii="Arial" w:hAnsi="Arial" w:cs="Arial"/>
          <w:kern w:val="44"/>
          <w:sz w:val="21"/>
          <w:szCs w:val="21"/>
        </w:rPr>
        <w:t>3.云锦一期3#楼10层底板施工                 4.云锦一期4#楼10层底板施工</w:t>
      </w:r>
    </w:p>
    <w:p>
      <w:pPr>
        <w:pStyle w:val="17"/>
        <w:tabs>
          <w:tab w:val="right" w:pos="7676"/>
        </w:tabs>
        <w:spacing w:line="360" w:lineRule="auto"/>
        <w:ind w:firstLineChars="200"/>
        <w:rPr>
          <w:rFonts w:ascii="Arial" w:hAnsi="Arial" w:cs="Arial"/>
          <w:bCs/>
          <w:szCs w:val="21"/>
        </w:rPr>
      </w:pPr>
      <w:r>
        <w:rPr>
          <w:rFonts w:ascii="Arial" w:hAnsi="Arial" w:cs="Arial"/>
        </w:rPr>
        <mc:AlternateContent>
          <mc:Choice Requires="wps">
            <w:drawing>
              <wp:inline distT="0" distB="0" distL="0" distR="0">
                <wp:extent cx="2324100" cy="1713865"/>
                <wp:effectExtent l="4445" t="4445" r="18415" b="19050"/>
                <wp:docPr id="20"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rPr>
                                <w:rFonts w:hint="eastAsia"/>
                              </w:rPr>
                              <w:drawing>
                                <wp:inline distT="0" distB="0" distL="114300" distR="114300">
                                  <wp:extent cx="2125980" cy="1594485"/>
                                  <wp:effectExtent l="0" t="0" r="7620" b="5715"/>
                                  <wp:docPr id="41" name="图片 41" descr="C:\Users\123\Desktop\一期\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123\Desktop\一期\5.jpg5"/>
                                          <pic:cNvPicPr>
                                            <a:picLocks noChangeAspect="1"/>
                                          </pic:cNvPicPr>
                                        </pic:nvPicPr>
                                        <pic:blipFill>
                                          <a:blip r:embed="rId29"/>
                                          <a:srcRect/>
                                          <a:stretch>
                                            <a:fillRect/>
                                          </a:stretch>
                                        </pic:blipFill>
                                        <pic:spPr>
                                          <a:xfrm>
                                            <a:off x="0" y="0"/>
                                            <a:ext cx="2125980" cy="15944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lvk9UAAAAFAQAADwAAAAAAAAABACAAAAAiAAAA&#10;ZHJzL2Rvd25yZXYueG1sUEsBAhQAFAAAAAgAh07iQNtW8zxDAgAAigQAAA4AAAAAAAAAAQAgAAAA&#10;JAEAAGRycy9lMm9Eb2MueG1sUEsFBgAAAAAGAAYAWQEAANkFAAAAAA==&#10;">
                <v:fill on="t" focussize="0,0"/>
                <v:stroke color="#000000" miterlimit="8" joinstyle="miter"/>
                <v:imagedata o:title=""/>
                <o:lock v:ext="edit" aspectratio="f"/>
                <v:textbox>
                  <w:txbxContent>
                    <w:p>
                      <w:r>
                        <w:rPr>
                          <w:rFonts w:hint="eastAsia"/>
                        </w:rPr>
                        <w:drawing>
                          <wp:inline distT="0" distB="0" distL="114300" distR="114300">
                            <wp:extent cx="2125980" cy="1594485"/>
                            <wp:effectExtent l="0" t="0" r="7620" b="5715"/>
                            <wp:docPr id="41" name="图片 41" descr="C:\Users\123\Desktop\一期\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123\Desktop\一期\5.jpg5"/>
                                    <pic:cNvPicPr>
                                      <a:picLocks noChangeAspect="1"/>
                                    </pic:cNvPicPr>
                                  </pic:nvPicPr>
                                  <pic:blipFill>
                                    <a:blip r:embed="rId29"/>
                                    <a:srcRect/>
                                    <a:stretch>
                                      <a:fillRect/>
                                    </a:stretch>
                                  </pic:blipFill>
                                  <pic:spPr>
                                    <a:xfrm>
                                      <a:off x="0" y="0"/>
                                      <a:ext cx="2125980" cy="1594485"/>
                                    </a:xfrm>
                                    <a:prstGeom prst="rect">
                                      <a:avLst/>
                                    </a:prstGeom>
                                  </pic:spPr>
                                </pic:pic>
                              </a:graphicData>
                            </a:graphic>
                          </wp:inline>
                        </w:drawing>
                      </w:r>
                    </w:p>
                  </w:txbxContent>
                </v:textbox>
                <w10:wrap type="none"/>
                <w10:anchorlock/>
              </v:shape>
            </w:pict>
          </mc:Fallback>
        </mc:AlternateContent>
      </w:r>
      <w:r>
        <w:rPr>
          <w:rFonts w:ascii="Arial" w:hAnsi="Arial" w:cs="Arial"/>
          <w:bCs/>
          <w:szCs w:val="21"/>
        </w:rPr>
        <w:tab/>
      </w:r>
      <w:r>
        <w:rPr>
          <w:rFonts w:ascii="Arial" w:hAnsi="Arial" w:cs="Arial"/>
          <w:bCs/>
          <w:szCs w:val="21"/>
        </w:rPr>
        <w:t xml:space="preserve">       </w:t>
      </w:r>
      <w:r>
        <w:rPr>
          <w:rFonts w:hint="eastAsia" w:ascii="Arial" w:hAnsi="Arial" w:cs="Arial"/>
          <w:bCs/>
          <w:szCs w:val="21"/>
        </w:rPr>
        <w:t xml:space="preserve">  </w:t>
      </w:r>
      <w:r>
        <w:rPr>
          <w:rFonts w:ascii="Arial" w:hAnsi="Arial" w:cs="Arial"/>
          <w:bCs/>
          <w:szCs w:val="21"/>
        </w:rPr>
        <w:t xml:space="preserve"> </w:t>
      </w:r>
      <w:r>
        <w:rPr>
          <w:rFonts w:ascii="Arial" w:hAnsi="Arial" w:cs="Arial"/>
        </w:rPr>
        <mc:AlternateContent>
          <mc:Choice Requires="wps">
            <w:drawing>
              <wp:inline distT="0" distB="0" distL="0" distR="0">
                <wp:extent cx="2324100" cy="1713865"/>
                <wp:effectExtent l="4445" t="4445" r="18415" b="19050"/>
                <wp:docPr id="22" name="文本框 22"/>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rPr>
                                <w:rFonts w:hint="eastAsia"/>
                              </w:rPr>
                              <w:drawing>
                                <wp:inline distT="0" distB="0" distL="114300" distR="114300">
                                  <wp:extent cx="2125980" cy="1594485"/>
                                  <wp:effectExtent l="0" t="0" r="7620" b="5715"/>
                                  <wp:docPr id="42" name="图片 42" descr="C:\Users\123\Desktop\一期\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123\Desktop\一期\6.jpg6"/>
                                          <pic:cNvPicPr>
                                            <a:picLocks noChangeAspect="1"/>
                                          </pic:cNvPicPr>
                                        </pic:nvPicPr>
                                        <pic:blipFill>
                                          <a:blip r:embed="rId30"/>
                                          <a:srcRect/>
                                          <a:stretch>
                                            <a:fillRect/>
                                          </a:stretch>
                                        </pic:blipFill>
                                        <pic:spPr>
                                          <a:xfrm>
                                            <a:off x="0" y="0"/>
                                            <a:ext cx="2125980" cy="15944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lvk9UAAAAFAQAADwAAAAAAAAABACAAAAAiAAAA&#10;ZHJzL2Rvd25yZXYueG1sUEsBAhQAFAAAAAgAh07iQMsgg+9DAgAAigQAAA4AAAAAAAAAAQAgAAAA&#10;JAEAAGRycy9lMm9Eb2MueG1sUEsFBgAAAAAGAAYAWQEAANkFAAAAAA==&#10;">
                <v:fill on="t" focussize="0,0"/>
                <v:stroke color="#000000" miterlimit="8" joinstyle="miter"/>
                <v:imagedata o:title=""/>
                <o:lock v:ext="edit" aspectratio="f"/>
                <v:textbox>
                  <w:txbxContent>
                    <w:p>
                      <w:r>
                        <w:rPr>
                          <w:rFonts w:hint="eastAsia"/>
                        </w:rPr>
                        <w:drawing>
                          <wp:inline distT="0" distB="0" distL="114300" distR="114300">
                            <wp:extent cx="2125980" cy="1594485"/>
                            <wp:effectExtent l="0" t="0" r="7620" b="5715"/>
                            <wp:docPr id="42" name="图片 42" descr="C:\Users\123\Desktop\一期\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123\Desktop\一期\6.jpg6"/>
                                    <pic:cNvPicPr>
                                      <a:picLocks noChangeAspect="1"/>
                                    </pic:cNvPicPr>
                                  </pic:nvPicPr>
                                  <pic:blipFill>
                                    <a:blip r:embed="rId30"/>
                                    <a:srcRect/>
                                    <a:stretch>
                                      <a:fillRect/>
                                    </a:stretch>
                                  </pic:blipFill>
                                  <pic:spPr>
                                    <a:xfrm>
                                      <a:off x="0" y="0"/>
                                      <a:ext cx="2125980" cy="1594485"/>
                                    </a:xfrm>
                                    <a:prstGeom prst="rect">
                                      <a:avLst/>
                                    </a:prstGeom>
                                  </pic:spPr>
                                </pic:pic>
                              </a:graphicData>
                            </a:graphic>
                          </wp:inline>
                        </w:drawing>
                      </w:r>
                    </w:p>
                  </w:txbxContent>
                </v:textbox>
                <w10:wrap type="none"/>
                <w10:anchorlock/>
              </v:shape>
            </w:pict>
          </mc:Fallback>
        </mc:AlternateContent>
      </w:r>
    </w:p>
    <w:p>
      <w:pPr>
        <w:tabs>
          <w:tab w:val="center" w:pos="4620"/>
        </w:tabs>
        <w:ind w:firstLine="420" w:firstLineChars="200"/>
        <w:rPr>
          <w:rFonts w:ascii="Arial" w:hAnsi="Arial" w:cs="Arial"/>
          <w:kern w:val="44"/>
          <w:sz w:val="21"/>
          <w:szCs w:val="21"/>
        </w:rPr>
      </w:pPr>
      <w:r>
        <w:rPr>
          <w:rFonts w:hint="eastAsia" w:ascii="Arial" w:hAnsi="Arial" w:cs="Arial"/>
          <w:kern w:val="44"/>
          <w:sz w:val="21"/>
          <w:szCs w:val="21"/>
        </w:rPr>
        <w:t>5.云锦一期5#楼14层底板施工                  6.云锦一期6#楼11层底板施工</w:t>
      </w:r>
    </w:p>
    <w:p>
      <w:pPr>
        <w:tabs>
          <w:tab w:val="center" w:pos="4620"/>
        </w:tabs>
        <w:ind w:firstLine="480" w:firstLineChars="200"/>
        <w:rPr>
          <w:rFonts w:ascii="Arial" w:hAnsi="Arial" w:cs="Arial"/>
        </w:rPr>
      </w:pPr>
      <w:r>
        <w:rPr>
          <w:rFonts w:ascii="Arial" w:hAnsi="Arial" w:cs="Arial"/>
        </w:rPr>
        <mc:AlternateContent>
          <mc:Choice Requires="wps">
            <w:drawing>
              <wp:inline distT="0" distB="0" distL="0" distR="0">
                <wp:extent cx="2324100" cy="1713865"/>
                <wp:effectExtent l="4445" t="4445" r="18415" b="19050"/>
                <wp:docPr id="24"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rPr>
                                <w:rFonts w:hint="eastAsia"/>
                              </w:rPr>
                              <w:drawing>
                                <wp:inline distT="0" distB="0" distL="114300" distR="114300">
                                  <wp:extent cx="2125980" cy="1594485"/>
                                  <wp:effectExtent l="0" t="0" r="7620" b="5715"/>
                                  <wp:docPr id="40" name="图片 40" descr="C:\Users\123\Desktop\一期\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123\Desktop\一期\7.jpg7"/>
                                          <pic:cNvPicPr>
                                            <a:picLocks noChangeAspect="1"/>
                                          </pic:cNvPicPr>
                                        </pic:nvPicPr>
                                        <pic:blipFill>
                                          <a:blip r:embed="rId31"/>
                                          <a:srcRect/>
                                          <a:stretch>
                                            <a:fillRect/>
                                          </a:stretch>
                                        </pic:blipFill>
                                        <pic:spPr>
                                          <a:xfrm>
                                            <a:off x="0" y="0"/>
                                            <a:ext cx="2125980" cy="15944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lvk9UAAAAFAQAADwAAAAAAAAABACAAAAAiAAAA&#10;ZHJzL2Rvd25yZXYueG1sUEsBAhQAFAAAAAgAh07iQLq8YkFDAgAAigQAAA4AAAAAAAAAAQAgAAAA&#10;JAEAAGRycy9lMm9Eb2MueG1sUEsFBgAAAAAGAAYAWQEAANkFAAAAAA==&#10;">
                <v:fill on="t" focussize="0,0"/>
                <v:stroke color="#000000" miterlimit="8" joinstyle="miter"/>
                <v:imagedata o:title=""/>
                <o:lock v:ext="edit" aspectratio="f"/>
                <v:textbox>
                  <w:txbxContent>
                    <w:p>
                      <w:r>
                        <w:rPr>
                          <w:rFonts w:hint="eastAsia"/>
                        </w:rPr>
                        <w:drawing>
                          <wp:inline distT="0" distB="0" distL="114300" distR="114300">
                            <wp:extent cx="2125980" cy="1594485"/>
                            <wp:effectExtent l="0" t="0" r="7620" b="5715"/>
                            <wp:docPr id="40" name="图片 40" descr="C:\Users\123\Desktop\一期\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123\Desktop\一期\7.jpg7"/>
                                    <pic:cNvPicPr>
                                      <a:picLocks noChangeAspect="1"/>
                                    </pic:cNvPicPr>
                                  </pic:nvPicPr>
                                  <pic:blipFill>
                                    <a:blip r:embed="rId31"/>
                                    <a:srcRect/>
                                    <a:stretch>
                                      <a:fillRect/>
                                    </a:stretch>
                                  </pic:blipFill>
                                  <pic:spPr>
                                    <a:xfrm>
                                      <a:off x="0" y="0"/>
                                      <a:ext cx="2125980" cy="1594485"/>
                                    </a:xfrm>
                                    <a:prstGeom prst="rect">
                                      <a:avLst/>
                                    </a:prstGeom>
                                  </pic:spPr>
                                </pic:pic>
                              </a:graphicData>
                            </a:graphic>
                          </wp:inline>
                        </w:drawing>
                      </w:r>
                    </w:p>
                  </w:txbxContent>
                </v:textbox>
                <w10:wrap type="none"/>
                <w10:anchorlock/>
              </v:shape>
            </w:pict>
          </mc:Fallback>
        </mc:AlternateContent>
      </w:r>
      <w:r>
        <w:rPr>
          <w:rFonts w:ascii="Arial" w:hAnsi="Arial" w:cs="Arial"/>
          <w:bCs/>
          <w:szCs w:val="21"/>
        </w:rPr>
        <w:tab/>
      </w:r>
      <w:r>
        <w:rPr>
          <w:rFonts w:ascii="Arial" w:hAnsi="Arial" w:cs="Arial"/>
          <w:bCs/>
          <w:szCs w:val="21"/>
        </w:rPr>
        <w:t xml:space="preserve">        </w:t>
      </w:r>
      <w:r>
        <w:rPr>
          <w:rFonts w:ascii="Arial" w:hAnsi="Arial" w:cs="Arial"/>
        </w:rPr>
        <mc:AlternateContent>
          <mc:Choice Requires="wps">
            <w:drawing>
              <wp:inline distT="0" distB="0" distL="0" distR="0">
                <wp:extent cx="2324100" cy="1713865"/>
                <wp:effectExtent l="4445" t="4445" r="18415" b="19050"/>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rPr>
                                <w:rFonts w:hint="eastAsia"/>
                              </w:rPr>
                              <w:drawing>
                                <wp:inline distT="0" distB="0" distL="114300" distR="114300">
                                  <wp:extent cx="2125980" cy="1594485"/>
                                  <wp:effectExtent l="0" t="0" r="7620" b="5715"/>
                                  <wp:docPr id="44" name="图片 44" descr="C:\Users\123\Desktop\一期\二.jpg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123\Desktop\一期\二.jpg二"/>
                                          <pic:cNvPicPr>
                                            <a:picLocks noChangeAspect="1"/>
                                          </pic:cNvPicPr>
                                        </pic:nvPicPr>
                                        <pic:blipFill>
                                          <a:blip r:embed="rId32"/>
                                          <a:srcRect/>
                                          <a:stretch>
                                            <a:fillRect/>
                                          </a:stretch>
                                        </pic:blipFill>
                                        <pic:spPr>
                                          <a:xfrm>
                                            <a:off x="0" y="0"/>
                                            <a:ext cx="2125980" cy="15944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&#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kc8ARkICAACIBAAADgAAAAAAAAABACAAAAAk&#10;AQAAZHJzL2Uyb0RvYy54bWxQSwUGAAAAAAYABgBZAQAA2AUAAAAA&#10;">
                <v:fill on="t" focussize="0,0"/>
                <v:stroke color="#000000" miterlimit="8" joinstyle="miter"/>
                <v:imagedata o:title=""/>
                <o:lock v:ext="edit" aspectratio="f"/>
                <v:textbox>
                  <w:txbxContent>
                    <w:p>
                      <w:r>
                        <w:rPr>
                          <w:rFonts w:hint="eastAsia"/>
                        </w:rPr>
                        <w:drawing>
                          <wp:inline distT="0" distB="0" distL="114300" distR="114300">
                            <wp:extent cx="2125980" cy="1594485"/>
                            <wp:effectExtent l="0" t="0" r="7620" b="5715"/>
                            <wp:docPr id="44" name="图片 44" descr="C:\Users\123\Desktop\一期\二.jpg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123\Desktop\一期\二.jpg二"/>
                                    <pic:cNvPicPr>
                                      <a:picLocks noChangeAspect="1"/>
                                    </pic:cNvPicPr>
                                  </pic:nvPicPr>
                                  <pic:blipFill>
                                    <a:blip r:embed="rId32"/>
                                    <a:srcRect/>
                                    <a:stretch>
                                      <a:fillRect/>
                                    </a:stretch>
                                  </pic:blipFill>
                                  <pic:spPr>
                                    <a:xfrm>
                                      <a:off x="0" y="0"/>
                                      <a:ext cx="2125980" cy="1594485"/>
                                    </a:xfrm>
                                    <a:prstGeom prst="rect">
                                      <a:avLst/>
                                    </a:prstGeom>
                                  </pic:spPr>
                                </pic:pic>
                              </a:graphicData>
                            </a:graphic>
                          </wp:inline>
                        </w:drawing>
                      </w:r>
                    </w:p>
                  </w:txbxContent>
                </v:textbox>
                <w10:wrap type="none"/>
                <w10:anchorlock/>
              </v:shape>
            </w:pict>
          </mc:Fallback>
        </mc:AlternateContent>
      </w:r>
    </w:p>
    <w:p>
      <w:pPr>
        <w:tabs>
          <w:tab w:val="center" w:pos="4620"/>
        </w:tabs>
        <w:ind w:firstLine="420" w:firstLineChars="200"/>
        <w:rPr>
          <w:rFonts w:ascii="Arial" w:hAnsi="Arial" w:cs="Arial"/>
          <w:kern w:val="44"/>
          <w:sz w:val="21"/>
          <w:szCs w:val="21"/>
        </w:rPr>
      </w:pPr>
      <w:r>
        <w:rPr>
          <w:rFonts w:hint="eastAsia" w:ascii="Arial" w:hAnsi="Arial" w:cs="Arial"/>
          <w:kern w:val="44"/>
          <w:sz w:val="21"/>
          <w:szCs w:val="21"/>
        </w:rPr>
        <w:t>7.云锦一期7#楼4层底板施工                  8.云锦二期</w:t>
      </w:r>
    </w:p>
    <w:p>
      <w:pPr>
        <w:tabs>
          <w:tab w:val="center" w:pos="4620"/>
        </w:tabs>
        <w:ind w:firstLine="480" w:firstLineChars="200"/>
        <w:rPr>
          <w:rFonts w:ascii="Arial" w:hAnsi="Arial" w:cs="Arial"/>
        </w:rPr>
      </w:pPr>
      <w:r>
        <w:rPr>
          <w:rFonts w:ascii="Arial" w:hAnsi="Arial" w:cs="Arial"/>
        </w:rPr>
        <mc:AlternateContent>
          <mc:Choice Requires="wps">
            <w:drawing>
              <wp:inline distT="0" distB="0" distL="0" distR="0">
                <wp:extent cx="2324100" cy="1713865"/>
                <wp:effectExtent l="4445" t="4445" r="18415" b="19050"/>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rPr>
                                <w:rFonts w:hint="eastAsia"/>
                              </w:rPr>
                              <w:drawing>
                                <wp:inline distT="0" distB="0" distL="114300" distR="114300">
                                  <wp:extent cx="2125980" cy="1594485"/>
                                  <wp:effectExtent l="0" t="0" r="7620" b="5715"/>
                                  <wp:docPr id="46" name="图片 46" descr="C:\Users\123\Desktop\一期\三.jpg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123\Desktop\一期\三.jpg三"/>
                                          <pic:cNvPicPr>
                                            <a:picLocks noChangeAspect="1"/>
                                          </pic:cNvPicPr>
                                        </pic:nvPicPr>
                                        <pic:blipFill>
                                          <a:blip r:embed="rId33"/>
                                          <a:srcRect/>
                                          <a:stretch>
                                            <a:fillRect/>
                                          </a:stretch>
                                        </pic:blipFill>
                                        <pic:spPr>
                                          <a:xfrm>
                                            <a:off x="0" y="0"/>
                                            <a:ext cx="2125980" cy="15944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&#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yTKwQ0ICAACIBAAADgAAAAAAAAABACAAAAAk&#10;AQAAZHJzL2Uyb0RvYy54bWxQSwUGAAAAAAYABgBZAQAA2AUAAAAA&#10;">
                <v:fill on="t" focussize="0,0"/>
                <v:stroke color="#000000" miterlimit="8" joinstyle="miter"/>
                <v:imagedata o:title=""/>
                <o:lock v:ext="edit" aspectratio="f"/>
                <v:textbox>
                  <w:txbxContent>
                    <w:p>
                      <w:r>
                        <w:rPr>
                          <w:rFonts w:hint="eastAsia"/>
                        </w:rPr>
                        <w:drawing>
                          <wp:inline distT="0" distB="0" distL="114300" distR="114300">
                            <wp:extent cx="2125980" cy="1594485"/>
                            <wp:effectExtent l="0" t="0" r="7620" b="5715"/>
                            <wp:docPr id="46" name="图片 46" descr="C:\Users\123\Desktop\一期\三.jpg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123\Desktop\一期\三.jpg三"/>
                                    <pic:cNvPicPr>
                                      <a:picLocks noChangeAspect="1"/>
                                    </pic:cNvPicPr>
                                  </pic:nvPicPr>
                                  <pic:blipFill>
                                    <a:blip r:embed="rId33"/>
                                    <a:srcRect/>
                                    <a:stretch>
                                      <a:fillRect/>
                                    </a:stretch>
                                  </pic:blipFill>
                                  <pic:spPr>
                                    <a:xfrm>
                                      <a:off x="0" y="0"/>
                                      <a:ext cx="2125980" cy="1594485"/>
                                    </a:xfrm>
                                    <a:prstGeom prst="rect">
                                      <a:avLst/>
                                    </a:prstGeom>
                                  </pic:spPr>
                                </pic:pic>
                              </a:graphicData>
                            </a:graphic>
                          </wp:inline>
                        </w:drawing>
                      </w:r>
                    </w:p>
                  </w:txbxContent>
                </v:textbox>
                <w10:wrap type="none"/>
                <w10:anchorlock/>
              </v:shape>
            </w:pict>
          </mc:Fallback>
        </mc:AlternateContent>
      </w:r>
      <w:r>
        <w:rPr>
          <w:rFonts w:ascii="Arial" w:hAnsi="Arial" w:cs="Arial"/>
          <w:bCs/>
          <w:szCs w:val="21"/>
        </w:rPr>
        <w:tab/>
      </w:r>
      <w:r>
        <w:rPr>
          <w:rFonts w:ascii="Arial" w:hAnsi="Arial" w:cs="Arial"/>
          <w:bCs/>
          <w:szCs w:val="21"/>
        </w:rPr>
        <w:t xml:space="preserve">        </w:t>
      </w:r>
      <w:r>
        <w:rPr>
          <w:rFonts w:ascii="Arial" w:hAnsi="Arial" w:cs="Arial"/>
        </w:rPr>
        <mc:AlternateContent>
          <mc:Choice Requires="wps">
            <w:drawing>
              <wp:inline distT="0" distB="0" distL="0" distR="0">
                <wp:extent cx="2324100" cy="1713865"/>
                <wp:effectExtent l="4445" t="4445" r="18415" b="19050"/>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rPr>
                                <w:rFonts w:hint="eastAsia"/>
                              </w:rPr>
                              <w:drawing>
                                <wp:inline distT="0" distB="0" distL="114300" distR="114300">
                                  <wp:extent cx="2125980" cy="1594485"/>
                                  <wp:effectExtent l="0" t="0" r="7620" b="5715"/>
                                  <wp:docPr id="45" name="图片 45" descr="C:\Users\123\Desktop\一期\微信图片_202107021543596.jpg微信图片_20210702154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123\Desktop\一期\微信图片_202107021543596.jpg微信图片_202107021543596"/>
                                          <pic:cNvPicPr>
                                            <a:picLocks noChangeAspect="1"/>
                                          </pic:cNvPicPr>
                                        </pic:nvPicPr>
                                        <pic:blipFill>
                                          <a:blip r:embed="rId34"/>
                                          <a:srcRect/>
                                          <a:stretch>
                                            <a:fillRect/>
                                          </a:stretch>
                                        </pic:blipFill>
                                        <pic:spPr>
                                          <a:xfrm>
                                            <a:off x="0" y="0"/>
                                            <a:ext cx="2125980" cy="15944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&#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PmQP9kICAACIBAAADgAAAAAAAAABACAAAAAk&#10;AQAAZHJzL2Uyb0RvYy54bWxQSwUGAAAAAAYABgBZAQAA2AUAAAAA&#10;">
                <v:fill on="t" focussize="0,0"/>
                <v:stroke color="#000000" miterlimit="8" joinstyle="miter"/>
                <v:imagedata o:title=""/>
                <o:lock v:ext="edit" aspectratio="f"/>
                <v:textbox>
                  <w:txbxContent>
                    <w:p>
                      <w:r>
                        <w:rPr>
                          <w:rFonts w:hint="eastAsia"/>
                        </w:rPr>
                        <w:drawing>
                          <wp:inline distT="0" distB="0" distL="114300" distR="114300">
                            <wp:extent cx="2125980" cy="1594485"/>
                            <wp:effectExtent l="0" t="0" r="7620" b="5715"/>
                            <wp:docPr id="45" name="图片 45" descr="C:\Users\123\Desktop\一期\微信图片_202107021543596.jpg微信图片_20210702154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123\Desktop\一期\微信图片_202107021543596.jpg微信图片_202107021543596"/>
                                    <pic:cNvPicPr>
                                      <a:picLocks noChangeAspect="1"/>
                                    </pic:cNvPicPr>
                                  </pic:nvPicPr>
                                  <pic:blipFill>
                                    <a:blip r:embed="rId34"/>
                                    <a:srcRect/>
                                    <a:stretch>
                                      <a:fillRect/>
                                    </a:stretch>
                                  </pic:blipFill>
                                  <pic:spPr>
                                    <a:xfrm>
                                      <a:off x="0" y="0"/>
                                      <a:ext cx="2125980" cy="1594485"/>
                                    </a:xfrm>
                                    <a:prstGeom prst="rect">
                                      <a:avLst/>
                                    </a:prstGeom>
                                  </pic:spPr>
                                </pic:pic>
                              </a:graphicData>
                            </a:graphic>
                          </wp:inline>
                        </w:drawing>
                      </w:r>
                    </w:p>
                  </w:txbxContent>
                </v:textbox>
                <w10:wrap type="none"/>
                <w10:anchorlock/>
              </v:shape>
            </w:pict>
          </mc:Fallback>
        </mc:AlternateContent>
      </w:r>
    </w:p>
    <w:p>
      <w:pPr>
        <w:tabs>
          <w:tab w:val="center" w:pos="4620"/>
        </w:tabs>
        <w:ind w:firstLine="420" w:firstLineChars="200"/>
        <w:rPr>
          <w:rFonts w:ascii="Arial" w:hAnsi="Arial" w:cs="Arial"/>
          <w:kern w:val="44"/>
          <w:sz w:val="21"/>
          <w:szCs w:val="21"/>
        </w:rPr>
      </w:pPr>
      <w:r>
        <w:rPr>
          <w:rFonts w:hint="eastAsia" w:ascii="Arial" w:hAnsi="Arial" w:cs="Arial"/>
          <w:kern w:val="44"/>
          <w:sz w:val="21"/>
          <w:szCs w:val="21"/>
        </w:rPr>
        <w:t>9.云锦三期                                   10.售楼部</w:t>
      </w:r>
    </w:p>
    <w:p>
      <w:pPr>
        <w:tabs>
          <w:tab w:val="center" w:pos="4620"/>
        </w:tabs>
        <w:ind w:firstLine="480" w:firstLineChars="200"/>
        <w:rPr>
          <w:rFonts w:ascii="Arial" w:hAnsi="Arial" w:cs="Arial"/>
        </w:rPr>
      </w:pPr>
      <w:r>
        <w:rPr>
          <w:rFonts w:ascii="Arial" w:hAnsi="Arial" w:cs="Arial"/>
        </w:rPr>
        <mc:AlternateContent>
          <mc:Choice Requires="wps">
            <w:drawing>
              <wp:inline distT="0" distB="0" distL="0" distR="0">
                <wp:extent cx="2324100" cy="1713865"/>
                <wp:effectExtent l="4445" t="4445" r="18415" b="19050"/>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rPr>
                                <w:rFonts w:hint="eastAsia"/>
                              </w:rPr>
                              <w:drawing>
                                <wp:inline distT="0" distB="0" distL="114300" distR="114300">
                                  <wp:extent cx="2125980" cy="1594485"/>
                                  <wp:effectExtent l="0" t="0" r="7620" b="5715"/>
                                  <wp:docPr id="47" name="图片 47" descr="C:\Users\123\Desktop\一期\微信图片_202107021543595.jpg微信图片_20210702154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123\Desktop\一期\微信图片_202107021543595.jpg微信图片_202107021543595"/>
                                          <pic:cNvPicPr>
                                            <a:picLocks noChangeAspect="1"/>
                                          </pic:cNvPicPr>
                                        </pic:nvPicPr>
                                        <pic:blipFill>
                                          <a:blip r:embed="rId35"/>
                                          <a:srcRect/>
                                          <a:stretch>
                                            <a:fillRect/>
                                          </a:stretch>
                                        </pic:blipFill>
                                        <pic:spPr>
                                          <a:xfrm>
                                            <a:off x="0" y="0"/>
                                            <a:ext cx="2125980" cy="15944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&#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8TrDUEICAACIBAAADgAAAAAAAAABACAAAAAk&#10;AQAAZHJzL2Uyb0RvYy54bWxQSwUGAAAAAAYABgBZAQAA2AUAAAAA&#10;">
                <v:fill on="t" focussize="0,0"/>
                <v:stroke color="#000000" miterlimit="8" joinstyle="miter"/>
                <v:imagedata o:title=""/>
                <o:lock v:ext="edit" aspectratio="f"/>
                <v:textbox>
                  <w:txbxContent>
                    <w:p>
                      <w:r>
                        <w:rPr>
                          <w:rFonts w:hint="eastAsia"/>
                        </w:rPr>
                        <w:drawing>
                          <wp:inline distT="0" distB="0" distL="114300" distR="114300">
                            <wp:extent cx="2125980" cy="1594485"/>
                            <wp:effectExtent l="0" t="0" r="7620" b="5715"/>
                            <wp:docPr id="47" name="图片 47" descr="C:\Users\123\Desktop\一期\微信图片_202107021543595.jpg微信图片_20210702154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123\Desktop\一期\微信图片_202107021543595.jpg微信图片_202107021543595"/>
                                    <pic:cNvPicPr>
                                      <a:picLocks noChangeAspect="1"/>
                                    </pic:cNvPicPr>
                                  </pic:nvPicPr>
                                  <pic:blipFill>
                                    <a:blip r:embed="rId35"/>
                                    <a:srcRect/>
                                    <a:stretch>
                                      <a:fillRect/>
                                    </a:stretch>
                                  </pic:blipFill>
                                  <pic:spPr>
                                    <a:xfrm>
                                      <a:off x="0" y="0"/>
                                      <a:ext cx="2125980" cy="1594485"/>
                                    </a:xfrm>
                                    <a:prstGeom prst="rect">
                                      <a:avLst/>
                                    </a:prstGeom>
                                  </pic:spPr>
                                </pic:pic>
                              </a:graphicData>
                            </a:graphic>
                          </wp:inline>
                        </w:drawing>
                      </w:r>
                    </w:p>
                  </w:txbxContent>
                </v:textbox>
                <w10:wrap type="none"/>
                <w10:anchorlock/>
              </v:shape>
            </w:pict>
          </mc:Fallback>
        </mc:AlternateContent>
      </w:r>
      <w:r>
        <w:rPr>
          <w:rFonts w:ascii="Arial" w:hAnsi="Arial" w:cs="Arial"/>
          <w:bCs/>
          <w:szCs w:val="21"/>
        </w:rPr>
        <w:tab/>
      </w:r>
      <w:r>
        <w:rPr>
          <w:rFonts w:ascii="Arial" w:hAnsi="Arial" w:cs="Arial"/>
          <w:bCs/>
          <w:szCs w:val="21"/>
        </w:rPr>
        <w:t xml:space="preserve">   </w:t>
      </w:r>
    </w:p>
    <w:p>
      <w:pPr>
        <w:tabs>
          <w:tab w:val="center" w:pos="4620"/>
        </w:tabs>
        <w:ind w:firstLine="420" w:firstLineChars="200"/>
        <w:rPr>
          <w:rFonts w:ascii="Arial" w:hAnsi="Arial" w:cs="Arial"/>
        </w:rPr>
      </w:pPr>
      <w:r>
        <w:rPr>
          <w:rFonts w:hint="eastAsia" w:ascii="Arial" w:hAnsi="Arial" w:cs="Arial"/>
          <w:kern w:val="44"/>
          <w:sz w:val="21"/>
          <w:szCs w:val="21"/>
        </w:rPr>
        <w:t xml:space="preserve">11.样板房    </w:t>
      </w:r>
      <w:r>
        <w:rPr>
          <w:rFonts w:ascii="Arial" w:hAnsi="Arial" w:cs="Arial"/>
        </w:rPr>
        <w:t xml:space="preserve">                        </w:t>
      </w:r>
    </w:p>
    <w:p>
      <w:pPr>
        <w:rPr>
          <w:rFonts w:ascii="Arial" w:hAnsi="Arial" w:cs="Arial"/>
          <w:kern w:val="44"/>
          <w:sz w:val="21"/>
          <w:szCs w:val="21"/>
        </w:rPr>
      </w:pPr>
      <w:r>
        <w:rPr>
          <w:rFonts w:hint="eastAsia" w:ascii="Arial" w:hAnsi="Arial" w:cs="Arial"/>
          <w:kern w:val="44"/>
          <w:sz w:val="21"/>
          <w:szCs w:val="21"/>
        </w:rPr>
        <w:br w:type="page"/>
      </w:r>
    </w:p>
    <w:p>
      <w:pPr>
        <w:widowControl w:val="0"/>
        <w:spacing w:line="480" w:lineRule="auto"/>
        <w:rPr>
          <w:rFonts w:ascii="Arial" w:hAnsi="Arial" w:cs="Arial"/>
          <w:kern w:val="44"/>
          <w:sz w:val="21"/>
          <w:szCs w:val="21"/>
        </w:rPr>
      </w:pPr>
      <w:r>
        <w:rPr>
          <w:rFonts w:hint="eastAsia" w:ascii="Arial" w:hAnsi="Arial" w:cs="Arial"/>
          <w:kern w:val="44"/>
          <w:sz w:val="21"/>
          <w:szCs w:val="21"/>
        </w:rPr>
        <w:t>附件七：</w:t>
      </w:r>
    </w:p>
    <w:p>
      <w:pPr>
        <w:pStyle w:val="2"/>
        <w:ind w:firstLine="0" w:firstLineChars="0"/>
        <w:rPr>
          <w:rFonts w:ascii="Arial" w:hAnsi="Arial" w:cs="Arial"/>
          <w:kern w:val="44"/>
          <w:szCs w:val="21"/>
        </w:rPr>
      </w:pPr>
      <w:r>
        <w:rPr>
          <w:rFonts w:hint="eastAsia" w:ascii="Arial" w:hAnsi="Arial" w:cs="Arial"/>
          <w:kern w:val="44"/>
          <w:szCs w:val="21"/>
        </w:rPr>
        <w:t>成都信茂涵中信银行泸州分行U盾交接单</w:t>
      </w:r>
    </w:p>
    <w:p>
      <w:pPr>
        <w:pStyle w:val="2"/>
        <w:ind w:firstLine="0" w:firstLineChars="0"/>
      </w:pPr>
      <w:r>
        <w:rPr>
          <w:rFonts w:hint="eastAsia"/>
        </w:rPr>
        <w:t xml:space="preserve">   </w:t>
      </w:r>
      <w:r>
        <w:rPr>
          <w:rFonts w:hint="eastAsia"/>
        </w:rPr>
        <w:drawing>
          <wp:inline distT="0" distB="0" distL="114300" distR="114300">
            <wp:extent cx="6092190" cy="3565525"/>
            <wp:effectExtent l="0" t="0" r="3810" b="635"/>
            <wp:docPr id="1" name="图片 1" descr="C:\Users\123\Desktop\一期\lADPDgQ9x6AOaHXNC5zNCBA_2064_2972.jpglADPDgQ9x6AOaHXNC5zNCBA_2064_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23\Desktop\一期\lADPDgQ9x6AOaHXNC5zNCBA_2064_2972.jpglADPDgQ9x6AOaHXNC5zNCBA_2064_2972"/>
                    <pic:cNvPicPr>
                      <a:picLocks noChangeAspect="1"/>
                    </pic:cNvPicPr>
                  </pic:nvPicPr>
                  <pic:blipFill>
                    <a:blip r:embed="rId36"/>
                    <a:srcRect/>
                    <a:stretch>
                      <a:fillRect/>
                    </a:stretch>
                  </pic:blipFill>
                  <pic:spPr>
                    <a:xfrm>
                      <a:off x="0" y="0"/>
                      <a:ext cx="6092190" cy="3565525"/>
                    </a:xfrm>
                    <a:prstGeom prst="rect">
                      <a:avLst/>
                    </a:prstGeom>
                  </pic:spPr>
                </pic:pic>
              </a:graphicData>
            </a:graphic>
          </wp:inline>
        </w:drawing>
      </w:r>
      <w:r>
        <w:rPr>
          <w:rFonts w:hint="eastAsia"/>
        </w:rPr>
        <w:t xml:space="preserve">     </w:t>
      </w:r>
    </w:p>
    <w:p>
      <w:pPr>
        <w:pStyle w:val="2"/>
        <w:ind w:firstLine="0" w:firstLineChars="0"/>
        <w:rPr>
          <w:rFonts w:ascii="Arial" w:hAnsi="Arial" w:cs="Arial"/>
          <w:kern w:val="44"/>
          <w:szCs w:val="21"/>
        </w:rPr>
      </w:pPr>
      <w:bookmarkStart w:id="100" w:name="_Toc27129"/>
    </w:p>
    <w:p>
      <w:pPr>
        <w:pStyle w:val="2"/>
        <w:ind w:firstLine="0" w:firstLineChars="0"/>
        <w:rPr>
          <w:rFonts w:ascii="Arial" w:hAnsi="Arial" w:cs="Arial"/>
          <w:kern w:val="44"/>
          <w:szCs w:val="21"/>
        </w:rPr>
      </w:pPr>
      <w:r>
        <w:rPr>
          <w:rFonts w:hint="eastAsia" w:ascii="Arial" w:hAnsi="Arial" w:cs="Arial"/>
          <w:kern w:val="44"/>
          <w:szCs w:val="21"/>
        </w:rPr>
        <w:t>信茂涵成都农商行U盾交接单</w:t>
      </w:r>
      <w:bookmarkEnd w:id="100"/>
    </w:p>
    <w:p>
      <w:pPr>
        <w:pStyle w:val="2"/>
        <w:ind w:firstLine="0" w:firstLineChars="0"/>
        <w:rPr>
          <w:rFonts w:ascii="Arial" w:hAnsi="Arial" w:cs="Arial"/>
          <w:kern w:val="44"/>
          <w:szCs w:val="21"/>
        </w:rPr>
      </w:pPr>
    </w:p>
    <w:p>
      <w:pPr>
        <w:pStyle w:val="2"/>
        <w:ind w:firstLine="0" w:firstLineChars="0"/>
      </w:pPr>
      <w:r>
        <w:rPr>
          <w:rFonts w:hint="eastAsia" w:ascii="宋体" w:hAnsi="宋体" w:cs="宋体"/>
          <w:b/>
          <w:bCs/>
          <w:sz w:val="24"/>
        </w:rPr>
        <w:drawing>
          <wp:inline distT="0" distB="0" distL="114300" distR="114300">
            <wp:extent cx="6097905" cy="3799205"/>
            <wp:effectExtent l="0" t="0" r="13335" b="10795"/>
            <wp:docPr id="3" name="图片 3" descr="信茂涵u盾交接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茂涵u盾交接清单"/>
                    <pic:cNvPicPr>
                      <a:picLocks noChangeAspect="1"/>
                    </pic:cNvPicPr>
                  </pic:nvPicPr>
                  <pic:blipFill>
                    <a:blip r:embed="rId37"/>
                    <a:stretch>
                      <a:fillRect/>
                    </a:stretch>
                  </pic:blipFill>
                  <pic:spPr>
                    <a:xfrm>
                      <a:off x="0" y="0"/>
                      <a:ext cx="6097905" cy="3799205"/>
                    </a:xfrm>
                    <a:prstGeom prst="rect">
                      <a:avLst/>
                    </a:prstGeom>
                  </pic:spPr>
                </pic:pic>
              </a:graphicData>
            </a:graphic>
          </wp:inline>
        </w:drawing>
      </w: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907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7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9866DD"/>
    <w:multiLevelType w:val="singleLevel"/>
    <w:tmpl w:val="599866DD"/>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FDC"/>
    <w:rsid w:val="00003367"/>
    <w:rsid w:val="000252A7"/>
    <w:rsid w:val="0003235F"/>
    <w:rsid w:val="00052759"/>
    <w:rsid w:val="00090B71"/>
    <w:rsid w:val="000A629C"/>
    <w:rsid w:val="000C3169"/>
    <w:rsid w:val="00102B4E"/>
    <w:rsid w:val="0011094E"/>
    <w:rsid w:val="00114E49"/>
    <w:rsid w:val="001237D3"/>
    <w:rsid w:val="00152CCA"/>
    <w:rsid w:val="00183D43"/>
    <w:rsid w:val="001C71AD"/>
    <w:rsid w:val="001D1B16"/>
    <w:rsid w:val="001E748E"/>
    <w:rsid w:val="00222026"/>
    <w:rsid w:val="0026001F"/>
    <w:rsid w:val="00282FD2"/>
    <w:rsid w:val="002856DE"/>
    <w:rsid w:val="00291EFD"/>
    <w:rsid w:val="002B7F0C"/>
    <w:rsid w:val="002C403A"/>
    <w:rsid w:val="002F1D7D"/>
    <w:rsid w:val="002F3803"/>
    <w:rsid w:val="00313538"/>
    <w:rsid w:val="00317802"/>
    <w:rsid w:val="003308FF"/>
    <w:rsid w:val="0033333F"/>
    <w:rsid w:val="00334F24"/>
    <w:rsid w:val="00342ED6"/>
    <w:rsid w:val="0035478D"/>
    <w:rsid w:val="00381641"/>
    <w:rsid w:val="00387637"/>
    <w:rsid w:val="00397771"/>
    <w:rsid w:val="003B1A47"/>
    <w:rsid w:val="003B600D"/>
    <w:rsid w:val="003C601A"/>
    <w:rsid w:val="003E4059"/>
    <w:rsid w:val="004014B4"/>
    <w:rsid w:val="0041177E"/>
    <w:rsid w:val="00441481"/>
    <w:rsid w:val="0046130C"/>
    <w:rsid w:val="00473296"/>
    <w:rsid w:val="00473ED2"/>
    <w:rsid w:val="00475AD3"/>
    <w:rsid w:val="00476B31"/>
    <w:rsid w:val="00477DA1"/>
    <w:rsid w:val="004853B4"/>
    <w:rsid w:val="004B1192"/>
    <w:rsid w:val="004C5192"/>
    <w:rsid w:val="004E1353"/>
    <w:rsid w:val="00511ADB"/>
    <w:rsid w:val="00522788"/>
    <w:rsid w:val="00543C4D"/>
    <w:rsid w:val="005657BD"/>
    <w:rsid w:val="0056688A"/>
    <w:rsid w:val="005A3B1B"/>
    <w:rsid w:val="005A4DA3"/>
    <w:rsid w:val="005C42DD"/>
    <w:rsid w:val="005D348D"/>
    <w:rsid w:val="005E650E"/>
    <w:rsid w:val="00601672"/>
    <w:rsid w:val="00603042"/>
    <w:rsid w:val="00606EA7"/>
    <w:rsid w:val="00607BEB"/>
    <w:rsid w:val="00610720"/>
    <w:rsid w:val="006164B1"/>
    <w:rsid w:val="00616C0A"/>
    <w:rsid w:val="006229BF"/>
    <w:rsid w:val="00637ECB"/>
    <w:rsid w:val="0064598C"/>
    <w:rsid w:val="0065281F"/>
    <w:rsid w:val="00652BC8"/>
    <w:rsid w:val="00660BF5"/>
    <w:rsid w:val="00662F07"/>
    <w:rsid w:val="006704F1"/>
    <w:rsid w:val="00674542"/>
    <w:rsid w:val="006847DC"/>
    <w:rsid w:val="006963E3"/>
    <w:rsid w:val="006A2323"/>
    <w:rsid w:val="006C5E9B"/>
    <w:rsid w:val="006C613B"/>
    <w:rsid w:val="00713F47"/>
    <w:rsid w:val="00761FE0"/>
    <w:rsid w:val="00766504"/>
    <w:rsid w:val="00794EC9"/>
    <w:rsid w:val="007C4BA4"/>
    <w:rsid w:val="007F6FBE"/>
    <w:rsid w:val="0080739F"/>
    <w:rsid w:val="008079BC"/>
    <w:rsid w:val="008401A8"/>
    <w:rsid w:val="00844B5B"/>
    <w:rsid w:val="00846A9E"/>
    <w:rsid w:val="00860CC9"/>
    <w:rsid w:val="00864D4E"/>
    <w:rsid w:val="00866C73"/>
    <w:rsid w:val="008672A6"/>
    <w:rsid w:val="0087446D"/>
    <w:rsid w:val="00891370"/>
    <w:rsid w:val="008B3700"/>
    <w:rsid w:val="008B41E2"/>
    <w:rsid w:val="008B6EB0"/>
    <w:rsid w:val="008C70CF"/>
    <w:rsid w:val="008E0555"/>
    <w:rsid w:val="008E0A62"/>
    <w:rsid w:val="008E20FE"/>
    <w:rsid w:val="008E6DB1"/>
    <w:rsid w:val="008F2025"/>
    <w:rsid w:val="00905E63"/>
    <w:rsid w:val="0090612A"/>
    <w:rsid w:val="00907466"/>
    <w:rsid w:val="00914F40"/>
    <w:rsid w:val="00915AED"/>
    <w:rsid w:val="00921108"/>
    <w:rsid w:val="00926D88"/>
    <w:rsid w:val="00947EA5"/>
    <w:rsid w:val="00956A89"/>
    <w:rsid w:val="00990D31"/>
    <w:rsid w:val="00994BB8"/>
    <w:rsid w:val="009B685B"/>
    <w:rsid w:val="009C13D1"/>
    <w:rsid w:val="009D458D"/>
    <w:rsid w:val="009E0FDC"/>
    <w:rsid w:val="009F078E"/>
    <w:rsid w:val="00A054C0"/>
    <w:rsid w:val="00A55650"/>
    <w:rsid w:val="00A6162F"/>
    <w:rsid w:val="00A6705E"/>
    <w:rsid w:val="00A73F59"/>
    <w:rsid w:val="00AB5C68"/>
    <w:rsid w:val="00AD1878"/>
    <w:rsid w:val="00AD6343"/>
    <w:rsid w:val="00AE195E"/>
    <w:rsid w:val="00AE3135"/>
    <w:rsid w:val="00AE3677"/>
    <w:rsid w:val="00AE646B"/>
    <w:rsid w:val="00AF3DF8"/>
    <w:rsid w:val="00AF4593"/>
    <w:rsid w:val="00AF58A2"/>
    <w:rsid w:val="00B54A71"/>
    <w:rsid w:val="00B6416F"/>
    <w:rsid w:val="00B72278"/>
    <w:rsid w:val="00B74200"/>
    <w:rsid w:val="00BA1137"/>
    <w:rsid w:val="00BA5A03"/>
    <w:rsid w:val="00BA72BE"/>
    <w:rsid w:val="00BC0026"/>
    <w:rsid w:val="00BD0FCB"/>
    <w:rsid w:val="00BE6C21"/>
    <w:rsid w:val="00BF61A2"/>
    <w:rsid w:val="00C10911"/>
    <w:rsid w:val="00C15C6D"/>
    <w:rsid w:val="00C2430B"/>
    <w:rsid w:val="00C305B6"/>
    <w:rsid w:val="00C96D6C"/>
    <w:rsid w:val="00CA242F"/>
    <w:rsid w:val="00CB5CA5"/>
    <w:rsid w:val="00CF3408"/>
    <w:rsid w:val="00D02696"/>
    <w:rsid w:val="00D07237"/>
    <w:rsid w:val="00D25075"/>
    <w:rsid w:val="00D45062"/>
    <w:rsid w:val="00D50902"/>
    <w:rsid w:val="00D53117"/>
    <w:rsid w:val="00D63D1F"/>
    <w:rsid w:val="00D65551"/>
    <w:rsid w:val="00D9478F"/>
    <w:rsid w:val="00DB58EE"/>
    <w:rsid w:val="00DC1F2D"/>
    <w:rsid w:val="00DD59F6"/>
    <w:rsid w:val="00DD5DE4"/>
    <w:rsid w:val="00DE0DE4"/>
    <w:rsid w:val="00DE3673"/>
    <w:rsid w:val="00DF223A"/>
    <w:rsid w:val="00DF49B8"/>
    <w:rsid w:val="00E01F83"/>
    <w:rsid w:val="00E1167D"/>
    <w:rsid w:val="00E310A3"/>
    <w:rsid w:val="00E34CBC"/>
    <w:rsid w:val="00E371AE"/>
    <w:rsid w:val="00E46E8F"/>
    <w:rsid w:val="00E66DAB"/>
    <w:rsid w:val="00EA385C"/>
    <w:rsid w:val="00EA590D"/>
    <w:rsid w:val="00EC425F"/>
    <w:rsid w:val="00ED660A"/>
    <w:rsid w:val="00EE53AB"/>
    <w:rsid w:val="00EE6FE3"/>
    <w:rsid w:val="00EF4E53"/>
    <w:rsid w:val="00F22F01"/>
    <w:rsid w:val="00F370D6"/>
    <w:rsid w:val="00F45806"/>
    <w:rsid w:val="00F725DF"/>
    <w:rsid w:val="00F82E5D"/>
    <w:rsid w:val="00F9148E"/>
    <w:rsid w:val="00F92BCA"/>
    <w:rsid w:val="00FB3090"/>
    <w:rsid w:val="00FC4CF2"/>
    <w:rsid w:val="00FF0CEE"/>
    <w:rsid w:val="012A04F5"/>
    <w:rsid w:val="01794CBF"/>
    <w:rsid w:val="01CC4F9A"/>
    <w:rsid w:val="01CD5EB0"/>
    <w:rsid w:val="02544E31"/>
    <w:rsid w:val="03A43BE7"/>
    <w:rsid w:val="040F4D5B"/>
    <w:rsid w:val="04246904"/>
    <w:rsid w:val="05C513EA"/>
    <w:rsid w:val="07FA5780"/>
    <w:rsid w:val="09711A95"/>
    <w:rsid w:val="097A653A"/>
    <w:rsid w:val="09DD63A6"/>
    <w:rsid w:val="0AED5468"/>
    <w:rsid w:val="0B817789"/>
    <w:rsid w:val="0DC24D24"/>
    <w:rsid w:val="10F13578"/>
    <w:rsid w:val="11227DEC"/>
    <w:rsid w:val="11265421"/>
    <w:rsid w:val="115236D1"/>
    <w:rsid w:val="1445110B"/>
    <w:rsid w:val="146C2230"/>
    <w:rsid w:val="14937B51"/>
    <w:rsid w:val="15331E2D"/>
    <w:rsid w:val="157953C4"/>
    <w:rsid w:val="175C50A9"/>
    <w:rsid w:val="186D7107"/>
    <w:rsid w:val="186E3846"/>
    <w:rsid w:val="186F6762"/>
    <w:rsid w:val="199D0344"/>
    <w:rsid w:val="19AA0383"/>
    <w:rsid w:val="1A6C1544"/>
    <w:rsid w:val="1C5E29D7"/>
    <w:rsid w:val="1C9A4B26"/>
    <w:rsid w:val="1D087849"/>
    <w:rsid w:val="1D90567F"/>
    <w:rsid w:val="1D994F77"/>
    <w:rsid w:val="1FA013DB"/>
    <w:rsid w:val="202E7A19"/>
    <w:rsid w:val="2037110C"/>
    <w:rsid w:val="21106D4B"/>
    <w:rsid w:val="21B31B6F"/>
    <w:rsid w:val="21B47281"/>
    <w:rsid w:val="21FD7568"/>
    <w:rsid w:val="22912F6F"/>
    <w:rsid w:val="22A974EF"/>
    <w:rsid w:val="244832F4"/>
    <w:rsid w:val="24554721"/>
    <w:rsid w:val="26E2151A"/>
    <w:rsid w:val="26E41FE5"/>
    <w:rsid w:val="29330A7B"/>
    <w:rsid w:val="2948612C"/>
    <w:rsid w:val="29794218"/>
    <w:rsid w:val="29A57DAA"/>
    <w:rsid w:val="29FD0EA6"/>
    <w:rsid w:val="2A58076C"/>
    <w:rsid w:val="2A90787B"/>
    <w:rsid w:val="2BE7671B"/>
    <w:rsid w:val="2DD564DE"/>
    <w:rsid w:val="2DFD2216"/>
    <w:rsid w:val="2E395A2C"/>
    <w:rsid w:val="2E657D61"/>
    <w:rsid w:val="2E6F7A18"/>
    <w:rsid w:val="2FEA4E5D"/>
    <w:rsid w:val="2FED4241"/>
    <w:rsid w:val="30D835D7"/>
    <w:rsid w:val="30E5141C"/>
    <w:rsid w:val="31825893"/>
    <w:rsid w:val="32344CB9"/>
    <w:rsid w:val="34286A88"/>
    <w:rsid w:val="34853794"/>
    <w:rsid w:val="34E10EC2"/>
    <w:rsid w:val="360B1944"/>
    <w:rsid w:val="373C3228"/>
    <w:rsid w:val="37C05C1A"/>
    <w:rsid w:val="384544F6"/>
    <w:rsid w:val="38F974E6"/>
    <w:rsid w:val="39022662"/>
    <w:rsid w:val="39A86C4C"/>
    <w:rsid w:val="39C96828"/>
    <w:rsid w:val="3AC30F12"/>
    <w:rsid w:val="3BD96BA6"/>
    <w:rsid w:val="3CAB1D89"/>
    <w:rsid w:val="3DD42A99"/>
    <w:rsid w:val="3E4732C8"/>
    <w:rsid w:val="3E506D1A"/>
    <w:rsid w:val="3ED4635E"/>
    <w:rsid w:val="3EE40682"/>
    <w:rsid w:val="3F127554"/>
    <w:rsid w:val="406A1E55"/>
    <w:rsid w:val="42B62850"/>
    <w:rsid w:val="430730EC"/>
    <w:rsid w:val="436F3681"/>
    <w:rsid w:val="43F227A4"/>
    <w:rsid w:val="442E0877"/>
    <w:rsid w:val="44443F2C"/>
    <w:rsid w:val="44600601"/>
    <w:rsid w:val="45AB1ED6"/>
    <w:rsid w:val="45E03038"/>
    <w:rsid w:val="4699129B"/>
    <w:rsid w:val="492159DF"/>
    <w:rsid w:val="49995931"/>
    <w:rsid w:val="49C451DE"/>
    <w:rsid w:val="49DD014A"/>
    <w:rsid w:val="4A8A3C08"/>
    <w:rsid w:val="4AAC1603"/>
    <w:rsid w:val="4AB01D56"/>
    <w:rsid w:val="4B0C5AB4"/>
    <w:rsid w:val="4B3847FD"/>
    <w:rsid w:val="4BD5469E"/>
    <w:rsid w:val="4CAE76CE"/>
    <w:rsid w:val="4D067E98"/>
    <w:rsid w:val="4DCA631D"/>
    <w:rsid w:val="4F2E2240"/>
    <w:rsid w:val="501D6138"/>
    <w:rsid w:val="507864A6"/>
    <w:rsid w:val="51314E0C"/>
    <w:rsid w:val="52155A85"/>
    <w:rsid w:val="521606C3"/>
    <w:rsid w:val="52983056"/>
    <w:rsid w:val="52A548A1"/>
    <w:rsid w:val="52DD7419"/>
    <w:rsid w:val="53413BEB"/>
    <w:rsid w:val="542C6852"/>
    <w:rsid w:val="548F12BE"/>
    <w:rsid w:val="54955FB0"/>
    <w:rsid w:val="56E734F8"/>
    <w:rsid w:val="578076EA"/>
    <w:rsid w:val="58465B4C"/>
    <w:rsid w:val="596553E0"/>
    <w:rsid w:val="59C46FBA"/>
    <w:rsid w:val="5A0567A1"/>
    <w:rsid w:val="5A462277"/>
    <w:rsid w:val="5A646BC1"/>
    <w:rsid w:val="5AFC1B66"/>
    <w:rsid w:val="5C8677F5"/>
    <w:rsid w:val="5E472CE8"/>
    <w:rsid w:val="5EF46020"/>
    <w:rsid w:val="5FCD4A48"/>
    <w:rsid w:val="605358F1"/>
    <w:rsid w:val="60546BE2"/>
    <w:rsid w:val="60EE7F22"/>
    <w:rsid w:val="635A4CFE"/>
    <w:rsid w:val="63B94CBF"/>
    <w:rsid w:val="63E90A11"/>
    <w:rsid w:val="63FA13FB"/>
    <w:rsid w:val="641A3EFE"/>
    <w:rsid w:val="65047E47"/>
    <w:rsid w:val="65FB69D0"/>
    <w:rsid w:val="660B064A"/>
    <w:rsid w:val="662B478A"/>
    <w:rsid w:val="66452A99"/>
    <w:rsid w:val="681F7DF0"/>
    <w:rsid w:val="6AD066C9"/>
    <w:rsid w:val="6C3400CA"/>
    <w:rsid w:val="6C8A5BAB"/>
    <w:rsid w:val="6CF87B97"/>
    <w:rsid w:val="6ED22EDA"/>
    <w:rsid w:val="70630DC2"/>
    <w:rsid w:val="70FB01C7"/>
    <w:rsid w:val="72C26D62"/>
    <w:rsid w:val="72F94B30"/>
    <w:rsid w:val="742221CC"/>
    <w:rsid w:val="76520F7C"/>
    <w:rsid w:val="776E0407"/>
    <w:rsid w:val="784334A1"/>
    <w:rsid w:val="7B054B1B"/>
    <w:rsid w:val="7C0E5FC0"/>
    <w:rsid w:val="7D8F0E68"/>
    <w:rsid w:val="7E3B4E45"/>
    <w:rsid w:val="7F0C4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24"/>
    <w:qFormat/>
    <w:uiPriority w:val="9"/>
    <w:pPr>
      <w:keepNext/>
      <w:keepLines/>
      <w:widowControl w:val="0"/>
      <w:spacing w:line="360" w:lineRule="auto"/>
      <w:jc w:val="both"/>
      <w:outlineLvl w:val="0"/>
    </w:pPr>
    <w:rPr>
      <w:rFonts w:eastAsia="仿宋_GB2312"/>
      <w:b/>
      <w:kern w:val="44"/>
      <w:sz w:val="32"/>
      <w:szCs w:val="22"/>
    </w:rPr>
  </w:style>
  <w:style w:type="paragraph" w:styleId="4">
    <w:name w:val="heading 2"/>
    <w:basedOn w:val="1"/>
    <w:next w:val="1"/>
    <w:link w:val="25"/>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5">
    <w:name w:val="heading 3"/>
    <w:basedOn w:val="1"/>
    <w:next w:val="1"/>
    <w:link w:val="26"/>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paragraph" w:styleId="6">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widowControl w:val="0"/>
      <w:ind w:firstLine="420" w:firstLineChars="200"/>
      <w:jc w:val="both"/>
    </w:pPr>
    <w:rPr>
      <w:rFonts w:ascii="Calibri" w:hAnsi="Calibri"/>
      <w:kern w:val="2"/>
      <w:sz w:val="21"/>
    </w:rPr>
  </w:style>
  <w:style w:type="paragraph" w:styleId="7">
    <w:name w:val="annotation text"/>
    <w:basedOn w:val="1"/>
    <w:link w:val="27"/>
    <w:unhideWhenUsed/>
    <w:qFormat/>
    <w:uiPriority w:val="0"/>
  </w:style>
  <w:style w:type="paragraph" w:styleId="8">
    <w:name w:val="Body Text"/>
    <w:basedOn w:val="1"/>
    <w:link w:val="88"/>
    <w:semiHidden/>
    <w:unhideWhenUsed/>
    <w:qFormat/>
    <w:uiPriority w:val="99"/>
    <w:pPr>
      <w:spacing w:after="120"/>
    </w:pPr>
  </w:style>
  <w:style w:type="paragraph" w:styleId="9">
    <w:name w:val="toc 3"/>
    <w:basedOn w:val="1"/>
    <w:next w:val="1"/>
    <w:unhideWhenUsed/>
    <w:qFormat/>
    <w:uiPriority w:val="39"/>
    <w:pPr>
      <w:spacing w:after="100" w:line="276" w:lineRule="auto"/>
      <w:ind w:left="440"/>
    </w:pPr>
    <w:rPr>
      <w:rFonts w:ascii="Calibri" w:hAnsi="Calibri"/>
      <w:sz w:val="22"/>
      <w:szCs w:val="22"/>
    </w:rPr>
  </w:style>
  <w:style w:type="paragraph" w:styleId="10">
    <w:name w:val="Balloon Text"/>
    <w:basedOn w:val="1"/>
    <w:link w:val="28"/>
    <w:unhideWhenUsed/>
    <w:qFormat/>
    <w:uiPriority w:val="99"/>
    <w:pPr>
      <w:widowControl w:val="0"/>
      <w:jc w:val="both"/>
    </w:pPr>
    <w:rPr>
      <w:rFonts w:ascii="宋体" w:hAnsiTheme="minorHAnsi"/>
      <w:sz w:val="18"/>
      <w:szCs w:val="18"/>
    </w:rPr>
  </w:style>
  <w:style w:type="paragraph" w:styleId="11">
    <w:name w:val="footer"/>
    <w:basedOn w:val="1"/>
    <w:link w:val="29"/>
    <w:unhideWhenUsed/>
    <w:qFormat/>
    <w:uiPriority w:val="99"/>
    <w:pPr>
      <w:widowControl w:val="0"/>
      <w:tabs>
        <w:tab w:val="center" w:pos="4153"/>
        <w:tab w:val="right" w:pos="8306"/>
      </w:tabs>
      <w:snapToGrid w:val="0"/>
    </w:pPr>
    <w:rPr>
      <w:rFonts w:ascii="宋体" w:hAnsiTheme="minorHAnsi"/>
      <w:sz w:val="18"/>
      <w:szCs w:val="18"/>
    </w:rPr>
  </w:style>
  <w:style w:type="paragraph" w:styleId="12">
    <w:name w:val="header"/>
    <w:basedOn w:val="1"/>
    <w:link w:val="30"/>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3">
    <w:name w:val="toc 1"/>
    <w:basedOn w:val="1"/>
    <w:next w:val="1"/>
    <w:unhideWhenUsed/>
    <w:qFormat/>
    <w:uiPriority w:val="39"/>
    <w:pPr>
      <w:spacing w:after="100" w:line="276" w:lineRule="auto"/>
    </w:pPr>
    <w:rPr>
      <w:rFonts w:ascii="Calibri" w:hAnsi="Calibri"/>
      <w:sz w:val="22"/>
      <w:szCs w:val="22"/>
    </w:rPr>
  </w:style>
  <w:style w:type="paragraph" w:styleId="14">
    <w:name w:val="toc 2"/>
    <w:basedOn w:val="1"/>
    <w:next w:val="1"/>
    <w:unhideWhenUsed/>
    <w:qFormat/>
    <w:uiPriority w:val="39"/>
    <w:pPr>
      <w:spacing w:after="100" w:line="276" w:lineRule="auto"/>
      <w:ind w:left="220"/>
    </w:pPr>
    <w:rPr>
      <w:rFonts w:ascii="Calibri" w:hAnsi="Calibri"/>
      <w:sz w:val="22"/>
      <w:szCs w:val="22"/>
    </w:rPr>
  </w:style>
  <w:style w:type="paragraph" w:styleId="15">
    <w:name w:val="Normal (Web)"/>
    <w:basedOn w:val="1"/>
    <w:unhideWhenUsed/>
    <w:qFormat/>
    <w:uiPriority w:val="99"/>
    <w:pPr>
      <w:spacing w:before="100" w:beforeAutospacing="1" w:after="100" w:afterAutospacing="1"/>
    </w:pPr>
    <w:rPr>
      <w:rFonts w:ascii="宋体" w:hAnsi="宋体" w:cs="宋体"/>
    </w:rPr>
  </w:style>
  <w:style w:type="paragraph" w:styleId="16">
    <w:name w:val="annotation subject"/>
    <w:basedOn w:val="7"/>
    <w:next w:val="7"/>
    <w:link w:val="31"/>
    <w:semiHidden/>
    <w:unhideWhenUsed/>
    <w:qFormat/>
    <w:uiPriority w:val="99"/>
    <w:rPr>
      <w:b/>
      <w:bCs/>
    </w:rPr>
  </w:style>
  <w:style w:type="paragraph" w:styleId="17">
    <w:name w:val="Body Text First Indent"/>
    <w:basedOn w:val="8"/>
    <w:link w:val="89"/>
    <w:qFormat/>
    <w:uiPriority w:val="0"/>
    <w:pPr>
      <w:widowControl w:val="0"/>
      <w:ind w:firstLine="420" w:firstLineChars="100"/>
      <w:jc w:val="both"/>
    </w:pPr>
    <w:rPr>
      <w:kern w:val="2"/>
      <w:sz w:val="21"/>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unhideWhenUsed/>
    <w:qFormat/>
    <w:uiPriority w:val="99"/>
    <w:rPr>
      <w:color w:val="800080"/>
      <w:u w:val="single"/>
    </w:rPr>
  </w:style>
  <w:style w:type="character" w:styleId="22">
    <w:name w:val="Hyperlink"/>
    <w:unhideWhenUsed/>
    <w:qFormat/>
    <w:uiPriority w:val="99"/>
    <w:rPr>
      <w:color w:val="0000FF"/>
      <w:u w:val="single"/>
    </w:rPr>
  </w:style>
  <w:style w:type="character" w:styleId="23">
    <w:name w:val="annotation reference"/>
    <w:basedOn w:val="20"/>
    <w:unhideWhenUsed/>
    <w:qFormat/>
    <w:uiPriority w:val="0"/>
    <w:rPr>
      <w:sz w:val="21"/>
      <w:szCs w:val="21"/>
    </w:rPr>
  </w:style>
  <w:style w:type="character" w:customStyle="1" w:styleId="24">
    <w:name w:val="标题 1 字符1"/>
    <w:link w:val="3"/>
    <w:qFormat/>
    <w:uiPriority w:val="9"/>
    <w:rPr>
      <w:rFonts w:ascii="Times New Roman" w:hAnsi="Times New Roman" w:eastAsia="仿宋_GB2312"/>
      <w:b/>
      <w:kern w:val="44"/>
      <w:sz w:val="32"/>
      <w:szCs w:val="22"/>
    </w:rPr>
  </w:style>
  <w:style w:type="character" w:customStyle="1" w:styleId="25">
    <w:name w:val="标题 2 字符"/>
    <w:basedOn w:val="20"/>
    <w:link w:val="4"/>
    <w:qFormat/>
    <w:uiPriority w:val="9"/>
    <w:rPr>
      <w:rFonts w:ascii="Arial" w:hAnsi="Arial" w:eastAsia="仿宋_GB2312"/>
      <w:b/>
      <w:kern w:val="2"/>
      <w:sz w:val="30"/>
      <w:szCs w:val="22"/>
    </w:rPr>
  </w:style>
  <w:style w:type="character" w:customStyle="1" w:styleId="26">
    <w:name w:val="标题 3 字符"/>
    <w:basedOn w:val="20"/>
    <w:link w:val="5"/>
    <w:qFormat/>
    <w:uiPriority w:val="9"/>
    <w:rPr>
      <w:rFonts w:ascii="Times New Roman" w:hAnsi="Times New Roman" w:eastAsia="仿宋_GB2312"/>
      <w:b/>
      <w:bCs/>
      <w:kern w:val="2"/>
      <w:sz w:val="28"/>
      <w:szCs w:val="32"/>
    </w:rPr>
  </w:style>
  <w:style w:type="character" w:customStyle="1" w:styleId="27">
    <w:name w:val="批注文字 字符"/>
    <w:basedOn w:val="20"/>
    <w:link w:val="7"/>
    <w:qFormat/>
    <w:uiPriority w:val="0"/>
    <w:rPr>
      <w:rFonts w:ascii="Times New Roman" w:hAnsi="Times New Roman"/>
      <w:szCs w:val="24"/>
    </w:rPr>
  </w:style>
  <w:style w:type="character" w:customStyle="1" w:styleId="28">
    <w:name w:val="批注框文本 字符"/>
    <w:basedOn w:val="20"/>
    <w:link w:val="10"/>
    <w:semiHidden/>
    <w:qFormat/>
    <w:uiPriority w:val="99"/>
    <w:rPr>
      <w:sz w:val="18"/>
      <w:szCs w:val="18"/>
    </w:rPr>
  </w:style>
  <w:style w:type="character" w:customStyle="1" w:styleId="29">
    <w:name w:val="页脚 字符"/>
    <w:basedOn w:val="20"/>
    <w:link w:val="11"/>
    <w:qFormat/>
    <w:uiPriority w:val="99"/>
    <w:rPr>
      <w:sz w:val="18"/>
      <w:szCs w:val="18"/>
    </w:rPr>
  </w:style>
  <w:style w:type="character" w:customStyle="1" w:styleId="30">
    <w:name w:val="页眉 字符"/>
    <w:basedOn w:val="20"/>
    <w:link w:val="12"/>
    <w:qFormat/>
    <w:uiPriority w:val="99"/>
    <w:rPr>
      <w:sz w:val="18"/>
      <w:szCs w:val="18"/>
    </w:rPr>
  </w:style>
  <w:style w:type="character" w:customStyle="1" w:styleId="31">
    <w:name w:val="批注主题 字符"/>
    <w:basedOn w:val="27"/>
    <w:link w:val="16"/>
    <w:semiHidden/>
    <w:qFormat/>
    <w:uiPriority w:val="99"/>
    <w:rPr>
      <w:rFonts w:ascii="Times New Roman" w:hAnsi="Times New Roman"/>
      <w:b/>
      <w:bCs/>
      <w:szCs w:val="24"/>
    </w:rPr>
  </w:style>
  <w:style w:type="paragraph" w:styleId="32">
    <w:name w:val="List Paragraph"/>
    <w:basedOn w:val="1"/>
    <w:qFormat/>
    <w:uiPriority w:val="34"/>
    <w:pPr>
      <w:ind w:firstLine="420" w:firstLineChars="200"/>
    </w:pPr>
  </w:style>
  <w:style w:type="character" w:customStyle="1" w:styleId="33">
    <w:name w:val="标题 1 字符"/>
    <w:basedOn w:val="20"/>
    <w:qFormat/>
    <w:uiPriority w:val="9"/>
    <w:rPr>
      <w:rFonts w:ascii="Times New Roman" w:hAnsi="Times New Roman"/>
      <w:b/>
      <w:bCs/>
      <w:kern w:val="44"/>
      <w:sz w:val="44"/>
      <w:szCs w:val="44"/>
    </w:rPr>
  </w:style>
  <w:style w:type="character" w:customStyle="1" w:styleId="34">
    <w:name w:val="font21"/>
    <w:qFormat/>
    <w:uiPriority w:val="0"/>
    <w:rPr>
      <w:rFonts w:hint="eastAsia" w:ascii="仿宋" w:hAnsi="仿宋" w:eastAsia="仿宋" w:cs="仿宋"/>
      <w:color w:val="000000"/>
      <w:sz w:val="30"/>
      <w:szCs w:val="30"/>
      <w:u w:val="none"/>
    </w:rPr>
  </w:style>
  <w:style w:type="character" w:customStyle="1" w:styleId="35">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36">
    <w:name w:val="font71"/>
    <w:qFormat/>
    <w:uiPriority w:val="0"/>
    <w:rPr>
      <w:rFonts w:hint="eastAsia" w:ascii="仿宋" w:hAnsi="仿宋" w:eastAsia="仿宋" w:cs="仿宋"/>
      <w:b/>
      <w:color w:val="000000"/>
      <w:sz w:val="12"/>
      <w:szCs w:val="12"/>
      <w:u w:val="none"/>
    </w:rPr>
  </w:style>
  <w:style w:type="character" w:customStyle="1" w:styleId="37">
    <w:name w:val="font61"/>
    <w:qFormat/>
    <w:uiPriority w:val="0"/>
    <w:rPr>
      <w:rFonts w:hint="eastAsia" w:ascii="仿宋" w:hAnsi="仿宋" w:eastAsia="仿宋" w:cs="仿宋"/>
      <w:color w:val="000000"/>
      <w:sz w:val="21"/>
      <w:szCs w:val="21"/>
      <w:u w:val="none"/>
    </w:rPr>
  </w:style>
  <w:style w:type="character" w:customStyle="1" w:styleId="38">
    <w:name w:val="font01"/>
    <w:qFormat/>
    <w:uiPriority w:val="0"/>
    <w:rPr>
      <w:rFonts w:hint="eastAsia" w:ascii="仿宋" w:hAnsi="仿宋" w:eastAsia="仿宋" w:cs="仿宋"/>
      <w:b/>
      <w:color w:val="000000"/>
      <w:sz w:val="12"/>
      <w:szCs w:val="12"/>
      <w:u w:val="none"/>
    </w:rPr>
  </w:style>
  <w:style w:type="character" w:customStyle="1" w:styleId="39">
    <w:name w:val="font31"/>
    <w:qFormat/>
    <w:uiPriority w:val="0"/>
    <w:rPr>
      <w:rFonts w:hint="eastAsia" w:ascii="微软雅黑" w:hAnsi="微软雅黑" w:eastAsia="微软雅黑" w:cs="微软雅黑"/>
      <w:color w:val="000000"/>
      <w:sz w:val="20"/>
      <w:szCs w:val="20"/>
      <w:u w:val="none"/>
    </w:rPr>
  </w:style>
  <w:style w:type="character" w:customStyle="1" w:styleId="40">
    <w:name w:val="font41"/>
    <w:qFormat/>
    <w:uiPriority w:val="0"/>
    <w:rPr>
      <w:rFonts w:hint="eastAsia" w:ascii="仿宋" w:hAnsi="仿宋" w:eastAsia="仿宋" w:cs="仿宋"/>
      <w:color w:val="000000"/>
      <w:sz w:val="32"/>
      <w:szCs w:val="32"/>
      <w:u w:val="none"/>
    </w:rPr>
  </w:style>
  <w:style w:type="character" w:customStyle="1" w:styleId="41">
    <w:name w:val="font91"/>
    <w:qFormat/>
    <w:uiPriority w:val="0"/>
    <w:rPr>
      <w:rFonts w:hint="eastAsia" w:ascii="仿宋" w:hAnsi="仿宋" w:eastAsia="仿宋" w:cs="仿宋"/>
      <w:b/>
      <w:color w:val="000000"/>
      <w:sz w:val="12"/>
      <w:szCs w:val="12"/>
      <w:u w:val="none"/>
    </w:rPr>
  </w:style>
  <w:style w:type="character" w:customStyle="1" w:styleId="42">
    <w:name w:val="font51"/>
    <w:qFormat/>
    <w:uiPriority w:val="0"/>
    <w:rPr>
      <w:rFonts w:hint="eastAsia" w:ascii="仿宋" w:hAnsi="仿宋" w:eastAsia="仿宋" w:cs="仿宋"/>
      <w:color w:val="000000"/>
      <w:sz w:val="32"/>
      <w:szCs w:val="32"/>
      <w:u w:val="none"/>
    </w:rPr>
  </w:style>
  <w:style w:type="character" w:customStyle="1" w:styleId="43">
    <w:name w:val="font101"/>
    <w:qFormat/>
    <w:uiPriority w:val="0"/>
    <w:rPr>
      <w:rFonts w:hint="eastAsia" w:ascii="仿宋" w:hAnsi="仿宋" w:eastAsia="仿宋" w:cs="仿宋"/>
      <w:b/>
      <w:color w:val="000000"/>
      <w:sz w:val="12"/>
      <w:szCs w:val="12"/>
      <w:u w:val="none"/>
    </w:rPr>
  </w:style>
  <w:style w:type="paragraph" w:customStyle="1" w:styleId="44">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5">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6">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7">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8">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49">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50">
    <w:name w:val="TOC 标题1"/>
    <w:basedOn w:val="3"/>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1">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2">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3">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4">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5">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6">
    <w:name w:val="WPSOffice手动目录 1"/>
    <w:qFormat/>
    <w:uiPriority w:val="0"/>
    <w:rPr>
      <w:rFonts w:ascii="Times New Roman" w:hAnsi="Times New Roman" w:eastAsia="宋体" w:cs="Times New Roman"/>
      <w:lang w:val="en-US" w:eastAsia="zh-CN" w:bidi="ar-SA"/>
    </w:rPr>
  </w:style>
  <w:style w:type="paragraph" w:customStyle="1" w:styleId="57">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8">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59">
    <w:name w:val="font5"/>
    <w:basedOn w:val="1"/>
    <w:qFormat/>
    <w:uiPriority w:val="0"/>
    <w:pPr>
      <w:spacing w:before="100" w:beforeAutospacing="1" w:after="100" w:afterAutospacing="1"/>
    </w:pPr>
    <w:rPr>
      <w:rFonts w:ascii="宋体" w:hAnsi="宋体" w:cs="宋体"/>
      <w:sz w:val="18"/>
      <w:szCs w:val="18"/>
    </w:rPr>
  </w:style>
  <w:style w:type="paragraph" w:customStyle="1" w:styleId="60">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1">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2">
    <w:name w:val="font8"/>
    <w:basedOn w:val="1"/>
    <w:qFormat/>
    <w:uiPriority w:val="0"/>
    <w:pPr>
      <w:spacing w:before="100" w:beforeAutospacing="1" w:after="100" w:afterAutospacing="1"/>
    </w:pPr>
    <w:rPr>
      <w:rFonts w:ascii="宋体" w:hAnsi="宋体" w:cs="宋体"/>
      <w:sz w:val="18"/>
      <w:szCs w:val="18"/>
    </w:rPr>
  </w:style>
  <w:style w:type="paragraph" w:customStyle="1" w:styleId="63">
    <w:name w:val="font7"/>
    <w:basedOn w:val="1"/>
    <w:qFormat/>
    <w:uiPriority w:val="0"/>
    <w:pPr>
      <w:spacing w:before="100" w:beforeAutospacing="1" w:after="100" w:afterAutospacing="1"/>
    </w:pPr>
    <w:rPr>
      <w:rFonts w:ascii="宋体" w:hAnsi="宋体" w:cs="宋体"/>
      <w:sz w:val="20"/>
      <w:szCs w:val="20"/>
    </w:rPr>
  </w:style>
  <w:style w:type="paragraph" w:customStyle="1" w:styleId="64">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5">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6">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7">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8">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69">
    <w:name w:val="TOC 标题1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70">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1">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2">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3">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4">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6">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7">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8">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9">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80">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1">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2">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3">
    <w:name w:val="标题 1 Char"/>
    <w:qFormat/>
    <w:uiPriority w:val="9"/>
    <w:rPr>
      <w:rFonts w:eastAsia="仿宋_GB2312"/>
      <w:b/>
      <w:kern w:val="44"/>
      <w:sz w:val="32"/>
      <w:szCs w:val="22"/>
    </w:rPr>
  </w:style>
  <w:style w:type="character" w:customStyle="1" w:styleId="84">
    <w:name w:val="页脚 Char"/>
    <w:qFormat/>
    <w:uiPriority w:val="99"/>
    <w:rPr>
      <w:sz w:val="18"/>
      <w:szCs w:val="18"/>
    </w:rPr>
  </w:style>
  <w:style w:type="character" w:customStyle="1" w:styleId="85">
    <w:name w:val="批注框文本 Char"/>
    <w:qFormat/>
    <w:uiPriority w:val="99"/>
    <w:rPr>
      <w:sz w:val="18"/>
      <w:szCs w:val="18"/>
    </w:rPr>
  </w:style>
  <w:style w:type="character" w:customStyle="1" w:styleId="86">
    <w:name w:val="页眉 Char"/>
    <w:qFormat/>
    <w:uiPriority w:val="99"/>
    <w:rPr>
      <w:sz w:val="18"/>
      <w:szCs w:val="18"/>
    </w:rPr>
  </w:style>
  <w:style w:type="paragraph" w:customStyle="1" w:styleId="87">
    <w:name w:val="TOC Heading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88">
    <w:name w:val="正文文本 字符"/>
    <w:basedOn w:val="20"/>
    <w:link w:val="8"/>
    <w:semiHidden/>
    <w:qFormat/>
    <w:uiPriority w:val="99"/>
    <w:rPr>
      <w:rFonts w:ascii="Times New Roman" w:hAnsi="Times New Roman"/>
      <w:sz w:val="24"/>
      <w:szCs w:val="24"/>
    </w:rPr>
  </w:style>
  <w:style w:type="character" w:customStyle="1" w:styleId="89">
    <w:name w:val="正文文本首行缩进 字符"/>
    <w:basedOn w:val="88"/>
    <w:link w:val="17"/>
    <w:qFormat/>
    <w:uiPriority w:val="0"/>
    <w:rPr>
      <w:rFonts w:ascii="Times New Roman" w:hAnsi="Times New Roman"/>
      <w:kern w:val="2"/>
      <w:sz w:val="21"/>
      <w:szCs w:val="24"/>
    </w:rPr>
  </w:style>
  <w:style w:type="paragraph" w:customStyle="1" w:styleId="90">
    <w:name w:val="修订1"/>
    <w:hidden/>
    <w:semiHidden/>
    <w:qFormat/>
    <w:uiPriority w:val="99"/>
    <w:rPr>
      <w:rFonts w:ascii="Times New Roman" w:hAnsi="Times New Roman" w:eastAsia="宋体" w:cs="Times New Roman"/>
      <w:sz w:val="24"/>
      <w:szCs w:val="24"/>
      <w:lang w:val="en-US" w:eastAsia="zh-CN" w:bidi="ar-SA"/>
    </w:rPr>
  </w:style>
  <w:style w:type="table" w:customStyle="1" w:styleId="91">
    <w:name w:val="网格型1"/>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FC7273-8EBA-42D1-AC3B-D00A5D4A4939}">
  <ds:schemaRefs/>
</ds:datastoreItem>
</file>

<file path=docProps/app.xml><?xml version="1.0" encoding="utf-8"?>
<Properties xmlns="http://schemas.openxmlformats.org/officeDocument/2006/extended-properties" xmlns:vt="http://schemas.openxmlformats.org/officeDocument/2006/docPropsVTypes">
  <Template>Normal</Template>
  <Pages>66</Pages>
  <Words>10311</Words>
  <Characters>58777</Characters>
  <Lines>489</Lines>
  <Paragraphs>137</Paragraphs>
  <TotalTime>62</TotalTime>
  <ScaleCrop>false</ScaleCrop>
  <LinksUpToDate>false</LinksUpToDate>
  <CharactersWithSpaces>68951</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2021-04-11T13:23:00Z</dcterms:created>
  <dc:creator>zhsh</dc:creator>
  <cp:lastModifiedBy>123</cp:lastModifiedBy>
  <dcterms:modified xsi:type="dcterms:W3CDTF">2021-07-08T08:35:50Z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76ACE9F7652A414D8B599F7A2DAFF8D1</vt:lpwstr>
  </property>
</Properties>
</file>